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0F6BCC">
      <w:pPr>
        <w:spacing w:line="480" w:lineRule="auto"/>
        <w:jc w:val="center"/>
        <w:rPr>
          <w:rFonts w:hint="eastAsia" w:ascii="宋体" w:hAnsi="宋体" w:eastAsia="宋体" w:cs="宋体"/>
          <w:b/>
          <w:bCs/>
          <w:color w:val="auto"/>
          <w:sz w:val="36"/>
          <w:szCs w:val="36"/>
        </w:rPr>
      </w:pPr>
      <w:r>
        <w:rPr>
          <w:rFonts w:hint="eastAsia" w:ascii="宋体" w:hAnsi="宋体" w:cs="宋体"/>
          <w:b/>
          <w:color w:val="auto"/>
          <w:kern w:val="0"/>
          <w:sz w:val="40"/>
          <w:szCs w:val="36"/>
          <w:shd w:val="clear" w:color="auto" w:fill="FFFFFF"/>
          <w:lang w:eastAsia="zh-CN"/>
        </w:rPr>
        <w:t>汝南县市场监督管理局2026年度食品监督抽检第三方服务单位政府采购项目</w:t>
      </w:r>
    </w:p>
    <w:p w14:paraId="2E2E56A1">
      <w:pPr>
        <w:jc w:val="center"/>
        <w:rPr>
          <w:rFonts w:hint="eastAsia" w:ascii="宋体" w:hAnsi="宋体" w:eastAsia="宋体" w:cs="宋体"/>
          <w:b/>
          <w:bCs/>
          <w:color w:val="auto"/>
          <w:sz w:val="28"/>
          <w:szCs w:val="28"/>
        </w:rPr>
      </w:pPr>
    </w:p>
    <w:p w14:paraId="45957748">
      <w:pPr>
        <w:jc w:val="center"/>
        <w:rPr>
          <w:rFonts w:hint="eastAsia" w:ascii="宋体" w:hAnsi="宋体" w:eastAsia="宋体" w:cs="宋体"/>
          <w:b/>
          <w:bCs/>
          <w:color w:val="auto"/>
          <w:sz w:val="48"/>
          <w:szCs w:val="36"/>
        </w:rPr>
      </w:pPr>
    </w:p>
    <w:p w14:paraId="42B38D50">
      <w:pPr>
        <w:jc w:val="center"/>
        <w:rPr>
          <w:rFonts w:hint="eastAsia" w:ascii="宋体" w:hAnsi="宋体" w:eastAsia="宋体" w:cs="宋体"/>
          <w:b/>
          <w:bCs/>
          <w:color w:val="auto"/>
          <w:sz w:val="48"/>
          <w:szCs w:val="36"/>
        </w:rPr>
      </w:pPr>
    </w:p>
    <w:p w14:paraId="681147A9">
      <w:pPr>
        <w:jc w:val="center"/>
        <w:rPr>
          <w:rFonts w:hint="eastAsia" w:ascii="宋体" w:hAnsi="宋体" w:eastAsia="宋体" w:cs="宋体"/>
          <w:b/>
          <w:bCs/>
          <w:color w:val="auto"/>
          <w:sz w:val="60"/>
          <w:szCs w:val="48"/>
        </w:rPr>
      </w:pPr>
      <w:r>
        <w:rPr>
          <w:rFonts w:hint="eastAsia" w:ascii="宋体" w:hAnsi="宋体" w:eastAsia="宋体" w:cs="宋体"/>
          <w:b/>
          <w:bCs/>
          <w:color w:val="auto"/>
          <w:sz w:val="60"/>
          <w:szCs w:val="48"/>
        </w:rPr>
        <w:t>竞争性谈判文件</w:t>
      </w:r>
    </w:p>
    <w:p w14:paraId="28942773">
      <w:pPr>
        <w:tabs>
          <w:tab w:val="left" w:pos="787"/>
        </w:tabs>
        <w:jc w:val="left"/>
        <w:rPr>
          <w:rFonts w:hint="eastAsia" w:ascii="宋体" w:hAnsi="宋体" w:eastAsia="宋体" w:cs="宋体"/>
          <w:color w:val="auto"/>
          <w:sz w:val="28"/>
          <w:szCs w:val="28"/>
        </w:rPr>
      </w:pPr>
      <w:r>
        <w:rPr>
          <w:rFonts w:hint="eastAsia" w:ascii="宋体" w:hAnsi="宋体" w:eastAsia="宋体" w:cs="宋体"/>
          <w:color w:val="auto"/>
          <w:sz w:val="28"/>
          <w:szCs w:val="28"/>
        </w:rPr>
        <w:tab/>
      </w:r>
      <w:r>
        <w:rPr>
          <w:rFonts w:hint="eastAsia" w:ascii="宋体" w:hAnsi="宋体" w:eastAsia="宋体" w:cs="宋体"/>
          <w:color w:val="auto"/>
          <w:sz w:val="28"/>
          <w:szCs w:val="28"/>
        </w:rPr>
        <w:t xml:space="preserve">       </w:t>
      </w:r>
    </w:p>
    <w:p w14:paraId="344CEB02">
      <w:pPr>
        <w:jc w:val="center"/>
        <w:rPr>
          <w:rFonts w:hint="eastAsia" w:ascii="宋体" w:hAnsi="宋体" w:eastAsia="宋体" w:cs="宋体"/>
          <w:color w:val="auto"/>
          <w:sz w:val="28"/>
          <w:szCs w:val="28"/>
        </w:rPr>
      </w:pPr>
    </w:p>
    <w:p w14:paraId="00C27A87">
      <w:pPr>
        <w:pStyle w:val="42"/>
        <w:ind w:firstLine="560"/>
        <w:rPr>
          <w:rFonts w:hint="eastAsia" w:ascii="宋体" w:hAnsi="宋体" w:eastAsia="宋体" w:cs="宋体"/>
          <w:color w:val="auto"/>
        </w:rPr>
      </w:pPr>
    </w:p>
    <w:p w14:paraId="1A61674C">
      <w:pPr>
        <w:pStyle w:val="42"/>
        <w:ind w:firstLine="560"/>
        <w:rPr>
          <w:rFonts w:hint="eastAsia" w:ascii="宋体" w:hAnsi="宋体" w:eastAsia="宋体" w:cs="宋体"/>
          <w:color w:val="auto"/>
        </w:rPr>
      </w:pPr>
    </w:p>
    <w:p w14:paraId="3648DD60">
      <w:pPr>
        <w:rPr>
          <w:rFonts w:hint="eastAsia" w:ascii="宋体" w:hAnsi="宋体" w:eastAsia="宋体" w:cs="宋体"/>
          <w:color w:val="auto"/>
          <w:sz w:val="28"/>
          <w:szCs w:val="28"/>
        </w:rPr>
      </w:pPr>
      <w:r>
        <w:rPr>
          <w:rFonts w:hint="eastAsia" w:ascii="宋体" w:hAnsi="宋体" w:eastAsia="宋体" w:cs="宋体"/>
          <w:b/>
          <w:bCs/>
          <w:color w:val="auto"/>
          <w:sz w:val="28"/>
          <w:szCs w:val="28"/>
        </w:rPr>
        <w:t>项目编号：</w:t>
      </w:r>
      <w:r>
        <w:rPr>
          <w:rFonts w:hint="eastAsia" w:ascii="宋体" w:hAnsi="宋体" w:cs="宋体"/>
          <w:b/>
          <w:bCs/>
          <w:color w:val="auto"/>
          <w:sz w:val="28"/>
          <w:szCs w:val="28"/>
          <w:lang w:eastAsia="zh-CN"/>
        </w:rPr>
        <w:t xml:space="preserve">汝竞谈[2026]49号 </w:t>
      </w:r>
      <w:r>
        <w:rPr>
          <w:rFonts w:hint="eastAsia" w:ascii="宋体" w:hAnsi="宋体" w:eastAsia="宋体" w:cs="宋体"/>
          <w:b/>
          <w:bCs/>
          <w:color w:val="auto"/>
          <w:sz w:val="28"/>
          <w:szCs w:val="28"/>
        </w:rPr>
        <w:t xml:space="preserve">    </w:t>
      </w:r>
      <w:r>
        <w:rPr>
          <w:rFonts w:hint="eastAsia" w:ascii="宋体" w:hAnsi="宋体" w:eastAsia="宋体" w:cs="宋体"/>
          <w:color w:val="auto"/>
          <w:kern w:val="0"/>
          <w:sz w:val="28"/>
          <w:szCs w:val="28"/>
          <w:shd w:val="clear" w:color="auto" w:fill="FFFFFF"/>
        </w:rPr>
        <w:t xml:space="preserve">             </w:t>
      </w:r>
      <w:r>
        <w:rPr>
          <w:rFonts w:hint="eastAsia" w:ascii="宋体" w:hAnsi="宋体" w:eastAsia="宋体" w:cs="宋体"/>
          <w:color w:val="auto"/>
          <w:sz w:val="28"/>
          <w:szCs w:val="28"/>
        </w:rPr>
        <w:t xml:space="preserve">            </w:t>
      </w:r>
    </w:p>
    <w:p w14:paraId="514C1092">
      <w:pPr>
        <w:rPr>
          <w:rFonts w:hint="eastAsia" w:ascii="宋体" w:hAnsi="宋体" w:eastAsia="宋体" w:cs="宋体"/>
          <w:color w:val="auto"/>
          <w:sz w:val="28"/>
          <w:szCs w:val="28"/>
        </w:rPr>
      </w:pPr>
    </w:p>
    <w:p w14:paraId="41AA4B5D">
      <w:pPr>
        <w:ind w:left="1405" w:hanging="1405" w:hangingChars="500"/>
        <w:rPr>
          <w:rFonts w:hint="eastAsia" w:ascii="宋体" w:hAnsi="宋体" w:eastAsia="宋体" w:cs="宋体"/>
          <w:color w:val="auto"/>
          <w:sz w:val="28"/>
          <w:szCs w:val="28"/>
        </w:rPr>
      </w:pPr>
      <w:r>
        <w:rPr>
          <w:rFonts w:hint="eastAsia" w:ascii="宋体" w:hAnsi="宋体" w:eastAsia="宋体" w:cs="宋体"/>
          <w:b/>
          <w:bCs/>
          <w:color w:val="auto"/>
          <w:sz w:val="28"/>
          <w:szCs w:val="28"/>
        </w:rPr>
        <w:t>项目名称：</w:t>
      </w:r>
      <w:r>
        <w:rPr>
          <w:rFonts w:hint="eastAsia" w:ascii="宋体" w:hAnsi="宋体" w:cs="宋体"/>
          <w:color w:val="auto"/>
          <w:sz w:val="28"/>
          <w:szCs w:val="28"/>
          <w:lang w:eastAsia="zh-CN"/>
        </w:rPr>
        <w:t>汝南县市场监督管理局2026年度食品监督抽检第三方服务单位政府采购项目</w:t>
      </w:r>
      <w:r>
        <w:rPr>
          <w:rFonts w:hint="eastAsia" w:ascii="宋体" w:hAnsi="宋体" w:eastAsia="宋体" w:cs="宋体"/>
          <w:color w:val="auto"/>
          <w:sz w:val="28"/>
          <w:szCs w:val="28"/>
        </w:rPr>
        <w:t xml:space="preserve">    </w:t>
      </w:r>
    </w:p>
    <w:p w14:paraId="63ED86AE">
      <w:pPr>
        <w:rPr>
          <w:rFonts w:hint="eastAsia" w:ascii="宋体" w:hAnsi="宋体" w:eastAsia="宋体" w:cs="宋体"/>
          <w:color w:val="auto"/>
          <w:sz w:val="28"/>
          <w:szCs w:val="28"/>
        </w:rPr>
      </w:pPr>
    </w:p>
    <w:p w14:paraId="6381260C">
      <w:pPr>
        <w:rPr>
          <w:rFonts w:hint="eastAsia" w:ascii="宋体" w:hAnsi="宋体" w:eastAsia="宋体" w:cs="宋体"/>
          <w:color w:val="auto"/>
          <w:sz w:val="28"/>
          <w:szCs w:val="28"/>
        </w:rPr>
      </w:pPr>
      <w:r>
        <w:rPr>
          <w:rFonts w:hint="eastAsia" w:ascii="宋体" w:hAnsi="宋体" w:eastAsia="宋体" w:cs="宋体"/>
          <w:b/>
          <w:bCs/>
          <w:color w:val="auto"/>
          <w:sz w:val="28"/>
          <w:szCs w:val="28"/>
        </w:rPr>
        <w:t>采</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购</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人：</w:t>
      </w:r>
      <w:r>
        <w:rPr>
          <w:rFonts w:hint="eastAsia" w:ascii="宋体" w:hAnsi="宋体" w:cs="宋体"/>
          <w:color w:val="auto"/>
          <w:sz w:val="28"/>
          <w:szCs w:val="28"/>
          <w:lang w:eastAsia="zh-CN"/>
        </w:rPr>
        <w:t>汝南县市场监督管理局</w:t>
      </w:r>
      <w:r>
        <w:rPr>
          <w:rFonts w:hint="eastAsia" w:ascii="宋体" w:hAnsi="宋体" w:eastAsia="宋体" w:cs="宋体"/>
          <w:color w:val="auto"/>
          <w:sz w:val="28"/>
          <w:szCs w:val="28"/>
        </w:rPr>
        <w:t xml:space="preserve">  </w:t>
      </w:r>
    </w:p>
    <w:p w14:paraId="682A0F9A">
      <w:pPr>
        <w:rPr>
          <w:rFonts w:hint="eastAsia" w:ascii="宋体" w:hAnsi="宋体" w:eastAsia="宋体" w:cs="宋体"/>
          <w:color w:val="auto"/>
          <w:sz w:val="28"/>
          <w:szCs w:val="28"/>
        </w:rPr>
      </w:pPr>
    </w:p>
    <w:p w14:paraId="28587455">
      <w:pPr>
        <w:rPr>
          <w:rFonts w:hint="eastAsia" w:ascii="宋体" w:hAnsi="宋体" w:eastAsia="宋体" w:cs="宋体"/>
          <w:color w:val="auto"/>
          <w:sz w:val="28"/>
          <w:szCs w:val="28"/>
        </w:rPr>
      </w:pPr>
      <w:r>
        <w:rPr>
          <w:rFonts w:hint="eastAsia" w:ascii="宋体" w:hAnsi="宋体" w:eastAsia="宋体" w:cs="宋体"/>
          <w:b/>
          <w:bCs/>
          <w:color w:val="auto"/>
          <w:sz w:val="28"/>
          <w:szCs w:val="28"/>
        </w:rPr>
        <w:t>采购代理机构：</w:t>
      </w:r>
      <w:r>
        <w:rPr>
          <w:rFonts w:hint="eastAsia" w:ascii="宋体" w:hAnsi="宋体" w:eastAsia="宋体" w:cs="宋体"/>
          <w:color w:val="auto"/>
          <w:sz w:val="28"/>
          <w:szCs w:val="28"/>
        </w:rPr>
        <w:t xml:space="preserve">汝南县城投丰达全过程管理有限公司          </w:t>
      </w:r>
    </w:p>
    <w:p w14:paraId="4171BD4E">
      <w:pPr>
        <w:pStyle w:val="40"/>
        <w:rPr>
          <w:rFonts w:hint="eastAsia" w:ascii="宋体" w:hAnsi="宋体" w:eastAsia="宋体" w:cs="宋体"/>
          <w:color w:val="auto"/>
          <w:sz w:val="28"/>
          <w:szCs w:val="28"/>
        </w:rPr>
      </w:pPr>
    </w:p>
    <w:p w14:paraId="6AE5114B">
      <w:pPr>
        <w:rPr>
          <w:rFonts w:hint="eastAsia" w:ascii="宋体" w:hAnsi="宋体" w:eastAsia="宋体" w:cs="宋体"/>
          <w:color w:val="auto"/>
          <w:sz w:val="28"/>
          <w:szCs w:val="28"/>
        </w:rPr>
      </w:pPr>
    </w:p>
    <w:p w14:paraId="0F6A38E6">
      <w:pPr>
        <w:jc w:val="center"/>
        <w:rPr>
          <w:rFonts w:hint="eastAsia" w:ascii="宋体" w:hAnsi="宋体" w:eastAsia="宋体" w:cs="宋体"/>
          <w:color w:val="auto"/>
          <w:sz w:val="28"/>
          <w:szCs w:val="28"/>
        </w:rPr>
      </w:pPr>
      <w:r>
        <w:rPr>
          <w:rFonts w:hint="eastAsia" w:ascii="宋体" w:hAnsi="宋体" w:eastAsia="宋体" w:cs="宋体"/>
          <w:color w:val="auto"/>
          <w:sz w:val="28"/>
          <w:szCs w:val="28"/>
        </w:rPr>
        <w:t>二○二</w:t>
      </w:r>
      <w:r>
        <w:rPr>
          <w:rFonts w:hint="eastAsia" w:ascii="宋体" w:hAnsi="宋体" w:cs="宋体"/>
          <w:color w:val="auto"/>
          <w:sz w:val="28"/>
          <w:szCs w:val="28"/>
          <w:lang w:val="en-US" w:eastAsia="zh-CN"/>
        </w:rPr>
        <w:t>六</w:t>
      </w:r>
      <w:r>
        <w:rPr>
          <w:rFonts w:hint="eastAsia" w:ascii="宋体" w:hAnsi="宋体" w:eastAsia="宋体" w:cs="宋体"/>
          <w:color w:val="auto"/>
          <w:sz w:val="28"/>
          <w:szCs w:val="28"/>
        </w:rPr>
        <w:t>年</w:t>
      </w:r>
      <w:r>
        <w:rPr>
          <w:rFonts w:hint="eastAsia" w:ascii="宋体" w:hAnsi="宋体" w:cs="宋体"/>
          <w:color w:val="auto"/>
          <w:sz w:val="28"/>
          <w:szCs w:val="28"/>
          <w:lang w:val="en-US" w:eastAsia="zh-CN"/>
        </w:rPr>
        <w:t>六</w:t>
      </w:r>
      <w:r>
        <w:rPr>
          <w:rFonts w:hint="eastAsia" w:ascii="宋体" w:hAnsi="宋体" w:eastAsia="宋体" w:cs="宋体"/>
          <w:color w:val="auto"/>
          <w:sz w:val="28"/>
          <w:szCs w:val="28"/>
        </w:rPr>
        <w:t>月</w:t>
      </w:r>
    </w:p>
    <w:p w14:paraId="35B1EE10">
      <w:pPr>
        <w:widowControl/>
        <w:shd w:val="clear" w:color="auto" w:fill="FFFFFF"/>
        <w:spacing w:before="156" w:after="156" w:line="360" w:lineRule="atLeast"/>
        <w:jc w:val="center"/>
        <w:rPr>
          <w:rFonts w:hint="eastAsia" w:ascii="宋体" w:hAnsi="宋体" w:eastAsia="宋体" w:cs="宋体"/>
          <w:b/>
          <w:bCs/>
          <w:color w:val="auto"/>
          <w:kern w:val="0"/>
          <w:sz w:val="32"/>
          <w:szCs w:val="32"/>
        </w:rPr>
      </w:pPr>
    </w:p>
    <w:p w14:paraId="683B9A93">
      <w:pPr>
        <w:widowControl/>
        <w:shd w:val="clear" w:color="auto" w:fill="FFFFFF"/>
        <w:spacing w:before="156" w:after="156" w:line="360" w:lineRule="atLeast"/>
        <w:jc w:val="center"/>
        <w:rPr>
          <w:rFonts w:hint="eastAsia" w:ascii="宋体" w:hAnsi="宋体" w:eastAsia="宋体" w:cs="宋体"/>
          <w:color w:val="auto"/>
          <w:kern w:val="0"/>
          <w:sz w:val="24"/>
        </w:rPr>
      </w:pPr>
      <w:r>
        <w:rPr>
          <w:rFonts w:hint="eastAsia" w:ascii="宋体" w:hAnsi="宋体" w:eastAsia="宋体" w:cs="宋体"/>
          <w:b/>
          <w:bCs/>
          <w:color w:val="auto"/>
          <w:kern w:val="0"/>
          <w:sz w:val="32"/>
          <w:szCs w:val="32"/>
        </w:rPr>
        <w:t>目   录</w:t>
      </w:r>
    </w:p>
    <w:p w14:paraId="3B40C288">
      <w:pPr>
        <w:widowControl/>
        <w:shd w:val="clear" w:color="auto" w:fill="FFFFFF"/>
        <w:spacing w:before="156" w:line="480" w:lineRule="atLeast"/>
        <w:ind w:firstLine="1440"/>
        <w:rPr>
          <w:rFonts w:hint="eastAsia" w:ascii="宋体" w:hAnsi="宋体" w:eastAsia="宋体" w:cs="宋体"/>
          <w:color w:val="auto"/>
          <w:kern w:val="0"/>
          <w:sz w:val="28"/>
          <w:szCs w:val="28"/>
        </w:rPr>
      </w:pPr>
    </w:p>
    <w:p w14:paraId="6B787C66">
      <w:pPr>
        <w:widowControl/>
        <w:shd w:val="clear" w:color="auto" w:fill="FFFFFF"/>
        <w:spacing w:before="156" w:line="480" w:lineRule="atLeast"/>
        <w:ind w:firstLine="1440"/>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第一章    竞争性谈判公告</w:t>
      </w:r>
    </w:p>
    <w:p w14:paraId="1C5BD4B9">
      <w:pPr>
        <w:widowControl/>
        <w:shd w:val="clear" w:color="auto" w:fill="FFFFFF"/>
        <w:spacing w:before="156" w:line="480" w:lineRule="atLeast"/>
        <w:ind w:left="1440"/>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第二章    采购需求</w:t>
      </w:r>
    </w:p>
    <w:p w14:paraId="417E6FA9">
      <w:pPr>
        <w:widowControl/>
        <w:shd w:val="clear" w:color="auto" w:fill="FFFFFF"/>
        <w:spacing w:before="156" w:line="480" w:lineRule="atLeast"/>
        <w:ind w:left="1440"/>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第三章    供应商须知</w:t>
      </w:r>
    </w:p>
    <w:p w14:paraId="1174B76F">
      <w:pPr>
        <w:widowControl/>
        <w:shd w:val="clear" w:color="auto" w:fill="FFFFFF"/>
        <w:spacing w:before="156" w:line="480" w:lineRule="atLeast"/>
        <w:ind w:left="1439" w:firstLine="1200"/>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供应商须知前附表</w:t>
      </w:r>
    </w:p>
    <w:p w14:paraId="2F0B7B6E">
      <w:pPr>
        <w:widowControl/>
        <w:shd w:val="clear" w:color="auto" w:fill="FFFFFF"/>
        <w:spacing w:before="156" w:line="480" w:lineRule="atLeast"/>
        <w:ind w:left="2159" w:firstLine="480"/>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一.说明</w:t>
      </w:r>
    </w:p>
    <w:p w14:paraId="52C69367">
      <w:pPr>
        <w:widowControl/>
        <w:shd w:val="clear" w:color="auto" w:fill="FFFFFF"/>
        <w:spacing w:before="156" w:line="480" w:lineRule="atLeast"/>
        <w:ind w:left="2159" w:firstLine="480"/>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二.竞争性谈判文件</w:t>
      </w:r>
    </w:p>
    <w:p w14:paraId="73A31B54">
      <w:pPr>
        <w:widowControl/>
        <w:shd w:val="clear" w:color="auto" w:fill="FFFFFF"/>
        <w:spacing w:before="156" w:line="480" w:lineRule="atLeast"/>
        <w:ind w:left="2159" w:firstLine="480"/>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三.</w:t>
      </w:r>
      <w:r>
        <w:rPr>
          <w:rFonts w:hint="eastAsia" w:ascii="宋体" w:hAnsi="宋体" w:cs="宋体"/>
          <w:color w:val="auto"/>
          <w:kern w:val="0"/>
          <w:sz w:val="28"/>
          <w:szCs w:val="28"/>
          <w:lang w:eastAsia="zh-CN"/>
        </w:rPr>
        <w:t>响应文件</w:t>
      </w:r>
      <w:r>
        <w:rPr>
          <w:rFonts w:hint="eastAsia" w:ascii="宋体" w:hAnsi="宋体" w:eastAsia="宋体" w:cs="宋体"/>
          <w:color w:val="auto"/>
          <w:kern w:val="0"/>
          <w:sz w:val="28"/>
          <w:szCs w:val="28"/>
        </w:rPr>
        <w:t>的编制</w:t>
      </w:r>
    </w:p>
    <w:p w14:paraId="04FE9800">
      <w:pPr>
        <w:widowControl/>
        <w:shd w:val="clear" w:color="auto" w:fill="FFFFFF"/>
        <w:spacing w:before="156" w:line="480" w:lineRule="atLeast"/>
        <w:ind w:left="2159" w:firstLine="480"/>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四.</w:t>
      </w:r>
      <w:r>
        <w:rPr>
          <w:rFonts w:hint="eastAsia" w:ascii="宋体" w:hAnsi="宋体" w:cs="宋体"/>
          <w:color w:val="auto"/>
          <w:kern w:val="0"/>
          <w:sz w:val="28"/>
          <w:szCs w:val="28"/>
          <w:lang w:eastAsia="zh-CN"/>
        </w:rPr>
        <w:t>响应文件</w:t>
      </w:r>
      <w:r>
        <w:rPr>
          <w:rFonts w:hint="eastAsia" w:ascii="宋体" w:hAnsi="宋体" w:eastAsia="宋体" w:cs="宋体"/>
          <w:color w:val="auto"/>
          <w:kern w:val="0"/>
          <w:sz w:val="28"/>
          <w:szCs w:val="28"/>
        </w:rPr>
        <w:t>的递交</w:t>
      </w:r>
    </w:p>
    <w:p w14:paraId="7FA5CF91">
      <w:pPr>
        <w:widowControl/>
        <w:shd w:val="clear" w:color="auto" w:fill="FFFFFF"/>
        <w:spacing w:before="156" w:line="480" w:lineRule="atLeast"/>
        <w:ind w:left="2159" w:firstLine="480"/>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五.谈判</w:t>
      </w:r>
    </w:p>
    <w:p w14:paraId="16E1A9A5">
      <w:pPr>
        <w:widowControl/>
        <w:shd w:val="clear" w:color="auto" w:fill="FFFFFF"/>
        <w:spacing w:before="156" w:line="480" w:lineRule="atLeast"/>
        <w:ind w:left="2159" w:firstLine="480"/>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六.确定成交供应商</w:t>
      </w:r>
    </w:p>
    <w:p w14:paraId="34431D34">
      <w:pPr>
        <w:widowControl/>
        <w:shd w:val="clear" w:color="auto" w:fill="FFFFFF"/>
        <w:spacing w:before="156" w:line="480" w:lineRule="atLeast"/>
        <w:ind w:firstLine="2640"/>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七.合同授予</w:t>
      </w:r>
    </w:p>
    <w:p w14:paraId="293F5288">
      <w:pPr>
        <w:widowControl/>
        <w:shd w:val="clear" w:color="auto" w:fill="FFFFFF"/>
        <w:spacing w:before="156" w:line="480" w:lineRule="atLeast"/>
        <w:ind w:left="1440"/>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第四章   政府采购合同主要条款</w:t>
      </w:r>
    </w:p>
    <w:p w14:paraId="32CF2401">
      <w:pPr>
        <w:widowControl/>
        <w:shd w:val="clear" w:color="auto" w:fill="FFFFFF"/>
        <w:spacing w:before="156" w:line="480" w:lineRule="atLeast"/>
        <w:ind w:left="1440"/>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第五章   </w:t>
      </w:r>
      <w:r>
        <w:rPr>
          <w:rFonts w:hint="eastAsia" w:ascii="宋体" w:hAnsi="宋体" w:cs="宋体"/>
          <w:color w:val="auto"/>
          <w:kern w:val="0"/>
          <w:sz w:val="28"/>
          <w:szCs w:val="28"/>
          <w:lang w:eastAsia="zh-CN"/>
        </w:rPr>
        <w:t>响应文件</w:t>
      </w:r>
      <w:r>
        <w:rPr>
          <w:rFonts w:hint="eastAsia" w:ascii="宋体" w:hAnsi="宋体" w:eastAsia="宋体" w:cs="宋体"/>
          <w:color w:val="auto"/>
          <w:kern w:val="0"/>
          <w:sz w:val="28"/>
          <w:szCs w:val="28"/>
        </w:rPr>
        <w:t>格式</w:t>
      </w:r>
    </w:p>
    <w:p w14:paraId="46D5E432">
      <w:pPr>
        <w:widowControl/>
        <w:shd w:val="clear" w:color="auto" w:fill="FFFFFF"/>
        <w:spacing w:before="156" w:line="480" w:lineRule="atLeast"/>
        <w:rPr>
          <w:rFonts w:hint="eastAsia" w:ascii="宋体" w:hAnsi="宋体" w:eastAsia="宋体" w:cs="宋体"/>
          <w:b/>
          <w:bCs/>
          <w:color w:val="auto"/>
          <w:kern w:val="0"/>
          <w:sz w:val="32"/>
          <w:szCs w:val="32"/>
        </w:rPr>
      </w:pPr>
    </w:p>
    <w:p w14:paraId="4015AE14">
      <w:pPr>
        <w:widowControl/>
        <w:shd w:val="clear" w:color="auto" w:fill="FFFFFF"/>
        <w:spacing w:before="156" w:line="480" w:lineRule="atLeast"/>
        <w:rPr>
          <w:rFonts w:hint="eastAsia" w:ascii="宋体" w:hAnsi="宋体" w:eastAsia="宋体" w:cs="宋体"/>
          <w:b/>
          <w:bCs/>
          <w:color w:val="auto"/>
          <w:kern w:val="0"/>
          <w:sz w:val="32"/>
          <w:szCs w:val="32"/>
        </w:rPr>
      </w:pPr>
    </w:p>
    <w:p w14:paraId="4F622145">
      <w:pPr>
        <w:rPr>
          <w:rFonts w:hint="eastAsia" w:ascii="宋体" w:hAnsi="宋体" w:eastAsia="宋体" w:cs="宋体"/>
          <w:b/>
          <w:bCs/>
          <w:color w:val="auto"/>
          <w:kern w:val="0"/>
          <w:sz w:val="32"/>
          <w:szCs w:val="32"/>
        </w:rPr>
      </w:pPr>
      <w:r>
        <w:rPr>
          <w:rFonts w:hint="eastAsia" w:ascii="宋体" w:hAnsi="宋体" w:eastAsia="宋体" w:cs="宋体"/>
          <w:b/>
          <w:bCs/>
          <w:color w:val="auto"/>
          <w:kern w:val="0"/>
          <w:sz w:val="32"/>
          <w:szCs w:val="32"/>
        </w:rPr>
        <w:br w:type="page"/>
      </w:r>
    </w:p>
    <w:p w14:paraId="4D51206E">
      <w:pPr>
        <w:widowControl/>
        <w:shd w:val="clear" w:color="auto" w:fill="FFFFFF"/>
        <w:spacing w:before="156" w:line="480" w:lineRule="atLeast"/>
        <w:jc w:val="center"/>
        <w:rPr>
          <w:rFonts w:hint="eastAsia" w:ascii="宋体" w:hAnsi="宋体" w:eastAsia="宋体" w:cs="宋体"/>
          <w:color w:val="auto"/>
          <w:kern w:val="0"/>
          <w:sz w:val="28"/>
          <w:szCs w:val="28"/>
        </w:rPr>
      </w:pPr>
      <w:r>
        <w:rPr>
          <w:rFonts w:hint="eastAsia" w:ascii="宋体" w:hAnsi="宋体" w:eastAsia="宋体" w:cs="宋体"/>
          <w:b/>
          <w:bCs/>
          <w:color w:val="auto"/>
          <w:kern w:val="0"/>
          <w:sz w:val="32"/>
          <w:szCs w:val="32"/>
        </w:rPr>
        <w:t>第一章   </w:t>
      </w:r>
      <w:r>
        <w:rPr>
          <w:rFonts w:hint="eastAsia" w:ascii="宋体" w:hAnsi="宋体" w:eastAsia="宋体" w:cs="宋体"/>
          <w:b/>
          <w:bCs/>
          <w:color w:val="auto"/>
          <w:kern w:val="0"/>
          <w:sz w:val="32"/>
        </w:rPr>
        <w:t> </w:t>
      </w:r>
      <w:r>
        <w:rPr>
          <w:rFonts w:hint="eastAsia" w:ascii="宋体" w:hAnsi="宋体" w:eastAsia="宋体" w:cs="宋体"/>
          <w:b/>
          <w:bCs/>
          <w:color w:val="auto"/>
          <w:kern w:val="0"/>
          <w:sz w:val="32"/>
          <w:szCs w:val="32"/>
        </w:rPr>
        <w:t>竞争性谈判公告</w:t>
      </w:r>
    </w:p>
    <w:p w14:paraId="4E4409D2">
      <w:pPr>
        <w:widowControl/>
        <w:shd w:val="clear" w:color="auto" w:fill="FFFFFF"/>
        <w:jc w:val="center"/>
        <w:rPr>
          <w:rFonts w:hint="eastAsia" w:ascii="宋体" w:hAnsi="宋体" w:eastAsia="宋体" w:cs="宋体"/>
          <w:color w:val="auto"/>
          <w:sz w:val="20"/>
          <w:szCs w:val="22"/>
        </w:rPr>
      </w:pPr>
      <w:r>
        <w:rPr>
          <w:rFonts w:hint="eastAsia" w:ascii="宋体" w:hAnsi="宋体" w:cs="宋体"/>
          <w:b/>
          <w:bCs/>
          <w:color w:val="auto"/>
          <w:kern w:val="0"/>
          <w:sz w:val="28"/>
          <w:szCs w:val="28"/>
          <w:lang w:eastAsia="zh-CN"/>
        </w:rPr>
        <w:t>汝南县市场监督管理局2026年度食品监督抽检第三方服务单位政府采购项目</w:t>
      </w:r>
      <w:r>
        <w:rPr>
          <w:rFonts w:hint="eastAsia" w:ascii="宋体" w:hAnsi="宋体" w:eastAsia="宋体" w:cs="宋体"/>
          <w:b/>
          <w:bCs/>
          <w:color w:val="auto"/>
          <w:kern w:val="0"/>
          <w:sz w:val="28"/>
          <w:szCs w:val="28"/>
        </w:rPr>
        <w:t>竞争性谈判公告</w:t>
      </w:r>
    </w:p>
    <w:p w14:paraId="6AA76AD1">
      <w:pPr>
        <w:keepNext w:val="0"/>
        <w:keepLines w:val="0"/>
        <w:pageBreakBefore w:val="0"/>
        <w:pBdr>
          <w:top w:val="single" w:color="auto" w:sz="4" w:space="1"/>
          <w:left w:val="single" w:color="auto" w:sz="4" w:space="4"/>
          <w:bottom w:val="single" w:color="auto" w:sz="4" w:space="1"/>
          <w:right w:val="single" w:color="auto" w:sz="4" w:space="18"/>
        </w:pBdr>
        <w:kinsoku/>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rPr>
      </w:pPr>
      <w:bookmarkStart w:id="0" w:name="_Toc35393621"/>
      <w:bookmarkStart w:id="1" w:name="_Toc28359079"/>
      <w:bookmarkStart w:id="2" w:name="_Toc28359002"/>
      <w:bookmarkStart w:id="3" w:name="_Toc35393790"/>
      <w:bookmarkStart w:id="4" w:name="_Hlk24379207"/>
      <w:r>
        <w:rPr>
          <w:rFonts w:hint="eastAsia" w:ascii="宋体" w:hAnsi="宋体" w:eastAsia="宋体" w:cs="宋体"/>
          <w:color w:val="auto"/>
          <w:sz w:val="24"/>
        </w:rPr>
        <w:t>项目概况</w:t>
      </w:r>
    </w:p>
    <w:p w14:paraId="1F787580">
      <w:pPr>
        <w:keepNext w:val="0"/>
        <w:keepLines w:val="0"/>
        <w:pageBreakBefore w:val="0"/>
        <w:pBdr>
          <w:top w:val="single" w:color="auto" w:sz="4" w:space="1"/>
          <w:left w:val="single" w:color="auto" w:sz="4" w:space="4"/>
          <w:bottom w:val="single" w:color="auto" w:sz="4" w:space="1"/>
          <w:right w:val="single" w:color="auto" w:sz="4" w:space="18"/>
        </w:pBdr>
        <w:kinsoku/>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rPr>
      </w:pPr>
      <w:r>
        <w:rPr>
          <w:rFonts w:hint="eastAsia" w:ascii="宋体" w:hAnsi="宋体" w:cs="宋体"/>
          <w:color w:val="auto"/>
          <w:sz w:val="24"/>
          <w:u w:val="single"/>
          <w:lang w:eastAsia="zh-CN"/>
        </w:rPr>
        <w:t>汝南县市场监督管理局2026年度食品监督抽检第三方服务单位政府采购项目</w:t>
      </w:r>
      <w:r>
        <w:rPr>
          <w:rFonts w:hint="eastAsia" w:ascii="宋体" w:hAnsi="宋体" w:eastAsia="宋体" w:cs="宋体"/>
          <w:color w:val="auto"/>
          <w:sz w:val="24"/>
        </w:rPr>
        <w:t>的潜在供应商应在驻马店市公共资源交易中心电子交易平台（</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"http://www.zmdggzy.gov.cn）获取采购文件，并于" </w:instrText>
      </w:r>
      <w:r>
        <w:rPr>
          <w:rFonts w:hint="eastAsia" w:ascii="宋体" w:hAnsi="宋体" w:eastAsia="宋体" w:cs="宋体"/>
          <w:color w:val="auto"/>
        </w:rPr>
        <w:fldChar w:fldCharType="separate"/>
      </w:r>
      <w:r>
        <w:rPr>
          <w:rStyle w:val="35"/>
          <w:rFonts w:hint="eastAsia" w:ascii="宋体" w:hAnsi="宋体" w:eastAsia="宋体" w:cs="宋体"/>
          <w:color w:val="auto"/>
          <w:sz w:val="24"/>
        </w:rPr>
        <w:t>http://ggzy.zhumadian.gov.cn）获取采购文件，并于</w:t>
      </w:r>
      <w:r>
        <w:rPr>
          <w:rStyle w:val="35"/>
          <w:rFonts w:hint="eastAsia" w:ascii="宋体" w:hAnsi="宋体" w:eastAsia="宋体" w:cs="宋体"/>
          <w:color w:val="auto"/>
          <w:sz w:val="24"/>
        </w:rPr>
        <w:fldChar w:fldCharType="end"/>
      </w:r>
      <w:r>
        <w:rPr>
          <w:rFonts w:hint="eastAsia" w:ascii="宋体" w:hAnsi="宋体" w:eastAsia="宋体" w:cs="宋体"/>
          <w:color w:val="auto"/>
          <w:sz w:val="24"/>
          <w:u w:val="single"/>
        </w:rPr>
        <w:t xml:space="preserve"> </w:t>
      </w:r>
      <w:r>
        <w:rPr>
          <w:rFonts w:hint="eastAsia" w:ascii="宋体" w:hAnsi="宋体" w:cs="宋体"/>
          <w:color w:val="auto"/>
          <w:sz w:val="24"/>
          <w:u w:val="single"/>
          <w:lang w:eastAsia="zh-CN"/>
        </w:rPr>
        <w:t>2026</w:t>
      </w:r>
      <w:r>
        <w:rPr>
          <w:rFonts w:hint="eastAsia" w:ascii="宋体" w:hAnsi="宋体" w:eastAsia="宋体" w:cs="宋体"/>
          <w:color w:val="auto"/>
          <w:sz w:val="24"/>
          <w:u w:val="single"/>
        </w:rPr>
        <w:t xml:space="preserve"> </w:t>
      </w:r>
      <w:r>
        <w:rPr>
          <w:rFonts w:hint="eastAsia" w:ascii="宋体" w:hAnsi="宋体" w:eastAsia="宋体" w:cs="宋体"/>
          <w:bCs/>
          <w:color w:val="auto"/>
          <w:sz w:val="24"/>
        </w:rPr>
        <w:t>年</w:t>
      </w:r>
      <w:r>
        <w:rPr>
          <w:rFonts w:hint="eastAsia" w:ascii="宋体" w:hAnsi="宋体" w:cs="宋体"/>
          <w:bCs/>
          <w:color w:val="auto"/>
          <w:sz w:val="24"/>
          <w:u w:val="single"/>
          <w:lang w:val="en-US" w:eastAsia="zh-CN"/>
        </w:rPr>
        <w:t>06</w:t>
      </w:r>
      <w:r>
        <w:rPr>
          <w:rFonts w:hint="eastAsia" w:ascii="宋体" w:hAnsi="宋体" w:eastAsia="宋体" w:cs="宋体"/>
          <w:bCs/>
          <w:color w:val="auto"/>
          <w:sz w:val="24"/>
        </w:rPr>
        <w:t>月</w:t>
      </w:r>
      <w:r>
        <w:rPr>
          <w:rFonts w:hint="eastAsia" w:ascii="宋体" w:hAnsi="宋体" w:cs="宋体"/>
          <w:bCs/>
          <w:color w:val="auto"/>
          <w:sz w:val="24"/>
          <w:u w:val="single"/>
          <w:lang w:val="en-US" w:eastAsia="zh-CN"/>
        </w:rPr>
        <w:t>18</w:t>
      </w:r>
      <w:r>
        <w:rPr>
          <w:rFonts w:hint="eastAsia" w:ascii="宋体" w:hAnsi="宋体" w:eastAsia="宋体" w:cs="宋体"/>
          <w:bCs/>
          <w:color w:val="auto"/>
          <w:sz w:val="24"/>
        </w:rPr>
        <w:t>日</w:t>
      </w:r>
      <w:r>
        <w:rPr>
          <w:rFonts w:hint="eastAsia" w:ascii="宋体" w:hAnsi="宋体" w:cs="宋体"/>
          <w:color w:val="auto"/>
          <w:sz w:val="24"/>
          <w:lang w:val="en-US" w:eastAsia="zh-CN"/>
        </w:rPr>
        <w:t>09时00分</w:t>
      </w:r>
      <w:r>
        <w:rPr>
          <w:rFonts w:hint="eastAsia" w:ascii="宋体" w:hAnsi="宋体" w:eastAsia="宋体" w:cs="宋体"/>
          <w:bCs/>
          <w:color w:val="auto"/>
          <w:sz w:val="24"/>
        </w:rPr>
        <w:t>（北京时间）前提交响应文件</w:t>
      </w:r>
      <w:r>
        <w:rPr>
          <w:rFonts w:hint="eastAsia" w:ascii="宋体" w:hAnsi="宋体" w:eastAsia="宋体" w:cs="宋体"/>
          <w:color w:val="auto"/>
          <w:sz w:val="24"/>
        </w:rPr>
        <w:t>。</w:t>
      </w:r>
    </w:p>
    <w:p w14:paraId="7A85CAD6">
      <w:pPr>
        <w:keepNext w:val="0"/>
        <w:keepLines w:val="0"/>
        <w:pageBreakBefore w:val="0"/>
        <w:kinsoku/>
        <w:overflowPunct/>
        <w:topLinePunct w:val="0"/>
        <w:autoSpaceDE/>
        <w:autoSpaceDN/>
        <w:bidi w:val="0"/>
        <w:adjustRightInd/>
        <w:spacing w:line="360" w:lineRule="auto"/>
        <w:textAlignment w:val="auto"/>
        <w:rPr>
          <w:rFonts w:hint="eastAsia" w:ascii="宋体" w:hAnsi="宋体" w:eastAsia="宋体" w:cs="宋体"/>
          <w:b/>
          <w:color w:val="auto"/>
          <w:sz w:val="24"/>
        </w:rPr>
      </w:pPr>
      <w:r>
        <w:rPr>
          <w:rFonts w:hint="eastAsia" w:ascii="宋体" w:hAnsi="宋体" w:eastAsia="宋体" w:cs="宋体"/>
          <w:b/>
          <w:color w:val="auto"/>
          <w:sz w:val="24"/>
        </w:rPr>
        <w:t>一、项目基本情况</w:t>
      </w:r>
      <w:bookmarkEnd w:id="0"/>
      <w:bookmarkEnd w:id="1"/>
      <w:bookmarkEnd w:id="2"/>
      <w:bookmarkEnd w:id="3"/>
    </w:p>
    <w:p w14:paraId="36A5F7D9">
      <w:pPr>
        <w:keepNext w:val="0"/>
        <w:keepLines w:val="0"/>
        <w:pageBreakBefore w:val="0"/>
        <w:kinsoku/>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rPr>
      </w:pPr>
      <w:r>
        <w:rPr>
          <w:rFonts w:hint="eastAsia" w:ascii="宋体" w:hAnsi="宋体" w:eastAsia="宋体" w:cs="宋体"/>
          <w:color w:val="auto"/>
          <w:sz w:val="24"/>
        </w:rPr>
        <w:t>1.项目编号：</w:t>
      </w:r>
      <w:r>
        <w:rPr>
          <w:rFonts w:hint="eastAsia" w:ascii="宋体" w:hAnsi="宋体" w:cs="宋体"/>
          <w:color w:val="auto"/>
          <w:sz w:val="24"/>
          <w:lang w:eastAsia="zh-CN"/>
        </w:rPr>
        <w:t xml:space="preserve">汝竞谈[2026]49号 </w:t>
      </w:r>
      <w:r>
        <w:rPr>
          <w:rFonts w:hint="eastAsia" w:ascii="宋体" w:hAnsi="宋体" w:eastAsia="宋体" w:cs="宋体"/>
          <w:color w:val="auto"/>
          <w:sz w:val="24"/>
        </w:rPr>
        <w:t xml:space="preserve">   </w:t>
      </w:r>
      <w:r>
        <w:rPr>
          <w:rFonts w:hint="eastAsia" w:ascii="宋体" w:hAnsi="宋体" w:eastAsia="宋体" w:cs="宋体"/>
          <w:color w:val="auto"/>
          <w:kern w:val="0"/>
          <w:sz w:val="24"/>
        </w:rPr>
        <w:t xml:space="preserve">            </w:t>
      </w:r>
    </w:p>
    <w:p w14:paraId="6575960B">
      <w:pPr>
        <w:keepNext w:val="0"/>
        <w:keepLines w:val="0"/>
        <w:pageBreakBefore w:val="0"/>
        <w:kinsoku/>
        <w:overflowPunct/>
        <w:topLinePunct w:val="0"/>
        <w:autoSpaceDE/>
        <w:autoSpaceDN/>
        <w:bidi w:val="0"/>
        <w:adjustRightInd/>
        <w:spacing w:line="360" w:lineRule="auto"/>
        <w:ind w:left="1919" w:leftChars="228" w:hanging="1440" w:hangingChars="600"/>
        <w:textAlignment w:val="auto"/>
        <w:rPr>
          <w:rFonts w:hint="eastAsia" w:ascii="宋体" w:hAnsi="宋体" w:eastAsia="宋体" w:cs="宋体"/>
          <w:bCs/>
          <w:color w:val="auto"/>
          <w:sz w:val="24"/>
          <w:lang w:eastAsia="zh-CN"/>
        </w:rPr>
      </w:pPr>
      <w:r>
        <w:rPr>
          <w:rFonts w:hint="eastAsia" w:ascii="宋体" w:hAnsi="宋体" w:eastAsia="宋体" w:cs="宋体"/>
          <w:color w:val="auto"/>
          <w:sz w:val="24"/>
        </w:rPr>
        <w:t>2.项目名称：</w:t>
      </w:r>
      <w:r>
        <w:rPr>
          <w:rFonts w:hint="eastAsia" w:ascii="宋体" w:hAnsi="宋体" w:cs="宋体"/>
          <w:color w:val="auto"/>
          <w:sz w:val="24"/>
          <w:lang w:eastAsia="zh-CN"/>
        </w:rPr>
        <w:t>汝南县市场监督管理局2026年度食品监督抽检第三方服务单位政府采购项目</w:t>
      </w:r>
    </w:p>
    <w:p w14:paraId="1E2210D9">
      <w:pPr>
        <w:keepNext w:val="0"/>
        <w:keepLines w:val="0"/>
        <w:pageBreakBefore w:val="0"/>
        <w:kinsoku/>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3.采购方式：</w:t>
      </w:r>
      <w:bookmarkEnd w:id="4"/>
      <w:r>
        <w:rPr>
          <w:rFonts w:hint="eastAsia" w:ascii="宋体" w:hAnsi="宋体" w:eastAsia="宋体" w:cs="宋体"/>
          <w:color w:val="auto"/>
          <w:sz w:val="24"/>
        </w:rPr>
        <w:t>竞争性谈判</w:t>
      </w:r>
    </w:p>
    <w:p w14:paraId="653DB49A">
      <w:pPr>
        <w:keepNext w:val="0"/>
        <w:keepLines w:val="0"/>
        <w:pageBreakBefore w:val="0"/>
        <w:kinsoku/>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4.预算金额：</w:t>
      </w:r>
      <w:r>
        <w:rPr>
          <w:rFonts w:hint="eastAsia" w:ascii="宋体" w:hAnsi="宋体" w:cs="宋体"/>
          <w:color w:val="auto"/>
          <w:sz w:val="24"/>
          <w:lang w:val="en-US" w:eastAsia="zh-CN"/>
        </w:rPr>
        <w:t>1995000.00元</w:t>
      </w:r>
      <w:r>
        <w:rPr>
          <w:rFonts w:hint="eastAsia" w:ascii="宋体" w:hAnsi="宋体" w:eastAsia="宋体" w:cs="宋体"/>
          <w:color w:val="auto"/>
          <w:sz w:val="24"/>
        </w:rPr>
        <w:t xml:space="preserve">  </w:t>
      </w:r>
    </w:p>
    <w:p w14:paraId="1F32A7D9">
      <w:pPr>
        <w:keepNext w:val="0"/>
        <w:keepLines w:val="0"/>
        <w:pageBreakBefore w:val="0"/>
        <w:kinsoku/>
        <w:overflowPunct/>
        <w:topLinePunct w:val="0"/>
        <w:autoSpaceDE/>
        <w:autoSpaceDN/>
        <w:bidi w:val="0"/>
        <w:adjustRightInd/>
        <w:spacing w:line="360" w:lineRule="auto"/>
        <w:ind w:firstLine="720" w:firstLineChars="300"/>
        <w:textAlignment w:val="auto"/>
        <w:rPr>
          <w:rFonts w:hint="eastAsia" w:ascii="宋体" w:hAnsi="宋体" w:eastAsia="宋体" w:cs="宋体"/>
          <w:color w:val="auto"/>
          <w:sz w:val="24"/>
          <w:u w:val="single"/>
        </w:rPr>
      </w:pPr>
      <w:r>
        <w:rPr>
          <w:rFonts w:hint="eastAsia" w:ascii="宋体" w:hAnsi="宋体" w:eastAsia="宋体" w:cs="宋体"/>
          <w:color w:val="auto"/>
          <w:sz w:val="24"/>
        </w:rPr>
        <w:t>最高限价：</w:t>
      </w:r>
      <w:r>
        <w:rPr>
          <w:rFonts w:hint="eastAsia" w:ascii="宋体" w:hAnsi="宋体" w:cs="宋体"/>
          <w:color w:val="auto"/>
          <w:kern w:val="0"/>
          <w:sz w:val="24"/>
          <w:lang w:val="en-US" w:eastAsia="zh-CN"/>
        </w:rPr>
        <w:t>1995000.00元</w:t>
      </w:r>
      <w:r>
        <w:rPr>
          <w:rFonts w:hint="eastAsia" w:ascii="宋体" w:hAnsi="宋体" w:eastAsia="宋体" w:cs="宋体"/>
          <w:color w:val="auto"/>
          <w:sz w:val="24"/>
        </w:rPr>
        <w:t xml:space="preserve"> </w:t>
      </w:r>
    </w:p>
    <w:tbl>
      <w:tblPr>
        <w:tblStyle w:val="24"/>
        <w:tblW w:w="8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7"/>
        <w:gridCol w:w="1649"/>
        <w:gridCol w:w="3420"/>
        <w:gridCol w:w="1437"/>
        <w:gridCol w:w="1860"/>
      </w:tblGrid>
      <w:tr w14:paraId="2FDD4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517" w:type="dxa"/>
            <w:noWrap w:val="0"/>
            <w:vAlign w:val="center"/>
          </w:tcPr>
          <w:p w14:paraId="4CD47063">
            <w:pPr>
              <w:keepNext w:val="0"/>
              <w:keepLines w:val="0"/>
              <w:pageBreakBefore w:val="0"/>
              <w:suppressLineNumbers w:val="0"/>
              <w:kinsoku/>
              <w:overflowPunct/>
              <w:topLinePunct w:val="0"/>
              <w:autoSpaceDE/>
              <w:autoSpaceDN/>
              <w:bidi w:val="0"/>
              <w:adjustRightInd/>
              <w:spacing w:before="0" w:beforeAutospacing="0" w:after="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1649" w:type="dxa"/>
            <w:noWrap w:val="0"/>
            <w:vAlign w:val="center"/>
          </w:tcPr>
          <w:p w14:paraId="46D7E637">
            <w:pPr>
              <w:keepNext w:val="0"/>
              <w:keepLines w:val="0"/>
              <w:pageBreakBefore w:val="0"/>
              <w:suppressLineNumbers w:val="0"/>
              <w:kinsoku/>
              <w:overflowPunct/>
              <w:topLinePunct w:val="0"/>
              <w:autoSpaceDE/>
              <w:autoSpaceDN/>
              <w:bidi w:val="0"/>
              <w:adjustRightInd/>
              <w:spacing w:before="0" w:beforeAutospacing="0" w:after="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包号</w:t>
            </w:r>
          </w:p>
        </w:tc>
        <w:tc>
          <w:tcPr>
            <w:tcW w:w="3420" w:type="dxa"/>
            <w:noWrap w:val="0"/>
            <w:vAlign w:val="center"/>
          </w:tcPr>
          <w:p w14:paraId="37E387B9">
            <w:pPr>
              <w:keepNext w:val="0"/>
              <w:keepLines w:val="0"/>
              <w:pageBreakBefore w:val="0"/>
              <w:suppressLineNumbers w:val="0"/>
              <w:kinsoku/>
              <w:overflowPunct/>
              <w:topLinePunct w:val="0"/>
              <w:autoSpaceDE/>
              <w:autoSpaceDN/>
              <w:bidi w:val="0"/>
              <w:adjustRightInd/>
              <w:spacing w:before="0" w:beforeAutospacing="0" w:after="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包名称</w:t>
            </w:r>
          </w:p>
        </w:tc>
        <w:tc>
          <w:tcPr>
            <w:tcW w:w="1437" w:type="dxa"/>
            <w:noWrap w:val="0"/>
            <w:vAlign w:val="center"/>
          </w:tcPr>
          <w:p w14:paraId="247C63C4">
            <w:pPr>
              <w:keepNext w:val="0"/>
              <w:keepLines w:val="0"/>
              <w:pageBreakBefore w:val="0"/>
              <w:suppressLineNumbers w:val="0"/>
              <w:kinsoku/>
              <w:overflowPunct/>
              <w:topLinePunct w:val="0"/>
              <w:autoSpaceDE/>
              <w:autoSpaceDN/>
              <w:bidi w:val="0"/>
              <w:adjustRightInd/>
              <w:spacing w:before="0" w:beforeAutospacing="0" w:after="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包预算（</w:t>
            </w:r>
            <w:r>
              <w:rPr>
                <w:rFonts w:hint="eastAsia" w:ascii="宋体" w:hAnsi="宋体" w:cs="宋体"/>
                <w:color w:val="auto"/>
                <w:sz w:val="24"/>
                <w:lang w:eastAsia="zh-CN"/>
              </w:rPr>
              <w:t>元</w:t>
            </w:r>
            <w:r>
              <w:rPr>
                <w:rFonts w:hint="eastAsia" w:ascii="宋体" w:hAnsi="宋体" w:eastAsia="宋体" w:cs="宋体"/>
                <w:color w:val="auto"/>
                <w:sz w:val="24"/>
                <w:szCs w:val="24"/>
              </w:rPr>
              <w:t>）</w:t>
            </w:r>
          </w:p>
        </w:tc>
        <w:tc>
          <w:tcPr>
            <w:tcW w:w="1860" w:type="dxa"/>
            <w:noWrap w:val="0"/>
            <w:vAlign w:val="center"/>
          </w:tcPr>
          <w:p w14:paraId="5B356864">
            <w:pPr>
              <w:keepNext w:val="0"/>
              <w:keepLines w:val="0"/>
              <w:pageBreakBefore w:val="0"/>
              <w:suppressLineNumbers w:val="0"/>
              <w:kinsoku/>
              <w:overflowPunct/>
              <w:topLinePunct w:val="0"/>
              <w:autoSpaceDE/>
              <w:autoSpaceDN/>
              <w:bidi w:val="0"/>
              <w:adjustRightInd/>
              <w:spacing w:before="0" w:beforeAutospacing="0" w:after="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包最高限价（</w:t>
            </w:r>
            <w:r>
              <w:rPr>
                <w:rFonts w:hint="eastAsia" w:ascii="宋体" w:hAnsi="宋体" w:cs="宋体"/>
                <w:color w:val="auto"/>
                <w:sz w:val="24"/>
                <w:lang w:eastAsia="zh-CN"/>
              </w:rPr>
              <w:t>元</w:t>
            </w:r>
            <w:r>
              <w:rPr>
                <w:rFonts w:hint="eastAsia" w:ascii="宋体" w:hAnsi="宋体" w:eastAsia="宋体" w:cs="宋体"/>
                <w:color w:val="auto"/>
                <w:sz w:val="24"/>
                <w:szCs w:val="24"/>
              </w:rPr>
              <w:t>）</w:t>
            </w:r>
          </w:p>
        </w:tc>
      </w:tr>
      <w:tr w14:paraId="4A05A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517" w:type="dxa"/>
            <w:noWrap w:val="0"/>
            <w:vAlign w:val="center"/>
          </w:tcPr>
          <w:p w14:paraId="76435D79">
            <w:pPr>
              <w:keepNext w:val="0"/>
              <w:keepLines w:val="0"/>
              <w:pageBreakBefore w:val="0"/>
              <w:suppressLineNumbers w:val="0"/>
              <w:kinsoku/>
              <w:overflowPunct/>
              <w:topLinePunct w:val="0"/>
              <w:autoSpaceDE/>
              <w:autoSpaceDN/>
              <w:bidi w:val="0"/>
              <w:adjustRightInd/>
              <w:spacing w:before="0" w:beforeAutospacing="0" w:after="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649" w:type="dxa"/>
            <w:noWrap w:val="0"/>
            <w:vAlign w:val="center"/>
          </w:tcPr>
          <w:p w14:paraId="60DB7A92">
            <w:pPr>
              <w:keepNext w:val="0"/>
              <w:keepLines w:val="0"/>
              <w:pageBreakBefore w:val="0"/>
              <w:suppressLineNumbers w:val="0"/>
              <w:kinsoku/>
              <w:overflowPunct/>
              <w:topLinePunct w:val="0"/>
              <w:autoSpaceDE/>
              <w:autoSpaceDN/>
              <w:bidi w:val="0"/>
              <w:adjustRightInd/>
              <w:spacing w:before="0" w:beforeAutospacing="0" w:after="0" w:afterAutospacing="0" w:line="360" w:lineRule="auto"/>
              <w:ind w:left="0" w:right="0"/>
              <w:textAlignment w:val="auto"/>
              <w:rPr>
                <w:rFonts w:hint="eastAsia" w:ascii="宋体" w:hAnsi="宋体" w:eastAsia="宋体" w:cs="宋体"/>
                <w:color w:val="auto"/>
                <w:sz w:val="24"/>
                <w:szCs w:val="24"/>
              </w:rPr>
            </w:pPr>
            <w:r>
              <w:rPr>
                <w:rFonts w:hint="eastAsia" w:ascii="宋体" w:hAnsi="宋体" w:cs="宋体"/>
                <w:color w:val="auto"/>
                <w:sz w:val="24"/>
                <w:szCs w:val="24"/>
                <w:lang w:eastAsia="zh-CN"/>
              </w:rPr>
              <w:t>汝竞谈[2026]49号</w:t>
            </w:r>
            <w:r>
              <w:rPr>
                <w:rFonts w:hint="eastAsia" w:ascii="宋体" w:hAnsi="宋体" w:eastAsia="宋体" w:cs="宋体"/>
                <w:color w:val="auto"/>
                <w:sz w:val="24"/>
                <w:szCs w:val="24"/>
              </w:rPr>
              <w:t>A</w:t>
            </w:r>
          </w:p>
        </w:tc>
        <w:tc>
          <w:tcPr>
            <w:tcW w:w="3420" w:type="dxa"/>
            <w:noWrap w:val="0"/>
            <w:vAlign w:val="center"/>
          </w:tcPr>
          <w:p w14:paraId="6A236643">
            <w:pPr>
              <w:keepNext w:val="0"/>
              <w:keepLines w:val="0"/>
              <w:pageBreakBefore w:val="0"/>
              <w:suppressLineNumbers w:val="0"/>
              <w:kinsoku/>
              <w:overflowPunct/>
              <w:topLinePunct w:val="0"/>
              <w:autoSpaceDE/>
              <w:autoSpaceDN/>
              <w:bidi w:val="0"/>
              <w:adjustRightInd/>
              <w:spacing w:before="0" w:beforeAutospacing="0" w:after="0" w:afterAutospacing="0" w:line="360" w:lineRule="auto"/>
              <w:ind w:left="0" w:right="0"/>
              <w:textAlignment w:val="auto"/>
              <w:rPr>
                <w:rFonts w:hint="eastAsia" w:ascii="宋体" w:hAnsi="宋体" w:eastAsia="宋体" w:cs="宋体"/>
                <w:bCs/>
                <w:color w:val="auto"/>
                <w:sz w:val="24"/>
                <w:szCs w:val="24"/>
              </w:rPr>
            </w:pPr>
            <w:r>
              <w:rPr>
                <w:rFonts w:hint="eastAsia" w:ascii="宋体" w:hAnsi="宋体" w:cs="宋体"/>
                <w:color w:val="auto"/>
                <w:sz w:val="24"/>
                <w:lang w:eastAsia="zh-CN"/>
              </w:rPr>
              <w:t>汝南县市场监督管理局2026年度食品监督抽检第三方服务单位政府采购项目</w:t>
            </w:r>
            <w:r>
              <w:rPr>
                <w:rFonts w:hint="eastAsia" w:ascii="宋体" w:hAnsi="宋体" w:eastAsia="宋体" w:cs="宋体"/>
                <w:color w:val="auto"/>
                <w:sz w:val="24"/>
              </w:rPr>
              <w:t>A包</w:t>
            </w:r>
          </w:p>
        </w:tc>
        <w:tc>
          <w:tcPr>
            <w:tcW w:w="1437" w:type="dxa"/>
            <w:noWrap w:val="0"/>
            <w:vAlign w:val="center"/>
          </w:tcPr>
          <w:p w14:paraId="5F82C08E">
            <w:pPr>
              <w:keepNext w:val="0"/>
              <w:keepLines w:val="0"/>
              <w:pageBreakBefore w:val="0"/>
              <w:suppressLineNumbers w:val="0"/>
              <w:kinsoku/>
              <w:overflowPunct/>
              <w:topLinePunct w:val="0"/>
              <w:autoSpaceDE/>
              <w:autoSpaceDN/>
              <w:bidi w:val="0"/>
              <w:adjustRightInd/>
              <w:spacing w:before="0" w:beforeAutospacing="0" w:after="0" w:afterAutospacing="0" w:line="360" w:lineRule="auto"/>
              <w:ind w:left="0" w:leftChars="0" w:right="0" w:rightChars="0"/>
              <w:jc w:val="center"/>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399</w:t>
            </w:r>
            <w:r>
              <w:rPr>
                <w:rFonts w:hint="eastAsia" w:ascii="宋体" w:hAnsi="宋体" w:cs="宋体"/>
                <w:color w:val="auto"/>
                <w:sz w:val="24"/>
                <w:szCs w:val="24"/>
                <w:lang w:val="en-US" w:eastAsia="zh-CN"/>
              </w:rPr>
              <w:t>000.00</w:t>
            </w:r>
          </w:p>
        </w:tc>
        <w:tc>
          <w:tcPr>
            <w:tcW w:w="1860" w:type="dxa"/>
            <w:noWrap w:val="0"/>
            <w:vAlign w:val="center"/>
          </w:tcPr>
          <w:p w14:paraId="471FCE74">
            <w:pPr>
              <w:keepNext w:val="0"/>
              <w:keepLines w:val="0"/>
              <w:pageBreakBefore w:val="0"/>
              <w:suppressLineNumbers w:val="0"/>
              <w:kinsoku/>
              <w:overflowPunct/>
              <w:topLinePunct w:val="0"/>
              <w:autoSpaceDE/>
              <w:autoSpaceDN/>
              <w:bidi w:val="0"/>
              <w:adjustRightInd/>
              <w:spacing w:before="0" w:beforeAutospacing="0" w:after="0" w:afterAutospacing="0" w:line="360" w:lineRule="auto"/>
              <w:ind w:left="0" w:leftChars="0" w:right="0" w:rightChars="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399</w:t>
            </w:r>
            <w:r>
              <w:rPr>
                <w:rFonts w:hint="eastAsia" w:ascii="宋体" w:hAnsi="宋体" w:cs="宋体"/>
                <w:color w:val="auto"/>
                <w:sz w:val="24"/>
                <w:szCs w:val="24"/>
                <w:lang w:val="en-US" w:eastAsia="zh-CN"/>
              </w:rPr>
              <w:t>000.00</w:t>
            </w:r>
          </w:p>
        </w:tc>
      </w:tr>
      <w:tr w14:paraId="611CE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517" w:type="dxa"/>
            <w:noWrap w:val="0"/>
            <w:vAlign w:val="center"/>
          </w:tcPr>
          <w:p w14:paraId="532927DE">
            <w:pPr>
              <w:keepNext w:val="0"/>
              <w:keepLines w:val="0"/>
              <w:pageBreakBefore w:val="0"/>
              <w:suppressLineNumbers w:val="0"/>
              <w:kinsoku/>
              <w:overflowPunct/>
              <w:topLinePunct w:val="0"/>
              <w:autoSpaceDE/>
              <w:autoSpaceDN/>
              <w:bidi w:val="0"/>
              <w:adjustRightInd/>
              <w:spacing w:before="0" w:beforeAutospacing="0" w:after="0" w:afterAutospacing="0" w:line="360" w:lineRule="auto"/>
              <w:ind w:left="0" w:right="0"/>
              <w:jc w:val="center"/>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2</w:t>
            </w:r>
          </w:p>
        </w:tc>
        <w:tc>
          <w:tcPr>
            <w:tcW w:w="1649" w:type="dxa"/>
            <w:noWrap w:val="0"/>
            <w:vAlign w:val="center"/>
          </w:tcPr>
          <w:p w14:paraId="268F63D7">
            <w:pPr>
              <w:keepNext w:val="0"/>
              <w:keepLines w:val="0"/>
              <w:pageBreakBefore w:val="0"/>
              <w:suppressLineNumbers w:val="0"/>
              <w:kinsoku/>
              <w:overflowPunct/>
              <w:topLinePunct w:val="0"/>
              <w:autoSpaceDE/>
              <w:autoSpaceDN/>
              <w:bidi w:val="0"/>
              <w:adjustRightInd/>
              <w:spacing w:before="0" w:beforeAutospacing="0" w:after="0" w:afterAutospacing="0" w:line="360" w:lineRule="auto"/>
              <w:ind w:left="0" w:leftChars="0" w:right="0" w:rightChars="0"/>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汝竞谈[2026]49号</w:t>
            </w:r>
            <w:r>
              <w:rPr>
                <w:rFonts w:hint="eastAsia" w:ascii="宋体" w:hAnsi="宋体" w:cs="宋体"/>
                <w:color w:val="auto"/>
                <w:sz w:val="24"/>
                <w:szCs w:val="24"/>
                <w:lang w:val="en-US" w:eastAsia="zh-CN"/>
              </w:rPr>
              <w:t>B</w:t>
            </w:r>
          </w:p>
        </w:tc>
        <w:tc>
          <w:tcPr>
            <w:tcW w:w="3420" w:type="dxa"/>
            <w:noWrap w:val="0"/>
            <w:vAlign w:val="center"/>
          </w:tcPr>
          <w:p w14:paraId="7FD13DD6">
            <w:pPr>
              <w:keepNext w:val="0"/>
              <w:keepLines w:val="0"/>
              <w:pageBreakBefore w:val="0"/>
              <w:suppressLineNumbers w:val="0"/>
              <w:kinsoku/>
              <w:overflowPunct/>
              <w:topLinePunct w:val="0"/>
              <w:autoSpaceDE/>
              <w:autoSpaceDN/>
              <w:bidi w:val="0"/>
              <w:adjustRightInd/>
              <w:spacing w:before="0" w:beforeAutospacing="0" w:after="0" w:afterAutospacing="0" w:line="360" w:lineRule="auto"/>
              <w:ind w:left="0" w:leftChars="0" w:right="0" w:rightChars="0"/>
              <w:textAlignment w:val="auto"/>
              <w:rPr>
                <w:rFonts w:hint="eastAsia" w:ascii="宋体" w:hAnsi="宋体" w:cs="宋体"/>
                <w:color w:val="auto"/>
                <w:sz w:val="24"/>
                <w:lang w:eastAsia="zh-CN"/>
              </w:rPr>
            </w:pPr>
            <w:r>
              <w:rPr>
                <w:rFonts w:hint="eastAsia" w:ascii="宋体" w:hAnsi="宋体" w:cs="宋体"/>
                <w:color w:val="auto"/>
                <w:sz w:val="24"/>
                <w:lang w:eastAsia="zh-CN"/>
              </w:rPr>
              <w:t>汝南县市场监督管理局2026年度食品监督抽检第三方服务单位政府采购项目</w:t>
            </w:r>
            <w:r>
              <w:rPr>
                <w:rFonts w:hint="eastAsia" w:ascii="宋体" w:hAnsi="宋体" w:cs="宋体"/>
                <w:color w:val="auto"/>
                <w:sz w:val="24"/>
                <w:lang w:val="en-US" w:eastAsia="zh-CN"/>
              </w:rPr>
              <w:t>B</w:t>
            </w:r>
            <w:r>
              <w:rPr>
                <w:rFonts w:hint="eastAsia" w:ascii="宋体" w:hAnsi="宋体" w:eastAsia="宋体" w:cs="宋体"/>
                <w:color w:val="auto"/>
                <w:sz w:val="24"/>
              </w:rPr>
              <w:t>包</w:t>
            </w:r>
          </w:p>
        </w:tc>
        <w:tc>
          <w:tcPr>
            <w:tcW w:w="1437" w:type="dxa"/>
            <w:noWrap w:val="0"/>
            <w:vAlign w:val="center"/>
          </w:tcPr>
          <w:p w14:paraId="2C304767">
            <w:pPr>
              <w:keepNext w:val="0"/>
              <w:keepLines w:val="0"/>
              <w:pageBreakBefore w:val="0"/>
              <w:suppressLineNumbers w:val="0"/>
              <w:kinsoku/>
              <w:overflowPunct/>
              <w:topLinePunct w:val="0"/>
              <w:autoSpaceDE/>
              <w:autoSpaceDN/>
              <w:bidi w:val="0"/>
              <w:adjustRightInd/>
              <w:spacing w:before="0" w:beforeAutospacing="0" w:after="0" w:afterAutospacing="0" w:line="360" w:lineRule="auto"/>
              <w:ind w:left="0" w:leftChars="0" w:right="0" w:rightChars="0"/>
              <w:jc w:val="center"/>
              <w:textAlignment w:val="auto"/>
              <w:rPr>
                <w:rFonts w:hint="eastAsia" w:ascii="宋体" w:hAnsi="宋体" w:cs="宋体"/>
                <w:color w:val="auto"/>
                <w:sz w:val="24"/>
                <w:lang w:val="en-US" w:eastAsia="zh-CN"/>
              </w:rPr>
            </w:pPr>
            <w:r>
              <w:rPr>
                <w:rFonts w:hint="eastAsia" w:ascii="宋体" w:hAnsi="宋体" w:eastAsia="宋体" w:cs="宋体"/>
                <w:color w:val="auto"/>
                <w:sz w:val="24"/>
                <w:szCs w:val="24"/>
                <w:lang w:val="en-US" w:eastAsia="zh-CN"/>
              </w:rPr>
              <w:t>399</w:t>
            </w:r>
            <w:r>
              <w:rPr>
                <w:rFonts w:hint="eastAsia" w:ascii="宋体" w:hAnsi="宋体" w:cs="宋体"/>
                <w:color w:val="auto"/>
                <w:sz w:val="24"/>
                <w:szCs w:val="24"/>
                <w:lang w:val="en-US" w:eastAsia="zh-CN"/>
              </w:rPr>
              <w:t>000.00</w:t>
            </w:r>
          </w:p>
        </w:tc>
        <w:tc>
          <w:tcPr>
            <w:tcW w:w="1860" w:type="dxa"/>
            <w:noWrap w:val="0"/>
            <w:vAlign w:val="center"/>
          </w:tcPr>
          <w:p w14:paraId="78E280BD">
            <w:pPr>
              <w:keepNext w:val="0"/>
              <w:keepLines w:val="0"/>
              <w:pageBreakBefore w:val="0"/>
              <w:suppressLineNumbers w:val="0"/>
              <w:kinsoku/>
              <w:overflowPunct/>
              <w:topLinePunct w:val="0"/>
              <w:autoSpaceDE/>
              <w:autoSpaceDN/>
              <w:bidi w:val="0"/>
              <w:adjustRightInd/>
              <w:spacing w:before="0" w:beforeAutospacing="0" w:after="0" w:afterAutospacing="0" w:line="360" w:lineRule="auto"/>
              <w:ind w:left="0" w:leftChars="0" w:right="0" w:rightChars="0"/>
              <w:jc w:val="center"/>
              <w:textAlignment w:val="auto"/>
              <w:rPr>
                <w:rFonts w:hint="eastAsia" w:ascii="宋体" w:hAnsi="宋体" w:cs="宋体"/>
                <w:color w:val="auto"/>
                <w:sz w:val="24"/>
                <w:lang w:val="en-US" w:eastAsia="zh-CN"/>
              </w:rPr>
            </w:pPr>
            <w:r>
              <w:rPr>
                <w:rFonts w:hint="eastAsia" w:ascii="宋体" w:hAnsi="宋体" w:eastAsia="宋体" w:cs="宋体"/>
                <w:color w:val="auto"/>
                <w:sz w:val="24"/>
                <w:szCs w:val="24"/>
                <w:lang w:val="en-US" w:eastAsia="zh-CN"/>
              </w:rPr>
              <w:t>399</w:t>
            </w:r>
            <w:r>
              <w:rPr>
                <w:rFonts w:hint="eastAsia" w:ascii="宋体" w:hAnsi="宋体" w:cs="宋体"/>
                <w:color w:val="auto"/>
                <w:sz w:val="24"/>
                <w:szCs w:val="24"/>
                <w:lang w:val="en-US" w:eastAsia="zh-CN"/>
              </w:rPr>
              <w:t>000.00</w:t>
            </w:r>
          </w:p>
        </w:tc>
      </w:tr>
      <w:tr w14:paraId="2B702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517" w:type="dxa"/>
            <w:noWrap w:val="0"/>
            <w:vAlign w:val="center"/>
          </w:tcPr>
          <w:p w14:paraId="72D89C74">
            <w:pPr>
              <w:keepNext w:val="0"/>
              <w:keepLines w:val="0"/>
              <w:pageBreakBefore w:val="0"/>
              <w:suppressLineNumbers w:val="0"/>
              <w:kinsoku/>
              <w:overflowPunct/>
              <w:topLinePunct w:val="0"/>
              <w:autoSpaceDE/>
              <w:autoSpaceDN/>
              <w:bidi w:val="0"/>
              <w:adjustRightInd/>
              <w:spacing w:before="0" w:beforeAutospacing="0" w:after="0" w:afterAutospacing="0" w:line="360" w:lineRule="auto"/>
              <w:ind w:left="0" w:right="0"/>
              <w:jc w:val="center"/>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3</w:t>
            </w:r>
          </w:p>
        </w:tc>
        <w:tc>
          <w:tcPr>
            <w:tcW w:w="1649" w:type="dxa"/>
            <w:noWrap w:val="0"/>
            <w:vAlign w:val="center"/>
          </w:tcPr>
          <w:p w14:paraId="567729F7">
            <w:pPr>
              <w:keepNext w:val="0"/>
              <w:keepLines w:val="0"/>
              <w:pageBreakBefore w:val="0"/>
              <w:suppressLineNumbers w:val="0"/>
              <w:kinsoku/>
              <w:overflowPunct/>
              <w:topLinePunct w:val="0"/>
              <w:autoSpaceDE/>
              <w:autoSpaceDN/>
              <w:bidi w:val="0"/>
              <w:adjustRightInd/>
              <w:spacing w:before="0" w:beforeAutospacing="0" w:after="0" w:afterAutospacing="0" w:line="360" w:lineRule="auto"/>
              <w:ind w:left="0" w:leftChars="0" w:right="0" w:rightChars="0"/>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汝竞谈[2026]49号</w:t>
            </w:r>
            <w:r>
              <w:rPr>
                <w:rFonts w:hint="eastAsia" w:ascii="宋体" w:hAnsi="宋体" w:cs="宋体"/>
                <w:color w:val="auto"/>
                <w:sz w:val="24"/>
                <w:szCs w:val="24"/>
                <w:lang w:val="en-US" w:eastAsia="zh-CN"/>
              </w:rPr>
              <w:t>C</w:t>
            </w:r>
          </w:p>
        </w:tc>
        <w:tc>
          <w:tcPr>
            <w:tcW w:w="3420" w:type="dxa"/>
            <w:noWrap w:val="0"/>
            <w:vAlign w:val="center"/>
          </w:tcPr>
          <w:p w14:paraId="086D0628">
            <w:pPr>
              <w:keepNext w:val="0"/>
              <w:keepLines w:val="0"/>
              <w:pageBreakBefore w:val="0"/>
              <w:suppressLineNumbers w:val="0"/>
              <w:kinsoku/>
              <w:overflowPunct/>
              <w:topLinePunct w:val="0"/>
              <w:autoSpaceDE/>
              <w:autoSpaceDN/>
              <w:bidi w:val="0"/>
              <w:adjustRightInd/>
              <w:spacing w:before="0" w:beforeAutospacing="0" w:after="0" w:afterAutospacing="0" w:line="360" w:lineRule="auto"/>
              <w:ind w:left="0" w:leftChars="0" w:right="0" w:rightChars="0"/>
              <w:textAlignment w:val="auto"/>
              <w:rPr>
                <w:rFonts w:hint="eastAsia" w:ascii="宋体" w:hAnsi="宋体" w:cs="宋体"/>
                <w:color w:val="auto"/>
                <w:sz w:val="24"/>
                <w:lang w:eastAsia="zh-CN"/>
              </w:rPr>
            </w:pPr>
            <w:r>
              <w:rPr>
                <w:rFonts w:hint="eastAsia" w:ascii="宋体" w:hAnsi="宋体" w:cs="宋体"/>
                <w:color w:val="auto"/>
                <w:sz w:val="24"/>
                <w:lang w:eastAsia="zh-CN"/>
              </w:rPr>
              <w:t>汝南县市场监督管理局2026年度食品监督抽检第三方服务单位政府采购项目</w:t>
            </w:r>
            <w:r>
              <w:rPr>
                <w:rFonts w:hint="eastAsia" w:ascii="宋体" w:hAnsi="宋体" w:cs="宋体"/>
                <w:color w:val="auto"/>
                <w:sz w:val="24"/>
                <w:lang w:val="en-US" w:eastAsia="zh-CN"/>
              </w:rPr>
              <w:t>C</w:t>
            </w:r>
            <w:r>
              <w:rPr>
                <w:rFonts w:hint="eastAsia" w:ascii="宋体" w:hAnsi="宋体" w:eastAsia="宋体" w:cs="宋体"/>
                <w:color w:val="auto"/>
                <w:sz w:val="24"/>
              </w:rPr>
              <w:t>包</w:t>
            </w:r>
          </w:p>
        </w:tc>
        <w:tc>
          <w:tcPr>
            <w:tcW w:w="1437" w:type="dxa"/>
            <w:noWrap w:val="0"/>
            <w:vAlign w:val="center"/>
          </w:tcPr>
          <w:p w14:paraId="6DDED35B">
            <w:pPr>
              <w:keepNext w:val="0"/>
              <w:keepLines w:val="0"/>
              <w:pageBreakBefore w:val="0"/>
              <w:suppressLineNumbers w:val="0"/>
              <w:kinsoku/>
              <w:overflowPunct/>
              <w:topLinePunct w:val="0"/>
              <w:autoSpaceDE/>
              <w:autoSpaceDN/>
              <w:bidi w:val="0"/>
              <w:adjustRightInd/>
              <w:spacing w:before="0" w:beforeAutospacing="0" w:after="0" w:afterAutospacing="0" w:line="360" w:lineRule="auto"/>
              <w:ind w:left="0" w:leftChars="0" w:right="0" w:rightChars="0"/>
              <w:jc w:val="center"/>
              <w:textAlignment w:val="auto"/>
              <w:rPr>
                <w:rFonts w:hint="eastAsia" w:ascii="宋体" w:hAnsi="宋体" w:cs="宋体"/>
                <w:color w:val="auto"/>
                <w:sz w:val="24"/>
                <w:lang w:val="en-US" w:eastAsia="zh-CN"/>
              </w:rPr>
            </w:pPr>
            <w:r>
              <w:rPr>
                <w:rFonts w:hint="eastAsia" w:ascii="宋体" w:hAnsi="宋体" w:eastAsia="宋体" w:cs="宋体"/>
                <w:color w:val="auto"/>
                <w:sz w:val="24"/>
                <w:szCs w:val="24"/>
                <w:lang w:val="en-US" w:eastAsia="zh-CN"/>
              </w:rPr>
              <w:t>399</w:t>
            </w:r>
            <w:r>
              <w:rPr>
                <w:rFonts w:hint="eastAsia" w:ascii="宋体" w:hAnsi="宋体" w:cs="宋体"/>
                <w:color w:val="auto"/>
                <w:sz w:val="24"/>
                <w:szCs w:val="24"/>
                <w:lang w:val="en-US" w:eastAsia="zh-CN"/>
              </w:rPr>
              <w:t>000.00</w:t>
            </w:r>
          </w:p>
        </w:tc>
        <w:tc>
          <w:tcPr>
            <w:tcW w:w="1860" w:type="dxa"/>
            <w:noWrap w:val="0"/>
            <w:vAlign w:val="center"/>
          </w:tcPr>
          <w:p w14:paraId="40F30796">
            <w:pPr>
              <w:keepNext w:val="0"/>
              <w:keepLines w:val="0"/>
              <w:pageBreakBefore w:val="0"/>
              <w:suppressLineNumbers w:val="0"/>
              <w:kinsoku/>
              <w:overflowPunct/>
              <w:topLinePunct w:val="0"/>
              <w:autoSpaceDE/>
              <w:autoSpaceDN/>
              <w:bidi w:val="0"/>
              <w:adjustRightInd/>
              <w:spacing w:before="0" w:beforeAutospacing="0" w:after="0" w:afterAutospacing="0" w:line="360" w:lineRule="auto"/>
              <w:ind w:left="0" w:leftChars="0" w:right="0" w:rightChars="0"/>
              <w:jc w:val="center"/>
              <w:textAlignment w:val="auto"/>
              <w:rPr>
                <w:rFonts w:hint="eastAsia" w:ascii="宋体" w:hAnsi="宋体" w:cs="宋体"/>
                <w:color w:val="auto"/>
                <w:sz w:val="24"/>
                <w:lang w:val="en-US" w:eastAsia="zh-CN"/>
              </w:rPr>
            </w:pPr>
            <w:r>
              <w:rPr>
                <w:rFonts w:hint="eastAsia" w:ascii="宋体" w:hAnsi="宋体" w:eastAsia="宋体" w:cs="宋体"/>
                <w:color w:val="auto"/>
                <w:sz w:val="24"/>
                <w:szCs w:val="24"/>
                <w:lang w:val="en-US" w:eastAsia="zh-CN"/>
              </w:rPr>
              <w:t>399</w:t>
            </w:r>
            <w:r>
              <w:rPr>
                <w:rFonts w:hint="eastAsia" w:ascii="宋体" w:hAnsi="宋体" w:cs="宋体"/>
                <w:color w:val="auto"/>
                <w:sz w:val="24"/>
                <w:szCs w:val="24"/>
                <w:lang w:val="en-US" w:eastAsia="zh-CN"/>
              </w:rPr>
              <w:t>000.00</w:t>
            </w:r>
          </w:p>
        </w:tc>
      </w:tr>
      <w:tr w14:paraId="2812B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517" w:type="dxa"/>
            <w:noWrap w:val="0"/>
            <w:vAlign w:val="center"/>
          </w:tcPr>
          <w:p w14:paraId="26A6F198">
            <w:pPr>
              <w:keepNext w:val="0"/>
              <w:keepLines w:val="0"/>
              <w:pageBreakBefore w:val="0"/>
              <w:suppressLineNumbers w:val="0"/>
              <w:kinsoku/>
              <w:overflowPunct/>
              <w:topLinePunct w:val="0"/>
              <w:autoSpaceDE/>
              <w:autoSpaceDN/>
              <w:bidi w:val="0"/>
              <w:adjustRightInd/>
              <w:spacing w:before="0" w:beforeAutospacing="0" w:after="0" w:afterAutospacing="0" w:line="360" w:lineRule="auto"/>
              <w:ind w:left="0" w:right="0"/>
              <w:jc w:val="center"/>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4</w:t>
            </w:r>
          </w:p>
        </w:tc>
        <w:tc>
          <w:tcPr>
            <w:tcW w:w="1649" w:type="dxa"/>
            <w:noWrap w:val="0"/>
            <w:vAlign w:val="center"/>
          </w:tcPr>
          <w:p w14:paraId="0C12FC7A">
            <w:pPr>
              <w:keepNext w:val="0"/>
              <w:keepLines w:val="0"/>
              <w:pageBreakBefore w:val="0"/>
              <w:suppressLineNumbers w:val="0"/>
              <w:kinsoku/>
              <w:overflowPunct/>
              <w:topLinePunct w:val="0"/>
              <w:autoSpaceDE/>
              <w:autoSpaceDN/>
              <w:bidi w:val="0"/>
              <w:adjustRightInd/>
              <w:spacing w:before="0" w:beforeAutospacing="0" w:after="0" w:afterAutospacing="0" w:line="360" w:lineRule="auto"/>
              <w:ind w:left="0" w:leftChars="0" w:right="0" w:rightChars="0"/>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汝竞谈[2026]49号</w:t>
            </w:r>
            <w:r>
              <w:rPr>
                <w:rFonts w:hint="eastAsia" w:ascii="宋体" w:hAnsi="宋体" w:cs="宋体"/>
                <w:color w:val="auto"/>
                <w:sz w:val="24"/>
                <w:szCs w:val="24"/>
                <w:lang w:val="en-US" w:eastAsia="zh-CN"/>
              </w:rPr>
              <w:t>D</w:t>
            </w:r>
          </w:p>
        </w:tc>
        <w:tc>
          <w:tcPr>
            <w:tcW w:w="3420" w:type="dxa"/>
            <w:noWrap w:val="0"/>
            <w:vAlign w:val="center"/>
          </w:tcPr>
          <w:p w14:paraId="06F46376">
            <w:pPr>
              <w:keepNext w:val="0"/>
              <w:keepLines w:val="0"/>
              <w:pageBreakBefore w:val="0"/>
              <w:suppressLineNumbers w:val="0"/>
              <w:kinsoku/>
              <w:overflowPunct/>
              <w:topLinePunct w:val="0"/>
              <w:autoSpaceDE/>
              <w:autoSpaceDN/>
              <w:bidi w:val="0"/>
              <w:adjustRightInd/>
              <w:spacing w:before="0" w:beforeAutospacing="0" w:after="0" w:afterAutospacing="0" w:line="360" w:lineRule="auto"/>
              <w:ind w:left="0" w:leftChars="0" w:right="0" w:rightChars="0"/>
              <w:textAlignment w:val="auto"/>
              <w:rPr>
                <w:rFonts w:hint="eastAsia" w:ascii="宋体" w:hAnsi="宋体" w:cs="宋体"/>
                <w:color w:val="auto"/>
                <w:sz w:val="24"/>
                <w:lang w:eastAsia="zh-CN"/>
              </w:rPr>
            </w:pPr>
            <w:r>
              <w:rPr>
                <w:rFonts w:hint="eastAsia" w:ascii="宋体" w:hAnsi="宋体" w:cs="宋体"/>
                <w:color w:val="auto"/>
                <w:sz w:val="24"/>
                <w:lang w:eastAsia="zh-CN"/>
              </w:rPr>
              <w:t>汝南县市场监督管理局2026年度食品监督抽检第三方服务单位政府采购项目</w:t>
            </w:r>
            <w:r>
              <w:rPr>
                <w:rFonts w:hint="eastAsia" w:ascii="宋体" w:hAnsi="宋体" w:cs="宋体"/>
                <w:color w:val="auto"/>
                <w:sz w:val="24"/>
                <w:lang w:val="en-US" w:eastAsia="zh-CN"/>
              </w:rPr>
              <w:t>D</w:t>
            </w:r>
            <w:r>
              <w:rPr>
                <w:rFonts w:hint="eastAsia" w:ascii="宋体" w:hAnsi="宋体" w:eastAsia="宋体" w:cs="宋体"/>
                <w:color w:val="auto"/>
                <w:sz w:val="24"/>
              </w:rPr>
              <w:t>包</w:t>
            </w:r>
          </w:p>
        </w:tc>
        <w:tc>
          <w:tcPr>
            <w:tcW w:w="1437" w:type="dxa"/>
            <w:noWrap w:val="0"/>
            <w:vAlign w:val="center"/>
          </w:tcPr>
          <w:p w14:paraId="01CF4F78">
            <w:pPr>
              <w:keepNext w:val="0"/>
              <w:keepLines w:val="0"/>
              <w:pageBreakBefore w:val="0"/>
              <w:suppressLineNumbers w:val="0"/>
              <w:kinsoku/>
              <w:overflowPunct/>
              <w:topLinePunct w:val="0"/>
              <w:autoSpaceDE/>
              <w:autoSpaceDN/>
              <w:bidi w:val="0"/>
              <w:adjustRightInd/>
              <w:spacing w:before="0" w:beforeAutospacing="0" w:after="0" w:afterAutospacing="0" w:line="360" w:lineRule="auto"/>
              <w:ind w:left="0" w:leftChars="0" w:right="0" w:rightChars="0"/>
              <w:jc w:val="center"/>
              <w:textAlignment w:val="auto"/>
              <w:rPr>
                <w:rFonts w:hint="eastAsia" w:ascii="宋体" w:hAnsi="宋体" w:cs="宋体"/>
                <w:color w:val="auto"/>
                <w:sz w:val="24"/>
                <w:lang w:val="en-US" w:eastAsia="zh-CN"/>
              </w:rPr>
            </w:pPr>
            <w:r>
              <w:rPr>
                <w:rFonts w:hint="eastAsia" w:ascii="宋体" w:hAnsi="宋体" w:eastAsia="宋体" w:cs="宋体"/>
                <w:color w:val="auto"/>
                <w:sz w:val="24"/>
                <w:szCs w:val="24"/>
                <w:lang w:val="en-US" w:eastAsia="zh-CN"/>
              </w:rPr>
              <w:t>399</w:t>
            </w:r>
            <w:r>
              <w:rPr>
                <w:rFonts w:hint="eastAsia" w:ascii="宋体" w:hAnsi="宋体" w:cs="宋体"/>
                <w:color w:val="auto"/>
                <w:sz w:val="24"/>
                <w:szCs w:val="24"/>
                <w:lang w:val="en-US" w:eastAsia="zh-CN"/>
              </w:rPr>
              <w:t>000.00</w:t>
            </w:r>
          </w:p>
        </w:tc>
        <w:tc>
          <w:tcPr>
            <w:tcW w:w="1860" w:type="dxa"/>
            <w:noWrap w:val="0"/>
            <w:vAlign w:val="center"/>
          </w:tcPr>
          <w:p w14:paraId="3C43877C">
            <w:pPr>
              <w:keepNext w:val="0"/>
              <w:keepLines w:val="0"/>
              <w:pageBreakBefore w:val="0"/>
              <w:suppressLineNumbers w:val="0"/>
              <w:kinsoku/>
              <w:overflowPunct/>
              <w:topLinePunct w:val="0"/>
              <w:autoSpaceDE/>
              <w:autoSpaceDN/>
              <w:bidi w:val="0"/>
              <w:adjustRightInd/>
              <w:spacing w:before="0" w:beforeAutospacing="0" w:after="0" w:afterAutospacing="0" w:line="360" w:lineRule="auto"/>
              <w:ind w:left="0" w:leftChars="0" w:right="0" w:rightChars="0"/>
              <w:jc w:val="center"/>
              <w:textAlignment w:val="auto"/>
              <w:rPr>
                <w:rFonts w:hint="eastAsia" w:ascii="宋体" w:hAnsi="宋体" w:cs="宋体"/>
                <w:color w:val="auto"/>
                <w:sz w:val="24"/>
                <w:lang w:val="en-US" w:eastAsia="zh-CN"/>
              </w:rPr>
            </w:pPr>
            <w:r>
              <w:rPr>
                <w:rFonts w:hint="eastAsia" w:ascii="宋体" w:hAnsi="宋体" w:eastAsia="宋体" w:cs="宋体"/>
                <w:color w:val="auto"/>
                <w:sz w:val="24"/>
                <w:szCs w:val="24"/>
                <w:lang w:val="en-US" w:eastAsia="zh-CN"/>
              </w:rPr>
              <w:t>399</w:t>
            </w:r>
            <w:r>
              <w:rPr>
                <w:rFonts w:hint="eastAsia" w:ascii="宋体" w:hAnsi="宋体" w:cs="宋体"/>
                <w:color w:val="auto"/>
                <w:sz w:val="24"/>
                <w:szCs w:val="24"/>
                <w:lang w:val="en-US" w:eastAsia="zh-CN"/>
              </w:rPr>
              <w:t>000.00</w:t>
            </w:r>
          </w:p>
        </w:tc>
      </w:tr>
      <w:tr w14:paraId="24950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517" w:type="dxa"/>
            <w:noWrap w:val="0"/>
            <w:vAlign w:val="center"/>
          </w:tcPr>
          <w:p w14:paraId="542EC435">
            <w:pPr>
              <w:keepNext w:val="0"/>
              <w:keepLines w:val="0"/>
              <w:pageBreakBefore w:val="0"/>
              <w:suppressLineNumbers w:val="0"/>
              <w:kinsoku/>
              <w:overflowPunct/>
              <w:topLinePunct w:val="0"/>
              <w:autoSpaceDE/>
              <w:autoSpaceDN/>
              <w:bidi w:val="0"/>
              <w:adjustRightInd/>
              <w:spacing w:before="0" w:beforeAutospacing="0" w:after="0" w:afterAutospacing="0" w:line="360" w:lineRule="auto"/>
              <w:ind w:left="0" w:right="0"/>
              <w:jc w:val="center"/>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5</w:t>
            </w:r>
          </w:p>
        </w:tc>
        <w:tc>
          <w:tcPr>
            <w:tcW w:w="1649" w:type="dxa"/>
            <w:noWrap w:val="0"/>
            <w:vAlign w:val="center"/>
          </w:tcPr>
          <w:p w14:paraId="4078918C">
            <w:pPr>
              <w:keepNext w:val="0"/>
              <w:keepLines w:val="0"/>
              <w:pageBreakBefore w:val="0"/>
              <w:suppressLineNumbers w:val="0"/>
              <w:kinsoku/>
              <w:overflowPunct/>
              <w:topLinePunct w:val="0"/>
              <w:autoSpaceDE/>
              <w:autoSpaceDN/>
              <w:bidi w:val="0"/>
              <w:adjustRightInd/>
              <w:spacing w:before="0" w:beforeAutospacing="0" w:after="0" w:afterAutospacing="0" w:line="360" w:lineRule="auto"/>
              <w:ind w:left="0" w:leftChars="0" w:right="0" w:rightChars="0"/>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汝竞谈[2026]49号</w:t>
            </w:r>
            <w:r>
              <w:rPr>
                <w:rFonts w:hint="eastAsia" w:ascii="宋体" w:hAnsi="宋体" w:cs="宋体"/>
                <w:color w:val="auto"/>
                <w:sz w:val="24"/>
                <w:szCs w:val="24"/>
                <w:lang w:val="en-US" w:eastAsia="zh-CN"/>
              </w:rPr>
              <w:t>E</w:t>
            </w:r>
          </w:p>
        </w:tc>
        <w:tc>
          <w:tcPr>
            <w:tcW w:w="3420" w:type="dxa"/>
            <w:noWrap w:val="0"/>
            <w:vAlign w:val="center"/>
          </w:tcPr>
          <w:p w14:paraId="0F59D66C">
            <w:pPr>
              <w:keepNext w:val="0"/>
              <w:keepLines w:val="0"/>
              <w:pageBreakBefore w:val="0"/>
              <w:suppressLineNumbers w:val="0"/>
              <w:kinsoku/>
              <w:overflowPunct/>
              <w:topLinePunct w:val="0"/>
              <w:autoSpaceDE/>
              <w:autoSpaceDN/>
              <w:bidi w:val="0"/>
              <w:adjustRightInd/>
              <w:spacing w:before="0" w:beforeAutospacing="0" w:after="0" w:afterAutospacing="0" w:line="360" w:lineRule="auto"/>
              <w:ind w:left="0" w:leftChars="0" w:right="0" w:rightChars="0"/>
              <w:textAlignment w:val="auto"/>
              <w:rPr>
                <w:rFonts w:hint="eastAsia" w:ascii="宋体" w:hAnsi="宋体" w:cs="宋体"/>
                <w:color w:val="auto"/>
                <w:sz w:val="24"/>
                <w:lang w:eastAsia="zh-CN"/>
              </w:rPr>
            </w:pPr>
            <w:r>
              <w:rPr>
                <w:rFonts w:hint="eastAsia" w:ascii="宋体" w:hAnsi="宋体" w:cs="宋体"/>
                <w:color w:val="auto"/>
                <w:sz w:val="24"/>
                <w:lang w:eastAsia="zh-CN"/>
              </w:rPr>
              <w:t>汝南县市场监督管理局2026年度食品监督抽检第三方服务单位政府采购项目</w:t>
            </w:r>
            <w:r>
              <w:rPr>
                <w:rFonts w:hint="eastAsia" w:ascii="宋体" w:hAnsi="宋体" w:cs="宋体"/>
                <w:color w:val="auto"/>
                <w:sz w:val="24"/>
                <w:lang w:val="en-US" w:eastAsia="zh-CN"/>
              </w:rPr>
              <w:t>E</w:t>
            </w:r>
            <w:r>
              <w:rPr>
                <w:rFonts w:hint="eastAsia" w:ascii="宋体" w:hAnsi="宋体" w:eastAsia="宋体" w:cs="宋体"/>
                <w:color w:val="auto"/>
                <w:sz w:val="24"/>
              </w:rPr>
              <w:t>包</w:t>
            </w:r>
          </w:p>
        </w:tc>
        <w:tc>
          <w:tcPr>
            <w:tcW w:w="1437" w:type="dxa"/>
            <w:noWrap w:val="0"/>
            <w:vAlign w:val="center"/>
          </w:tcPr>
          <w:p w14:paraId="4EF1D15F">
            <w:pPr>
              <w:keepNext w:val="0"/>
              <w:keepLines w:val="0"/>
              <w:pageBreakBefore w:val="0"/>
              <w:suppressLineNumbers w:val="0"/>
              <w:kinsoku/>
              <w:overflowPunct/>
              <w:topLinePunct w:val="0"/>
              <w:autoSpaceDE/>
              <w:autoSpaceDN/>
              <w:bidi w:val="0"/>
              <w:adjustRightInd/>
              <w:spacing w:before="0" w:beforeAutospacing="0" w:after="0" w:afterAutospacing="0" w:line="360" w:lineRule="auto"/>
              <w:ind w:left="0" w:leftChars="0" w:right="0" w:rightChars="0"/>
              <w:jc w:val="center"/>
              <w:textAlignment w:val="auto"/>
              <w:rPr>
                <w:rFonts w:hint="eastAsia" w:ascii="宋体" w:hAnsi="宋体" w:cs="宋体"/>
                <w:color w:val="auto"/>
                <w:sz w:val="24"/>
                <w:lang w:val="en-US" w:eastAsia="zh-CN"/>
              </w:rPr>
            </w:pPr>
            <w:r>
              <w:rPr>
                <w:rFonts w:hint="eastAsia" w:ascii="宋体" w:hAnsi="宋体" w:eastAsia="宋体" w:cs="宋体"/>
                <w:color w:val="auto"/>
                <w:sz w:val="24"/>
                <w:szCs w:val="24"/>
                <w:lang w:val="en-US" w:eastAsia="zh-CN"/>
              </w:rPr>
              <w:t>399</w:t>
            </w:r>
            <w:r>
              <w:rPr>
                <w:rFonts w:hint="eastAsia" w:ascii="宋体" w:hAnsi="宋体" w:cs="宋体"/>
                <w:color w:val="auto"/>
                <w:sz w:val="24"/>
                <w:szCs w:val="24"/>
                <w:lang w:val="en-US" w:eastAsia="zh-CN"/>
              </w:rPr>
              <w:t>000.00</w:t>
            </w:r>
          </w:p>
        </w:tc>
        <w:tc>
          <w:tcPr>
            <w:tcW w:w="1860" w:type="dxa"/>
            <w:noWrap w:val="0"/>
            <w:vAlign w:val="center"/>
          </w:tcPr>
          <w:p w14:paraId="4E786821">
            <w:pPr>
              <w:keepNext w:val="0"/>
              <w:keepLines w:val="0"/>
              <w:pageBreakBefore w:val="0"/>
              <w:suppressLineNumbers w:val="0"/>
              <w:kinsoku/>
              <w:overflowPunct/>
              <w:topLinePunct w:val="0"/>
              <w:autoSpaceDE/>
              <w:autoSpaceDN/>
              <w:bidi w:val="0"/>
              <w:adjustRightInd/>
              <w:spacing w:before="0" w:beforeAutospacing="0" w:after="0" w:afterAutospacing="0" w:line="360" w:lineRule="auto"/>
              <w:ind w:left="0" w:leftChars="0" w:right="0" w:rightChars="0"/>
              <w:jc w:val="center"/>
              <w:textAlignment w:val="auto"/>
              <w:rPr>
                <w:rFonts w:hint="eastAsia" w:ascii="宋体" w:hAnsi="宋体" w:cs="宋体"/>
                <w:color w:val="auto"/>
                <w:sz w:val="24"/>
                <w:lang w:val="en-US" w:eastAsia="zh-CN"/>
              </w:rPr>
            </w:pPr>
            <w:r>
              <w:rPr>
                <w:rFonts w:hint="eastAsia" w:ascii="宋体" w:hAnsi="宋体" w:eastAsia="宋体" w:cs="宋体"/>
                <w:color w:val="auto"/>
                <w:sz w:val="24"/>
                <w:szCs w:val="24"/>
                <w:lang w:val="en-US" w:eastAsia="zh-CN"/>
              </w:rPr>
              <w:t>399</w:t>
            </w:r>
            <w:r>
              <w:rPr>
                <w:rFonts w:hint="eastAsia" w:ascii="宋体" w:hAnsi="宋体" w:cs="宋体"/>
                <w:color w:val="auto"/>
                <w:sz w:val="24"/>
                <w:szCs w:val="24"/>
                <w:lang w:val="en-US" w:eastAsia="zh-CN"/>
              </w:rPr>
              <w:t>000.00</w:t>
            </w:r>
          </w:p>
        </w:tc>
      </w:tr>
    </w:tbl>
    <w:p w14:paraId="5B92A361">
      <w:pPr>
        <w:keepNext w:val="0"/>
        <w:keepLines w:val="0"/>
        <w:pageBreakBefore w:val="0"/>
        <w:kinsoku/>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5.采购需求：（包括但不限于标的的名称、数量、简要技术需求或服务要求等）</w:t>
      </w:r>
      <w:r>
        <w:rPr>
          <w:rFonts w:hint="eastAsia" w:ascii="宋体" w:hAnsi="宋体" w:eastAsia="宋体" w:cs="宋体"/>
          <w:color w:val="auto"/>
          <w:sz w:val="24"/>
          <w:lang w:val="en-US" w:eastAsia="zh-CN"/>
        </w:rPr>
        <w:t>2026年度食品安全监督抽检计划，分类为食品生产、食品流通和餐饮服务3个环节，37个产品大类</w:t>
      </w:r>
      <w:r>
        <w:rPr>
          <w:rFonts w:hint="eastAsia" w:ascii="宋体" w:hAnsi="宋体" w:eastAsia="宋体" w:cs="宋体"/>
          <w:color w:val="auto"/>
          <w:sz w:val="24"/>
        </w:rPr>
        <w:t>。</w:t>
      </w:r>
      <w:r>
        <w:rPr>
          <w:rFonts w:hint="eastAsia" w:ascii="宋体" w:hAnsi="宋体" w:eastAsia="宋体" w:cs="宋体"/>
          <w:sz w:val="24"/>
          <w:szCs w:val="24"/>
          <w:lang w:val="en-US" w:eastAsia="zh-CN"/>
        </w:rPr>
        <w:t>供应商</w:t>
      </w:r>
      <w:r>
        <w:rPr>
          <w:rFonts w:ascii="宋体" w:hAnsi="宋体" w:eastAsia="宋体" w:cs="宋体"/>
          <w:sz w:val="24"/>
          <w:szCs w:val="24"/>
        </w:rPr>
        <w:t>可对多个</w:t>
      </w:r>
      <w:r>
        <w:rPr>
          <w:rFonts w:hint="eastAsia" w:ascii="宋体" w:hAnsi="宋体" w:eastAsia="宋体" w:cs="宋体"/>
          <w:sz w:val="24"/>
          <w:szCs w:val="24"/>
          <w:lang w:val="en-US" w:eastAsia="zh-CN"/>
        </w:rPr>
        <w:t>标</w:t>
      </w:r>
      <w:r>
        <w:rPr>
          <w:rFonts w:ascii="宋体" w:hAnsi="宋体" w:eastAsia="宋体" w:cs="宋体"/>
          <w:sz w:val="24"/>
          <w:szCs w:val="24"/>
        </w:rPr>
        <w:t>包进行投标，但只能按包号的先后顺序中一个标</w:t>
      </w:r>
      <w:r>
        <w:rPr>
          <w:rFonts w:hint="eastAsia" w:ascii="宋体" w:hAnsi="宋体" w:eastAsia="宋体" w:cs="宋体"/>
          <w:sz w:val="24"/>
          <w:szCs w:val="24"/>
          <w:lang w:val="en-US" w:eastAsia="zh-CN"/>
        </w:rPr>
        <w:t>包。</w:t>
      </w:r>
    </w:p>
    <w:p w14:paraId="4FEE945C">
      <w:pPr>
        <w:keepNext w:val="0"/>
        <w:keepLines w:val="0"/>
        <w:pageBreakBefore w:val="0"/>
        <w:kinsoku/>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lang w:eastAsia="zh-CN"/>
        </w:rPr>
      </w:pPr>
      <w:r>
        <w:rPr>
          <w:rFonts w:hint="eastAsia" w:ascii="宋体" w:hAnsi="宋体" w:eastAsia="宋体" w:cs="宋体"/>
          <w:color w:val="auto"/>
          <w:sz w:val="24"/>
        </w:rPr>
        <w:t>6.合同履行期限：</w:t>
      </w:r>
      <w:r>
        <w:rPr>
          <w:rFonts w:hint="eastAsia" w:ascii="宋体" w:hAnsi="宋体" w:cs="宋体"/>
          <w:color w:val="auto"/>
          <w:sz w:val="24"/>
          <w:lang w:eastAsia="zh-CN"/>
        </w:rPr>
        <w:t>一年</w:t>
      </w:r>
    </w:p>
    <w:p w14:paraId="77F9C500">
      <w:pPr>
        <w:keepNext w:val="0"/>
        <w:keepLines w:val="0"/>
        <w:pageBreakBefore w:val="0"/>
        <w:kinsoku/>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7.本项目是否接受联合体投标：否</w:t>
      </w:r>
    </w:p>
    <w:p w14:paraId="58290A07">
      <w:pPr>
        <w:keepNext w:val="0"/>
        <w:keepLines w:val="0"/>
        <w:pageBreakBefore w:val="0"/>
        <w:kinsoku/>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8.是否接受进口产品：否 </w:t>
      </w:r>
    </w:p>
    <w:p w14:paraId="3231AD2F">
      <w:pPr>
        <w:keepNext w:val="0"/>
        <w:keepLines w:val="0"/>
        <w:pageBreakBefore w:val="0"/>
        <w:kinsoku/>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9.是否专门面向中小企业：</w:t>
      </w:r>
      <w:r>
        <w:rPr>
          <w:rFonts w:hint="eastAsia" w:ascii="宋体" w:hAnsi="宋体" w:cs="宋体"/>
          <w:color w:val="auto"/>
          <w:sz w:val="24"/>
          <w:lang w:val="en-US" w:eastAsia="zh-CN"/>
        </w:rPr>
        <w:t>否</w:t>
      </w:r>
      <w:r>
        <w:rPr>
          <w:rFonts w:hint="eastAsia" w:ascii="宋体" w:hAnsi="宋体" w:eastAsia="宋体" w:cs="宋体"/>
          <w:color w:val="auto"/>
          <w:sz w:val="24"/>
        </w:rPr>
        <w:t xml:space="preserve"> </w:t>
      </w:r>
    </w:p>
    <w:p w14:paraId="31A1CF0E">
      <w:pPr>
        <w:keepNext w:val="0"/>
        <w:keepLines w:val="0"/>
        <w:pageBreakBefore w:val="0"/>
        <w:numPr>
          <w:ilvl w:val="0"/>
          <w:numId w:val="0"/>
        </w:numPr>
        <w:kinsoku/>
        <w:overflowPunct/>
        <w:topLinePunct w:val="0"/>
        <w:autoSpaceDE/>
        <w:autoSpaceDN/>
        <w:bidi w:val="0"/>
        <w:adjustRightInd/>
        <w:snapToGrid w:val="0"/>
        <w:spacing w:line="360" w:lineRule="auto"/>
        <w:textAlignment w:val="auto"/>
        <w:rPr>
          <w:rFonts w:hint="eastAsia" w:ascii="宋体" w:hAnsi="宋体" w:eastAsia="宋体" w:cs="宋体"/>
          <w:b/>
          <w:color w:val="auto"/>
          <w:sz w:val="24"/>
        </w:rPr>
      </w:pPr>
      <w:bookmarkStart w:id="5" w:name="_Toc28359080"/>
      <w:bookmarkStart w:id="6" w:name="_Toc35393622"/>
      <w:bookmarkStart w:id="7" w:name="_Toc35393791"/>
      <w:bookmarkStart w:id="8" w:name="_Toc28359003"/>
      <w:r>
        <w:rPr>
          <w:rFonts w:hint="eastAsia" w:ascii="宋体" w:hAnsi="宋体" w:cs="宋体"/>
          <w:b/>
          <w:color w:val="auto"/>
          <w:sz w:val="24"/>
          <w:lang w:val="en-US" w:eastAsia="zh-CN"/>
        </w:rPr>
        <w:t>二、</w:t>
      </w:r>
      <w:r>
        <w:rPr>
          <w:rFonts w:hint="eastAsia" w:ascii="宋体" w:hAnsi="宋体" w:eastAsia="宋体" w:cs="宋体"/>
          <w:b/>
          <w:color w:val="auto"/>
          <w:sz w:val="24"/>
        </w:rPr>
        <w:t>申请人资格要求</w:t>
      </w:r>
      <w:bookmarkEnd w:id="5"/>
      <w:bookmarkEnd w:id="6"/>
      <w:bookmarkEnd w:id="7"/>
      <w:bookmarkEnd w:id="8"/>
    </w:p>
    <w:p w14:paraId="1F942C38">
      <w:pPr>
        <w:keepNext w:val="0"/>
        <w:keepLines w:val="0"/>
        <w:pageBreakBefore w:val="0"/>
        <w:kinsoku/>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rPr>
      </w:pPr>
      <w:bookmarkStart w:id="9" w:name="OLE_LINK1"/>
      <w:r>
        <w:rPr>
          <w:rFonts w:hint="eastAsia" w:ascii="宋体" w:hAnsi="宋体" w:eastAsia="宋体" w:cs="宋体"/>
          <w:color w:val="auto"/>
          <w:sz w:val="24"/>
        </w:rPr>
        <w:t>1</w:t>
      </w:r>
      <w:r>
        <w:rPr>
          <w:rFonts w:hint="eastAsia" w:ascii="宋体" w:hAnsi="宋体" w:eastAsia="宋体" w:cs="宋体"/>
          <w:color w:val="auto"/>
          <w:sz w:val="24"/>
          <w:lang w:eastAsia="zh-CN"/>
        </w:rPr>
        <w:t>.</w:t>
      </w:r>
      <w:r>
        <w:rPr>
          <w:rFonts w:hint="eastAsia" w:ascii="宋体" w:hAnsi="宋体" w:eastAsia="宋体" w:cs="宋体"/>
          <w:color w:val="auto"/>
          <w:sz w:val="24"/>
        </w:rPr>
        <w:t>满足《中华人民共和国政府采购法》第二十二条规定；</w:t>
      </w:r>
    </w:p>
    <w:p w14:paraId="7A45EEC6">
      <w:pPr>
        <w:keepNext w:val="0"/>
        <w:keepLines w:val="0"/>
        <w:pageBreakBefore w:val="0"/>
        <w:widowControl/>
        <w:kinsoku/>
        <w:wordWrap w:val="0"/>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根据《驻马店市财政局关于推行政府采购资格审查环节信用承诺制的通知》(驻财购〔2022〕15号)和《汝南县财政局关于推行政府采购资格审查环节信用承诺制的通知》 (汝财购〔2022〕13号)的规定，供应商只需在资格审查环节提供满足相应条件的书面承诺书，无需提交以下证明材料。（格式见第五章附件）</w:t>
      </w:r>
    </w:p>
    <w:p w14:paraId="2D5E550B">
      <w:pPr>
        <w:keepNext w:val="0"/>
        <w:keepLines w:val="0"/>
        <w:pageBreakBefore w:val="0"/>
        <w:widowControl/>
        <w:kinsoku/>
        <w:wordWrap w:val="0"/>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(一)具有独立承担民事责任的能力；</w:t>
      </w:r>
    </w:p>
    <w:p w14:paraId="3DAB2816">
      <w:pPr>
        <w:keepNext w:val="0"/>
        <w:keepLines w:val="0"/>
        <w:pageBreakBefore w:val="0"/>
        <w:widowControl/>
        <w:kinsoku/>
        <w:wordWrap w:val="0"/>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(二)具有良好的商业信誉和健全的财务会计制度；</w:t>
      </w:r>
    </w:p>
    <w:p w14:paraId="3825ABFB">
      <w:pPr>
        <w:keepNext w:val="0"/>
        <w:keepLines w:val="0"/>
        <w:pageBreakBefore w:val="0"/>
        <w:widowControl/>
        <w:kinsoku/>
        <w:wordWrap w:val="0"/>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(三)具有履行合同所必需的设备和专业技术能力；</w:t>
      </w:r>
    </w:p>
    <w:p w14:paraId="27060173">
      <w:pPr>
        <w:keepNext w:val="0"/>
        <w:keepLines w:val="0"/>
        <w:pageBreakBefore w:val="0"/>
        <w:widowControl/>
        <w:kinsoku/>
        <w:wordWrap w:val="0"/>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(四)有依法缴纳税收和社会保障资金的良好记录；</w:t>
      </w:r>
    </w:p>
    <w:p w14:paraId="153D6C21">
      <w:pPr>
        <w:keepNext w:val="0"/>
        <w:keepLines w:val="0"/>
        <w:pageBreakBefore w:val="0"/>
        <w:widowControl/>
        <w:kinsoku/>
        <w:wordWrap w:val="0"/>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(五)参加政府采购活动前三年内，在经营活动中没有重大违法记录；</w:t>
      </w:r>
    </w:p>
    <w:p w14:paraId="7D3EAB3D">
      <w:pPr>
        <w:keepNext w:val="0"/>
        <w:keepLines w:val="0"/>
        <w:pageBreakBefore w:val="0"/>
        <w:widowControl/>
        <w:kinsoku/>
        <w:wordWrap w:val="0"/>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(六)未被列入严重失信主体名单、失信被执行人、税收违法失信主体、政府采购严重违法失信行为记录名单，未曾作出虚假承诺；</w:t>
      </w:r>
    </w:p>
    <w:p w14:paraId="55BB8E36">
      <w:pPr>
        <w:keepNext w:val="0"/>
        <w:keepLines w:val="0"/>
        <w:pageBreakBefore w:val="0"/>
        <w:widowControl/>
        <w:kinsoku/>
        <w:wordWrap w:val="0"/>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(七)符合法律、行政法规规定的其他条件。</w:t>
      </w:r>
    </w:p>
    <w:p w14:paraId="57D20BCA">
      <w:pPr>
        <w:keepNext w:val="0"/>
        <w:keepLines w:val="0"/>
        <w:pageBreakBefore w:val="0"/>
        <w:widowControl/>
        <w:kinsoku/>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2.落实政府采购政策满足的资格要求：</w:t>
      </w:r>
    </w:p>
    <w:p w14:paraId="18E96C9C">
      <w:pPr>
        <w:keepNext w:val="0"/>
        <w:keepLines w:val="0"/>
        <w:pageBreakBefore w:val="0"/>
        <w:widowControl/>
        <w:kinsoku/>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采购项目需要落实的政府采购政策：促进中小企业、监狱企业和残疾人福利企业发展扶持政策、政府强制采购节能产品强制采购、节能产品及环境标志产品优先采购等。</w:t>
      </w:r>
    </w:p>
    <w:p w14:paraId="0CCD5696">
      <w:pPr>
        <w:keepNext w:val="0"/>
        <w:keepLines w:val="0"/>
        <w:pageBreakBefore w:val="0"/>
        <w:widowControl/>
        <w:kinsoku/>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3.其他特定条件：</w:t>
      </w:r>
    </w:p>
    <w:p w14:paraId="107933CC">
      <w:pPr>
        <w:keepNext w:val="0"/>
        <w:keepLines w:val="0"/>
        <w:pageBreakBefore w:val="0"/>
        <w:widowControl/>
        <w:kinsoku/>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3.1</w:t>
      </w:r>
      <w:r>
        <w:rPr>
          <w:rFonts w:hint="eastAsia" w:ascii="宋体" w:hAnsi="宋体" w:cs="宋体"/>
          <w:color w:val="auto"/>
          <w:kern w:val="0"/>
          <w:sz w:val="24"/>
          <w:lang w:val="en-US" w:eastAsia="zh-CN"/>
        </w:rPr>
        <w:t>.</w:t>
      </w:r>
      <w:r>
        <w:rPr>
          <w:rFonts w:hint="eastAsia" w:ascii="宋体" w:hAnsi="宋体" w:eastAsia="宋体" w:cs="宋体"/>
          <w:color w:val="auto"/>
          <w:kern w:val="0"/>
          <w:sz w:val="24"/>
          <w:lang w:val="en-US" w:eastAsia="zh-CN"/>
        </w:rPr>
        <w:t>法定代表人本人参加投标的，</w:t>
      </w:r>
      <w:r>
        <w:rPr>
          <w:rFonts w:hint="eastAsia" w:ascii="宋体" w:hAnsi="宋体" w:cs="宋体"/>
          <w:color w:val="auto"/>
          <w:kern w:val="0"/>
          <w:sz w:val="24"/>
          <w:lang w:val="en-US" w:eastAsia="zh-CN"/>
        </w:rPr>
        <w:t>提供法定代表人身份证（原件的扫描件）；法定代表人委托代理人参加投标的，提供法人授权委托书（原件的扫描件）、委托代理人的身份证、劳动合同</w:t>
      </w:r>
      <w:r>
        <w:rPr>
          <w:rFonts w:hint="eastAsia" w:ascii="宋体" w:hAnsi="宋体" w:eastAsia="宋体" w:cs="宋体"/>
          <w:color w:val="auto"/>
          <w:kern w:val="0"/>
          <w:sz w:val="24"/>
          <w:lang w:val="en-US" w:eastAsia="zh-CN"/>
        </w:rPr>
        <w:t>（原件的扫描件）</w:t>
      </w:r>
      <w:r>
        <w:rPr>
          <w:rFonts w:hint="eastAsia" w:ascii="宋体" w:hAnsi="宋体" w:cs="宋体"/>
          <w:color w:val="auto"/>
          <w:kern w:val="0"/>
          <w:sz w:val="24"/>
          <w:lang w:val="en-US" w:eastAsia="zh-CN"/>
        </w:rPr>
        <w:t>；</w:t>
      </w:r>
    </w:p>
    <w:p w14:paraId="2BD1DF8A">
      <w:pPr>
        <w:keepNext w:val="0"/>
        <w:keepLines w:val="0"/>
        <w:pageBreakBefore w:val="0"/>
        <w:widowControl/>
        <w:kinsoku/>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3.2</w:t>
      </w:r>
      <w:r>
        <w:rPr>
          <w:rFonts w:hint="eastAsia" w:ascii="宋体" w:hAnsi="宋体" w:cs="宋体"/>
          <w:color w:val="auto"/>
          <w:kern w:val="0"/>
          <w:sz w:val="24"/>
          <w:lang w:val="en-US" w:eastAsia="zh-CN"/>
        </w:rPr>
        <w:t>.供应商须具有有效的检验检测机构资质认定证书(CMA)（原件的扫描件）；具有保证检验检测质量、按照规定时限完成检验检测任务、提供良好的检验检测相关服务的能力，确保其通过认证的参数必须全部覆盖投标的品种，出具承诺并加盖供应商公章（原件的扫描件）</w:t>
      </w:r>
      <w:r>
        <w:rPr>
          <w:rFonts w:hint="eastAsia" w:ascii="宋体" w:hAnsi="宋体" w:eastAsia="宋体" w:cs="宋体"/>
          <w:color w:val="auto"/>
          <w:kern w:val="0"/>
          <w:sz w:val="24"/>
          <w:lang w:val="en-US" w:eastAsia="zh-CN"/>
        </w:rPr>
        <w:t>。</w:t>
      </w:r>
    </w:p>
    <w:p w14:paraId="4D90B30C">
      <w:pPr>
        <w:keepNext w:val="0"/>
        <w:keepLines w:val="0"/>
        <w:pageBreakBefore w:val="0"/>
        <w:numPr>
          <w:ilvl w:val="0"/>
          <w:numId w:val="0"/>
        </w:numPr>
        <w:kinsoku/>
        <w:overflowPunct/>
        <w:topLinePunct w:val="0"/>
        <w:autoSpaceDE/>
        <w:autoSpaceDN/>
        <w:bidi w:val="0"/>
        <w:adjustRightInd/>
        <w:snapToGrid w:val="0"/>
        <w:spacing w:line="360" w:lineRule="auto"/>
        <w:textAlignment w:val="auto"/>
        <w:rPr>
          <w:rFonts w:hint="eastAsia" w:ascii="宋体" w:hAnsi="宋体" w:eastAsia="宋体" w:cs="宋体"/>
          <w:b/>
          <w:color w:val="auto"/>
          <w:sz w:val="24"/>
        </w:rPr>
      </w:pPr>
      <w:r>
        <w:rPr>
          <w:rFonts w:hint="eastAsia" w:ascii="宋体" w:hAnsi="宋体" w:cs="宋体"/>
          <w:b/>
          <w:color w:val="auto"/>
          <w:sz w:val="24"/>
          <w:lang w:val="en-US" w:eastAsia="zh-CN"/>
        </w:rPr>
        <w:t>三、</w:t>
      </w:r>
      <w:r>
        <w:rPr>
          <w:rFonts w:hint="eastAsia" w:ascii="宋体" w:hAnsi="宋体" w:eastAsia="宋体" w:cs="宋体"/>
          <w:b/>
          <w:color w:val="auto"/>
          <w:sz w:val="24"/>
        </w:rPr>
        <w:t>获取</w:t>
      </w:r>
      <w:r>
        <w:rPr>
          <w:rFonts w:hint="eastAsia" w:ascii="宋体" w:hAnsi="宋体" w:cs="宋体"/>
          <w:b/>
          <w:color w:val="auto"/>
          <w:sz w:val="24"/>
          <w:lang w:val="en-US" w:eastAsia="zh-CN"/>
        </w:rPr>
        <w:t>采购</w:t>
      </w:r>
      <w:r>
        <w:rPr>
          <w:rFonts w:hint="eastAsia" w:ascii="宋体" w:hAnsi="宋体" w:eastAsia="宋体" w:cs="宋体"/>
          <w:b/>
          <w:color w:val="auto"/>
          <w:sz w:val="24"/>
        </w:rPr>
        <w:t>文件</w:t>
      </w:r>
    </w:p>
    <w:bookmarkEnd w:id="9"/>
    <w:p w14:paraId="646381CF">
      <w:pPr>
        <w:keepNext w:val="0"/>
        <w:keepLines w:val="0"/>
        <w:pageBreakBefore w:val="0"/>
        <w:widowControl/>
        <w:kinsoku/>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1.时间：</w:t>
      </w:r>
      <w:r>
        <w:rPr>
          <w:rFonts w:hint="eastAsia" w:ascii="宋体" w:hAnsi="宋体" w:cs="宋体"/>
          <w:color w:val="auto"/>
          <w:kern w:val="0"/>
          <w:sz w:val="24"/>
          <w:lang w:val="en-US" w:eastAsia="zh-CN"/>
        </w:rPr>
        <w:t>2026</w:t>
      </w:r>
      <w:r>
        <w:rPr>
          <w:rFonts w:hint="eastAsia" w:ascii="宋体" w:hAnsi="宋体" w:eastAsia="宋体" w:cs="宋体"/>
          <w:color w:val="auto"/>
          <w:kern w:val="0"/>
          <w:sz w:val="24"/>
          <w:lang w:eastAsia="zh-CN"/>
        </w:rPr>
        <w:t>年</w:t>
      </w:r>
      <w:r>
        <w:rPr>
          <w:rFonts w:hint="eastAsia" w:ascii="宋体" w:hAnsi="宋体" w:cs="宋体"/>
          <w:color w:val="auto"/>
          <w:kern w:val="0"/>
          <w:sz w:val="24"/>
          <w:lang w:val="en-US" w:eastAsia="zh-CN"/>
        </w:rPr>
        <w:t>06</w:t>
      </w:r>
      <w:r>
        <w:rPr>
          <w:rFonts w:hint="eastAsia" w:ascii="宋体" w:hAnsi="宋体" w:eastAsia="宋体" w:cs="宋体"/>
          <w:color w:val="auto"/>
          <w:kern w:val="0"/>
          <w:sz w:val="24"/>
          <w:lang w:eastAsia="zh-CN"/>
        </w:rPr>
        <w:t>月</w:t>
      </w:r>
      <w:r>
        <w:rPr>
          <w:rFonts w:hint="eastAsia" w:ascii="宋体" w:hAnsi="宋体" w:cs="宋体"/>
          <w:color w:val="auto"/>
          <w:kern w:val="0"/>
          <w:sz w:val="24"/>
          <w:lang w:val="en-US" w:eastAsia="zh-CN"/>
        </w:rPr>
        <w:t>12</w:t>
      </w:r>
      <w:r>
        <w:rPr>
          <w:rFonts w:hint="eastAsia" w:ascii="宋体" w:hAnsi="宋体" w:eastAsia="宋体" w:cs="宋体"/>
          <w:color w:val="auto"/>
          <w:kern w:val="0"/>
          <w:sz w:val="24"/>
          <w:lang w:eastAsia="zh-CN"/>
        </w:rPr>
        <w:t>日</w:t>
      </w:r>
      <w:r>
        <w:rPr>
          <w:rFonts w:hint="eastAsia" w:ascii="宋体" w:hAnsi="宋体" w:eastAsia="宋体" w:cs="宋体"/>
          <w:color w:val="auto"/>
          <w:kern w:val="0"/>
          <w:sz w:val="24"/>
        </w:rPr>
        <w:t>至</w:t>
      </w:r>
      <w:r>
        <w:rPr>
          <w:rFonts w:hint="eastAsia" w:ascii="宋体" w:hAnsi="宋体" w:cs="宋体"/>
          <w:color w:val="auto"/>
          <w:kern w:val="0"/>
          <w:sz w:val="24"/>
          <w:lang w:val="en-US" w:eastAsia="zh-CN"/>
        </w:rPr>
        <w:t>2026</w:t>
      </w:r>
      <w:r>
        <w:rPr>
          <w:rFonts w:hint="eastAsia" w:ascii="宋体" w:hAnsi="宋体" w:eastAsia="宋体" w:cs="宋体"/>
          <w:color w:val="auto"/>
          <w:kern w:val="0"/>
          <w:sz w:val="24"/>
          <w:lang w:eastAsia="zh-CN"/>
        </w:rPr>
        <w:t>年</w:t>
      </w:r>
      <w:r>
        <w:rPr>
          <w:rFonts w:hint="eastAsia" w:ascii="宋体" w:hAnsi="宋体" w:cs="宋体"/>
          <w:color w:val="auto"/>
          <w:kern w:val="0"/>
          <w:sz w:val="24"/>
          <w:lang w:val="en-US" w:eastAsia="zh-CN"/>
        </w:rPr>
        <w:t>06</w:t>
      </w:r>
      <w:r>
        <w:rPr>
          <w:rFonts w:hint="eastAsia" w:ascii="宋体" w:hAnsi="宋体" w:eastAsia="宋体" w:cs="宋体"/>
          <w:color w:val="auto"/>
          <w:kern w:val="0"/>
          <w:sz w:val="24"/>
          <w:lang w:eastAsia="zh-CN"/>
        </w:rPr>
        <w:t>月</w:t>
      </w:r>
      <w:r>
        <w:rPr>
          <w:rFonts w:hint="eastAsia" w:ascii="宋体" w:hAnsi="宋体" w:cs="宋体"/>
          <w:color w:val="auto"/>
          <w:kern w:val="0"/>
          <w:sz w:val="24"/>
          <w:lang w:val="en-US" w:eastAsia="zh-CN"/>
        </w:rPr>
        <w:t>17</w:t>
      </w:r>
      <w:r>
        <w:rPr>
          <w:rFonts w:hint="eastAsia" w:ascii="宋体" w:hAnsi="宋体" w:eastAsia="宋体" w:cs="宋体"/>
          <w:color w:val="auto"/>
          <w:kern w:val="0"/>
          <w:sz w:val="24"/>
          <w:lang w:eastAsia="zh-CN"/>
        </w:rPr>
        <w:t>日</w:t>
      </w:r>
      <w:r>
        <w:rPr>
          <w:rFonts w:hint="eastAsia" w:ascii="宋体" w:hAnsi="宋体" w:eastAsia="宋体" w:cs="宋体"/>
          <w:color w:val="auto"/>
          <w:kern w:val="0"/>
          <w:sz w:val="24"/>
        </w:rPr>
        <w:t>，每天上午08:00至12:00，</w:t>
      </w:r>
      <w:bookmarkStart w:id="17" w:name="_GoBack"/>
      <w:bookmarkEnd w:id="17"/>
      <w:r>
        <w:rPr>
          <w:rFonts w:hint="eastAsia" w:ascii="宋体" w:hAnsi="宋体" w:eastAsia="宋体" w:cs="宋体"/>
          <w:color w:val="auto"/>
          <w:kern w:val="0"/>
          <w:sz w:val="24"/>
        </w:rPr>
        <w:t>下午</w:t>
      </w:r>
      <w:r>
        <w:rPr>
          <w:rFonts w:hint="eastAsia" w:ascii="宋体" w:hAnsi="宋体" w:cs="宋体"/>
          <w:color w:val="auto"/>
          <w:kern w:val="0"/>
          <w:sz w:val="24"/>
          <w:lang w:val="en-US" w:eastAsia="zh-CN"/>
        </w:rPr>
        <w:t>12</w:t>
      </w:r>
      <w:r>
        <w:rPr>
          <w:rFonts w:hint="eastAsia" w:ascii="宋体" w:hAnsi="宋体" w:eastAsia="宋体" w:cs="宋体"/>
          <w:color w:val="auto"/>
          <w:kern w:val="0"/>
          <w:sz w:val="24"/>
        </w:rPr>
        <w:t>:</w:t>
      </w:r>
      <w:r>
        <w:rPr>
          <w:rFonts w:hint="eastAsia" w:ascii="宋体" w:hAnsi="宋体" w:cs="宋体"/>
          <w:color w:val="auto"/>
          <w:kern w:val="0"/>
          <w:sz w:val="24"/>
          <w:lang w:val="en-US" w:eastAsia="zh-CN"/>
        </w:rPr>
        <w:t>0</w:t>
      </w:r>
      <w:r>
        <w:rPr>
          <w:rFonts w:hint="eastAsia" w:ascii="宋体" w:hAnsi="宋体" w:eastAsia="宋体" w:cs="宋体"/>
          <w:color w:val="auto"/>
          <w:kern w:val="0"/>
          <w:sz w:val="24"/>
        </w:rPr>
        <w:t>0至</w:t>
      </w:r>
      <w:r>
        <w:rPr>
          <w:rFonts w:hint="eastAsia" w:ascii="宋体" w:hAnsi="宋体" w:cs="宋体"/>
          <w:color w:val="auto"/>
          <w:kern w:val="0"/>
          <w:sz w:val="24"/>
          <w:lang w:val="en-US" w:eastAsia="zh-CN"/>
        </w:rPr>
        <w:t>18</w:t>
      </w:r>
      <w:r>
        <w:rPr>
          <w:rFonts w:hint="eastAsia" w:ascii="宋体" w:hAnsi="宋体" w:eastAsia="宋体" w:cs="宋体"/>
          <w:color w:val="auto"/>
          <w:kern w:val="0"/>
          <w:sz w:val="24"/>
        </w:rPr>
        <w:t>:</w:t>
      </w:r>
      <w:r>
        <w:rPr>
          <w:rFonts w:hint="eastAsia" w:ascii="宋体" w:hAnsi="宋体" w:cs="宋体"/>
          <w:color w:val="auto"/>
          <w:kern w:val="0"/>
          <w:sz w:val="24"/>
          <w:lang w:val="en-US" w:eastAsia="zh-CN"/>
        </w:rPr>
        <w:t>0</w:t>
      </w:r>
      <w:r>
        <w:rPr>
          <w:rFonts w:hint="eastAsia" w:ascii="宋体" w:hAnsi="宋体" w:eastAsia="宋体" w:cs="宋体"/>
          <w:color w:val="auto"/>
          <w:kern w:val="0"/>
          <w:sz w:val="24"/>
        </w:rPr>
        <w:t>0（北京时间，法定节假日除外。）</w:t>
      </w:r>
    </w:p>
    <w:p w14:paraId="19DBE3FB">
      <w:pPr>
        <w:keepNext w:val="0"/>
        <w:keepLines w:val="0"/>
        <w:pageBreakBefore w:val="0"/>
        <w:widowControl/>
        <w:kinsoku/>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2.地点：驻马店市公共资源交易中心电子交易平台(以下简称“交易平台网站”)（https://ggzy.zhumadian.gov.cn ）。</w:t>
      </w:r>
    </w:p>
    <w:p w14:paraId="5775200D">
      <w:pPr>
        <w:pStyle w:val="21"/>
        <w:keepNext w:val="0"/>
        <w:keepLines w:val="0"/>
        <w:pageBreakBefore w:val="0"/>
        <w:kinsoku/>
        <w:overflowPunct/>
        <w:topLinePunct w:val="0"/>
        <w:autoSpaceDE/>
        <w:autoSpaceDN/>
        <w:bidi w:val="0"/>
        <w:adjustRightInd/>
        <w:spacing w:before="0" w:beforeAutospacing="0" w:after="0" w:afterAutospacing="0" w:line="360" w:lineRule="auto"/>
        <w:ind w:firstLine="560"/>
        <w:jc w:val="both"/>
        <w:textAlignment w:val="auto"/>
        <w:rPr>
          <w:rFonts w:hint="eastAsia" w:ascii="宋体" w:hAnsi="宋体" w:eastAsia="宋体" w:cs="宋体"/>
          <w:color w:val="auto"/>
        </w:rPr>
      </w:pPr>
      <w:r>
        <w:rPr>
          <w:rFonts w:hint="eastAsia" w:ascii="宋体" w:hAnsi="宋体" w:eastAsia="宋体" w:cs="宋体"/>
          <w:color w:val="auto"/>
        </w:rPr>
        <w:t>3.方式：登录“交易平台网站”（https://ggzy.zhumadian.gov.cn/TPFront/），凭领取的企业身份认证锁（CA密钥）登录系统进行网上投标报名。在“交易平台网站”（https://ggzy.zhumadian.gov.cn/TPFront/）免费下载谈判文件。供应商未按规定在网上下载谈判文件的，其投标将被拒绝。</w:t>
      </w:r>
    </w:p>
    <w:p w14:paraId="623B4B27">
      <w:pPr>
        <w:pStyle w:val="21"/>
        <w:keepNext w:val="0"/>
        <w:keepLines w:val="0"/>
        <w:pageBreakBefore w:val="0"/>
        <w:kinsoku/>
        <w:overflowPunct/>
        <w:topLinePunct w:val="0"/>
        <w:autoSpaceDE/>
        <w:autoSpaceDN/>
        <w:bidi w:val="0"/>
        <w:adjustRightInd/>
        <w:spacing w:before="0" w:beforeAutospacing="0" w:after="0" w:afterAutospacing="0" w:line="360" w:lineRule="auto"/>
        <w:ind w:firstLine="560"/>
        <w:jc w:val="both"/>
        <w:textAlignment w:val="auto"/>
        <w:rPr>
          <w:rFonts w:hint="eastAsia" w:ascii="宋体" w:hAnsi="宋体" w:eastAsia="宋体" w:cs="宋体"/>
          <w:color w:val="auto"/>
        </w:rPr>
      </w:pPr>
      <w:r>
        <w:rPr>
          <w:rFonts w:hint="eastAsia" w:ascii="宋体" w:hAnsi="宋体" w:eastAsia="宋体" w:cs="宋体"/>
          <w:color w:val="auto"/>
        </w:rPr>
        <w:t>4.售价：0元</w:t>
      </w:r>
    </w:p>
    <w:p w14:paraId="25F27300">
      <w:pPr>
        <w:keepNext w:val="0"/>
        <w:keepLines w:val="0"/>
        <w:pageBreakBefore w:val="0"/>
        <w:kinsoku/>
        <w:overflowPunct/>
        <w:topLinePunct w:val="0"/>
        <w:autoSpaceDE/>
        <w:autoSpaceDN/>
        <w:bidi w:val="0"/>
        <w:adjustRightInd/>
        <w:snapToGrid w:val="0"/>
        <w:spacing w:line="360" w:lineRule="auto"/>
        <w:textAlignment w:val="auto"/>
        <w:rPr>
          <w:rFonts w:hint="eastAsia" w:ascii="宋体" w:hAnsi="宋体" w:eastAsia="宋体" w:cs="宋体"/>
          <w:b/>
          <w:color w:val="auto"/>
          <w:sz w:val="24"/>
        </w:rPr>
      </w:pPr>
      <w:r>
        <w:rPr>
          <w:rFonts w:hint="eastAsia" w:ascii="宋体" w:hAnsi="宋体" w:eastAsia="宋体" w:cs="宋体"/>
          <w:b/>
          <w:color w:val="auto"/>
          <w:sz w:val="24"/>
        </w:rPr>
        <w:t>四、响应文件提交</w:t>
      </w:r>
    </w:p>
    <w:p w14:paraId="1C427951">
      <w:pPr>
        <w:pStyle w:val="21"/>
        <w:keepNext w:val="0"/>
        <w:keepLines w:val="0"/>
        <w:pageBreakBefore w:val="0"/>
        <w:kinsoku/>
        <w:overflowPunct/>
        <w:topLinePunct w:val="0"/>
        <w:autoSpaceDE/>
        <w:autoSpaceDN/>
        <w:bidi w:val="0"/>
        <w:adjustRightInd/>
        <w:spacing w:before="0" w:beforeAutospacing="0" w:after="0" w:afterAutospacing="0" w:line="360" w:lineRule="auto"/>
        <w:ind w:firstLine="560"/>
        <w:jc w:val="both"/>
        <w:textAlignment w:val="auto"/>
        <w:rPr>
          <w:rFonts w:hint="eastAsia" w:ascii="宋体" w:hAnsi="宋体" w:eastAsia="宋体" w:cs="宋体"/>
          <w:color w:val="auto"/>
        </w:rPr>
      </w:pPr>
      <w:r>
        <w:rPr>
          <w:rFonts w:hint="eastAsia" w:ascii="宋体" w:hAnsi="宋体" w:eastAsia="宋体" w:cs="宋体"/>
          <w:color w:val="auto"/>
        </w:rPr>
        <w:t>1.</w:t>
      </w:r>
      <w:r>
        <w:rPr>
          <w:rFonts w:hint="eastAsia" w:cs="宋体"/>
          <w:color w:val="auto"/>
          <w:lang w:val="en-US" w:eastAsia="zh-CN"/>
        </w:rPr>
        <w:t>截止</w:t>
      </w:r>
      <w:r>
        <w:rPr>
          <w:rFonts w:hint="eastAsia" w:ascii="宋体" w:hAnsi="宋体" w:eastAsia="宋体" w:cs="宋体"/>
          <w:color w:val="auto"/>
        </w:rPr>
        <w:t>时间：</w:t>
      </w:r>
      <w:r>
        <w:rPr>
          <w:rFonts w:hint="eastAsia" w:cs="宋体"/>
          <w:color w:val="auto"/>
          <w:lang w:val="en-US" w:eastAsia="zh-CN"/>
        </w:rPr>
        <w:t>2026</w:t>
      </w:r>
      <w:r>
        <w:rPr>
          <w:rFonts w:hint="eastAsia" w:ascii="宋体" w:hAnsi="宋体" w:eastAsia="宋体" w:cs="宋体"/>
          <w:color w:val="auto"/>
          <w:lang w:eastAsia="zh-CN"/>
        </w:rPr>
        <w:t>年</w:t>
      </w:r>
      <w:r>
        <w:rPr>
          <w:rFonts w:hint="eastAsia" w:cs="宋体"/>
          <w:color w:val="auto"/>
          <w:kern w:val="0"/>
          <w:sz w:val="24"/>
          <w:lang w:val="en-US" w:eastAsia="zh-CN"/>
        </w:rPr>
        <w:t>06</w:t>
      </w:r>
      <w:r>
        <w:rPr>
          <w:rFonts w:hint="eastAsia" w:ascii="宋体" w:hAnsi="宋体" w:eastAsia="宋体" w:cs="宋体"/>
          <w:color w:val="auto"/>
          <w:kern w:val="0"/>
          <w:sz w:val="24"/>
          <w:lang w:eastAsia="zh-CN"/>
        </w:rPr>
        <w:t>月</w:t>
      </w:r>
      <w:r>
        <w:rPr>
          <w:rFonts w:hint="eastAsia" w:cs="宋体"/>
          <w:color w:val="auto"/>
          <w:kern w:val="0"/>
          <w:sz w:val="24"/>
          <w:lang w:val="en-US" w:eastAsia="zh-CN"/>
        </w:rPr>
        <w:t>18</w:t>
      </w:r>
      <w:r>
        <w:rPr>
          <w:rFonts w:hint="eastAsia" w:ascii="宋体" w:hAnsi="宋体" w:eastAsia="宋体" w:cs="宋体"/>
          <w:color w:val="auto"/>
          <w:kern w:val="0"/>
          <w:sz w:val="24"/>
          <w:lang w:eastAsia="zh-CN"/>
        </w:rPr>
        <w:t>日</w:t>
      </w:r>
      <w:r>
        <w:rPr>
          <w:rFonts w:hint="eastAsia" w:cs="宋体"/>
          <w:color w:val="auto"/>
          <w:lang w:val="en-US" w:eastAsia="zh-CN"/>
        </w:rPr>
        <w:t>09时00分</w:t>
      </w:r>
      <w:r>
        <w:rPr>
          <w:rFonts w:hint="eastAsia" w:ascii="宋体" w:hAnsi="宋体" w:eastAsia="宋体" w:cs="宋体"/>
          <w:color w:val="auto"/>
        </w:rPr>
        <w:t>（北京时间）</w:t>
      </w:r>
    </w:p>
    <w:p w14:paraId="10045AC7">
      <w:pPr>
        <w:pStyle w:val="21"/>
        <w:keepNext w:val="0"/>
        <w:keepLines w:val="0"/>
        <w:pageBreakBefore w:val="0"/>
        <w:kinsoku/>
        <w:overflowPunct/>
        <w:topLinePunct w:val="0"/>
        <w:autoSpaceDE/>
        <w:autoSpaceDN/>
        <w:bidi w:val="0"/>
        <w:adjustRightInd/>
        <w:spacing w:before="0" w:beforeAutospacing="0" w:after="0" w:afterAutospacing="0" w:line="360" w:lineRule="auto"/>
        <w:ind w:firstLine="560"/>
        <w:jc w:val="both"/>
        <w:textAlignment w:val="auto"/>
        <w:rPr>
          <w:rFonts w:hint="eastAsia" w:ascii="宋体" w:hAnsi="宋体" w:eastAsia="宋体" w:cs="宋体"/>
          <w:color w:val="auto"/>
        </w:rPr>
      </w:pPr>
      <w:r>
        <w:rPr>
          <w:rFonts w:hint="eastAsia" w:ascii="宋体" w:hAnsi="宋体" w:eastAsia="宋体" w:cs="宋体"/>
          <w:color w:val="auto"/>
        </w:rPr>
        <w:t>2.地点：</w:t>
      </w:r>
      <w:r>
        <w:rPr>
          <w:rFonts w:hint="eastAsia" w:ascii="宋体" w:hAnsi="宋体" w:eastAsia="宋体" w:cs="宋体"/>
          <w:kern w:val="0"/>
          <w:sz w:val="24"/>
        </w:rPr>
        <w:t>驻马店市公共资源交易中心电子交易平台</w:t>
      </w:r>
    </w:p>
    <w:p w14:paraId="38FB7AAC">
      <w:pPr>
        <w:keepNext w:val="0"/>
        <w:keepLines w:val="0"/>
        <w:pageBreakBefore w:val="0"/>
        <w:kinsoku/>
        <w:overflowPunct/>
        <w:topLinePunct w:val="0"/>
        <w:autoSpaceDE/>
        <w:autoSpaceDN/>
        <w:bidi w:val="0"/>
        <w:adjustRightInd/>
        <w:snapToGrid w:val="0"/>
        <w:spacing w:line="360" w:lineRule="auto"/>
        <w:textAlignment w:val="auto"/>
        <w:rPr>
          <w:rFonts w:hint="eastAsia" w:ascii="宋体" w:hAnsi="宋体" w:eastAsia="宋体" w:cs="宋体"/>
          <w:b/>
          <w:color w:val="auto"/>
          <w:sz w:val="24"/>
        </w:rPr>
      </w:pPr>
      <w:r>
        <w:rPr>
          <w:rFonts w:hint="eastAsia" w:ascii="宋体" w:hAnsi="宋体" w:eastAsia="宋体" w:cs="宋体"/>
          <w:b/>
          <w:color w:val="auto"/>
          <w:sz w:val="24"/>
        </w:rPr>
        <w:t>五、响应文件开启</w:t>
      </w:r>
    </w:p>
    <w:p w14:paraId="126089FE">
      <w:pPr>
        <w:pStyle w:val="21"/>
        <w:keepNext w:val="0"/>
        <w:keepLines w:val="0"/>
        <w:pageBreakBefore w:val="0"/>
        <w:kinsoku/>
        <w:overflowPunct/>
        <w:topLinePunct w:val="0"/>
        <w:autoSpaceDE/>
        <w:autoSpaceDN/>
        <w:bidi w:val="0"/>
        <w:adjustRightInd/>
        <w:spacing w:before="0" w:beforeAutospacing="0" w:after="0" w:afterAutospacing="0" w:line="360" w:lineRule="auto"/>
        <w:ind w:firstLine="560"/>
        <w:jc w:val="both"/>
        <w:textAlignment w:val="auto"/>
        <w:rPr>
          <w:rFonts w:hint="eastAsia" w:ascii="宋体" w:hAnsi="宋体" w:eastAsia="宋体" w:cs="宋体"/>
          <w:color w:val="auto"/>
        </w:rPr>
      </w:pPr>
      <w:r>
        <w:rPr>
          <w:rFonts w:hint="eastAsia" w:ascii="宋体" w:hAnsi="宋体" w:eastAsia="宋体" w:cs="宋体"/>
          <w:color w:val="auto"/>
        </w:rPr>
        <w:t>1.时间：</w:t>
      </w:r>
      <w:r>
        <w:rPr>
          <w:rFonts w:hint="eastAsia" w:cs="宋体"/>
          <w:color w:val="auto"/>
          <w:lang w:val="en-US" w:eastAsia="zh-CN"/>
        </w:rPr>
        <w:t>2026</w:t>
      </w:r>
      <w:r>
        <w:rPr>
          <w:rFonts w:hint="eastAsia" w:ascii="宋体" w:hAnsi="宋体" w:eastAsia="宋体" w:cs="宋体"/>
          <w:color w:val="auto"/>
          <w:lang w:eastAsia="zh-CN"/>
        </w:rPr>
        <w:t>年</w:t>
      </w:r>
      <w:r>
        <w:rPr>
          <w:rFonts w:hint="eastAsia" w:cs="宋体"/>
          <w:color w:val="auto"/>
          <w:kern w:val="0"/>
          <w:sz w:val="24"/>
          <w:lang w:val="en-US" w:eastAsia="zh-CN"/>
        </w:rPr>
        <w:t>06</w:t>
      </w:r>
      <w:r>
        <w:rPr>
          <w:rFonts w:hint="eastAsia" w:ascii="宋体" w:hAnsi="宋体" w:eastAsia="宋体" w:cs="宋体"/>
          <w:color w:val="auto"/>
          <w:kern w:val="0"/>
          <w:sz w:val="24"/>
          <w:lang w:eastAsia="zh-CN"/>
        </w:rPr>
        <w:t>月</w:t>
      </w:r>
      <w:r>
        <w:rPr>
          <w:rFonts w:hint="eastAsia" w:cs="宋体"/>
          <w:color w:val="auto"/>
          <w:kern w:val="0"/>
          <w:sz w:val="24"/>
          <w:lang w:val="en-US" w:eastAsia="zh-CN"/>
        </w:rPr>
        <w:t>18</w:t>
      </w:r>
      <w:r>
        <w:rPr>
          <w:rFonts w:hint="eastAsia" w:ascii="宋体" w:hAnsi="宋体" w:eastAsia="宋体" w:cs="宋体"/>
          <w:color w:val="auto"/>
          <w:kern w:val="0"/>
          <w:sz w:val="24"/>
          <w:lang w:eastAsia="zh-CN"/>
        </w:rPr>
        <w:t>日</w:t>
      </w:r>
      <w:r>
        <w:rPr>
          <w:rFonts w:hint="eastAsia" w:cs="宋体"/>
          <w:color w:val="auto"/>
          <w:lang w:val="en-US" w:eastAsia="zh-CN"/>
        </w:rPr>
        <w:t>09时00分</w:t>
      </w:r>
      <w:r>
        <w:rPr>
          <w:rFonts w:hint="eastAsia" w:ascii="宋体" w:hAnsi="宋体" w:eastAsia="宋体" w:cs="宋体"/>
          <w:color w:val="auto"/>
        </w:rPr>
        <w:t>（北京时间）</w:t>
      </w:r>
    </w:p>
    <w:p w14:paraId="7D6A9B21">
      <w:pPr>
        <w:pStyle w:val="21"/>
        <w:keepNext w:val="0"/>
        <w:keepLines w:val="0"/>
        <w:pageBreakBefore w:val="0"/>
        <w:kinsoku/>
        <w:overflowPunct/>
        <w:topLinePunct w:val="0"/>
        <w:autoSpaceDE/>
        <w:autoSpaceDN/>
        <w:bidi w:val="0"/>
        <w:adjustRightInd/>
        <w:spacing w:before="0" w:beforeAutospacing="0" w:after="0" w:afterAutospacing="0" w:line="360" w:lineRule="auto"/>
        <w:ind w:firstLine="560"/>
        <w:jc w:val="both"/>
        <w:textAlignment w:val="auto"/>
        <w:rPr>
          <w:rFonts w:hint="eastAsia" w:ascii="宋体" w:hAnsi="宋体" w:eastAsia="宋体" w:cs="宋体"/>
          <w:color w:val="auto"/>
        </w:rPr>
      </w:pPr>
      <w:r>
        <w:rPr>
          <w:rFonts w:hint="eastAsia" w:ascii="宋体" w:hAnsi="宋体" w:eastAsia="宋体" w:cs="宋体"/>
          <w:color w:val="auto"/>
        </w:rPr>
        <w:t>2.地点：汝南县公共资源交易中心电子交易平台不见面开标大厅</w:t>
      </w:r>
      <w:r>
        <w:rPr>
          <w:rFonts w:hint="eastAsia" w:cs="宋体"/>
          <w:color w:val="auto"/>
          <w:lang w:val="en-US" w:eastAsia="zh-CN"/>
        </w:rPr>
        <w:t>一</w:t>
      </w:r>
      <w:r>
        <w:rPr>
          <w:rFonts w:hint="eastAsia" w:ascii="宋体" w:hAnsi="宋体" w:eastAsia="宋体" w:cs="宋体"/>
          <w:color w:val="auto"/>
        </w:rPr>
        <w:t>室</w:t>
      </w:r>
    </w:p>
    <w:p w14:paraId="547D1B4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4"/>
          <w:szCs w:val="24"/>
        </w:rPr>
      </w:pPr>
      <w:r>
        <w:rPr>
          <w:rFonts w:hint="eastAsia" w:ascii="宋体" w:hAnsi="宋体" w:eastAsia="宋体" w:cs="宋体"/>
          <w:b/>
          <w:color w:val="auto"/>
          <w:sz w:val="24"/>
        </w:rPr>
        <w:t>六、</w:t>
      </w:r>
      <w:r>
        <w:rPr>
          <w:rFonts w:hint="eastAsia" w:ascii="宋体" w:hAnsi="宋体" w:eastAsia="宋体" w:cs="宋体"/>
          <w:b/>
          <w:bCs/>
          <w:color w:val="auto"/>
          <w:kern w:val="0"/>
          <w:sz w:val="24"/>
          <w:szCs w:val="24"/>
          <w:lang w:val="en-US" w:eastAsia="zh-CN" w:bidi="ar"/>
        </w:rPr>
        <w:t>发布公告的媒介及竞争性谈判公告期限</w:t>
      </w:r>
    </w:p>
    <w:p w14:paraId="21AA91D3">
      <w:pPr>
        <w:keepNext w:val="0"/>
        <w:keepLines w:val="0"/>
        <w:pageBreakBefore w:val="0"/>
        <w:widowControl/>
        <w:kinsoku/>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 xml:space="preserve">本次竞争性谈判公告在《河南省政府采购网》、《驻马店市公共资源电子交易平台》上发布。竞争性谈判公告期限为三个工作日。 </w:t>
      </w:r>
    </w:p>
    <w:p w14:paraId="441FCCA4">
      <w:pPr>
        <w:keepNext w:val="0"/>
        <w:keepLines w:val="0"/>
        <w:pageBreakBefore w:val="0"/>
        <w:kinsoku/>
        <w:overflowPunct/>
        <w:topLinePunct w:val="0"/>
        <w:autoSpaceDE/>
        <w:autoSpaceDN/>
        <w:bidi w:val="0"/>
        <w:adjustRightInd/>
        <w:snapToGrid w:val="0"/>
        <w:spacing w:line="360" w:lineRule="auto"/>
        <w:textAlignment w:val="auto"/>
        <w:rPr>
          <w:rFonts w:hint="eastAsia" w:ascii="宋体" w:hAnsi="宋体" w:eastAsia="宋体" w:cs="宋体"/>
          <w:b/>
          <w:color w:val="auto"/>
          <w:sz w:val="24"/>
        </w:rPr>
      </w:pPr>
      <w:r>
        <w:rPr>
          <w:rFonts w:hint="eastAsia" w:ascii="宋体" w:hAnsi="宋体" w:eastAsia="宋体" w:cs="宋体"/>
          <w:b/>
          <w:color w:val="auto"/>
          <w:sz w:val="24"/>
        </w:rPr>
        <w:t>七、其他补充事宜</w:t>
      </w:r>
    </w:p>
    <w:p w14:paraId="33742CEA">
      <w:pPr>
        <w:keepNext w:val="0"/>
        <w:keepLines w:val="0"/>
        <w:pageBreakBefore w:val="0"/>
        <w:widowControl/>
        <w:kinsoku/>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7.1本项目采用不见面开标、供应商需要递交电子</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，无需递交纸质文件。</w:t>
      </w:r>
    </w:p>
    <w:p w14:paraId="40DCD9CF">
      <w:pPr>
        <w:pStyle w:val="21"/>
        <w:keepNext w:val="0"/>
        <w:keepLines w:val="0"/>
        <w:pageBreakBefore w:val="0"/>
        <w:kinsoku/>
        <w:overflowPunct/>
        <w:topLinePunct w:val="0"/>
        <w:autoSpaceDE/>
        <w:autoSpaceDN/>
        <w:bidi w:val="0"/>
        <w:adjustRightInd/>
        <w:spacing w:before="0" w:beforeAutospacing="0" w:after="0" w:afterAutospacing="0" w:line="360" w:lineRule="auto"/>
        <w:ind w:firstLine="470"/>
        <w:textAlignment w:val="auto"/>
        <w:rPr>
          <w:rFonts w:hint="eastAsia" w:ascii="宋体" w:hAnsi="宋体" w:eastAsia="宋体" w:cs="宋体"/>
          <w:color w:val="auto"/>
        </w:rPr>
      </w:pPr>
      <w:r>
        <w:rPr>
          <w:rFonts w:hint="eastAsia" w:ascii="宋体" w:hAnsi="宋体" w:eastAsia="宋体" w:cs="宋体"/>
          <w:color w:val="auto"/>
        </w:rPr>
        <w:t>7.2</w:t>
      </w:r>
      <w:r>
        <w:rPr>
          <w:rFonts w:hint="eastAsia" w:cs="宋体"/>
          <w:color w:val="auto"/>
          <w:lang w:eastAsia="zh-CN"/>
        </w:rPr>
        <w:t>响应文件</w:t>
      </w:r>
      <w:r>
        <w:rPr>
          <w:rFonts w:hint="eastAsia" w:ascii="宋体" w:hAnsi="宋体" w:eastAsia="宋体" w:cs="宋体"/>
          <w:color w:val="auto"/>
        </w:rPr>
        <w:t>的上传/递交截止时间（投标截止时间，下同）和地点见谈判文件。加密电子</w:t>
      </w:r>
      <w:r>
        <w:rPr>
          <w:rFonts w:hint="eastAsia" w:cs="宋体"/>
          <w:color w:val="auto"/>
          <w:lang w:eastAsia="zh-CN"/>
        </w:rPr>
        <w:t>响应文件</w:t>
      </w:r>
      <w:r>
        <w:rPr>
          <w:rFonts w:hint="eastAsia" w:ascii="宋体" w:hAnsi="宋体" w:eastAsia="宋体" w:cs="宋体"/>
          <w:color w:val="auto"/>
        </w:rPr>
        <w:t>（*.ZMDTF格式）应在投标截止时间前通过驻马店市公共资源交易电子交易平台（http://ggzy.zhumadian.gov.cn:8820/TPBidder）上传完成。</w:t>
      </w:r>
    </w:p>
    <w:p w14:paraId="4EEA59F7">
      <w:pPr>
        <w:keepNext w:val="0"/>
        <w:keepLines w:val="0"/>
        <w:pageBreakBefore w:val="0"/>
        <w:widowControl/>
        <w:kinsoku/>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7.3本项目采用远程不见面交易的模式。开标当日，供应商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供应商必须使用能正确解密</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的“CA锁”在规定的时间内完成远程解密，因供应商原因未能解密、解密失败或解密超时，视为供应商撤销其</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，系统内</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将被退回；因招标人原因或网上招投标平台发生故障，导致无法按时完成</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解密或开、评标工作无法进行的，可根据实际情况相应延迟解密时间或调整开、评标时间（友情提示：若供应商已领取副锁（含多把副锁）请注意正副锁的使用差别）。</w:t>
      </w:r>
    </w:p>
    <w:p w14:paraId="4F396969">
      <w:pPr>
        <w:pStyle w:val="21"/>
        <w:keepNext w:val="0"/>
        <w:keepLines w:val="0"/>
        <w:pageBreakBefore w:val="0"/>
        <w:kinsoku/>
        <w:overflowPunct/>
        <w:topLinePunct w:val="0"/>
        <w:autoSpaceDE/>
        <w:autoSpaceDN/>
        <w:bidi w:val="0"/>
        <w:adjustRightInd/>
        <w:spacing w:before="0" w:beforeAutospacing="0" w:after="0" w:afterAutospacing="0" w:line="360" w:lineRule="auto"/>
        <w:ind w:firstLine="470"/>
        <w:textAlignment w:val="auto"/>
        <w:rPr>
          <w:rFonts w:hint="eastAsia" w:ascii="宋体" w:hAnsi="宋体" w:eastAsia="宋体" w:cs="宋体"/>
          <w:color w:val="auto"/>
        </w:rPr>
      </w:pPr>
      <w:r>
        <w:rPr>
          <w:rFonts w:hint="eastAsia" w:ascii="宋体" w:hAnsi="宋体" w:eastAsia="宋体" w:cs="宋体"/>
          <w:color w:val="auto"/>
        </w:rPr>
        <w:t>7.4远程开标前，投标供应商务必在驻马店市公共资源交易电子交易平台（http://ggzy.zhumadian.gov.cn:8820/TPBidder）</w:t>
      </w:r>
      <w:r>
        <w:rPr>
          <w:rFonts w:hint="eastAsia" w:cs="宋体"/>
          <w:color w:val="auto"/>
          <w:lang w:eastAsia="zh-CN"/>
        </w:rPr>
        <w:t>响应文件</w:t>
      </w:r>
      <w:r>
        <w:rPr>
          <w:rFonts w:hint="eastAsia" w:ascii="宋体" w:hAnsi="宋体" w:eastAsia="宋体" w:cs="宋体"/>
          <w:color w:val="auto"/>
        </w:rPr>
        <w:t>上传模块中使用“模拟解密”功能，验证本机远程自助解密环境。</w:t>
      </w:r>
    </w:p>
    <w:p w14:paraId="23F559B4">
      <w:pPr>
        <w:keepNext w:val="0"/>
        <w:keepLines w:val="0"/>
        <w:pageBreakBefore w:val="0"/>
        <w:widowControl/>
        <w:kinsoku/>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7.5逾期上传/送达的或者未上传/未送达指定地点的</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，招标人不予受理。</w:t>
      </w:r>
    </w:p>
    <w:p w14:paraId="655A98D0">
      <w:pPr>
        <w:keepNext w:val="0"/>
        <w:keepLines w:val="0"/>
        <w:pageBreakBefore w:val="0"/>
        <w:widowControl/>
        <w:kinsoku/>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7.6本次谈判项目对投标申请人的资格审查采用资格后审方式，主要资格审查标准和内容详见谈判文件，只有资格审查合格的投标申请人才有可能被授予合同。</w:t>
      </w:r>
    </w:p>
    <w:p w14:paraId="41EDD81F">
      <w:pPr>
        <w:keepNext w:val="0"/>
        <w:keepLines w:val="0"/>
        <w:pageBreakBefore w:val="0"/>
        <w:widowControl/>
        <w:kinsoku/>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7.7本项目采用不见面开标，供应商无需递交纸质</w:t>
      </w:r>
      <w:r>
        <w:rPr>
          <w:rFonts w:hint="eastAsia" w:ascii="宋体" w:hAnsi="宋体" w:eastAsia="宋体" w:cs="宋体"/>
          <w:color w:val="auto"/>
          <w:kern w:val="0"/>
          <w:sz w:val="24"/>
          <w:lang w:eastAsia="zh-CN"/>
        </w:rPr>
        <w:t>响应文件</w:t>
      </w:r>
      <w:r>
        <w:rPr>
          <w:rFonts w:hint="eastAsia" w:ascii="宋体" w:hAnsi="宋体" w:eastAsia="宋体" w:cs="宋体"/>
          <w:color w:val="auto"/>
          <w:kern w:val="0"/>
          <w:sz w:val="24"/>
        </w:rPr>
        <w:t>及原件。</w:t>
      </w:r>
    </w:p>
    <w:p w14:paraId="67A46887">
      <w:pPr>
        <w:keepNext w:val="0"/>
        <w:keepLines w:val="0"/>
        <w:pageBreakBefore w:val="0"/>
        <w:widowControl/>
        <w:kinsoku/>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7.</w:t>
      </w:r>
      <w:r>
        <w:rPr>
          <w:rFonts w:hint="eastAsia" w:ascii="宋体" w:hAnsi="宋体" w:eastAsia="宋体" w:cs="宋体"/>
          <w:color w:val="auto"/>
          <w:kern w:val="0"/>
          <w:sz w:val="24"/>
          <w:lang w:val="en-US" w:eastAsia="zh-CN"/>
        </w:rPr>
        <w:t>8</w:t>
      </w:r>
      <w:r>
        <w:rPr>
          <w:rFonts w:hint="eastAsia" w:ascii="宋体" w:hAnsi="宋体" w:eastAsia="宋体" w:cs="宋体"/>
          <w:color w:val="auto"/>
          <w:kern w:val="0"/>
          <w:sz w:val="24"/>
          <w:lang w:eastAsia="zh-CN"/>
        </w:rPr>
        <w:t>项目编号</w:t>
      </w:r>
      <w:r>
        <w:rPr>
          <w:rFonts w:hint="eastAsia" w:ascii="宋体" w:hAnsi="宋体" w:eastAsia="宋体" w:cs="宋体"/>
          <w:color w:val="auto"/>
          <w:kern w:val="0"/>
          <w:sz w:val="24"/>
        </w:rPr>
        <w:t>：</w:t>
      </w:r>
      <w:r>
        <w:rPr>
          <w:rFonts w:hint="eastAsia" w:ascii="宋体" w:hAnsi="宋体" w:cs="宋体"/>
          <w:color w:val="auto"/>
          <w:kern w:val="0"/>
          <w:sz w:val="24"/>
          <w:lang w:eastAsia="zh-CN"/>
        </w:rPr>
        <w:t>汝竞谈[2026]49号</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lang w:val="en-US" w:eastAsia="zh-CN"/>
        </w:rPr>
        <w:t>采购编号：汝政采购-2026-</w:t>
      </w:r>
      <w:r>
        <w:rPr>
          <w:rFonts w:hint="eastAsia" w:ascii="宋体" w:hAnsi="宋体" w:cs="宋体"/>
          <w:color w:val="auto"/>
          <w:kern w:val="0"/>
          <w:sz w:val="24"/>
          <w:lang w:val="en-US" w:eastAsia="zh-CN"/>
        </w:rPr>
        <w:t>06-1</w:t>
      </w:r>
      <w:r>
        <w:rPr>
          <w:rFonts w:hint="eastAsia" w:ascii="宋体" w:hAnsi="宋体" w:eastAsia="宋体" w:cs="宋体"/>
          <w:color w:val="auto"/>
          <w:kern w:val="0"/>
          <w:sz w:val="24"/>
          <w:lang w:val="en-US" w:eastAsia="zh-CN"/>
        </w:rPr>
        <w:t>。</w:t>
      </w:r>
    </w:p>
    <w:p w14:paraId="05FCA489">
      <w:pPr>
        <w:keepNext w:val="0"/>
        <w:keepLines w:val="0"/>
        <w:pageBreakBefore w:val="0"/>
        <w:kinsoku/>
        <w:overflowPunct/>
        <w:topLinePunct w:val="0"/>
        <w:autoSpaceDE/>
        <w:autoSpaceDN/>
        <w:bidi w:val="0"/>
        <w:adjustRightInd/>
        <w:snapToGrid w:val="0"/>
        <w:spacing w:line="360" w:lineRule="auto"/>
        <w:textAlignment w:val="auto"/>
        <w:rPr>
          <w:rFonts w:hint="eastAsia" w:ascii="宋体" w:hAnsi="宋体" w:eastAsia="宋体" w:cs="宋体"/>
          <w:b/>
          <w:color w:val="auto"/>
          <w:sz w:val="24"/>
        </w:rPr>
      </w:pPr>
      <w:r>
        <w:rPr>
          <w:rFonts w:hint="eastAsia" w:ascii="宋体" w:hAnsi="宋体" w:eastAsia="宋体" w:cs="宋体"/>
          <w:b/>
          <w:color w:val="auto"/>
          <w:sz w:val="24"/>
        </w:rPr>
        <w:t>八</w:t>
      </w:r>
      <w:r>
        <w:rPr>
          <w:rFonts w:hint="eastAsia" w:ascii="宋体" w:hAnsi="宋体" w:cs="宋体"/>
          <w:b/>
          <w:color w:val="auto"/>
          <w:sz w:val="24"/>
          <w:lang w:eastAsia="zh-CN"/>
        </w:rPr>
        <w:t>、</w:t>
      </w:r>
      <w:r>
        <w:rPr>
          <w:rFonts w:hint="eastAsia" w:ascii="宋体" w:hAnsi="宋体" w:eastAsia="宋体" w:cs="宋体"/>
          <w:b/>
          <w:bCs/>
          <w:color w:val="auto"/>
          <w:kern w:val="0"/>
          <w:sz w:val="24"/>
          <w:szCs w:val="24"/>
          <w:lang w:val="en-US" w:eastAsia="zh-CN" w:bidi="ar"/>
        </w:rPr>
        <w:t>凡对本次招标提出询问，请按照以下方式联系</w:t>
      </w:r>
    </w:p>
    <w:p w14:paraId="6C6FC09D">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1. 采购人信息</w:t>
      </w:r>
    </w:p>
    <w:p w14:paraId="3B8F3AD2">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0"/>
          <w:sz w:val="24"/>
          <w:lang w:eastAsia="zh-CN"/>
        </w:rPr>
      </w:pPr>
      <w:r>
        <w:rPr>
          <w:rFonts w:hint="eastAsia" w:ascii="宋体" w:hAnsi="宋体" w:eastAsia="宋体" w:cs="宋体"/>
          <w:color w:val="auto"/>
          <w:kern w:val="0"/>
          <w:sz w:val="24"/>
        </w:rPr>
        <w:t>名称：</w:t>
      </w:r>
      <w:r>
        <w:rPr>
          <w:rFonts w:hint="eastAsia" w:ascii="宋体" w:hAnsi="宋体" w:cs="宋体"/>
          <w:color w:val="auto"/>
          <w:kern w:val="0"/>
          <w:sz w:val="24"/>
          <w:lang w:eastAsia="zh-CN"/>
        </w:rPr>
        <w:t>汝南县市场监督管理局</w:t>
      </w:r>
    </w:p>
    <w:p w14:paraId="132FD9EC">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宋体" w:cs="宋体"/>
          <w:b w:val="0"/>
          <w:bCs w:val="0"/>
          <w:color w:val="auto"/>
          <w:kern w:val="0"/>
          <w:sz w:val="24"/>
          <w:lang w:val="en-US" w:eastAsia="zh-CN"/>
        </w:rPr>
      </w:pPr>
      <w:r>
        <w:rPr>
          <w:rFonts w:hint="eastAsia" w:ascii="宋体" w:hAnsi="宋体" w:eastAsia="宋体" w:cs="宋体"/>
          <w:b w:val="0"/>
          <w:bCs w:val="0"/>
          <w:color w:val="auto"/>
          <w:kern w:val="0"/>
          <w:sz w:val="24"/>
        </w:rPr>
        <w:t>地址：汝南县梁祝大道与南海大道交叉口南50米</w:t>
      </w:r>
    </w:p>
    <w:p w14:paraId="595D5122">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联系人：</w:t>
      </w:r>
      <w:r>
        <w:rPr>
          <w:rFonts w:hint="eastAsia" w:ascii="宋体" w:hAnsi="宋体" w:cs="宋体"/>
          <w:color w:val="auto"/>
          <w:kern w:val="0"/>
          <w:sz w:val="24"/>
          <w:lang w:val="en-US" w:eastAsia="zh-CN"/>
        </w:rPr>
        <w:t>秦娟</w:t>
      </w:r>
      <w:r>
        <w:rPr>
          <w:rFonts w:hint="eastAsia" w:ascii="宋体" w:hAnsi="宋体" w:eastAsia="宋体" w:cs="宋体"/>
          <w:color w:val="auto"/>
          <w:kern w:val="0"/>
          <w:sz w:val="24"/>
        </w:rPr>
        <w:t xml:space="preserve"> </w:t>
      </w:r>
    </w:p>
    <w:p w14:paraId="2B9D4679">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宋体" w:cs="宋体"/>
          <w:color w:val="auto"/>
          <w:kern w:val="0"/>
          <w:sz w:val="24"/>
          <w:lang w:val="en-US" w:eastAsia="zh-CN"/>
        </w:rPr>
      </w:pPr>
      <w:r>
        <w:rPr>
          <w:rFonts w:hint="eastAsia" w:ascii="宋体" w:hAnsi="宋体" w:eastAsia="宋体" w:cs="宋体"/>
          <w:color w:val="auto"/>
          <w:kern w:val="0"/>
          <w:sz w:val="24"/>
        </w:rPr>
        <w:t>联系方式：</w:t>
      </w:r>
      <w:r>
        <w:rPr>
          <w:rFonts w:hint="eastAsia" w:ascii="宋体" w:hAnsi="宋体" w:cs="宋体"/>
          <w:color w:val="auto"/>
          <w:kern w:val="0"/>
          <w:sz w:val="24"/>
          <w:lang w:val="en-US" w:eastAsia="zh-CN"/>
        </w:rPr>
        <w:t>0396-8022611</w:t>
      </w:r>
    </w:p>
    <w:p w14:paraId="1FF49574">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2.采购采购代理机构信息</w:t>
      </w:r>
    </w:p>
    <w:p w14:paraId="6CD6A239">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名称：汝南县城投丰达全过程管理有限公司</w:t>
      </w:r>
    </w:p>
    <w:p w14:paraId="780D3BBE">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地址：河南省驻马店市汝南县梁祝大道与南海大道交叉口南200米23号</w:t>
      </w:r>
    </w:p>
    <w:p w14:paraId="0E36BAEB">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联系人：李佳欣</w:t>
      </w:r>
    </w:p>
    <w:p w14:paraId="5645F3FC">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联系方式：18338575333</w:t>
      </w:r>
    </w:p>
    <w:p w14:paraId="51358F19">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3.项目联系方式</w:t>
      </w:r>
    </w:p>
    <w:p w14:paraId="460879A7">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联系人：</w:t>
      </w:r>
      <w:r>
        <w:rPr>
          <w:rFonts w:hint="eastAsia" w:ascii="宋体" w:hAnsi="宋体" w:cs="宋体"/>
          <w:color w:val="auto"/>
          <w:kern w:val="0"/>
          <w:sz w:val="24"/>
          <w:lang w:val="en-US" w:eastAsia="zh-CN"/>
        </w:rPr>
        <w:t>秦娟</w:t>
      </w:r>
      <w:r>
        <w:rPr>
          <w:rFonts w:hint="eastAsia" w:ascii="宋体" w:hAnsi="宋体" w:eastAsia="宋体" w:cs="宋体"/>
          <w:color w:val="auto"/>
          <w:kern w:val="0"/>
          <w:sz w:val="24"/>
        </w:rPr>
        <w:t xml:space="preserve"> </w:t>
      </w:r>
    </w:p>
    <w:p w14:paraId="60C47B0B">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宋体" w:cs="宋体"/>
          <w:color w:val="auto"/>
          <w:kern w:val="0"/>
          <w:sz w:val="24"/>
          <w:lang w:val="en-US" w:eastAsia="zh-CN"/>
        </w:rPr>
      </w:pPr>
      <w:r>
        <w:rPr>
          <w:rFonts w:hint="eastAsia" w:ascii="宋体" w:hAnsi="宋体" w:eastAsia="宋体" w:cs="宋体"/>
          <w:color w:val="auto"/>
          <w:kern w:val="0"/>
          <w:sz w:val="24"/>
        </w:rPr>
        <w:t>联系方式：</w:t>
      </w:r>
      <w:r>
        <w:rPr>
          <w:rFonts w:hint="eastAsia" w:ascii="宋体" w:hAnsi="宋体" w:cs="宋体"/>
          <w:color w:val="auto"/>
          <w:kern w:val="0"/>
          <w:sz w:val="24"/>
          <w:lang w:val="en-US" w:eastAsia="zh-CN"/>
        </w:rPr>
        <w:t>0396-8022611</w:t>
      </w:r>
    </w:p>
    <w:p w14:paraId="126D7779">
      <w:pPr>
        <w:pStyle w:val="21"/>
        <w:spacing w:before="0" w:beforeAutospacing="0" w:after="0" w:afterAutospacing="0" w:line="360" w:lineRule="auto"/>
        <w:ind w:firstLine="562" w:firstLineChars="200"/>
        <w:jc w:val="both"/>
        <w:rPr>
          <w:rFonts w:hint="eastAsia" w:eastAsia="宋体"/>
          <w:bCs/>
          <w:color w:val="auto"/>
          <w:lang w:eastAsia="zh-CN"/>
        </w:rPr>
      </w:pPr>
      <w:r>
        <w:rPr>
          <w:rFonts w:hint="eastAsia" w:ascii="宋体" w:hAnsi="宋体" w:eastAsia="宋体" w:cs="宋体"/>
          <w:b/>
          <w:bCs/>
          <w:color w:val="auto"/>
          <w:kern w:val="0"/>
          <w:sz w:val="28"/>
          <w:szCs w:val="28"/>
        </w:rPr>
        <w:br w:type="page"/>
      </w:r>
    </w:p>
    <w:p w14:paraId="133126E3">
      <w:pPr>
        <w:pStyle w:val="15"/>
        <w:jc w:val="center"/>
        <w:rPr>
          <w:rFonts w:hint="eastAsia" w:ascii="宋体" w:hAnsi="宋体" w:eastAsia="宋体" w:cs="宋体"/>
          <w:b/>
          <w:bCs/>
          <w:color w:val="auto"/>
          <w:kern w:val="0"/>
          <w:sz w:val="28"/>
          <w:szCs w:val="28"/>
        </w:rPr>
      </w:pPr>
      <w:r>
        <w:rPr>
          <w:rFonts w:hint="eastAsia" w:ascii="宋体" w:hAnsi="宋体" w:eastAsia="宋体" w:cs="宋体"/>
          <w:b/>
          <w:bCs/>
          <w:color w:val="auto"/>
          <w:kern w:val="0"/>
          <w:sz w:val="28"/>
          <w:szCs w:val="28"/>
        </w:rPr>
        <w:t>特 别 提 示</w:t>
      </w:r>
    </w:p>
    <w:p w14:paraId="68EC0995">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 xml:space="preserve">1、谈判供应商注册 </w:t>
      </w:r>
    </w:p>
    <w:p w14:paraId="447CBB68">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谈判供应商首先通过“驻马店市公共资源交易中心”网站进行注册，然后按网站下载中心（其他）“诚信库申报操作手册”指导填写诚信库信息，自行核验通过后，按网站下载中心（其他）“办理HNXACA单位个人数字证书所需材料下载”准备齐资料，最后到驻马店市公共资源交易中心（驻马店市文明路1196号公共资源交易中心1F大厅）办理 CA 密钥。</w:t>
      </w:r>
    </w:p>
    <w:p w14:paraId="6A7AF6FD">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2、</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 xml:space="preserve">制作 </w:t>
      </w:r>
    </w:p>
    <w:p w14:paraId="1BB8831C">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2.1、谈判供应商通过“驻马店市公共资源交易中心”网站下载中心（政府采购类）：下载“新点投标文件制作软件（驻马店）”。</w:t>
      </w:r>
    </w:p>
    <w:p w14:paraId="2522FB40">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2.2、谈判供应商凭 CA 密钥登陆交易系统下载竞争性谈判文件(.zmdzf 格 式)。</w:t>
      </w:r>
    </w:p>
    <w:p w14:paraId="17CB44A4">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2.3、谈判供应商须在</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递交截止时间前制作并提交：</w:t>
      </w:r>
    </w:p>
    <w:p w14:paraId="20AF732D">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（1）加密的电子</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（.zmdtf 格式）,应在递交</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截止时间前通过“驻马店市公共资源交易中心”电子交易平台内上传；</w:t>
      </w:r>
    </w:p>
    <w:p w14:paraId="02A35780">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2.4、加密的电子</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为“驻马店市公共资源交易中心”网站提供的“新点投标文件制作软件（驻马店）”制作生成的加密版</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。未加密的电子</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应与加密的电子</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为同时生成的版本。</w:t>
      </w:r>
    </w:p>
    <w:p w14:paraId="25B98882">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2.5、谈判供应商在编制电子</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时，生成后的电子</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须按竞争性谈判文件的格式要求完成电子签字或盖章。其他要求签字盖章的竞争性谈判文件格式内容，谈判供应商须将盖章签字后的扫描图片替换到相应格式中。</w:t>
      </w:r>
    </w:p>
    <w:p w14:paraId="59240A8C">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2.6、竞争性谈判文件格式所要求包含的全部资料应全部制作在</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内，严格按照本项目竞争性谈判文件所有格式如实填写（不涉及的内容除外），不应存在漏项或缺项，否则将存在</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被拒绝的风险。</w:t>
      </w:r>
    </w:p>
    <w:p w14:paraId="5F10BBD2">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2.7、</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以外的任何资料采购人和采购代理机构将拒收。</w:t>
      </w:r>
    </w:p>
    <w:p w14:paraId="11BDCBF2">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2.8、谈判供应商编辑电子</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时，根据竞争性谈判文件要求用法人 CA 密钥和企业CA 密钥进行签章制作；最后一步生成电子</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（.zmdtf 格式和.nzmdtf 格式）时，只能用本单位的企业 CA 密钥。</w:t>
      </w:r>
    </w:p>
    <w:p w14:paraId="407142F2">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2.9、电子</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制作流程，可参考驻马店市公共资源交易中心官方网站的，下载中心板块的视频</w:t>
      </w:r>
    </w:p>
    <w:p w14:paraId="618828B3">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 xml:space="preserve">3、澄清与变更 </w:t>
      </w:r>
    </w:p>
    <w:p w14:paraId="3C061616">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采购人、采购代理机构对已发出的竞争性谈判文件进行的澄清、更正或更改，澄清、更正或更改的内容将作为竞争性谈判文件的组成部分。采购代理机构将通过网站“变更公告”和“答疑文件”告知谈判供应商。各谈判供应商须下载竞争性谈判文件和最新的答疑文件，以此编制</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w:t>
      </w:r>
    </w:p>
    <w:p w14:paraId="4327658A">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4、因驻马店市公共资源交易中心平台在谈判开始前具有保密性，谈判供应商在</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 xml:space="preserve">递交截止时间前须自行查看项目进展、变更通知、澄清及回复，因谈判供应商未及时查看而造成的后果自负。 </w:t>
      </w:r>
    </w:p>
    <w:p w14:paraId="774CCF2F">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5、因驻马店不见面交易系统具备视频直播、语音通话等，对网络带宽及硬件要求相对较高的功能，故供应商在参与使用不见面交易系统开标的项目时，需确认是否满足如下要求：</w:t>
      </w:r>
    </w:p>
    <w:p w14:paraId="4FA169A1">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5.1、网络要求：</w:t>
      </w:r>
    </w:p>
    <w:p w14:paraId="4088A04E">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网络带宽4M以上。</w:t>
      </w:r>
    </w:p>
    <w:p w14:paraId="1869CE23">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5.2、硬件要求：</w:t>
      </w:r>
    </w:p>
    <w:p w14:paraId="5ADF9036">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电脑要求内存4G及以上，且需配套网络摄像头、麦克风、音箱等，并确保其均能正常运转。操作系统要求Windows7及以上，IE浏览器IE11及以上。</w:t>
      </w:r>
    </w:p>
    <w:p w14:paraId="44B6AC23">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5.3、人员要求：</w:t>
      </w:r>
    </w:p>
    <w:p w14:paraId="3798F657">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对于参与不见面交易系统开标的供应商代表，要求能熟练掌握电脑基础操作。</w:t>
      </w:r>
    </w:p>
    <w:p w14:paraId="716D3EF3">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6、不见面开标需要使用CA数字证书登陆不见面开标大厅，并且使用CA锁来解密招</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，各交易主体务必关注CA数字证书的过期时间，提前办理相关延期业务，避免因为过期而无法解密。</w:t>
      </w:r>
    </w:p>
    <w:p w14:paraId="574DC422">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7、不见面开标操作手册下载地址：</w:t>
      </w:r>
    </w:p>
    <w:p w14:paraId="603F8C44">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"http://www.zmdggzy.gov.cn/TPFront/InfoDetail/?InfoID=6e085538-6be5-4d25-80b2-12f5fc669ba1&amp;CategoryNum=026005" </w:instrText>
      </w:r>
      <w:r>
        <w:rPr>
          <w:rFonts w:hint="eastAsia" w:ascii="宋体" w:hAnsi="宋体" w:eastAsia="宋体" w:cs="宋体"/>
          <w:color w:val="auto"/>
        </w:rPr>
        <w:fldChar w:fldCharType="separate"/>
      </w:r>
      <w:r>
        <w:rPr>
          <w:rFonts w:hint="eastAsia" w:ascii="宋体" w:hAnsi="宋体" w:eastAsia="宋体" w:cs="宋体"/>
          <w:color w:val="auto"/>
          <w:kern w:val="0"/>
          <w:sz w:val="24"/>
        </w:rPr>
        <w:t>http://ggzy.zhumadian.gov.cn/TPFront/InfoDetail/?InfoID=6e085538-6be5-4d25-80b2-12f5fc669ba1&amp;CategoryNum=026005</w:t>
      </w:r>
      <w:r>
        <w:rPr>
          <w:rFonts w:hint="eastAsia" w:ascii="宋体" w:hAnsi="宋体" w:eastAsia="宋体" w:cs="宋体"/>
          <w:color w:val="auto"/>
          <w:kern w:val="0"/>
          <w:sz w:val="24"/>
        </w:rPr>
        <w:fldChar w:fldCharType="end"/>
      </w:r>
      <w:r>
        <w:rPr>
          <w:rFonts w:hint="eastAsia" w:ascii="宋体" w:hAnsi="宋体" w:eastAsia="宋体" w:cs="宋体"/>
          <w:color w:val="auto"/>
          <w:kern w:val="0"/>
          <w:sz w:val="24"/>
        </w:rPr>
        <w:t>）</w:t>
      </w:r>
    </w:p>
    <w:p w14:paraId="11EDA170">
      <w:pPr>
        <w:rPr>
          <w:rFonts w:hint="eastAsia" w:ascii="宋体" w:hAnsi="宋体" w:eastAsia="宋体" w:cs="宋体"/>
          <w:b/>
          <w:bCs/>
          <w:color w:val="auto"/>
          <w:kern w:val="0"/>
          <w:sz w:val="32"/>
          <w:szCs w:val="32"/>
        </w:rPr>
      </w:pPr>
      <w:r>
        <w:rPr>
          <w:rFonts w:hint="eastAsia" w:ascii="宋体" w:hAnsi="宋体" w:eastAsia="宋体" w:cs="宋体"/>
          <w:b/>
          <w:bCs/>
          <w:color w:val="auto"/>
          <w:kern w:val="0"/>
          <w:sz w:val="32"/>
          <w:szCs w:val="32"/>
        </w:rPr>
        <w:br w:type="page"/>
      </w:r>
    </w:p>
    <w:p w14:paraId="4621AE5F">
      <w:pPr>
        <w:widowControl/>
        <w:shd w:val="clear" w:color="auto" w:fill="FFFFFF"/>
        <w:spacing w:line="460" w:lineRule="atLeast"/>
        <w:jc w:val="center"/>
        <w:rPr>
          <w:rFonts w:hint="eastAsia" w:ascii="宋体" w:hAnsi="宋体" w:eastAsia="宋体" w:cs="宋体"/>
          <w:b/>
          <w:color w:val="auto"/>
          <w:kern w:val="0"/>
          <w:sz w:val="32"/>
          <w:szCs w:val="32"/>
        </w:rPr>
      </w:pPr>
      <w:r>
        <w:rPr>
          <w:rFonts w:hint="eastAsia" w:ascii="宋体" w:hAnsi="宋体" w:eastAsia="宋体" w:cs="宋体"/>
          <w:b/>
          <w:bCs/>
          <w:color w:val="auto"/>
          <w:kern w:val="0"/>
          <w:sz w:val="32"/>
          <w:szCs w:val="32"/>
        </w:rPr>
        <w:t>第二章  采购</w:t>
      </w:r>
      <w:r>
        <w:rPr>
          <w:rFonts w:hint="eastAsia" w:ascii="宋体" w:hAnsi="宋体" w:eastAsia="宋体" w:cs="宋体"/>
          <w:b/>
          <w:color w:val="auto"/>
          <w:kern w:val="0"/>
          <w:sz w:val="32"/>
          <w:szCs w:val="32"/>
        </w:rPr>
        <w:t>需求</w:t>
      </w:r>
    </w:p>
    <w:p w14:paraId="3A1C7DB8">
      <w:pPr>
        <w:widowControl/>
        <w:snapToGrid w:val="0"/>
        <w:spacing w:line="360" w:lineRule="auto"/>
        <w:jc w:val="left"/>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一、供应商资格要求</w:t>
      </w:r>
    </w:p>
    <w:p w14:paraId="314D6983">
      <w:pPr>
        <w:widowControl/>
        <w:snapToGrid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1.满足《中华人民共和国政府采购法》第二十二条规定；</w:t>
      </w:r>
    </w:p>
    <w:p w14:paraId="01D4FBBE">
      <w:pPr>
        <w:widowControl/>
        <w:wordWrap w:val="0"/>
        <w:snapToGrid w:val="0"/>
        <w:spacing w:line="360" w:lineRule="auto"/>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根据《驻马店市财政局关于推行政府采购资格审查环节信用承诺制的通知》(驻财购〔2022〕15号)和《汝南县财政局关于推行政府采购资格审查环节信用承诺制的通知》 (汝财购〔2022〕13号)的规定，供应商只需在资格审查环节提供满足相应条件的书面承诺书，无需提交以下证明材料。（格式见第五章附件）</w:t>
      </w:r>
    </w:p>
    <w:p w14:paraId="03685569">
      <w:pPr>
        <w:widowControl/>
        <w:wordWrap w:val="0"/>
        <w:snapToGrid w:val="0"/>
        <w:spacing w:line="360" w:lineRule="auto"/>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(一)具有独立承担民事责任的能力；</w:t>
      </w:r>
    </w:p>
    <w:p w14:paraId="286C4F62">
      <w:pPr>
        <w:widowControl/>
        <w:wordWrap w:val="0"/>
        <w:snapToGrid w:val="0"/>
        <w:spacing w:line="360" w:lineRule="auto"/>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(二)具有良好的商业信誉和健全的财务会计制度；</w:t>
      </w:r>
    </w:p>
    <w:p w14:paraId="3AA85FEE">
      <w:pPr>
        <w:widowControl/>
        <w:wordWrap w:val="0"/>
        <w:snapToGrid w:val="0"/>
        <w:spacing w:line="360" w:lineRule="auto"/>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(三)具有履行合同所必需的设备和专业技术能力；</w:t>
      </w:r>
    </w:p>
    <w:p w14:paraId="781E0E8D">
      <w:pPr>
        <w:widowControl/>
        <w:wordWrap w:val="0"/>
        <w:snapToGrid w:val="0"/>
        <w:spacing w:line="360" w:lineRule="auto"/>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(四)有依法缴纳税收和社会保障资金的良好记录；</w:t>
      </w:r>
    </w:p>
    <w:p w14:paraId="60D4625B">
      <w:pPr>
        <w:widowControl/>
        <w:wordWrap w:val="0"/>
        <w:snapToGrid w:val="0"/>
        <w:spacing w:line="360" w:lineRule="auto"/>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(五)参加政府采购活动前三年内，在经营活动中没有重大违法记录；</w:t>
      </w:r>
    </w:p>
    <w:p w14:paraId="03D49079">
      <w:pPr>
        <w:widowControl/>
        <w:wordWrap w:val="0"/>
        <w:snapToGrid w:val="0"/>
        <w:spacing w:line="360" w:lineRule="auto"/>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(六)未被列入严重失信主体名单、失信被执行人、税收违法失信主体、政府采购严重违法失信行为记录名单，未曾作出虚假承诺；</w:t>
      </w:r>
    </w:p>
    <w:p w14:paraId="3143FA51">
      <w:pPr>
        <w:widowControl/>
        <w:wordWrap w:val="0"/>
        <w:snapToGrid w:val="0"/>
        <w:spacing w:line="360" w:lineRule="auto"/>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(七)符合法律、行政法规规定的其他条件。</w:t>
      </w:r>
    </w:p>
    <w:p w14:paraId="17A93008">
      <w:pPr>
        <w:widowControl/>
        <w:snapToGrid w:val="0"/>
        <w:spacing w:line="360" w:lineRule="auto"/>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2.落实政府采购政策满足的资格要求：</w:t>
      </w:r>
    </w:p>
    <w:p w14:paraId="12DD0E65">
      <w:pPr>
        <w:widowControl/>
        <w:snapToGrid w:val="0"/>
        <w:spacing w:line="360" w:lineRule="auto"/>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采购项目需要落实的政府采购政策：促进中小企业、监狱企业和残疾人福利企业发展扶持政策、政府强制采购节能产品强制采购、节能产品及环境标志产品优先采购等。</w:t>
      </w:r>
    </w:p>
    <w:p w14:paraId="29850E87">
      <w:pPr>
        <w:widowControl/>
        <w:snapToGrid w:val="0"/>
        <w:spacing w:line="360" w:lineRule="auto"/>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3.其他特定条件：</w:t>
      </w:r>
    </w:p>
    <w:p w14:paraId="41C8C794">
      <w:pPr>
        <w:widowControl/>
        <w:snapToGrid w:val="0"/>
        <w:spacing w:line="360" w:lineRule="auto"/>
        <w:ind w:firstLine="480" w:firstLineChars="20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3.1</w:t>
      </w:r>
      <w:r>
        <w:rPr>
          <w:rFonts w:hint="eastAsia" w:ascii="宋体" w:hAnsi="宋体" w:cs="宋体"/>
          <w:color w:val="auto"/>
          <w:kern w:val="0"/>
          <w:sz w:val="24"/>
          <w:lang w:val="en-US" w:eastAsia="zh-CN"/>
        </w:rPr>
        <w:t>.</w:t>
      </w:r>
      <w:r>
        <w:rPr>
          <w:rFonts w:hint="eastAsia" w:ascii="宋体" w:hAnsi="宋体" w:eastAsia="宋体" w:cs="宋体"/>
          <w:color w:val="auto"/>
          <w:kern w:val="0"/>
          <w:sz w:val="24"/>
          <w:lang w:val="en-US" w:eastAsia="zh-CN"/>
        </w:rPr>
        <w:t>法定代表人本人参加投标的，</w:t>
      </w:r>
      <w:r>
        <w:rPr>
          <w:rFonts w:hint="eastAsia" w:ascii="宋体" w:hAnsi="宋体" w:cs="宋体"/>
          <w:color w:val="auto"/>
          <w:kern w:val="0"/>
          <w:sz w:val="24"/>
          <w:lang w:val="en-US" w:eastAsia="zh-CN"/>
        </w:rPr>
        <w:t>提供法定代表人身份证（原件的扫描件）；法定代表人委托代理人参加投标的，提供法人授权委托书（原件的扫描件）、委托代理人的身份证、劳动合同</w:t>
      </w:r>
      <w:r>
        <w:rPr>
          <w:rFonts w:hint="eastAsia" w:ascii="宋体" w:hAnsi="宋体" w:eastAsia="宋体" w:cs="宋体"/>
          <w:color w:val="auto"/>
          <w:kern w:val="0"/>
          <w:sz w:val="24"/>
          <w:lang w:val="en-US" w:eastAsia="zh-CN"/>
        </w:rPr>
        <w:t>（原件的扫描件）。</w:t>
      </w:r>
    </w:p>
    <w:p w14:paraId="58A3FE03">
      <w:pPr>
        <w:widowControl/>
        <w:snapToGrid w:val="0"/>
        <w:spacing w:line="360" w:lineRule="auto"/>
        <w:ind w:firstLine="480" w:firstLineChars="20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3.2</w:t>
      </w:r>
      <w:r>
        <w:rPr>
          <w:rFonts w:hint="eastAsia" w:ascii="宋体" w:hAnsi="宋体" w:cs="宋体"/>
          <w:color w:val="auto"/>
          <w:kern w:val="0"/>
          <w:sz w:val="24"/>
          <w:lang w:val="en-US" w:eastAsia="zh-CN"/>
        </w:rPr>
        <w:t>.供应商须具有有效的检验检测机构资质认定证书(CMA)（原件的扫描件）；具有保证检验检测质量、按照规定时限完成检验检测任务、提供良好的检验检测相关服务的能力，确保其通过认证的参数必须全部覆盖投标的品种，出具承诺并加盖供应商公章（原件的扫描件）</w:t>
      </w:r>
      <w:r>
        <w:rPr>
          <w:rFonts w:hint="eastAsia" w:ascii="宋体" w:hAnsi="宋体" w:eastAsia="宋体" w:cs="宋体"/>
          <w:color w:val="auto"/>
          <w:kern w:val="0"/>
          <w:sz w:val="24"/>
          <w:lang w:val="en-US" w:eastAsia="zh-CN"/>
        </w:rPr>
        <w:t>。</w:t>
      </w:r>
    </w:p>
    <w:p w14:paraId="262071C9">
      <w:pPr>
        <w:pStyle w:val="8"/>
        <w:spacing w:line="360" w:lineRule="auto"/>
        <w:rPr>
          <w:rFonts w:hint="eastAsia" w:ascii="宋体" w:hAnsi="宋体" w:eastAsia="宋体" w:cs="宋体"/>
          <w:b/>
          <w:bCs/>
          <w:color w:val="auto"/>
          <w:kern w:val="0"/>
          <w:sz w:val="24"/>
        </w:rPr>
      </w:pPr>
      <w:r>
        <w:rPr>
          <w:rFonts w:hint="eastAsia" w:ascii="宋体" w:hAnsi="宋体" w:eastAsia="宋体" w:cs="宋体"/>
          <w:b/>
          <w:bCs/>
          <w:color w:val="auto"/>
          <w:kern w:val="0"/>
          <w:sz w:val="24"/>
        </w:rPr>
        <w:t>二、资金来源及资金预算：</w:t>
      </w:r>
    </w:p>
    <w:p w14:paraId="4642BD02">
      <w:pPr>
        <w:pStyle w:val="8"/>
        <w:spacing w:line="360" w:lineRule="auto"/>
        <w:ind w:firstLine="480" w:firstLineChars="200"/>
        <w:rPr>
          <w:rFonts w:hint="eastAsia" w:ascii="宋体" w:hAnsi="宋体" w:eastAsia="宋体" w:cs="宋体"/>
          <w:color w:val="auto"/>
          <w:kern w:val="0"/>
          <w:sz w:val="24"/>
        </w:rPr>
      </w:pPr>
      <w:r>
        <w:rPr>
          <w:rFonts w:hint="eastAsia" w:ascii="宋体" w:hAnsi="宋体" w:eastAsia="宋体" w:cs="宋体"/>
          <w:color w:val="auto"/>
          <w:kern w:val="0"/>
          <w:sz w:val="24"/>
          <w:lang w:eastAsia="zh-CN"/>
        </w:rPr>
        <w:t>财政资金</w:t>
      </w:r>
      <w:r>
        <w:rPr>
          <w:rFonts w:hint="eastAsia" w:ascii="宋体" w:hAnsi="宋体" w:eastAsia="宋体" w:cs="宋体"/>
          <w:color w:val="auto"/>
          <w:kern w:val="0"/>
          <w:sz w:val="24"/>
        </w:rPr>
        <w:t>，</w:t>
      </w:r>
      <w:r>
        <w:rPr>
          <w:rFonts w:hint="eastAsia" w:ascii="宋体" w:hAnsi="宋体" w:eastAsia="宋体" w:cs="宋体"/>
          <w:color w:val="auto"/>
          <w:kern w:val="0"/>
          <w:sz w:val="24"/>
          <w:lang w:val="en-US" w:eastAsia="zh-CN"/>
        </w:rPr>
        <w:t>1995000.00</w:t>
      </w:r>
      <w:r>
        <w:rPr>
          <w:rFonts w:hint="eastAsia" w:ascii="宋体" w:hAnsi="宋体" w:eastAsia="宋体" w:cs="宋体"/>
          <w:color w:val="auto"/>
          <w:kern w:val="0"/>
          <w:sz w:val="24"/>
        </w:rPr>
        <w:t>元。</w:t>
      </w:r>
    </w:p>
    <w:p w14:paraId="7638F0FC">
      <w:pPr>
        <w:spacing w:line="360" w:lineRule="auto"/>
        <w:rPr>
          <w:rFonts w:hint="eastAsia" w:ascii="宋体" w:hAnsi="宋体" w:eastAsia="宋体" w:cs="宋体"/>
          <w:color w:val="auto"/>
        </w:rPr>
      </w:pPr>
      <w:r>
        <w:rPr>
          <w:rFonts w:hint="eastAsia" w:ascii="宋体" w:hAnsi="宋体" w:eastAsia="宋体" w:cs="宋体"/>
          <w:b/>
          <w:color w:val="auto"/>
          <w:kern w:val="0"/>
          <w:sz w:val="24"/>
        </w:rPr>
        <w:t>三、</w:t>
      </w:r>
      <w:r>
        <w:rPr>
          <w:rFonts w:hint="eastAsia" w:ascii="宋体" w:hAnsi="宋体" w:cs="宋体"/>
          <w:b/>
          <w:color w:val="auto"/>
          <w:kern w:val="0"/>
          <w:sz w:val="24"/>
          <w:lang w:val="en-US" w:eastAsia="zh-CN"/>
        </w:rPr>
        <w:t>服务需求</w:t>
      </w:r>
    </w:p>
    <w:p w14:paraId="714591D9">
      <w:pPr>
        <w:widowControl/>
        <w:snapToGrid w:val="0"/>
        <w:spacing w:line="360" w:lineRule="auto"/>
        <w:ind w:firstLine="480" w:firstLineChars="20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1.服务内容</w:t>
      </w:r>
    </w:p>
    <w:p w14:paraId="0589DDA3">
      <w:pPr>
        <w:widowControl/>
        <w:snapToGrid w:val="0"/>
        <w:spacing w:line="360" w:lineRule="auto"/>
        <w:ind w:firstLine="480" w:firstLineChars="20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2026年度食品安全监督抽检计划，分类为食品生产、食品流通和餐饮服务3个环节，37个产品大类</w:t>
      </w:r>
      <w:r>
        <w:rPr>
          <w:rFonts w:hint="eastAsia" w:ascii="宋体" w:hAnsi="宋体" w:cs="宋体"/>
          <w:color w:val="auto"/>
          <w:kern w:val="0"/>
          <w:sz w:val="24"/>
          <w:lang w:val="en-US" w:eastAsia="zh-CN"/>
        </w:rPr>
        <w:t>的抽查任务。</w:t>
      </w:r>
      <w:r>
        <w:rPr>
          <w:rFonts w:hint="eastAsia" w:ascii="宋体" w:hAnsi="宋体" w:eastAsia="宋体" w:cs="宋体"/>
          <w:color w:val="auto"/>
          <w:kern w:val="0"/>
          <w:sz w:val="24"/>
          <w:lang w:val="en-US" w:eastAsia="zh-CN"/>
        </w:rPr>
        <w:t>对该项目近1995批次检验项目进行采购</w:t>
      </w:r>
      <w:r>
        <w:rPr>
          <w:rFonts w:hint="eastAsia" w:ascii="宋体" w:hAnsi="宋体" w:cs="宋体"/>
          <w:color w:val="auto"/>
          <w:sz w:val="24"/>
        </w:rPr>
        <w:t>（</w:t>
      </w:r>
      <w:r>
        <w:rPr>
          <w:rFonts w:hint="eastAsia" w:ascii="宋体" w:hAnsi="宋体" w:cs="宋体"/>
          <w:b/>
          <w:bCs/>
          <w:color w:val="auto"/>
          <w:sz w:val="24"/>
          <w:lang w:eastAsia="zh-CN"/>
        </w:rPr>
        <w:t>检验</w:t>
      </w:r>
      <w:r>
        <w:rPr>
          <w:rFonts w:hint="eastAsia" w:ascii="宋体" w:hAnsi="宋体" w:cs="宋体"/>
          <w:b/>
          <w:bCs/>
          <w:color w:val="auto"/>
          <w:sz w:val="24"/>
        </w:rPr>
        <w:t>项目见附表</w:t>
      </w:r>
      <w:r>
        <w:rPr>
          <w:rFonts w:hint="eastAsia" w:ascii="宋体" w:hAnsi="宋体" w:cs="宋体"/>
          <w:color w:val="auto"/>
          <w:sz w:val="24"/>
        </w:rPr>
        <w:t>）</w:t>
      </w:r>
      <w:r>
        <w:rPr>
          <w:rFonts w:hint="eastAsia" w:ascii="宋体" w:hAnsi="宋体" w:eastAsia="宋体" w:cs="宋体"/>
          <w:color w:val="auto"/>
          <w:kern w:val="0"/>
          <w:sz w:val="24"/>
          <w:lang w:val="en-US" w:eastAsia="zh-CN"/>
        </w:rPr>
        <w:t>。采购的1995个批次(含生产环节、流通环节、餐饮环节)按辖区划分5个标</w:t>
      </w:r>
      <w:r>
        <w:rPr>
          <w:rFonts w:hint="eastAsia" w:ascii="宋体" w:hAnsi="宋体" w:cs="宋体"/>
          <w:color w:val="auto"/>
          <w:kern w:val="0"/>
          <w:sz w:val="24"/>
          <w:lang w:val="en-US" w:eastAsia="zh-CN"/>
        </w:rPr>
        <w:t>包</w:t>
      </w:r>
      <w:r>
        <w:rPr>
          <w:rFonts w:hint="eastAsia" w:ascii="宋体" w:hAnsi="宋体" w:eastAsia="宋体" w:cs="宋体"/>
          <w:color w:val="auto"/>
          <w:kern w:val="0"/>
          <w:sz w:val="24"/>
          <w:lang w:val="en-US" w:eastAsia="zh-CN"/>
        </w:rPr>
        <w:t>。</w:t>
      </w:r>
    </w:p>
    <w:p w14:paraId="5CD072EC">
      <w:pPr>
        <w:widowControl/>
        <w:snapToGrid w:val="0"/>
        <w:spacing w:line="360" w:lineRule="auto"/>
        <w:ind w:firstLine="480" w:firstLineChars="200"/>
        <w:jc w:val="left"/>
        <w:rPr>
          <w:rFonts w:hint="eastAsia" w:ascii="宋体" w:hAnsi="宋体" w:eastAsia="宋体" w:cs="宋体"/>
          <w:color w:val="auto"/>
          <w:kern w:val="0"/>
          <w:sz w:val="24"/>
          <w:lang w:val="en-US" w:eastAsia="zh-CN"/>
        </w:rPr>
      </w:pPr>
      <w:r>
        <w:rPr>
          <w:rFonts w:hint="eastAsia" w:ascii="宋体" w:hAnsi="宋体" w:cs="宋体"/>
          <w:color w:val="auto"/>
          <w:kern w:val="0"/>
          <w:sz w:val="24"/>
          <w:lang w:val="en-US" w:eastAsia="zh-CN"/>
        </w:rPr>
        <w:t>A包：</w:t>
      </w:r>
      <w:r>
        <w:rPr>
          <w:rFonts w:hint="eastAsia" w:ascii="宋体" w:hAnsi="宋体" w:eastAsia="宋体" w:cs="宋体"/>
          <w:color w:val="auto"/>
          <w:kern w:val="0"/>
          <w:sz w:val="24"/>
          <w:lang w:val="en-US" w:eastAsia="zh-CN"/>
        </w:rPr>
        <w:t>汝宁街道办事处399批次，控制价39.9万元。</w:t>
      </w:r>
    </w:p>
    <w:p w14:paraId="03C71DC7">
      <w:pPr>
        <w:widowControl/>
        <w:snapToGrid w:val="0"/>
        <w:spacing w:line="360" w:lineRule="auto"/>
        <w:ind w:firstLine="480" w:firstLineChars="200"/>
        <w:jc w:val="left"/>
        <w:rPr>
          <w:rFonts w:hint="eastAsia" w:ascii="宋体" w:hAnsi="宋体" w:eastAsia="宋体" w:cs="宋体"/>
          <w:color w:val="auto"/>
          <w:kern w:val="0"/>
          <w:sz w:val="24"/>
          <w:lang w:val="en-US" w:eastAsia="zh-CN"/>
        </w:rPr>
      </w:pPr>
      <w:r>
        <w:rPr>
          <w:rFonts w:hint="eastAsia" w:ascii="宋体" w:hAnsi="宋体" w:cs="宋体"/>
          <w:color w:val="auto"/>
          <w:kern w:val="0"/>
          <w:sz w:val="24"/>
          <w:lang w:val="en-US" w:eastAsia="zh-CN"/>
        </w:rPr>
        <w:t>B包：</w:t>
      </w:r>
      <w:r>
        <w:rPr>
          <w:rFonts w:hint="eastAsia" w:ascii="宋体" w:hAnsi="宋体" w:eastAsia="宋体" w:cs="宋体"/>
          <w:color w:val="auto"/>
          <w:kern w:val="0"/>
          <w:sz w:val="24"/>
          <w:lang w:val="en-US" w:eastAsia="zh-CN"/>
        </w:rPr>
        <w:t>南余店镇、王岗镇、三桥镇、梁祝镇399批次，控制价39.9万元。</w:t>
      </w:r>
    </w:p>
    <w:p w14:paraId="36F6F089">
      <w:pPr>
        <w:widowControl/>
        <w:snapToGrid w:val="0"/>
        <w:spacing w:line="360" w:lineRule="auto"/>
        <w:ind w:firstLine="480" w:firstLineChars="200"/>
        <w:jc w:val="left"/>
        <w:rPr>
          <w:rFonts w:hint="eastAsia" w:ascii="宋体" w:hAnsi="宋体" w:eastAsia="宋体" w:cs="宋体"/>
          <w:color w:val="auto"/>
          <w:kern w:val="0"/>
          <w:sz w:val="24"/>
          <w:lang w:val="en-US" w:eastAsia="zh-CN"/>
        </w:rPr>
      </w:pPr>
      <w:r>
        <w:rPr>
          <w:rFonts w:hint="eastAsia" w:ascii="宋体" w:hAnsi="宋体" w:cs="宋体"/>
          <w:color w:val="auto"/>
          <w:kern w:val="0"/>
          <w:sz w:val="24"/>
          <w:lang w:val="en-US" w:eastAsia="zh-CN"/>
        </w:rPr>
        <w:t>C包：</w:t>
      </w:r>
      <w:r>
        <w:rPr>
          <w:rFonts w:hint="eastAsia" w:ascii="宋体" w:hAnsi="宋体" w:eastAsia="宋体" w:cs="宋体"/>
          <w:color w:val="auto"/>
          <w:kern w:val="0"/>
          <w:sz w:val="24"/>
          <w:lang w:val="en-US" w:eastAsia="zh-CN"/>
        </w:rPr>
        <w:t>和孝镇、官庄镇、常兴镇、老君庙镇399批次，控制价39.9</w:t>
      </w:r>
    </w:p>
    <w:p w14:paraId="5E7B0C99">
      <w:pPr>
        <w:widowControl/>
        <w:snapToGrid w:val="0"/>
        <w:spacing w:line="360" w:lineRule="auto"/>
        <w:ind w:firstLine="480" w:firstLineChars="20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万元。</w:t>
      </w:r>
    </w:p>
    <w:p w14:paraId="36B7CDCF">
      <w:pPr>
        <w:widowControl/>
        <w:snapToGrid w:val="0"/>
        <w:spacing w:line="360" w:lineRule="auto"/>
        <w:ind w:firstLine="480" w:firstLineChars="200"/>
        <w:jc w:val="left"/>
        <w:rPr>
          <w:rFonts w:hint="eastAsia" w:ascii="宋体" w:hAnsi="宋体" w:eastAsia="宋体" w:cs="宋体"/>
          <w:color w:val="auto"/>
          <w:kern w:val="0"/>
          <w:sz w:val="24"/>
          <w:lang w:val="en-US" w:eastAsia="zh-CN"/>
        </w:rPr>
      </w:pPr>
      <w:r>
        <w:rPr>
          <w:rFonts w:hint="eastAsia" w:ascii="宋体" w:hAnsi="宋体" w:cs="宋体"/>
          <w:color w:val="auto"/>
          <w:kern w:val="0"/>
          <w:sz w:val="24"/>
          <w:lang w:val="en-US" w:eastAsia="zh-CN"/>
        </w:rPr>
        <w:t>D包：</w:t>
      </w:r>
      <w:r>
        <w:rPr>
          <w:rFonts w:hint="eastAsia" w:ascii="宋体" w:hAnsi="宋体" w:eastAsia="宋体" w:cs="宋体"/>
          <w:color w:val="auto"/>
          <w:kern w:val="0"/>
          <w:sz w:val="24"/>
          <w:lang w:val="en-US" w:eastAsia="zh-CN"/>
        </w:rPr>
        <w:t>韩庄镇、罗店镇、张楼镇、金铺镇399批次，控制价39.9万元。</w:t>
      </w:r>
    </w:p>
    <w:p w14:paraId="06672FAC">
      <w:pPr>
        <w:widowControl/>
        <w:snapToGrid w:val="0"/>
        <w:spacing w:line="360" w:lineRule="auto"/>
        <w:ind w:firstLine="480" w:firstLineChars="200"/>
        <w:jc w:val="left"/>
        <w:rPr>
          <w:rFonts w:hint="eastAsia" w:ascii="宋体" w:hAnsi="宋体" w:eastAsia="宋体" w:cs="宋体"/>
          <w:color w:val="auto"/>
          <w:kern w:val="0"/>
          <w:sz w:val="24"/>
          <w:lang w:val="en-US" w:eastAsia="zh-CN"/>
        </w:rPr>
      </w:pPr>
      <w:r>
        <w:rPr>
          <w:rFonts w:hint="eastAsia" w:ascii="宋体" w:hAnsi="宋体" w:cs="宋体"/>
          <w:color w:val="auto"/>
          <w:kern w:val="0"/>
          <w:sz w:val="24"/>
          <w:lang w:val="en-US" w:eastAsia="zh-CN"/>
        </w:rPr>
        <w:t>E包：</w:t>
      </w:r>
      <w:r>
        <w:rPr>
          <w:rFonts w:hint="eastAsia" w:ascii="宋体" w:hAnsi="宋体" w:eastAsia="宋体" w:cs="宋体"/>
          <w:color w:val="auto"/>
          <w:kern w:val="0"/>
          <w:sz w:val="24"/>
          <w:lang w:val="en-US" w:eastAsia="zh-CN"/>
        </w:rPr>
        <w:t>三门闸街道办事处、古塔街道办事处、留盆镇、板店乡399批次，控制价39.9万元。</w:t>
      </w:r>
    </w:p>
    <w:p w14:paraId="3BD6BC76">
      <w:pPr>
        <w:widowControl/>
        <w:snapToGrid w:val="0"/>
        <w:spacing w:line="360" w:lineRule="auto"/>
        <w:ind w:firstLine="480" w:firstLineChars="20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2.服务技术需求</w:t>
      </w:r>
      <w:bookmarkStart w:id="10" w:name="_Toc4512_WPSOffice_Level1"/>
    </w:p>
    <w:bookmarkEnd w:id="10"/>
    <w:p w14:paraId="0B52A93D">
      <w:pPr>
        <w:widowControl/>
        <w:snapToGrid w:val="0"/>
        <w:spacing w:line="360" w:lineRule="auto"/>
        <w:ind w:firstLine="480" w:firstLineChars="20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2.1具备与承担的检验检测任务中的产品品种、检测项目、检品数量相适应的检验检测能力；具备与检验检测工作相适应的、有效运行的质量管理体系。</w:t>
      </w:r>
    </w:p>
    <w:p w14:paraId="0AA16A63">
      <w:pPr>
        <w:widowControl/>
        <w:snapToGrid w:val="0"/>
        <w:spacing w:line="360" w:lineRule="auto"/>
        <w:ind w:firstLine="480" w:firstLineChars="20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2.2具备与其投标包及品种、检测项目、检品数量相适应的人员、仪器设备、环境设施及辅助用品，具备所有检测项目均应按指定检验方法执行的能力。</w:t>
      </w:r>
    </w:p>
    <w:p w14:paraId="6F54B736">
      <w:pPr>
        <w:widowControl/>
        <w:snapToGrid w:val="0"/>
        <w:spacing w:line="360" w:lineRule="auto"/>
        <w:ind w:firstLine="480" w:firstLineChars="20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2.3具有开展食品安全抽检所必需的抽样设备和技术能力，拥有独立的专业抽样队伍，具备抽样、送样、上报抽检平台的能力。</w:t>
      </w:r>
    </w:p>
    <w:p w14:paraId="45F04C97">
      <w:pPr>
        <w:pStyle w:val="22"/>
        <w:rPr>
          <w:rFonts w:hint="eastAsia" w:ascii="宋体" w:hAnsi="宋体" w:eastAsia="宋体" w:cs="宋体"/>
          <w:color w:val="auto"/>
          <w:kern w:val="0"/>
          <w:sz w:val="24"/>
          <w:lang w:val="en-US" w:eastAsia="zh-CN"/>
        </w:rPr>
      </w:pPr>
    </w:p>
    <w:p w14:paraId="3FEA57A8">
      <w:pPr>
        <w:pStyle w:val="23"/>
        <w:rPr>
          <w:rFonts w:hint="eastAsia" w:ascii="宋体" w:hAnsi="宋体" w:eastAsia="宋体" w:cs="宋体"/>
          <w:color w:val="auto"/>
          <w:kern w:val="0"/>
          <w:sz w:val="24"/>
          <w:lang w:val="en-US" w:eastAsia="zh-CN"/>
        </w:rPr>
      </w:pPr>
    </w:p>
    <w:p w14:paraId="236547CB">
      <w:pPr>
        <w:rPr>
          <w:rFonts w:hint="eastAsia" w:ascii="宋体" w:hAnsi="宋体" w:eastAsia="宋体" w:cs="宋体"/>
          <w:color w:val="auto"/>
          <w:kern w:val="0"/>
          <w:sz w:val="24"/>
          <w:lang w:val="en-US" w:eastAsia="zh-CN"/>
        </w:rPr>
      </w:pPr>
    </w:p>
    <w:p w14:paraId="1F1F3CCE">
      <w:pPr>
        <w:pStyle w:val="22"/>
        <w:rPr>
          <w:rFonts w:hint="eastAsia" w:ascii="宋体" w:hAnsi="宋体" w:eastAsia="宋体" w:cs="宋体"/>
          <w:color w:val="auto"/>
          <w:kern w:val="0"/>
          <w:sz w:val="24"/>
          <w:lang w:val="en-US" w:eastAsia="zh-CN"/>
        </w:rPr>
      </w:pPr>
    </w:p>
    <w:p w14:paraId="05FD8C5D">
      <w:pPr>
        <w:pStyle w:val="23"/>
        <w:rPr>
          <w:rFonts w:hint="eastAsia" w:ascii="宋体" w:hAnsi="宋体" w:eastAsia="宋体" w:cs="宋体"/>
          <w:color w:val="auto"/>
          <w:kern w:val="0"/>
          <w:sz w:val="24"/>
          <w:lang w:val="en-US" w:eastAsia="zh-CN"/>
        </w:rPr>
      </w:pPr>
    </w:p>
    <w:p w14:paraId="4125EBDA">
      <w:pPr>
        <w:rPr>
          <w:rFonts w:hint="eastAsia" w:ascii="宋体" w:hAnsi="宋体" w:eastAsia="宋体" w:cs="宋体"/>
          <w:color w:val="auto"/>
          <w:kern w:val="0"/>
          <w:sz w:val="24"/>
          <w:lang w:val="en-US" w:eastAsia="zh-CN"/>
        </w:rPr>
      </w:pPr>
    </w:p>
    <w:p w14:paraId="07A8A3B3">
      <w:pPr>
        <w:pStyle w:val="22"/>
        <w:rPr>
          <w:rFonts w:hint="eastAsia" w:ascii="宋体" w:hAnsi="宋体" w:eastAsia="宋体" w:cs="宋体"/>
          <w:color w:val="auto"/>
          <w:kern w:val="0"/>
          <w:sz w:val="24"/>
          <w:lang w:val="en-US" w:eastAsia="zh-CN"/>
        </w:rPr>
      </w:pPr>
    </w:p>
    <w:p w14:paraId="4A4CB8F1">
      <w:pPr>
        <w:pStyle w:val="23"/>
        <w:rPr>
          <w:rFonts w:hint="eastAsia" w:ascii="宋体" w:hAnsi="宋体" w:eastAsia="宋体" w:cs="宋体"/>
          <w:color w:val="auto"/>
          <w:kern w:val="0"/>
          <w:sz w:val="24"/>
          <w:lang w:val="en-US" w:eastAsia="zh-CN"/>
        </w:rPr>
      </w:pPr>
    </w:p>
    <w:p w14:paraId="3308ABD2">
      <w:pPr>
        <w:pStyle w:val="22"/>
        <w:rPr>
          <w:rFonts w:hint="eastAsia" w:ascii="宋体" w:hAnsi="宋体" w:eastAsia="宋体" w:cs="宋体"/>
          <w:color w:val="auto"/>
          <w:kern w:val="0"/>
          <w:sz w:val="24"/>
          <w:lang w:val="en-US" w:eastAsia="zh-CN"/>
        </w:rPr>
        <w:sectPr>
          <w:headerReference r:id="rId3" w:type="default"/>
          <w:footerReference r:id="rId4" w:type="default"/>
          <w:footerReference r:id="rId5" w:type="even"/>
          <w:pgSz w:w="11906" w:h="16838"/>
          <w:pgMar w:top="1440" w:right="1757" w:bottom="1440" w:left="1757" w:header="851" w:footer="992" w:gutter="0"/>
          <w:cols w:space="0" w:num="1"/>
          <w:titlePg/>
          <w:rtlGutter w:val="0"/>
          <w:docGrid w:type="lines" w:linePitch="312" w:charSpace="0"/>
        </w:sectPr>
      </w:pPr>
    </w:p>
    <w:p w14:paraId="7B60A137">
      <w:pPr>
        <w:spacing w:line="360" w:lineRule="auto"/>
        <w:jc w:val="center"/>
        <w:rPr>
          <w:rFonts w:hint="default" w:ascii="宋体" w:hAnsi="宋体" w:eastAsia="宋体" w:cs="宋体"/>
          <w:b/>
          <w:color w:val="auto"/>
          <w:kern w:val="0"/>
          <w:sz w:val="24"/>
          <w:lang w:val="en-US" w:eastAsia="zh-CN"/>
        </w:rPr>
      </w:pPr>
      <w:r>
        <w:rPr>
          <w:rFonts w:hint="eastAsia" w:ascii="宋体" w:hAnsi="宋体" w:eastAsia="宋体" w:cs="宋体"/>
          <w:b/>
          <w:color w:val="auto"/>
          <w:kern w:val="0"/>
          <w:sz w:val="24"/>
          <w:lang w:val="en-US" w:eastAsia="zh-CN"/>
        </w:rPr>
        <w:t xml:space="preserve">附件 </w:t>
      </w:r>
      <w:r>
        <w:rPr>
          <w:rFonts w:hint="eastAsia" w:ascii="宋体" w:hAnsi="宋体" w:eastAsia="宋体" w:cs="宋体"/>
          <w:b/>
          <w:color w:val="auto"/>
          <w:kern w:val="0"/>
          <w:sz w:val="24"/>
          <w:lang w:eastAsia="zh-CN"/>
        </w:rPr>
        <w:t>2026年县级食品安全监督抽检品种、项目</w:t>
      </w:r>
      <w:r>
        <w:rPr>
          <w:rFonts w:hint="eastAsia" w:ascii="宋体" w:hAnsi="宋体" w:eastAsia="宋体" w:cs="宋体"/>
          <w:b/>
          <w:color w:val="auto"/>
          <w:kern w:val="0"/>
          <w:sz w:val="24"/>
          <w:lang w:val="en-US" w:eastAsia="zh-CN"/>
        </w:rPr>
        <w:t>表</w:t>
      </w:r>
    </w:p>
    <w:tbl>
      <w:tblPr>
        <w:tblStyle w:val="25"/>
        <w:tblW w:w="15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453"/>
        <w:gridCol w:w="940"/>
        <w:gridCol w:w="1358"/>
        <w:gridCol w:w="1578"/>
        <w:gridCol w:w="1583"/>
        <w:gridCol w:w="680"/>
        <w:gridCol w:w="8546"/>
      </w:tblGrid>
      <w:tr w14:paraId="0C1F1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tblHeader/>
          <w:jc w:val="center"/>
        </w:trPr>
        <w:tc>
          <w:tcPr>
            <w:tcW w:w="453" w:type="dxa"/>
            <w:vAlign w:val="center"/>
          </w:tcPr>
          <w:p w14:paraId="3019D960">
            <w:pPr>
              <w:keepNext w:val="0"/>
              <w:keepLines/>
              <w:widowControl w:val="0"/>
              <w:suppressLineNumbers w:val="0"/>
              <w:kinsoku/>
              <w:spacing w:before="0" w:beforeAutospacing="0" w:after="0" w:afterAutospacing="0" w:line="300" w:lineRule="exact"/>
              <w:ind w:left="0" w:right="0"/>
              <w:jc w:val="center"/>
              <w:rPr>
                <w:rFonts w:hint="default" w:ascii="黑体" w:hAnsi="黑体" w:eastAsia="黑体" w:cs="黑体"/>
                <w:color w:val="auto"/>
                <w:sz w:val="18"/>
                <w:szCs w:val="18"/>
              </w:rPr>
            </w:pPr>
            <w:r>
              <w:rPr>
                <w:rFonts w:hint="eastAsia" w:ascii="黑体" w:hAnsi="黑体" w:eastAsia="黑体" w:cs="黑体"/>
                <w:color w:val="auto"/>
                <w:sz w:val="18"/>
                <w:szCs w:val="18"/>
              </w:rPr>
              <w:t>序号</w:t>
            </w:r>
          </w:p>
        </w:tc>
        <w:tc>
          <w:tcPr>
            <w:tcW w:w="940" w:type="dxa"/>
            <w:vAlign w:val="center"/>
          </w:tcPr>
          <w:p w14:paraId="22DEEF3A">
            <w:pPr>
              <w:keepNext w:val="0"/>
              <w:keepLines/>
              <w:widowControl w:val="0"/>
              <w:suppressLineNumbers w:val="0"/>
              <w:kinsoku/>
              <w:spacing w:before="0" w:beforeAutospacing="0" w:after="0" w:afterAutospacing="0" w:line="300" w:lineRule="exact"/>
              <w:ind w:left="0" w:right="0"/>
              <w:jc w:val="center"/>
              <w:rPr>
                <w:rFonts w:hint="default" w:ascii="黑体" w:hAnsi="黑体" w:eastAsia="黑体" w:cs="黑体"/>
                <w:color w:val="auto"/>
                <w:sz w:val="18"/>
                <w:szCs w:val="18"/>
              </w:rPr>
            </w:pPr>
            <w:r>
              <w:rPr>
                <w:rFonts w:hint="eastAsia" w:ascii="黑体" w:hAnsi="黑体" w:eastAsia="黑体" w:cs="黑体"/>
                <w:color w:val="auto"/>
                <w:sz w:val="18"/>
                <w:szCs w:val="18"/>
              </w:rPr>
              <w:t>食品大类(一级)</w:t>
            </w:r>
          </w:p>
        </w:tc>
        <w:tc>
          <w:tcPr>
            <w:tcW w:w="1358" w:type="dxa"/>
            <w:vAlign w:val="center"/>
          </w:tcPr>
          <w:p w14:paraId="776842D4">
            <w:pPr>
              <w:keepNext w:val="0"/>
              <w:keepLines/>
              <w:widowControl w:val="0"/>
              <w:suppressLineNumbers w:val="0"/>
              <w:kinsoku/>
              <w:spacing w:before="0" w:beforeAutospacing="0" w:after="0" w:afterAutospacing="0" w:line="300" w:lineRule="exact"/>
              <w:ind w:left="0" w:right="0"/>
              <w:jc w:val="center"/>
              <w:rPr>
                <w:rFonts w:hint="default" w:ascii="黑体" w:hAnsi="黑体" w:eastAsia="黑体" w:cs="黑体"/>
                <w:color w:val="auto"/>
                <w:sz w:val="18"/>
                <w:szCs w:val="18"/>
              </w:rPr>
            </w:pPr>
            <w:r>
              <w:rPr>
                <w:rFonts w:hint="eastAsia" w:ascii="黑体" w:hAnsi="黑体" w:eastAsia="黑体" w:cs="黑体"/>
                <w:color w:val="auto"/>
                <w:sz w:val="18"/>
                <w:szCs w:val="18"/>
              </w:rPr>
              <w:t>食品亚类</w:t>
            </w:r>
          </w:p>
          <w:p w14:paraId="0CD43CE3">
            <w:pPr>
              <w:keepNext w:val="0"/>
              <w:keepLines/>
              <w:widowControl w:val="0"/>
              <w:suppressLineNumbers w:val="0"/>
              <w:kinsoku/>
              <w:spacing w:before="0" w:beforeAutospacing="0" w:after="0" w:afterAutospacing="0" w:line="300" w:lineRule="exact"/>
              <w:ind w:left="0" w:right="0"/>
              <w:jc w:val="center"/>
              <w:rPr>
                <w:rFonts w:hint="default" w:ascii="黑体" w:hAnsi="黑体" w:eastAsia="黑体" w:cs="黑体"/>
                <w:color w:val="auto"/>
                <w:sz w:val="18"/>
                <w:szCs w:val="18"/>
              </w:rPr>
            </w:pPr>
            <w:r>
              <w:rPr>
                <w:rFonts w:hint="eastAsia" w:ascii="黑体" w:hAnsi="黑体" w:eastAsia="黑体" w:cs="黑体"/>
                <w:color w:val="auto"/>
                <w:sz w:val="18"/>
                <w:szCs w:val="18"/>
              </w:rPr>
              <w:t>(二级)</w:t>
            </w:r>
          </w:p>
        </w:tc>
        <w:tc>
          <w:tcPr>
            <w:tcW w:w="1578" w:type="dxa"/>
            <w:vAlign w:val="center"/>
          </w:tcPr>
          <w:p w14:paraId="36957FCE">
            <w:pPr>
              <w:keepNext w:val="0"/>
              <w:keepLines/>
              <w:widowControl w:val="0"/>
              <w:suppressLineNumbers w:val="0"/>
              <w:kinsoku/>
              <w:spacing w:before="0" w:beforeAutospacing="0" w:after="0" w:afterAutospacing="0" w:line="300" w:lineRule="exact"/>
              <w:ind w:left="0" w:right="0"/>
              <w:jc w:val="center"/>
              <w:rPr>
                <w:rFonts w:hint="default" w:ascii="黑体" w:hAnsi="黑体" w:eastAsia="黑体" w:cs="黑体"/>
                <w:color w:val="auto"/>
                <w:sz w:val="18"/>
                <w:szCs w:val="18"/>
              </w:rPr>
            </w:pPr>
            <w:r>
              <w:rPr>
                <w:rFonts w:hint="eastAsia" w:ascii="黑体" w:hAnsi="黑体" w:eastAsia="黑体" w:cs="黑体"/>
                <w:color w:val="auto"/>
                <w:sz w:val="18"/>
                <w:szCs w:val="18"/>
              </w:rPr>
              <w:t>食品品种</w:t>
            </w:r>
          </w:p>
          <w:p w14:paraId="6A426DBA">
            <w:pPr>
              <w:keepNext w:val="0"/>
              <w:keepLines/>
              <w:widowControl w:val="0"/>
              <w:suppressLineNumbers w:val="0"/>
              <w:kinsoku/>
              <w:spacing w:before="0" w:beforeAutospacing="0" w:after="0" w:afterAutospacing="0" w:line="300" w:lineRule="exact"/>
              <w:ind w:left="0" w:right="0"/>
              <w:jc w:val="center"/>
              <w:rPr>
                <w:rFonts w:hint="default" w:ascii="黑体" w:hAnsi="黑体" w:eastAsia="黑体" w:cs="黑体"/>
                <w:color w:val="auto"/>
                <w:sz w:val="18"/>
                <w:szCs w:val="18"/>
              </w:rPr>
            </w:pPr>
            <w:r>
              <w:rPr>
                <w:rFonts w:hint="eastAsia" w:ascii="黑体" w:hAnsi="黑体" w:eastAsia="黑体" w:cs="黑体"/>
                <w:color w:val="auto"/>
                <w:sz w:val="18"/>
                <w:szCs w:val="18"/>
              </w:rPr>
              <w:t>(三级)</w:t>
            </w:r>
          </w:p>
        </w:tc>
        <w:tc>
          <w:tcPr>
            <w:tcW w:w="1583" w:type="dxa"/>
            <w:vAlign w:val="center"/>
          </w:tcPr>
          <w:p w14:paraId="7DF6AC6C">
            <w:pPr>
              <w:keepNext w:val="0"/>
              <w:keepLines/>
              <w:widowControl w:val="0"/>
              <w:suppressLineNumbers w:val="0"/>
              <w:kinsoku/>
              <w:spacing w:before="0" w:beforeAutospacing="0" w:after="0" w:afterAutospacing="0" w:line="300" w:lineRule="exact"/>
              <w:ind w:left="0" w:right="0"/>
              <w:jc w:val="center"/>
              <w:rPr>
                <w:rFonts w:hint="default" w:ascii="黑体" w:hAnsi="黑体" w:eastAsia="黑体" w:cs="黑体"/>
                <w:color w:val="auto"/>
                <w:sz w:val="18"/>
                <w:szCs w:val="18"/>
              </w:rPr>
            </w:pPr>
            <w:r>
              <w:rPr>
                <w:rFonts w:hint="eastAsia" w:ascii="黑体" w:hAnsi="黑体" w:eastAsia="黑体" w:cs="黑体"/>
                <w:color w:val="auto"/>
                <w:sz w:val="18"/>
                <w:szCs w:val="18"/>
              </w:rPr>
              <w:t>食品细类</w:t>
            </w:r>
          </w:p>
          <w:p w14:paraId="09799B4E">
            <w:pPr>
              <w:keepNext w:val="0"/>
              <w:keepLines/>
              <w:widowControl w:val="0"/>
              <w:suppressLineNumbers w:val="0"/>
              <w:kinsoku/>
              <w:spacing w:before="0" w:beforeAutospacing="0" w:after="0" w:afterAutospacing="0" w:line="300" w:lineRule="exact"/>
              <w:ind w:left="0" w:right="0"/>
              <w:jc w:val="center"/>
              <w:rPr>
                <w:rFonts w:hint="default" w:ascii="黑体" w:hAnsi="黑体" w:eastAsia="黑体" w:cs="黑体"/>
                <w:color w:val="auto"/>
                <w:sz w:val="18"/>
                <w:szCs w:val="18"/>
              </w:rPr>
            </w:pPr>
            <w:r>
              <w:rPr>
                <w:rFonts w:hint="eastAsia" w:ascii="黑体" w:hAnsi="黑体" w:eastAsia="黑体" w:cs="黑体"/>
                <w:color w:val="auto"/>
                <w:sz w:val="18"/>
                <w:szCs w:val="18"/>
              </w:rPr>
              <w:t>(四级)</w:t>
            </w:r>
          </w:p>
        </w:tc>
        <w:tc>
          <w:tcPr>
            <w:tcW w:w="680" w:type="dxa"/>
            <w:vAlign w:val="center"/>
          </w:tcPr>
          <w:p w14:paraId="4FCAC8A2">
            <w:pPr>
              <w:keepNext w:val="0"/>
              <w:keepLines/>
              <w:widowControl w:val="0"/>
              <w:suppressLineNumbers w:val="0"/>
              <w:kinsoku/>
              <w:spacing w:before="0" w:beforeAutospacing="0" w:after="0" w:afterAutospacing="0" w:line="300" w:lineRule="exact"/>
              <w:ind w:left="0" w:right="0"/>
              <w:jc w:val="center"/>
              <w:rPr>
                <w:rFonts w:hint="default" w:ascii="黑体" w:hAnsi="黑体" w:eastAsia="黑体" w:cs="黑体"/>
                <w:color w:val="auto"/>
                <w:sz w:val="18"/>
                <w:szCs w:val="18"/>
              </w:rPr>
            </w:pPr>
            <w:r>
              <w:rPr>
                <w:rFonts w:hint="eastAsia" w:ascii="黑体" w:hAnsi="黑体" w:eastAsia="黑体" w:cs="黑体"/>
                <w:color w:val="auto"/>
                <w:sz w:val="18"/>
                <w:szCs w:val="18"/>
              </w:rPr>
              <w:t>风险</w:t>
            </w:r>
          </w:p>
          <w:p w14:paraId="213A6486">
            <w:pPr>
              <w:keepNext w:val="0"/>
              <w:keepLines/>
              <w:widowControl w:val="0"/>
              <w:suppressLineNumbers w:val="0"/>
              <w:kinsoku/>
              <w:spacing w:before="0" w:beforeAutospacing="0" w:after="0" w:afterAutospacing="0" w:line="300" w:lineRule="exact"/>
              <w:ind w:left="0" w:right="0"/>
              <w:jc w:val="center"/>
              <w:rPr>
                <w:rFonts w:hint="default" w:ascii="黑体" w:hAnsi="黑体" w:eastAsia="黑体" w:cs="黑体"/>
                <w:color w:val="auto"/>
                <w:sz w:val="18"/>
                <w:szCs w:val="18"/>
              </w:rPr>
            </w:pPr>
            <w:r>
              <w:rPr>
                <w:rFonts w:hint="eastAsia" w:ascii="黑体" w:hAnsi="黑体" w:eastAsia="黑体" w:cs="黑体"/>
                <w:color w:val="auto"/>
                <w:sz w:val="18"/>
                <w:szCs w:val="18"/>
              </w:rPr>
              <w:t>等级</w:t>
            </w:r>
          </w:p>
        </w:tc>
        <w:tc>
          <w:tcPr>
            <w:tcW w:w="8546" w:type="dxa"/>
            <w:vAlign w:val="center"/>
          </w:tcPr>
          <w:p w14:paraId="66EA3030">
            <w:pPr>
              <w:keepNext w:val="0"/>
              <w:keepLines/>
              <w:widowControl w:val="0"/>
              <w:suppressLineNumbers w:val="0"/>
              <w:kinsoku/>
              <w:spacing w:before="0" w:beforeAutospacing="0" w:after="0" w:afterAutospacing="0" w:line="300" w:lineRule="exact"/>
              <w:ind w:left="0" w:right="0"/>
              <w:jc w:val="center"/>
              <w:rPr>
                <w:rFonts w:hint="default" w:ascii="黑体" w:hAnsi="黑体" w:eastAsia="黑体" w:cs="黑体"/>
                <w:color w:val="auto"/>
                <w:sz w:val="18"/>
                <w:szCs w:val="18"/>
                <w:lang w:eastAsia="zh-CN"/>
              </w:rPr>
            </w:pPr>
            <w:r>
              <w:rPr>
                <w:rFonts w:hint="eastAsia" w:ascii="黑体" w:hAnsi="黑体" w:eastAsia="黑体" w:cs="黑体"/>
                <w:color w:val="auto"/>
                <w:sz w:val="18"/>
                <w:szCs w:val="18"/>
                <w:lang w:eastAsia="zh-CN"/>
              </w:rPr>
              <w:t>监督抽检项目</w:t>
            </w:r>
          </w:p>
        </w:tc>
      </w:tr>
      <w:tr w14:paraId="7D679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83" w:hRule="atLeast"/>
          <w:jc w:val="center"/>
        </w:trPr>
        <w:tc>
          <w:tcPr>
            <w:tcW w:w="453" w:type="dxa"/>
            <w:vMerge w:val="restart"/>
            <w:vAlign w:val="center"/>
          </w:tcPr>
          <w:p w14:paraId="091BC34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1</w:t>
            </w:r>
          </w:p>
        </w:tc>
        <w:tc>
          <w:tcPr>
            <w:tcW w:w="940" w:type="dxa"/>
            <w:vMerge w:val="restart"/>
            <w:vAlign w:val="center"/>
          </w:tcPr>
          <w:p w14:paraId="65B9996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粮食加工品</w:t>
            </w:r>
          </w:p>
        </w:tc>
        <w:tc>
          <w:tcPr>
            <w:tcW w:w="1358" w:type="dxa"/>
            <w:vAlign w:val="center"/>
          </w:tcPr>
          <w:p w14:paraId="37EC591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小麦粉</w:t>
            </w:r>
          </w:p>
        </w:tc>
        <w:tc>
          <w:tcPr>
            <w:tcW w:w="1578" w:type="dxa"/>
            <w:vAlign w:val="center"/>
          </w:tcPr>
          <w:p w14:paraId="52FBFD5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小麦粉</w:t>
            </w:r>
          </w:p>
        </w:tc>
        <w:tc>
          <w:tcPr>
            <w:tcW w:w="1583" w:type="dxa"/>
            <w:vAlign w:val="center"/>
          </w:tcPr>
          <w:p w14:paraId="13AEC91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小麦粉</w:t>
            </w:r>
          </w:p>
        </w:tc>
        <w:tc>
          <w:tcPr>
            <w:tcW w:w="680" w:type="dxa"/>
            <w:vAlign w:val="center"/>
          </w:tcPr>
          <w:p w14:paraId="0A0C41D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2EE74411">
            <w:pPr>
              <w:keepNext w:val="0"/>
              <w:keepLines/>
              <w:widowControl w:val="0"/>
              <w:suppressLineNumbers w:val="0"/>
              <w:kinsoku/>
              <w:spacing w:before="0" w:beforeAutospacing="0" w:after="0" w:afterAutospacing="0" w:line="24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sz w:val="18"/>
                <w:szCs w:val="18"/>
                <w:lang w:eastAsia="zh-CN"/>
              </w:rPr>
              <w:t>铅（以Pb计）、</w:t>
            </w:r>
            <w:r>
              <w:rPr>
                <w:rFonts w:hint="eastAsia" w:ascii="仿宋_GB2312" w:hAnsi="仿宋_GB2312" w:eastAsia="仿宋_GB2312" w:cs="仿宋_GB2312"/>
                <w:color w:val="auto"/>
                <w:sz w:val="18"/>
                <w:szCs w:val="18"/>
                <w:lang w:eastAsia="zh-CN"/>
              </w:rPr>
              <w:t>镉（以Cd计）、苯并[a]芘、玉米赤霉烯酮、脱氧雪腐镰刀菌烯醇、赭曲霉毒素A、黄曲霉毒素B</w:t>
            </w:r>
            <w:r>
              <w:rPr>
                <w:rFonts w:hint="eastAsia" w:ascii="仿宋_GB2312" w:hAnsi="仿宋_GB2312" w:eastAsia="仿宋_GB2312" w:cs="仿宋_GB2312"/>
                <w:color w:val="auto"/>
                <w:sz w:val="18"/>
                <w:szCs w:val="18"/>
                <w:vertAlign w:val="subscript"/>
                <w:lang w:eastAsia="zh-CN"/>
              </w:rPr>
              <w:t>1</w:t>
            </w:r>
            <w:r>
              <w:rPr>
                <w:rFonts w:hint="eastAsia" w:ascii="仿宋_GB2312" w:hAnsi="仿宋_GB2312" w:eastAsia="仿宋_GB2312" w:cs="仿宋_GB2312"/>
                <w:color w:val="auto"/>
                <w:sz w:val="18"/>
                <w:szCs w:val="18"/>
                <w:lang w:eastAsia="zh-CN"/>
              </w:rPr>
              <w:t>、偶氮甲酰胺、过氧化苯甲酰</w:t>
            </w:r>
          </w:p>
        </w:tc>
      </w:tr>
      <w:tr w14:paraId="520CC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81" w:hRule="atLeast"/>
          <w:jc w:val="center"/>
        </w:trPr>
        <w:tc>
          <w:tcPr>
            <w:tcW w:w="453" w:type="dxa"/>
            <w:vMerge w:val="continue"/>
            <w:vAlign w:val="center"/>
          </w:tcPr>
          <w:p w14:paraId="6B68F32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4D43F77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Align w:val="center"/>
          </w:tcPr>
          <w:p w14:paraId="08BE0E8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大米</w:t>
            </w:r>
          </w:p>
        </w:tc>
        <w:tc>
          <w:tcPr>
            <w:tcW w:w="1578" w:type="dxa"/>
            <w:vAlign w:val="center"/>
          </w:tcPr>
          <w:p w14:paraId="2D6D8FD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大米</w:t>
            </w:r>
          </w:p>
        </w:tc>
        <w:tc>
          <w:tcPr>
            <w:tcW w:w="1583" w:type="dxa"/>
            <w:vAlign w:val="center"/>
          </w:tcPr>
          <w:p w14:paraId="17974C9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大米</w:t>
            </w:r>
          </w:p>
        </w:tc>
        <w:tc>
          <w:tcPr>
            <w:tcW w:w="680" w:type="dxa"/>
            <w:vAlign w:val="center"/>
          </w:tcPr>
          <w:p w14:paraId="541C108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00646F65">
            <w:pPr>
              <w:keepNext w:val="0"/>
              <w:keepLines/>
              <w:widowControl w:val="0"/>
              <w:suppressLineNumbers w:val="0"/>
              <w:kinsoku/>
              <w:spacing w:before="0" w:beforeAutospacing="0" w:after="0" w:afterAutospacing="0" w:line="24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铅（以Pb计）、镉（以Cd计）、无机砷（以As计）、苯并[a]芘、黄曲霉毒素B</w:t>
            </w:r>
            <w:r>
              <w:rPr>
                <w:rFonts w:hint="eastAsia" w:ascii="仿宋_GB2312" w:hAnsi="仿宋_GB2312" w:eastAsia="仿宋_GB2312" w:cs="仿宋_GB2312"/>
                <w:color w:val="auto"/>
                <w:sz w:val="18"/>
                <w:szCs w:val="18"/>
                <w:vertAlign w:val="subscript"/>
                <w:lang w:eastAsia="zh-CN"/>
              </w:rPr>
              <w:t>1</w:t>
            </w:r>
            <w:r>
              <w:rPr>
                <w:rFonts w:hint="eastAsia" w:ascii="仿宋_GB2312" w:hAnsi="仿宋_GB2312" w:eastAsia="仿宋_GB2312" w:cs="仿宋_GB2312"/>
                <w:color w:val="auto"/>
                <w:sz w:val="18"/>
                <w:szCs w:val="18"/>
                <w:lang w:eastAsia="zh-CN"/>
              </w:rPr>
              <w:t>、赭曲霉毒素A</w:t>
            </w:r>
          </w:p>
        </w:tc>
      </w:tr>
      <w:tr w14:paraId="73343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83" w:hRule="atLeast"/>
          <w:jc w:val="center"/>
        </w:trPr>
        <w:tc>
          <w:tcPr>
            <w:tcW w:w="453" w:type="dxa"/>
            <w:vMerge w:val="continue"/>
            <w:vAlign w:val="center"/>
          </w:tcPr>
          <w:p w14:paraId="5CEF06D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136EC8B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Align w:val="center"/>
          </w:tcPr>
          <w:p w14:paraId="50A9FEB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挂面</w:t>
            </w:r>
          </w:p>
        </w:tc>
        <w:tc>
          <w:tcPr>
            <w:tcW w:w="1578" w:type="dxa"/>
            <w:vAlign w:val="center"/>
          </w:tcPr>
          <w:p w14:paraId="2536415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挂面</w:t>
            </w:r>
          </w:p>
        </w:tc>
        <w:tc>
          <w:tcPr>
            <w:tcW w:w="1583" w:type="dxa"/>
            <w:vAlign w:val="center"/>
          </w:tcPr>
          <w:p w14:paraId="4CFA0EE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挂面</w:t>
            </w:r>
          </w:p>
        </w:tc>
        <w:tc>
          <w:tcPr>
            <w:tcW w:w="680" w:type="dxa"/>
            <w:vAlign w:val="center"/>
          </w:tcPr>
          <w:p w14:paraId="4B46F6C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4DCCA3B8">
            <w:pPr>
              <w:keepNext w:val="0"/>
              <w:keepLines/>
              <w:widowControl w:val="0"/>
              <w:suppressLineNumbers w:val="0"/>
              <w:kinsoku/>
              <w:spacing w:before="0" w:beforeAutospacing="0" w:after="0" w:afterAutospacing="0" w:line="24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铅（以Pb计）、黄曲霉毒素B</w:t>
            </w:r>
            <w:r>
              <w:rPr>
                <w:rFonts w:hint="eastAsia" w:ascii="仿宋_GB2312" w:hAnsi="仿宋_GB2312" w:eastAsia="仿宋_GB2312" w:cs="仿宋_GB2312"/>
                <w:color w:val="auto"/>
                <w:sz w:val="18"/>
                <w:szCs w:val="18"/>
                <w:vertAlign w:val="subscript"/>
                <w:lang w:eastAsia="zh-CN"/>
              </w:rPr>
              <w:t>1</w:t>
            </w:r>
            <w:r>
              <w:rPr>
                <w:rFonts w:hint="eastAsia" w:ascii="仿宋_GB2312" w:hAnsi="仿宋_GB2312" w:eastAsia="仿宋_GB2312" w:cs="仿宋_GB2312"/>
                <w:color w:val="auto"/>
                <w:sz w:val="18"/>
                <w:szCs w:val="18"/>
                <w:lang w:eastAsia="zh-CN"/>
              </w:rPr>
              <w:t>、脱氢乙酸及其钠盐（以脱氢乙酸计）、合成着色剂（柠檬黄、日落黄、胭脂红、苋菜红、诱惑红、亮蓝）</w:t>
            </w:r>
          </w:p>
        </w:tc>
      </w:tr>
      <w:tr w14:paraId="0AE40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06" w:hRule="atLeast"/>
          <w:jc w:val="center"/>
        </w:trPr>
        <w:tc>
          <w:tcPr>
            <w:tcW w:w="453" w:type="dxa"/>
            <w:vMerge w:val="continue"/>
            <w:vAlign w:val="center"/>
          </w:tcPr>
          <w:p w14:paraId="277D585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7654F16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restart"/>
            <w:vAlign w:val="center"/>
          </w:tcPr>
          <w:p w14:paraId="4A59397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其他粮食加工品</w:t>
            </w:r>
          </w:p>
        </w:tc>
        <w:tc>
          <w:tcPr>
            <w:tcW w:w="1578" w:type="dxa"/>
            <w:vAlign w:val="center"/>
          </w:tcPr>
          <w:p w14:paraId="22A1991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谷物加工品</w:t>
            </w:r>
          </w:p>
        </w:tc>
        <w:tc>
          <w:tcPr>
            <w:tcW w:w="1583" w:type="dxa"/>
            <w:vAlign w:val="center"/>
          </w:tcPr>
          <w:p w14:paraId="43E5797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谷物加工品</w:t>
            </w:r>
          </w:p>
        </w:tc>
        <w:tc>
          <w:tcPr>
            <w:tcW w:w="680" w:type="dxa"/>
            <w:vAlign w:val="center"/>
          </w:tcPr>
          <w:p w14:paraId="153ACB3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70D7A571">
            <w:pPr>
              <w:keepNext w:val="0"/>
              <w:keepLines/>
              <w:widowControl w:val="0"/>
              <w:suppressLineNumbers w:val="0"/>
              <w:kinsoku/>
              <w:spacing w:before="0" w:beforeAutospacing="0" w:after="0" w:afterAutospacing="0" w:line="24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铅（以Pb计）、镉（以Cd计）、黄曲霉毒素B</w:t>
            </w:r>
            <w:r>
              <w:rPr>
                <w:rFonts w:hint="eastAsia" w:ascii="仿宋_GB2312" w:hAnsi="仿宋_GB2312" w:eastAsia="仿宋_GB2312" w:cs="仿宋_GB2312"/>
                <w:color w:val="auto"/>
                <w:sz w:val="18"/>
                <w:szCs w:val="18"/>
                <w:vertAlign w:val="subscript"/>
                <w:lang w:eastAsia="zh-CN"/>
              </w:rPr>
              <w:t>1</w:t>
            </w:r>
            <w:r>
              <w:rPr>
                <w:rFonts w:hint="eastAsia" w:ascii="仿宋_GB2312" w:hAnsi="仿宋_GB2312" w:eastAsia="仿宋_GB2312" w:cs="仿宋_GB2312"/>
                <w:color w:val="auto"/>
                <w:sz w:val="18"/>
                <w:szCs w:val="18"/>
                <w:lang w:eastAsia="zh-CN"/>
              </w:rPr>
              <w:t>、赭曲霉毒素A</w:t>
            </w:r>
          </w:p>
        </w:tc>
      </w:tr>
      <w:tr w14:paraId="12ACB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7" w:hRule="atLeast"/>
          <w:jc w:val="center"/>
        </w:trPr>
        <w:tc>
          <w:tcPr>
            <w:tcW w:w="453" w:type="dxa"/>
            <w:vMerge w:val="continue"/>
            <w:vAlign w:val="center"/>
          </w:tcPr>
          <w:p w14:paraId="45058D7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27E5B5C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65A76DF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restart"/>
            <w:vAlign w:val="center"/>
          </w:tcPr>
          <w:p w14:paraId="786F30B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谷物碾磨加工品</w:t>
            </w:r>
          </w:p>
        </w:tc>
        <w:tc>
          <w:tcPr>
            <w:tcW w:w="1583" w:type="dxa"/>
            <w:vAlign w:val="center"/>
          </w:tcPr>
          <w:p w14:paraId="4F3161C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玉米粉(片、渣)</w:t>
            </w:r>
          </w:p>
        </w:tc>
        <w:tc>
          <w:tcPr>
            <w:tcW w:w="680" w:type="dxa"/>
            <w:vAlign w:val="center"/>
          </w:tcPr>
          <w:p w14:paraId="0B6C327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11034138">
            <w:pPr>
              <w:keepNext w:val="0"/>
              <w:keepLines/>
              <w:widowControl w:val="0"/>
              <w:suppressLineNumbers w:val="0"/>
              <w:kinsoku/>
              <w:spacing w:before="0" w:beforeAutospacing="0" w:after="0" w:afterAutospacing="0" w:line="240" w:lineRule="exact"/>
              <w:ind w:left="0" w:right="0"/>
              <w:jc w:val="both"/>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苯并[a]芘、黄曲霉毒素B</w:t>
            </w:r>
            <w:r>
              <w:rPr>
                <w:rFonts w:hint="eastAsia" w:ascii="仿宋_GB2312" w:hAnsi="仿宋_GB2312" w:eastAsia="仿宋_GB2312" w:cs="仿宋_GB2312"/>
                <w:color w:val="auto"/>
                <w:sz w:val="18"/>
                <w:szCs w:val="18"/>
                <w:vertAlign w:val="subscript"/>
              </w:rPr>
              <w:t>1</w:t>
            </w:r>
            <w:r>
              <w:rPr>
                <w:rFonts w:hint="eastAsia" w:ascii="仿宋_GB2312" w:hAnsi="仿宋_GB2312" w:eastAsia="仿宋_GB2312" w:cs="仿宋_GB2312"/>
                <w:color w:val="auto"/>
                <w:sz w:val="18"/>
                <w:szCs w:val="18"/>
              </w:rPr>
              <w:t>、赭曲霉毒素A、玉米赤霉烯酮、脱氧雪腐镰刀菌烯醇</w:t>
            </w:r>
          </w:p>
        </w:tc>
      </w:tr>
      <w:tr w14:paraId="7B36E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36" w:hRule="atLeast"/>
          <w:jc w:val="center"/>
        </w:trPr>
        <w:tc>
          <w:tcPr>
            <w:tcW w:w="453" w:type="dxa"/>
            <w:vMerge w:val="continue"/>
            <w:vAlign w:val="center"/>
          </w:tcPr>
          <w:p w14:paraId="0A2F98B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940" w:type="dxa"/>
            <w:vMerge w:val="continue"/>
            <w:vAlign w:val="center"/>
          </w:tcPr>
          <w:p w14:paraId="0D91838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1358" w:type="dxa"/>
            <w:vMerge w:val="continue"/>
            <w:vAlign w:val="center"/>
          </w:tcPr>
          <w:p w14:paraId="426F54F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1578" w:type="dxa"/>
            <w:vMerge w:val="continue"/>
            <w:vAlign w:val="center"/>
          </w:tcPr>
          <w:p w14:paraId="0758E50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1583" w:type="dxa"/>
            <w:vAlign w:val="center"/>
          </w:tcPr>
          <w:p w14:paraId="2D8E25F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米粉</w:t>
            </w:r>
          </w:p>
        </w:tc>
        <w:tc>
          <w:tcPr>
            <w:tcW w:w="680" w:type="dxa"/>
            <w:vAlign w:val="center"/>
          </w:tcPr>
          <w:p w14:paraId="5D46B95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719197E0">
            <w:pPr>
              <w:keepNext w:val="0"/>
              <w:keepLines/>
              <w:widowControl w:val="0"/>
              <w:suppressLineNumbers w:val="0"/>
              <w:kinsoku/>
              <w:spacing w:before="0" w:beforeAutospacing="0" w:after="0" w:afterAutospacing="0" w:line="24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铅（以Pb计）、镉（以Cd计）、总汞（以Hg计）、无机砷（以As计）</w:t>
            </w:r>
          </w:p>
        </w:tc>
      </w:tr>
      <w:tr w14:paraId="280C8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jc w:val="center"/>
        </w:trPr>
        <w:tc>
          <w:tcPr>
            <w:tcW w:w="453" w:type="dxa"/>
            <w:vMerge w:val="continue"/>
            <w:vAlign w:val="center"/>
          </w:tcPr>
          <w:p w14:paraId="13E7BF6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1666897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0786B10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3476952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6906AA8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其他谷物碾磨</w:t>
            </w:r>
          </w:p>
          <w:p w14:paraId="57191CB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加工品</w:t>
            </w:r>
          </w:p>
        </w:tc>
        <w:tc>
          <w:tcPr>
            <w:tcW w:w="680" w:type="dxa"/>
            <w:vAlign w:val="center"/>
          </w:tcPr>
          <w:p w14:paraId="076DE84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26E9F394">
            <w:pPr>
              <w:keepNext w:val="0"/>
              <w:keepLines/>
              <w:widowControl w:val="0"/>
              <w:suppressLineNumbers w:val="0"/>
              <w:kinsoku/>
              <w:spacing w:before="0" w:beforeAutospacing="0" w:after="0" w:afterAutospacing="0" w:line="24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铅（以Pb计）、铬（以Cr计）、赭曲霉毒素A</w:t>
            </w:r>
          </w:p>
        </w:tc>
      </w:tr>
      <w:tr w14:paraId="43CFC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56" w:hRule="atLeast"/>
          <w:jc w:val="center"/>
        </w:trPr>
        <w:tc>
          <w:tcPr>
            <w:tcW w:w="453" w:type="dxa"/>
            <w:vMerge w:val="continue"/>
            <w:vAlign w:val="center"/>
          </w:tcPr>
          <w:p w14:paraId="1FB5F42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55BF201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7BC2FB9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restart"/>
            <w:vAlign w:val="center"/>
          </w:tcPr>
          <w:p w14:paraId="1BB3466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谷物粉类制成品</w:t>
            </w:r>
          </w:p>
        </w:tc>
        <w:tc>
          <w:tcPr>
            <w:tcW w:w="1583" w:type="dxa"/>
            <w:vAlign w:val="center"/>
          </w:tcPr>
          <w:p w14:paraId="3DB02CA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生湿面制品</w:t>
            </w:r>
          </w:p>
        </w:tc>
        <w:tc>
          <w:tcPr>
            <w:tcW w:w="680" w:type="dxa"/>
            <w:vAlign w:val="center"/>
          </w:tcPr>
          <w:p w14:paraId="4ED2716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0B8F73C5">
            <w:pPr>
              <w:keepNext w:val="0"/>
              <w:keepLines/>
              <w:widowControl w:val="0"/>
              <w:suppressLineNumbers w:val="0"/>
              <w:kinsoku/>
              <w:spacing w:before="0" w:beforeAutospacing="0" w:after="0" w:afterAutospacing="0" w:line="24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铅（以Pb计）、苯甲酸及其钠盐（以苯甲酸计）、山梨酸及其钾盐（以山梨酸计）、脱氢乙酸及其钠盐（以脱氢乙酸计）、二氧化硫残留量、合成着色剂（柠檬黄）</w:t>
            </w:r>
          </w:p>
        </w:tc>
      </w:tr>
      <w:tr w14:paraId="411F2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57" w:hRule="atLeast"/>
          <w:jc w:val="center"/>
        </w:trPr>
        <w:tc>
          <w:tcPr>
            <w:tcW w:w="453" w:type="dxa"/>
            <w:vMerge w:val="continue"/>
            <w:vAlign w:val="center"/>
          </w:tcPr>
          <w:p w14:paraId="2B14EED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516CA8C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2541184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1F6E61C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2BC449B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发酵面制品</w:t>
            </w:r>
          </w:p>
        </w:tc>
        <w:tc>
          <w:tcPr>
            <w:tcW w:w="680" w:type="dxa"/>
            <w:vAlign w:val="center"/>
          </w:tcPr>
          <w:p w14:paraId="025DC85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0A3641E0">
            <w:pPr>
              <w:keepNext w:val="0"/>
              <w:keepLines/>
              <w:widowControl w:val="0"/>
              <w:suppressLineNumbers w:val="0"/>
              <w:kinsoku/>
              <w:spacing w:before="0" w:beforeAutospacing="0" w:after="0" w:afterAutospacing="0" w:line="24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苯甲酸及其钠盐（以苯甲酸计）、山梨酸及其钾盐（以山梨酸计）、脱氢乙酸及其钠盐（以脱氢乙酸计）、糖精钠（以糖精计）、甜蜜素（以环己基氨基磺酸计）、安赛蜜、合成着色剂（柠檬黄、胭脂红）、菌落总数、大肠菌群、铅（以Pb计）</w:t>
            </w:r>
          </w:p>
        </w:tc>
      </w:tr>
      <w:tr w14:paraId="285AD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83" w:hRule="atLeast"/>
          <w:jc w:val="center"/>
        </w:trPr>
        <w:tc>
          <w:tcPr>
            <w:tcW w:w="453" w:type="dxa"/>
            <w:vMerge w:val="continue"/>
            <w:vAlign w:val="center"/>
          </w:tcPr>
          <w:p w14:paraId="2CFB392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2543481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5CE55D7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3A7B7B2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4927E85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米粉制品</w:t>
            </w:r>
          </w:p>
        </w:tc>
        <w:tc>
          <w:tcPr>
            <w:tcW w:w="680" w:type="dxa"/>
            <w:vAlign w:val="center"/>
          </w:tcPr>
          <w:p w14:paraId="78DACDC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72EB1138">
            <w:pPr>
              <w:keepNext w:val="0"/>
              <w:keepLines/>
              <w:widowControl w:val="0"/>
              <w:suppressLineNumbers w:val="0"/>
              <w:kinsoku/>
              <w:spacing w:before="0" w:beforeAutospacing="0" w:after="0" w:afterAutospacing="0" w:line="24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苯甲酸及其钠盐（以苯甲酸计）、山梨酸及其钾盐（以山梨酸计）、脱氢乙酸及其钠盐（以脱氢乙酸计）、二氧化硫残留量、合成着色剂（柠檬黄、日落黄、喹啉黄、亮蓝、靛蓝）、菌落总数、大肠菌群、甜蜜素（以环己基氨基磺酸计）</w:t>
            </w:r>
          </w:p>
        </w:tc>
      </w:tr>
      <w:tr w14:paraId="4DA64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29" w:hRule="atLeast"/>
          <w:jc w:val="center"/>
        </w:trPr>
        <w:tc>
          <w:tcPr>
            <w:tcW w:w="453" w:type="dxa"/>
            <w:vMerge w:val="continue"/>
            <w:vAlign w:val="center"/>
          </w:tcPr>
          <w:p w14:paraId="53560E4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439592D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4D90E17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4BF76C5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7157FE3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其他谷物粉类制成品</w:t>
            </w:r>
          </w:p>
        </w:tc>
        <w:tc>
          <w:tcPr>
            <w:tcW w:w="680" w:type="dxa"/>
            <w:vAlign w:val="center"/>
          </w:tcPr>
          <w:p w14:paraId="68C6A1A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151D5626">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黄曲霉毒素B</w:t>
            </w:r>
            <w:r>
              <w:rPr>
                <w:rFonts w:hint="eastAsia" w:ascii="仿宋_GB2312" w:hAnsi="仿宋_GB2312" w:eastAsia="仿宋_GB2312" w:cs="仿宋_GB2312"/>
                <w:color w:val="auto"/>
                <w:sz w:val="18"/>
                <w:szCs w:val="18"/>
                <w:vertAlign w:val="subscript"/>
                <w:lang w:eastAsia="zh-CN"/>
              </w:rPr>
              <w:t>1</w:t>
            </w:r>
            <w:r>
              <w:rPr>
                <w:rFonts w:hint="eastAsia" w:ascii="仿宋_GB2312" w:hAnsi="仿宋_GB2312" w:eastAsia="仿宋_GB2312" w:cs="仿宋_GB2312"/>
                <w:color w:val="auto"/>
                <w:sz w:val="18"/>
                <w:szCs w:val="18"/>
                <w:lang w:eastAsia="zh-CN"/>
              </w:rPr>
              <w:t>、苯甲酸及其钠盐（以苯甲酸计）、山梨酸及其钾盐（以山梨酸计）、脱氢乙酸及其钠盐（以脱氢乙酸计）、菌落总数、大肠菌群、合成着色剂（柠檬黄、日落黄、胭脂红、苋菜红、亮蓝）</w:t>
            </w:r>
          </w:p>
        </w:tc>
      </w:tr>
      <w:tr w14:paraId="5D4B8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39" w:hRule="atLeast"/>
          <w:jc w:val="center"/>
        </w:trPr>
        <w:tc>
          <w:tcPr>
            <w:tcW w:w="453" w:type="dxa"/>
            <w:vMerge w:val="restart"/>
            <w:vAlign w:val="center"/>
          </w:tcPr>
          <w:p w14:paraId="61C4900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2</w:t>
            </w:r>
          </w:p>
        </w:tc>
        <w:tc>
          <w:tcPr>
            <w:tcW w:w="940" w:type="dxa"/>
            <w:vMerge w:val="restart"/>
            <w:vAlign w:val="center"/>
          </w:tcPr>
          <w:p w14:paraId="69C1679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食用油、油脂及其制品</w:t>
            </w:r>
          </w:p>
        </w:tc>
        <w:tc>
          <w:tcPr>
            <w:tcW w:w="1358" w:type="dxa"/>
            <w:vMerge w:val="restart"/>
            <w:vAlign w:val="center"/>
          </w:tcPr>
          <w:p w14:paraId="1D584B1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食用植物油</w:t>
            </w:r>
          </w:p>
        </w:tc>
        <w:tc>
          <w:tcPr>
            <w:tcW w:w="1578" w:type="dxa"/>
            <w:vMerge w:val="restart"/>
            <w:vAlign w:val="center"/>
          </w:tcPr>
          <w:p w14:paraId="04217C7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食用植物油</w:t>
            </w:r>
          </w:p>
        </w:tc>
        <w:tc>
          <w:tcPr>
            <w:tcW w:w="1583" w:type="dxa"/>
            <w:vAlign w:val="center"/>
          </w:tcPr>
          <w:p w14:paraId="5AAAD34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花生油</w:t>
            </w:r>
          </w:p>
        </w:tc>
        <w:tc>
          <w:tcPr>
            <w:tcW w:w="680" w:type="dxa"/>
            <w:vAlign w:val="center"/>
          </w:tcPr>
          <w:p w14:paraId="1AFF899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2ADBD0F1">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酸值/酸价、过氧化值、黄曲霉毒素B</w:t>
            </w:r>
            <w:r>
              <w:rPr>
                <w:rFonts w:hint="eastAsia" w:ascii="仿宋_GB2312" w:hAnsi="仿宋_GB2312" w:eastAsia="仿宋_GB2312" w:cs="仿宋_GB2312"/>
                <w:color w:val="auto"/>
                <w:sz w:val="18"/>
                <w:szCs w:val="18"/>
                <w:vertAlign w:val="subscript"/>
                <w:lang w:eastAsia="zh-CN"/>
              </w:rPr>
              <w:t>1</w:t>
            </w:r>
            <w:r>
              <w:rPr>
                <w:rFonts w:hint="eastAsia" w:ascii="仿宋_GB2312" w:hAnsi="仿宋_GB2312" w:eastAsia="仿宋_GB2312" w:cs="仿宋_GB2312"/>
                <w:color w:val="auto"/>
                <w:sz w:val="18"/>
                <w:szCs w:val="18"/>
                <w:lang w:eastAsia="zh-CN"/>
              </w:rPr>
              <w:t>、苯并[a]芘、溶剂残留量、特丁基对苯二酚（TBHQ）、铅（以Pb计）</w:t>
            </w:r>
          </w:p>
        </w:tc>
      </w:tr>
      <w:tr w14:paraId="2369D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83" w:hRule="atLeast"/>
          <w:jc w:val="center"/>
        </w:trPr>
        <w:tc>
          <w:tcPr>
            <w:tcW w:w="453" w:type="dxa"/>
            <w:vMerge w:val="continue"/>
            <w:vAlign w:val="center"/>
          </w:tcPr>
          <w:p w14:paraId="4E8332C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506EEAA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364F4E3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1593EF9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72D095E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玉米油</w:t>
            </w:r>
          </w:p>
        </w:tc>
        <w:tc>
          <w:tcPr>
            <w:tcW w:w="680" w:type="dxa"/>
            <w:vAlign w:val="center"/>
          </w:tcPr>
          <w:p w14:paraId="3BF5729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7299E970">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酸值/酸价、过氧化值、黄曲霉毒素B</w:t>
            </w:r>
            <w:r>
              <w:rPr>
                <w:rFonts w:hint="eastAsia" w:ascii="仿宋_GB2312" w:hAnsi="仿宋_GB2312" w:eastAsia="仿宋_GB2312" w:cs="仿宋_GB2312"/>
                <w:color w:val="auto"/>
                <w:sz w:val="18"/>
                <w:szCs w:val="18"/>
                <w:vertAlign w:val="subscript"/>
              </w:rPr>
              <w:t>1</w:t>
            </w:r>
            <w:r>
              <w:rPr>
                <w:rFonts w:hint="eastAsia" w:ascii="仿宋_GB2312" w:hAnsi="仿宋_GB2312" w:eastAsia="仿宋_GB2312" w:cs="仿宋_GB2312"/>
                <w:color w:val="auto"/>
                <w:sz w:val="18"/>
                <w:szCs w:val="18"/>
              </w:rPr>
              <w:t>、苯并[a]芘、特丁基对苯二酚（TBHQ）</w:t>
            </w:r>
          </w:p>
        </w:tc>
      </w:tr>
      <w:tr w14:paraId="61245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83" w:hRule="atLeast"/>
          <w:jc w:val="center"/>
        </w:trPr>
        <w:tc>
          <w:tcPr>
            <w:tcW w:w="453" w:type="dxa"/>
            <w:vMerge w:val="continue"/>
            <w:vAlign w:val="center"/>
          </w:tcPr>
          <w:p w14:paraId="0FB7E63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940" w:type="dxa"/>
            <w:vMerge w:val="continue"/>
            <w:vAlign w:val="center"/>
          </w:tcPr>
          <w:p w14:paraId="5F8D620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1358" w:type="dxa"/>
            <w:vMerge w:val="continue"/>
            <w:vAlign w:val="center"/>
          </w:tcPr>
          <w:p w14:paraId="57B3FEF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1578" w:type="dxa"/>
            <w:vMerge w:val="continue"/>
            <w:vAlign w:val="center"/>
          </w:tcPr>
          <w:p w14:paraId="61DE2FF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1583" w:type="dxa"/>
            <w:vAlign w:val="center"/>
          </w:tcPr>
          <w:p w14:paraId="619A791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芝麻油</w:t>
            </w:r>
          </w:p>
        </w:tc>
        <w:tc>
          <w:tcPr>
            <w:tcW w:w="680" w:type="dxa"/>
            <w:vAlign w:val="center"/>
          </w:tcPr>
          <w:p w14:paraId="7719D16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7968899A">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酸值/酸价、过氧化值、苯并[a]芘、溶剂残留量、乙基麦芽酚</w:t>
            </w:r>
          </w:p>
        </w:tc>
      </w:tr>
      <w:tr w14:paraId="1A1F5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83" w:hRule="atLeast"/>
          <w:jc w:val="center"/>
        </w:trPr>
        <w:tc>
          <w:tcPr>
            <w:tcW w:w="453" w:type="dxa"/>
            <w:vMerge w:val="continue"/>
            <w:vAlign w:val="center"/>
          </w:tcPr>
          <w:p w14:paraId="0CA56A0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72D5E8C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0CB0B26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4F23153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225725A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橄榄油、油橄榄果渣油</w:t>
            </w:r>
          </w:p>
        </w:tc>
        <w:tc>
          <w:tcPr>
            <w:tcW w:w="680" w:type="dxa"/>
            <w:vAlign w:val="center"/>
          </w:tcPr>
          <w:p w14:paraId="4E88A9F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3DF24344">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酸值/酸价、过氧化值、溶剂残留量、特丁基对苯二酚（TBHQ）</w:t>
            </w:r>
          </w:p>
        </w:tc>
      </w:tr>
      <w:tr w14:paraId="06C12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83" w:hRule="atLeast"/>
          <w:jc w:val="center"/>
        </w:trPr>
        <w:tc>
          <w:tcPr>
            <w:tcW w:w="453" w:type="dxa"/>
            <w:vMerge w:val="continue"/>
            <w:vAlign w:val="center"/>
          </w:tcPr>
          <w:p w14:paraId="0D39303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0117BD0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0C319E0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3C5AFFA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75ECFC6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菜籽油</w:t>
            </w:r>
          </w:p>
        </w:tc>
        <w:tc>
          <w:tcPr>
            <w:tcW w:w="680" w:type="dxa"/>
            <w:vAlign w:val="center"/>
          </w:tcPr>
          <w:p w14:paraId="12858B4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4D605742">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酸值/酸价、过氧化值、铅（以Pb计）、苯并[a]芘、溶剂残留量、特丁基对苯二酚（TBHQ）、乙基麦芽酚</w:t>
            </w:r>
          </w:p>
        </w:tc>
      </w:tr>
      <w:tr w14:paraId="46459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83" w:hRule="atLeast"/>
          <w:jc w:val="center"/>
        </w:trPr>
        <w:tc>
          <w:tcPr>
            <w:tcW w:w="453" w:type="dxa"/>
            <w:vMerge w:val="continue"/>
            <w:vAlign w:val="center"/>
          </w:tcPr>
          <w:p w14:paraId="4FDB724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46DDEB7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2770D87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23E609E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1408A42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大豆油</w:t>
            </w:r>
          </w:p>
        </w:tc>
        <w:tc>
          <w:tcPr>
            <w:tcW w:w="680" w:type="dxa"/>
            <w:vAlign w:val="center"/>
          </w:tcPr>
          <w:p w14:paraId="7D29477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7BF58A62">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酸值/酸价、过氧化值、苯并[a]芘、溶剂残留量、特丁基对苯二酚（TBHQ）、铅（以Pb计）</w:t>
            </w:r>
          </w:p>
        </w:tc>
      </w:tr>
      <w:tr w14:paraId="0ACD0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27" w:hRule="atLeast"/>
          <w:jc w:val="center"/>
        </w:trPr>
        <w:tc>
          <w:tcPr>
            <w:tcW w:w="453" w:type="dxa"/>
            <w:vMerge w:val="restart"/>
            <w:vAlign w:val="center"/>
          </w:tcPr>
          <w:p w14:paraId="26E34C2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2</w:t>
            </w:r>
          </w:p>
        </w:tc>
        <w:tc>
          <w:tcPr>
            <w:tcW w:w="940" w:type="dxa"/>
            <w:vMerge w:val="restart"/>
            <w:vAlign w:val="center"/>
          </w:tcPr>
          <w:p w14:paraId="32D6F7F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食用油、油脂及其制品</w:t>
            </w:r>
          </w:p>
        </w:tc>
        <w:tc>
          <w:tcPr>
            <w:tcW w:w="1358" w:type="dxa"/>
            <w:vMerge w:val="restart"/>
            <w:vAlign w:val="center"/>
          </w:tcPr>
          <w:p w14:paraId="1318D49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食用植物油</w:t>
            </w:r>
          </w:p>
        </w:tc>
        <w:tc>
          <w:tcPr>
            <w:tcW w:w="1578" w:type="dxa"/>
            <w:vMerge w:val="restart"/>
            <w:vAlign w:val="center"/>
          </w:tcPr>
          <w:p w14:paraId="50A6445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食用植物油</w:t>
            </w:r>
          </w:p>
        </w:tc>
        <w:tc>
          <w:tcPr>
            <w:tcW w:w="1583" w:type="dxa"/>
            <w:vAlign w:val="center"/>
          </w:tcPr>
          <w:p w14:paraId="37A5141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食用植物调和油</w:t>
            </w:r>
          </w:p>
        </w:tc>
        <w:tc>
          <w:tcPr>
            <w:tcW w:w="680" w:type="dxa"/>
            <w:vAlign w:val="center"/>
          </w:tcPr>
          <w:p w14:paraId="096D586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4AEEB603">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酸价、过氧化值、苯并[a]芘、溶剂残留量、特丁基对苯二酚（TBHQ）、乙基麦芽酚、铅（以Pb计）</w:t>
            </w:r>
          </w:p>
        </w:tc>
      </w:tr>
      <w:tr w14:paraId="40997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27" w:hRule="atLeast"/>
          <w:jc w:val="center"/>
        </w:trPr>
        <w:tc>
          <w:tcPr>
            <w:tcW w:w="453" w:type="dxa"/>
            <w:vMerge w:val="continue"/>
            <w:vAlign w:val="center"/>
          </w:tcPr>
          <w:p w14:paraId="5A23DAC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75F0258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494999F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071F845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795126B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油茶籽油</w:t>
            </w:r>
          </w:p>
        </w:tc>
        <w:tc>
          <w:tcPr>
            <w:tcW w:w="680" w:type="dxa"/>
            <w:vAlign w:val="center"/>
          </w:tcPr>
          <w:p w14:paraId="31DA8D9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174E7128">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酸值/酸价、过氧化值、铅（以Pb计）、苯并[a]芘、溶剂残留量、特丁基对苯二酚（TBHQ）</w:t>
            </w:r>
          </w:p>
        </w:tc>
      </w:tr>
      <w:tr w14:paraId="6A839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27" w:hRule="atLeast"/>
          <w:jc w:val="center"/>
        </w:trPr>
        <w:tc>
          <w:tcPr>
            <w:tcW w:w="453" w:type="dxa"/>
            <w:vMerge w:val="continue"/>
            <w:vAlign w:val="center"/>
          </w:tcPr>
          <w:p w14:paraId="227B6CA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7F453C6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2D83D4A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12237CB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1659979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其他食用植物油</w:t>
            </w:r>
          </w:p>
        </w:tc>
        <w:tc>
          <w:tcPr>
            <w:tcW w:w="680" w:type="dxa"/>
            <w:vAlign w:val="center"/>
          </w:tcPr>
          <w:p w14:paraId="621076B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73909B1F">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酸值/酸价、过氧化值、苯并[a]芘、溶剂残留量、特丁基对苯二酚（TBHQ）</w:t>
            </w:r>
          </w:p>
        </w:tc>
      </w:tr>
      <w:tr w14:paraId="60BF3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27" w:hRule="atLeast"/>
          <w:jc w:val="center"/>
        </w:trPr>
        <w:tc>
          <w:tcPr>
            <w:tcW w:w="453" w:type="dxa"/>
            <w:vMerge w:val="continue"/>
            <w:vAlign w:val="center"/>
          </w:tcPr>
          <w:p w14:paraId="0C26D61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655BFC2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Align w:val="center"/>
          </w:tcPr>
          <w:p w14:paraId="47C1417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食用动物油脂</w:t>
            </w:r>
          </w:p>
        </w:tc>
        <w:tc>
          <w:tcPr>
            <w:tcW w:w="1578" w:type="dxa"/>
            <w:vAlign w:val="center"/>
          </w:tcPr>
          <w:p w14:paraId="6A6C68C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食用动物油脂</w:t>
            </w:r>
          </w:p>
        </w:tc>
        <w:tc>
          <w:tcPr>
            <w:tcW w:w="1583" w:type="dxa"/>
            <w:vAlign w:val="center"/>
          </w:tcPr>
          <w:p w14:paraId="74CF295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食用动物油脂</w:t>
            </w:r>
          </w:p>
        </w:tc>
        <w:tc>
          <w:tcPr>
            <w:tcW w:w="680" w:type="dxa"/>
            <w:vAlign w:val="center"/>
          </w:tcPr>
          <w:p w14:paraId="3CF83E6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705DD5F8">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酸价、过氧化值、丙二醛、苯并[a]芘</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rPr>
              <w:t>铅（以Pb计）</w:t>
            </w:r>
          </w:p>
        </w:tc>
      </w:tr>
      <w:tr w14:paraId="3BF5F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27" w:hRule="atLeast"/>
          <w:jc w:val="center"/>
        </w:trPr>
        <w:tc>
          <w:tcPr>
            <w:tcW w:w="453" w:type="dxa"/>
            <w:vMerge w:val="continue"/>
            <w:vAlign w:val="center"/>
          </w:tcPr>
          <w:p w14:paraId="5805967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940" w:type="dxa"/>
            <w:vMerge w:val="continue"/>
            <w:vAlign w:val="center"/>
          </w:tcPr>
          <w:p w14:paraId="364317D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1358" w:type="dxa"/>
            <w:vAlign w:val="center"/>
          </w:tcPr>
          <w:p w14:paraId="6D4A31B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食用油脂制品</w:t>
            </w:r>
          </w:p>
        </w:tc>
        <w:tc>
          <w:tcPr>
            <w:tcW w:w="1578" w:type="dxa"/>
            <w:vAlign w:val="center"/>
          </w:tcPr>
          <w:p w14:paraId="1AF80FD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食用油脂制品</w:t>
            </w:r>
          </w:p>
        </w:tc>
        <w:tc>
          <w:tcPr>
            <w:tcW w:w="1583" w:type="dxa"/>
            <w:vAlign w:val="center"/>
          </w:tcPr>
          <w:p w14:paraId="550A606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食用油脂制品</w:t>
            </w:r>
          </w:p>
        </w:tc>
        <w:tc>
          <w:tcPr>
            <w:tcW w:w="680" w:type="dxa"/>
            <w:vAlign w:val="center"/>
          </w:tcPr>
          <w:p w14:paraId="50D12A2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1E521389">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酸价（以脂肪计）、过氧化值（以脂肪计）、大肠菌群、霉菌</w:t>
            </w:r>
          </w:p>
        </w:tc>
      </w:tr>
      <w:tr w14:paraId="20CDE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1020" w:hRule="atLeast"/>
          <w:jc w:val="center"/>
        </w:trPr>
        <w:tc>
          <w:tcPr>
            <w:tcW w:w="453" w:type="dxa"/>
            <w:vMerge w:val="restart"/>
            <w:vAlign w:val="center"/>
          </w:tcPr>
          <w:p w14:paraId="49DE584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3</w:t>
            </w:r>
          </w:p>
        </w:tc>
        <w:tc>
          <w:tcPr>
            <w:tcW w:w="940" w:type="dxa"/>
            <w:vMerge w:val="restart"/>
            <w:vAlign w:val="center"/>
          </w:tcPr>
          <w:p w14:paraId="006F69C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调味品</w:t>
            </w:r>
          </w:p>
        </w:tc>
        <w:tc>
          <w:tcPr>
            <w:tcW w:w="1358" w:type="dxa"/>
            <w:vAlign w:val="center"/>
          </w:tcPr>
          <w:p w14:paraId="7E15502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酱油</w:t>
            </w:r>
          </w:p>
        </w:tc>
        <w:tc>
          <w:tcPr>
            <w:tcW w:w="1578" w:type="dxa"/>
            <w:vAlign w:val="center"/>
          </w:tcPr>
          <w:p w14:paraId="22E10A2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酱油</w:t>
            </w:r>
          </w:p>
        </w:tc>
        <w:tc>
          <w:tcPr>
            <w:tcW w:w="1583" w:type="dxa"/>
            <w:vAlign w:val="center"/>
          </w:tcPr>
          <w:p w14:paraId="54C66D4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酱油</w:t>
            </w:r>
          </w:p>
        </w:tc>
        <w:tc>
          <w:tcPr>
            <w:tcW w:w="680" w:type="dxa"/>
            <w:vAlign w:val="center"/>
          </w:tcPr>
          <w:p w14:paraId="466B488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41E397AD">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氨基酸态氮、全氮（以氮计）、铵盐（以占氨基酸态氮的百分比计）、苯甲酸及其钠盐（以苯甲酸计）、山梨酸及其钾盐（以山梨酸计）、脱氢乙酸及其钠盐（以脱氢乙酸计）、对羟基苯甲酸酯类及其钠盐（以对羟基苯甲酸计）、防腐剂混合使用时各自用量占其最大使用量的比例之和、糖精钠（以糖精计）、甜蜜素（以环己基氨基磺酸计）、菌落总数、大肠菌群</w:t>
            </w:r>
          </w:p>
        </w:tc>
      </w:tr>
      <w:tr w14:paraId="1E149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1020" w:hRule="atLeast"/>
          <w:jc w:val="center"/>
        </w:trPr>
        <w:tc>
          <w:tcPr>
            <w:tcW w:w="453" w:type="dxa"/>
            <w:vMerge w:val="continue"/>
            <w:vAlign w:val="center"/>
          </w:tcPr>
          <w:p w14:paraId="3430C31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2725728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Align w:val="center"/>
          </w:tcPr>
          <w:p w14:paraId="2C3BD38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食醋</w:t>
            </w:r>
          </w:p>
        </w:tc>
        <w:tc>
          <w:tcPr>
            <w:tcW w:w="1578" w:type="dxa"/>
            <w:vAlign w:val="center"/>
          </w:tcPr>
          <w:p w14:paraId="19C3773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食醋</w:t>
            </w:r>
          </w:p>
        </w:tc>
        <w:tc>
          <w:tcPr>
            <w:tcW w:w="1583" w:type="dxa"/>
            <w:vAlign w:val="center"/>
          </w:tcPr>
          <w:p w14:paraId="20308C4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食醋</w:t>
            </w:r>
          </w:p>
        </w:tc>
        <w:tc>
          <w:tcPr>
            <w:tcW w:w="680" w:type="dxa"/>
            <w:vAlign w:val="center"/>
          </w:tcPr>
          <w:p w14:paraId="4F574AE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6031C262">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总酸（以乙酸计）、不挥发酸（以乳酸计）、苯甲酸及其钠盐（以苯甲酸计）、山梨酸及其钾盐（以山梨酸计）、脱氢乙酸及其钠盐（以脱氢乙酸计）、对羟基苯甲酸酯类及其钠盐（以对羟基苯甲酸计）、防腐剂混合使用时各自用量占其最大使用量的比例之和、糖精钠（以糖精计）、三氯蔗糖、甜蜜素（以环己基氨基磺酸计）、菌落总数</w:t>
            </w:r>
          </w:p>
        </w:tc>
      </w:tr>
      <w:tr w14:paraId="5E58A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37" w:hRule="atLeast"/>
          <w:jc w:val="center"/>
        </w:trPr>
        <w:tc>
          <w:tcPr>
            <w:tcW w:w="453" w:type="dxa"/>
            <w:vMerge w:val="continue"/>
            <w:vAlign w:val="center"/>
          </w:tcPr>
          <w:p w14:paraId="3A60DC6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2B15644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Align w:val="center"/>
          </w:tcPr>
          <w:p w14:paraId="303E8E2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酱类</w:t>
            </w:r>
          </w:p>
        </w:tc>
        <w:tc>
          <w:tcPr>
            <w:tcW w:w="1578" w:type="dxa"/>
            <w:vAlign w:val="center"/>
          </w:tcPr>
          <w:p w14:paraId="21EEA59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酿造酱</w:t>
            </w:r>
          </w:p>
        </w:tc>
        <w:tc>
          <w:tcPr>
            <w:tcW w:w="1583" w:type="dxa"/>
            <w:vAlign w:val="center"/>
          </w:tcPr>
          <w:p w14:paraId="5F91559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黄豆酱、甜面酱等</w:t>
            </w:r>
          </w:p>
        </w:tc>
        <w:tc>
          <w:tcPr>
            <w:tcW w:w="680" w:type="dxa"/>
            <w:vAlign w:val="center"/>
          </w:tcPr>
          <w:p w14:paraId="3EA5F0C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3FB3EB4B">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氨基酸态氮、黄曲霉毒素B</w:t>
            </w:r>
            <w:r>
              <w:rPr>
                <w:rFonts w:hint="eastAsia" w:ascii="仿宋_GB2312" w:hAnsi="仿宋_GB2312" w:eastAsia="仿宋_GB2312" w:cs="仿宋_GB2312"/>
                <w:color w:val="auto"/>
                <w:sz w:val="18"/>
                <w:szCs w:val="18"/>
                <w:vertAlign w:val="subscript"/>
                <w:lang w:eastAsia="zh-CN"/>
              </w:rPr>
              <w:t>1</w:t>
            </w:r>
            <w:r>
              <w:rPr>
                <w:rFonts w:hint="eastAsia" w:ascii="仿宋_GB2312" w:hAnsi="仿宋_GB2312" w:eastAsia="仿宋_GB2312" w:cs="仿宋_GB2312"/>
                <w:color w:val="auto"/>
                <w:sz w:val="18"/>
                <w:szCs w:val="18"/>
                <w:lang w:eastAsia="zh-CN"/>
              </w:rPr>
              <w:t>、苯甲酸及其钠盐（以苯甲酸计）、山梨酸及其钾盐（以山梨酸计）、脱氢乙酸及其钠盐（以脱氢乙酸计）、防腐剂混合使用时各自用量占其最大使用量的比例之和、糖精钠（以糖精计）、甜蜜素（以环己基氨基磺酸计）、安赛蜜、大肠菌群</w:t>
            </w:r>
          </w:p>
        </w:tc>
      </w:tr>
      <w:tr w14:paraId="2E3DA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0" w:hRule="atLeast"/>
          <w:jc w:val="center"/>
        </w:trPr>
        <w:tc>
          <w:tcPr>
            <w:tcW w:w="453" w:type="dxa"/>
            <w:vMerge w:val="continue"/>
            <w:vAlign w:val="center"/>
          </w:tcPr>
          <w:p w14:paraId="74A61ED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2E441F0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Align w:val="center"/>
          </w:tcPr>
          <w:p w14:paraId="73C9C52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调味料酒</w:t>
            </w:r>
          </w:p>
        </w:tc>
        <w:tc>
          <w:tcPr>
            <w:tcW w:w="1578" w:type="dxa"/>
            <w:vAlign w:val="center"/>
          </w:tcPr>
          <w:p w14:paraId="5FAA824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调味料酒</w:t>
            </w:r>
          </w:p>
        </w:tc>
        <w:tc>
          <w:tcPr>
            <w:tcW w:w="1583" w:type="dxa"/>
            <w:vAlign w:val="center"/>
          </w:tcPr>
          <w:p w14:paraId="47D0680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料酒</w:t>
            </w:r>
          </w:p>
        </w:tc>
        <w:tc>
          <w:tcPr>
            <w:tcW w:w="680" w:type="dxa"/>
            <w:vAlign w:val="center"/>
          </w:tcPr>
          <w:p w14:paraId="5E49E15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7B04F76B">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氨基酸态氮（以氮计）、苯甲酸及其钠盐（以苯甲酸计）、山梨酸及其钾盐（以山梨酸计）、脱氢乙酸及其钠盐（以脱氢乙酸计）、甜蜜素（以环己基氨基磺酸计）、三氯蔗糖</w:t>
            </w:r>
          </w:p>
        </w:tc>
      </w:tr>
      <w:tr w14:paraId="2E907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90" w:hRule="atLeast"/>
          <w:jc w:val="center"/>
        </w:trPr>
        <w:tc>
          <w:tcPr>
            <w:tcW w:w="453" w:type="dxa"/>
            <w:vMerge w:val="continue"/>
            <w:vAlign w:val="center"/>
          </w:tcPr>
          <w:p w14:paraId="0A6FC8F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1655FE6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restart"/>
            <w:vAlign w:val="center"/>
          </w:tcPr>
          <w:p w14:paraId="0EAC2DF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香辛料类</w:t>
            </w:r>
          </w:p>
        </w:tc>
        <w:tc>
          <w:tcPr>
            <w:tcW w:w="1578" w:type="dxa"/>
            <w:vMerge w:val="restart"/>
            <w:vAlign w:val="center"/>
          </w:tcPr>
          <w:p w14:paraId="1908C13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香辛料类</w:t>
            </w:r>
          </w:p>
        </w:tc>
        <w:tc>
          <w:tcPr>
            <w:tcW w:w="1583" w:type="dxa"/>
            <w:vAlign w:val="center"/>
          </w:tcPr>
          <w:p w14:paraId="772F078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香辛料调味油</w:t>
            </w:r>
          </w:p>
        </w:tc>
        <w:tc>
          <w:tcPr>
            <w:tcW w:w="680" w:type="dxa"/>
            <w:vAlign w:val="center"/>
          </w:tcPr>
          <w:p w14:paraId="1A2BC04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612B733A">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酸价/酸值、过氧化值</w:t>
            </w:r>
          </w:p>
        </w:tc>
      </w:tr>
      <w:tr w14:paraId="7C6E2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0" w:hRule="atLeast"/>
          <w:jc w:val="center"/>
        </w:trPr>
        <w:tc>
          <w:tcPr>
            <w:tcW w:w="453" w:type="dxa"/>
            <w:vMerge w:val="continue"/>
            <w:vAlign w:val="center"/>
          </w:tcPr>
          <w:p w14:paraId="6C38078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940" w:type="dxa"/>
            <w:vMerge w:val="continue"/>
            <w:vAlign w:val="center"/>
          </w:tcPr>
          <w:p w14:paraId="7073480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1358" w:type="dxa"/>
            <w:vMerge w:val="continue"/>
            <w:vAlign w:val="center"/>
          </w:tcPr>
          <w:p w14:paraId="42C1787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1578" w:type="dxa"/>
            <w:vMerge w:val="continue"/>
            <w:vAlign w:val="center"/>
          </w:tcPr>
          <w:p w14:paraId="7584403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1583" w:type="dxa"/>
            <w:vAlign w:val="center"/>
          </w:tcPr>
          <w:p w14:paraId="7ED535C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辣椒、花椒、辣椒粉、花椒粉</w:t>
            </w:r>
          </w:p>
        </w:tc>
        <w:tc>
          <w:tcPr>
            <w:tcW w:w="680" w:type="dxa"/>
            <w:vAlign w:val="center"/>
          </w:tcPr>
          <w:p w14:paraId="55F4A3D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70E3917A">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铅（以Pb计）、罗丹明B、苏丹红I、苏丹红II、苏丹红III、苏丹红IV、脱氢乙酸及其钠盐（以脱氢乙酸计）、二氧化硫残留量、合成着色剂（柠檬黄、日落黄、胭脂红）、山梨酸及其钾盐(以山梨酸计)</w:t>
            </w:r>
          </w:p>
        </w:tc>
      </w:tr>
      <w:tr w14:paraId="296AB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0" w:hRule="atLeast"/>
          <w:jc w:val="center"/>
        </w:trPr>
        <w:tc>
          <w:tcPr>
            <w:tcW w:w="453" w:type="dxa"/>
            <w:vMerge w:val="continue"/>
            <w:vAlign w:val="center"/>
          </w:tcPr>
          <w:p w14:paraId="10C910E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75E2584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6539D76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4F06F2F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348F243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其他香辛料调味品</w:t>
            </w:r>
          </w:p>
        </w:tc>
        <w:tc>
          <w:tcPr>
            <w:tcW w:w="680" w:type="dxa"/>
            <w:vAlign w:val="center"/>
          </w:tcPr>
          <w:p w14:paraId="4BBF907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64E5A069">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脱氢乙酸及其钠盐（以脱氢乙酸计）、二氧化硫残留量、甜蜜素（以环己基氨基磺酸计）、合成着色剂（柠檬黄、日落黄、苋菜红、胭脂红、亮蓝）、丙溴磷、氯氰菊酯和高效氯氰菊酯、多菌灵、毒死蜱、克百威、沙门氏菌</w:t>
            </w:r>
          </w:p>
        </w:tc>
      </w:tr>
      <w:tr w14:paraId="0DE8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0" w:hRule="atLeast"/>
          <w:jc w:val="center"/>
        </w:trPr>
        <w:tc>
          <w:tcPr>
            <w:tcW w:w="453" w:type="dxa"/>
            <w:vMerge w:val="continue"/>
            <w:vAlign w:val="center"/>
          </w:tcPr>
          <w:p w14:paraId="0183848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34D3CF5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restart"/>
            <w:vAlign w:val="center"/>
          </w:tcPr>
          <w:p w14:paraId="3274BA0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调味料</w:t>
            </w:r>
          </w:p>
        </w:tc>
        <w:tc>
          <w:tcPr>
            <w:tcW w:w="1578" w:type="dxa"/>
            <w:vMerge w:val="restart"/>
            <w:vAlign w:val="center"/>
          </w:tcPr>
          <w:p w14:paraId="77DE4BC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固体复合调味料</w:t>
            </w:r>
          </w:p>
        </w:tc>
        <w:tc>
          <w:tcPr>
            <w:tcW w:w="1583" w:type="dxa"/>
            <w:vAlign w:val="center"/>
          </w:tcPr>
          <w:p w14:paraId="5064FCE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鸡粉、鸡精调味料</w:t>
            </w:r>
          </w:p>
        </w:tc>
        <w:tc>
          <w:tcPr>
            <w:tcW w:w="680" w:type="dxa"/>
            <w:vAlign w:val="center"/>
          </w:tcPr>
          <w:p w14:paraId="414DF15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112F2791">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谷氨酸钠、呈味核苷酸二钠、铅（以Pb计）、糖精钠（以糖精计）、甜蜜素（以环己基氨基磺酸计）、安赛蜜、菌落总数、大肠菌群、总氮(以N计)</w:t>
            </w:r>
          </w:p>
        </w:tc>
      </w:tr>
      <w:tr w14:paraId="2C46A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0" w:hRule="atLeast"/>
          <w:jc w:val="center"/>
        </w:trPr>
        <w:tc>
          <w:tcPr>
            <w:tcW w:w="453" w:type="dxa"/>
            <w:vMerge w:val="continue"/>
            <w:vAlign w:val="center"/>
          </w:tcPr>
          <w:p w14:paraId="7956102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68E0ECB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0490507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1123ED8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4EABE2D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其他固体调味料</w:t>
            </w:r>
          </w:p>
        </w:tc>
        <w:tc>
          <w:tcPr>
            <w:tcW w:w="680" w:type="dxa"/>
            <w:vAlign w:val="center"/>
          </w:tcPr>
          <w:p w14:paraId="62E145F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2E43C031">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苏丹红I、苏丹红II、苏丹红III、苏丹红IV、罂粟碱、吗啡、可待因、那可丁、苯甲酸及其钠盐（以苯甲酸计）、山梨酸及其钾盐（以山梨酸计）、脱氢乙酸及其钠盐（以脱氢乙酸计）、防腐剂混合使用时各自用量占其最大使用量的比例之和、糖精钠（以糖精计）、甜蜜素（以环己基氨基磺酸计）、安赛蜜、阿斯巴甜、二氧化硫残留量</w:t>
            </w:r>
          </w:p>
        </w:tc>
      </w:tr>
      <w:tr w14:paraId="79E50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0" w:hRule="atLeast"/>
          <w:jc w:val="center"/>
        </w:trPr>
        <w:tc>
          <w:tcPr>
            <w:tcW w:w="453" w:type="dxa"/>
            <w:vMerge w:val="continue"/>
            <w:vAlign w:val="center"/>
          </w:tcPr>
          <w:p w14:paraId="712F2DF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12F2B36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7FA2103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restart"/>
            <w:vAlign w:val="center"/>
          </w:tcPr>
          <w:p w14:paraId="0EF7940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半固体复合调味料</w:t>
            </w:r>
          </w:p>
        </w:tc>
        <w:tc>
          <w:tcPr>
            <w:tcW w:w="1583" w:type="dxa"/>
            <w:vAlign w:val="center"/>
          </w:tcPr>
          <w:p w14:paraId="6F7DB9D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蛋黄酱、沙拉酱</w:t>
            </w:r>
          </w:p>
        </w:tc>
        <w:tc>
          <w:tcPr>
            <w:tcW w:w="680" w:type="dxa"/>
            <w:vAlign w:val="center"/>
          </w:tcPr>
          <w:p w14:paraId="56E8AE5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68858C69">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二氧化钛</w:t>
            </w:r>
          </w:p>
        </w:tc>
      </w:tr>
      <w:tr w14:paraId="3BA9B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0" w:hRule="atLeast"/>
          <w:jc w:val="center"/>
        </w:trPr>
        <w:tc>
          <w:tcPr>
            <w:tcW w:w="453" w:type="dxa"/>
            <w:vMerge w:val="continue"/>
            <w:vAlign w:val="center"/>
          </w:tcPr>
          <w:p w14:paraId="5127FEE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940" w:type="dxa"/>
            <w:vMerge w:val="continue"/>
            <w:vAlign w:val="center"/>
          </w:tcPr>
          <w:p w14:paraId="2056E4B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1358" w:type="dxa"/>
            <w:vMerge w:val="continue"/>
            <w:vAlign w:val="center"/>
          </w:tcPr>
          <w:p w14:paraId="1CD534F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1578" w:type="dxa"/>
            <w:vMerge w:val="continue"/>
            <w:vAlign w:val="center"/>
          </w:tcPr>
          <w:p w14:paraId="6C0FFEE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1583" w:type="dxa"/>
            <w:vAlign w:val="center"/>
          </w:tcPr>
          <w:p w14:paraId="4BDB025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坚果与籽类的泥(酱)</w:t>
            </w:r>
          </w:p>
        </w:tc>
        <w:tc>
          <w:tcPr>
            <w:tcW w:w="680" w:type="dxa"/>
            <w:vAlign w:val="center"/>
          </w:tcPr>
          <w:p w14:paraId="18F4FF1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28CD1FFA">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酸价/酸值、过氧化值、铅（以Pb计）、黄曲霉毒素B</w:t>
            </w:r>
            <w:r>
              <w:rPr>
                <w:rFonts w:hint="eastAsia" w:ascii="仿宋_GB2312" w:hAnsi="仿宋_GB2312" w:eastAsia="仿宋_GB2312" w:cs="仿宋_GB2312"/>
                <w:color w:val="auto"/>
                <w:sz w:val="18"/>
                <w:szCs w:val="18"/>
                <w:vertAlign w:val="subscript"/>
                <w:lang w:eastAsia="zh-CN"/>
              </w:rPr>
              <w:t>1</w:t>
            </w:r>
          </w:p>
        </w:tc>
      </w:tr>
      <w:tr w14:paraId="1B2E1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67" w:hRule="atLeast"/>
          <w:jc w:val="center"/>
        </w:trPr>
        <w:tc>
          <w:tcPr>
            <w:tcW w:w="453" w:type="dxa"/>
            <w:vMerge w:val="restart"/>
            <w:vAlign w:val="center"/>
          </w:tcPr>
          <w:p w14:paraId="5830731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3</w:t>
            </w:r>
          </w:p>
        </w:tc>
        <w:tc>
          <w:tcPr>
            <w:tcW w:w="940" w:type="dxa"/>
            <w:vMerge w:val="restart"/>
            <w:vAlign w:val="center"/>
          </w:tcPr>
          <w:p w14:paraId="2C476C8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调味品</w:t>
            </w:r>
          </w:p>
        </w:tc>
        <w:tc>
          <w:tcPr>
            <w:tcW w:w="1358" w:type="dxa"/>
            <w:vMerge w:val="restart"/>
            <w:vAlign w:val="center"/>
          </w:tcPr>
          <w:p w14:paraId="3A919F2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调味料</w:t>
            </w:r>
          </w:p>
        </w:tc>
        <w:tc>
          <w:tcPr>
            <w:tcW w:w="1578" w:type="dxa"/>
            <w:vMerge w:val="restart"/>
            <w:vAlign w:val="center"/>
          </w:tcPr>
          <w:p w14:paraId="36EAB61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半固体复合调味料</w:t>
            </w:r>
          </w:p>
        </w:tc>
        <w:tc>
          <w:tcPr>
            <w:tcW w:w="1583" w:type="dxa"/>
            <w:vAlign w:val="center"/>
          </w:tcPr>
          <w:p w14:paraId="39D88E2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辣椒酱</w:t>
            </w:r>
          </w:p>
        </w:tc>
        <w:tc>
          <w:tcPr>
            <w:tcW w:w="680" w:type="dxa"/>
            <w:vAlign w:val="center"/>
          </w:tcPr>
          <w:p w14:paraId="4D42DBB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2482F960">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苯甲酸及其钠盐（以苯甲酸计）、山梨酸及其钾盐（以山梨酸计）、脱氢乙酸及其钠盐（以脱氢乙酸计）、防腐剂混合使用时各自用量占其最大使用量的比例之和、甜蜜素（以环己基氨基磺酸计）、二氧化硫残留量</w:t>
            </w:r>
          </w:p>
        </w:tc>
      </w:tr>
      <w:tr w14:paraId="7318F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67" w:hRule="atLeast"/>
          <w:jc w:val="center"/>
        </w:trPr>
        <w:tc>
          <w:tcPr>
            <w:tcW w:w="453" w:type="dxa"/>
            <w:vMerge w:val="continue"/>
            <w:vAlign w:val="center"/>
          </w:tcPr>
          <w:p w14:paraId="78C1618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6ED68E7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4E7E110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26FE1A5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021C881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火锅底料、麻辣烫底料</w:t>
            </w:r>
          </w:p>
        </w:tc>
        <w:tc>
          <w:tcPr>
            <w:tcW w:w="680" w:type="dxa"/>
            <w:vAlign w:val="center"/>
          </w:tcPr>
          <w:p w14:paraId="221B584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474F5DC5">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罂粟碱、吗啡、可待因、那可丁、苯甲酸及其钠盐（以苯甲酸计）、山梨酸及其钾盐（以山梨酸计）、脱氢乙酸及其钠盐（以脱氢乙酸计）、防腐剂混合使用时各自用量占其最大使用量的比例之和</w:t>
            </w:r>
          </w:p>
        </w:tc>
      </w:tr>
      <w:tr w14:paraId="1927E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1061" w:hRule="atLeast"/>
          <w:jc w:val="center"/>
        </w:trPr>
        <w:tc>
          <w:tcPr>
            <w:tcW w:w="453" w:type="dxa"/>
            <w:vMerge w:val="continue"/>
            <w:vAlign w:val="center"/>
          </w:tcPr>
          <w:p w14:paraId="5473B75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08A0ABE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4EEEAFD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7C93B61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23689E1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其他半固体调味料</w:t>
            </w:r>
          </w:p>
        </w:tc>
        <w:tc>
          <w:tcPr>
            <w:tcW w:w="680" w:type="dxa"/>
            <w:vAlign w:val="center"/>
          </w:tcPr>
          <w:p w14:paraId="6E2BA14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0719B7A7">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罗丹明B、罂粟碱、吗啡、可待因、那可丁、苯甲酸及其钠盐（以苯甲酸计）、山梨酸及其钾盐（以山梨酸计）、脱氢乙酸及其钠盐（以脱氢乙酸计）、防腐剂混合使用时各自用量占其最大使用量的比例之和、甜蜜素（以环己基氨基磺酸计）、安赛蜜</w:t>
            </w:r>
          </w:p>
        </w:tc>
      </w:tr>
      <w:tr w14:paraId="6CA05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07" w:hRule="atLeast"/>
          <w:jc w:val="center"/>
        </w:trPr>
        <w:tc>
          <w:tcPr>
            <w:tcW w:w="453" w:type="dxa"/>
            <w:vMerge w:val="continue"/>
            <w:vAlign w:val="center"/>
          </w:tcPr>
          <w:p w14:paraId="049E947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1B25E8E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4F95DCC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restart"/>
            <w:vAlign w:val="center"/>
          </w:tcPr>
          <w:p w14:paraId="7FBB702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液体复合调味料</w:t>
            </w:r>
          </w:p>
        </w:tc>
        <w:tc>
          <w:tcPr>
            <w:tcW w:w="1583" w:type="dxa"/>
            <w:vAlign w:val="center"/>
          </w:tcPr>
          <w:p w14:paraId="3A75339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蚝油、虾油、鱼露</w:t>
            </w:r>
          </w:p>
        </w:tc>
        <w:tc>
          <w:tcPr>
            <w:tcW w:w="680" w:type="dxa"/>
            <w:vAlign w:val="center"/>
          </w:tcPr>
          <w:p w14:paraId="64ABC33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23B60D17">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氨基酸态氮、苯甲酸及其钠盐（以苯甲酸计）、山梨酸及其钾盐（以山梨酸计）、脱氢乙酸及其钠盐（以脱氢乙酸计）、防腐剂混合使用时各自用量占其最大使用量的比例之和、菌落总数</w:t>
            </w:r>
          </w:p>
        </w:tc>
      </w:tr>
      <w:tr w14:paraId="175D2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0" w:hRule="atLeast"/>
          <w:jc w:val="center"/>
        </w:trPr>
        <w:tc>
          <w:tcPr>
            <w:tcW w:w="453" w:type="dxa"/>
            <w:vMerge w:val="continue"/>
            <w:vAlign w:val="center"/>
          </w:tcPr>
          <w:p w14:paraId="0724F77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779BCC3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7373127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394BA3A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1BE58D6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其他液体调味料</w:t>
            </w:r>
          </w:p>
        </w:tc>
        <w:tc>
          <w:tcPr>
            <w:tcW w:w="680" w:type="dxa"/>
            <w:vAlign w:val="center"/>
          </w:tcPr>
          <w:p w14:paraId="144927B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2E23F891">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苯甲酸及其钠盐（以苯甲酸计）、山梨酸及其钾盐（以山梨酸计）、脱氢乙酸及其钠盐（以脱氢乙酸计）、防腐剂混合使用时各自用量占其最大使用量的比例之和、糖精钠（以糖精计）、甜蜜素（以环己基氨基磺酸计）、合成着色剂（柠檬黄、日落黄、胭脂红、诱惑红）、相同色泽着色剂混合使用时各自用量占其最大使用量的比例之和、菌落总数</w:t>
            </w:r>
          </w:p>
        </w:tc>
      </w:tr>
      <w:tr w14:paraId="3E623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00" w:hRule="atLeast"/>
          <w:jc w:val="center"/>
        </w:trPr>
        <w:tc>
          <w:tcPr>
            <w:tcW w:w="453" w:type="dxa"/>
            <w:vMerge w:val="continue"/>
            <w:vAlign w:val="center"/>
          </w:tcPr>
          <w:p w14:paraId="2B8AFF2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3E1716C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Align w:val="center"/>
          </w:tcPr>
          <w:p w14:paraId="5F6C1A9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味精</w:t>
            </w:r>
          </w:p>
        </w:tc>
        <w:tc>
          <w:tcPr>
            <w:tcW w:w="1578" w:type="dxa"/>
            <w:vAlign w:val="center"/>
          </w:tcPr>
          <w:p w14:paraId="663A46B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味精</w:t>
            </w:r>
          </w:p>
        </w:tc>
        <w:tc>
          <w:tcPr>
            <w:tcW w:w="1583" w:type="dxa"/>
            <w:vAlign w:val="center"/>
          </w:tcPr>
          <w:p w14:paraId="5273208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味精</w:t>
            </w:r>
          </w:p>
        </w:tc>
        <w:tc>
          <w:tcPr>
            <w:tcW w:w="680" w:type="dxa"/>
            <w:vAlign w:val="center"/>
          </w:tcPr>
          <w:p w14:paraId="4FE5A76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6A2EA3C0">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谷氨酸钠</w:t>
            </w:r>
          </w:p>
        </w:tc>
      </w:tr>
      <w:tr w14:paraId="0E68F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73" w:hRule="atLeast"/>
          <w:jc w:val="center"/>
        </w:trPr>
        <w:tc>
          <w:tcPr>
            <w:tcW w:w="453" w:type="dxa"/>
            <w:vMerge w:val="continue"/>
            <w:vAlign w:val="center"/>
          </w:tcPr>
          <w:p w14:paraId="64731C8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940" w:type="dxa"/>
            <w:vMerge w:val="continue"/>
            <w:vAlign w:val="center"/>
          </w:tcPr>
          <w:p w14:paraId="2C0A2F6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1358" w:type="dxa"/>
            <w:vMerge w:val="restart"/>
            <w:vAlign w:val="center"/>
          </w:tcPr>
          <w:p w14:paraId="1B4C3B4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食盐</w:t>
            </w:r>
          </w:p>
        </w:tc>
        <w:tc>
          <w:tcPr>
            <w:tcW w:w="1578" w:type="dxa"/>
            <w:vMerge w:val="restart"/>
            <w:vAlign w:val="center"/>
          </w:tcPr>
          <w:p w14:paraId="4FBA269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食用盐</w:t>
            </w:r>
          </w:p>
        </w:tc>
        <w:tc>
          <w:tcPr>
            <w:tcW w:w="1583" w:type="dxa"/>
            <w:vAlign w:val="center"/>
          </w:tcPr>
          <w:p w14:paraId="330B542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普通食用盐</w:t>
            </w:r>
          </w:p>
        </w:tc>
        <w:tc>
          <w:tcPr>
            <w:tcW w:w="680" w:type="dxa"/>
            <w:vAlign w:val="center"/>
          </w:tcPr>
          <w:p w14:paraId="20D0B29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6827C3DB">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氯化钠、钡（以Ba计）、碘（以I计）、铅（以Pb计）、总砷（以As计）、镉（以Cd计）、总汞（以Hg计）、亚铁氰化钾/亚铁氰化钠（以亚铁氰根计）</w:t>
            </w:r>
          </w:p>
        </w:tc>
      </w:tr>
      <w:tr w14:paraId="08929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40" w:hRule="atLeast"/>
          <w:jc w:val="center"/>
        </w:trPr>
        <w:tc>
          <w:tcPr>
            <w:tcW w:w="453" w:type="dxa"/>
            <w:vMerge w:val="continue"/>
            <w:vAlign w:val="center"/>
          </w:tcPr>
          <w:p w14:paraId="1C7A20C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56E6857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28962F2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4F57F57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6A6F920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低钠食用盐</w:t>
            </w:r>
          </w:p>
        </w:tc>
        <w:tc>
          <w:tcPr>
            <w:tcW w:w="680" w:type="dxa"/>
            <w:vAlign w:val="center"/>
          </w:tcPr>
          <w:p w14:paraId="6ED5B50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57FDB295">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氯化钾、钡（以Ba计）、碘（以I计）、铅（以Pb计）、总砷（以As计）、镉（以Cd计）、总汞（以Hg计）、亚铁氰化钾/亚铁氰化钠（以亚铁氰根计）</w:t>
            </w:r>
          </w:p>
        </w:tc>
      </w:tr>
      <w:tr w14:paraId="2E312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07" w:hRule="atLeast"/>
          <w:jc w:val="center"/>
        </w:trPr>
        <w:tc>
          <w:tcPr>
            <w:tcW w:w="453" w:type="dxa"/>
            <w:vMerge w:val="continue"/>
            <w:vAlign w:val="center"/>
          </w:tcPr>
          <w:p w14:paraId="2128E93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79286E1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064BB33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0A98614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732CDED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风味食用盐</w:t>
            </w:r>
          </w:p>
        </w:tc>
        <w:tc>
          <w:tcPr>
            <w:tcW w:w="680" w:type="dxa"/>
            <w:vAlign w:val="center"/>
          </w:tcPr>
          <w:p w14:paraId="0648358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372EFC35">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钡（以Ba计）、铅（以Pb计）、总砷（以As计）、镉（以Cd计）、总汞（以Hg计）、亚铁氰化钾/亚铁氰化钠（以亚铁氰根计）</w:t>
            </w:r>
          </w:p>
        </w:tc>
      </w:tr>
      <w:tr w14:paraId="183E2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40" w:hRule="atLeast"/>
          <w:jc w:val="center"/>
        </w:trPr>
        <w:tc>
          <w:tcPr>
            <w:tcW w:w="453" w:type="dxa"/>
            <w:vMerge w:val="continue"/>
            <w:vAlign w:val="center"/>
          </w:tcPr>
          <w:p w14:paraId="048F594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7FF8EF4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646CCBB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1362309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220D403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特殊工艺食用盐</w:t>
            </w:r>
          </w:p>
        </w:tc>
        <w:tc>
          <w:tcPr>
            <w:tcW w:w="680" w:type="dxa"/>
            <w:vAlign w:val="center"/>
          </w:tcPr>
          <w:p w14:paraId="766BD1F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29B0B327">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氯化钠、钡（以Ba计）、碘（以I计）、铅（以Pb计）、总砷（以As计）、镉（以Cd计）、总汞（以Hg计）、亚铁氰化钾/亚铁氰化钠（以亚铁氰根计）</w:t>
            </w:r>
          </w:p>
        </w:tc>
      </w:tr>
      <w:tr w14:paraId="13572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90" w:hRule="atLeast"/>
          <w:jc w:val="center"/>
        </w:trPr>
        <w:tc>
          <w:tcPr>
            <w:tcW w:w="453" w:type="dxa"/>
            <w:vMerge w:val="continue"/>
            <w:vAlign w:val="center"/>
          </w:tcPr>
          <w:p w14:paraId="524AA39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0805573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004287F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2E08680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食品生产加工用盐</w:t>
            </w:r>
          </w:p>
        </w:tc>
        <w:tc>
          <w:tcPr>
            <w:tcW w:w="1583" w:type="dxa"/>
            <w:vAlign w:val="center"/>
          </w:tcPr>
          <w:p w14:paraId="29CC474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食品生产加工用盐</w:t>
            </w:r>
          </w:p>
        </w:tc>
        <w:tc>
          <w:tcPr>
            <w:tcW w:w="680" w:type="dxa"/>
            <w:vAlign w:val="center"/>
          </w:tcPr>
          <w:p w14:paraId="7C36E08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472D8A18">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铅（以Pb计）、总砷（以As计）、镉（以Cd计）、总汞（以Hg计）、亚铁氰化钾/亚铁氰化钠（以亚铁氰根计）、亚硝酸盐（以NaNO</w:t>
            </w:r>
            <w:r>
              <w:rPr>
                <w:rFonts w:hint="eastAsia" w:ascii="仿宋_GB2312" w:hAnsi="仿宋_GB2312" w:eastAsia="仿宋_GB2312" w:cs="仿宋_GB2312"/>
                <w:color w:val="auto"/>
                <w:sz w:val="18"/>
                <w:szCs w:val="18"/>
                <w:vertAlign w:val="subscript"/>
                <w:lang w:eastAsia="zh-CN"/>
              </w:rPr>
              <w:t>2</w:t>
            </w:r>
            <w:r>
              <w:rPr>
                <w:rFonts w:hint="eastAsia" w:ascii="仿宋_GB2312" w:hAnsi="仿宋_GB2312" w:eastAsia="仿宋_GB2312" w:cs="仿宋_GB2312"/>
                <w:color w:val="auto"/>
                <w:sz w:val="18"/>
                <w:szCs w:val="18"/>
                <w:lang w:eastAsia="zh-CN"/>
              </w:rPr>
              <w:t>计）</w:t>
            </w:r>
          </w:p>
        </w:tc>
      </w:tr>
      <w:tr w14:paraId="0F1E8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restart"/>
            <w:vAlign w:val="center"/>
          </w:tcPr>
          <w:p w14:paraId="44D79D4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4</w:t>
            </w:r>
          </w:p>
        </w:tc>
        <w:tc>
          <w:tcPr>
            <w:tcW w:w="940" w:type="dxa"/>
            <w:vMerge w:val="restart"/>
            <w:vAlign w:val="center"/>
          </w:tcPr>
          <w:p w14:paraId="64D48AC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肉制品</w:t>
            </w:r>
          </w:p>
        </w:tc>
        <w:tc>
          <w:tcPr>
            <w:tcW w:w="1358" w:type="dxa"/>
            <w:vMerge w:val="restart"/>
            <w:vAlign w:val="center"/>
          </w:tcPr>
          <w:p w14:paraId="4FCD00E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预制肉制品</w:t>
            </w:r>
          </w:p>
        </w:tc>
        <w:tc>
          <w:tcPr>
            <w:tcW w:w="1578" w:type="dxa"/>
            <w:vAlign w:val="center"/>
          </w:tcPr>
          <w:p w14:paraId="03CB05C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调理肉制品</w:t>
            </w:r>
          </w:p>
        </w:tc>
        <w:tc>
          <w:tcPr>
            <w:tcW w:w="1583" w:type="dxa"/>
            <w:vAlign w:val="center"/>
          </w:tcPr>
          <w:p w14:paraId="29CAFC2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调理肉制品(非速冻)</w:t>
            </w:r>
          </w:p>
        </w:tc>
        <w:tc>
          <w:tcPr>
            <w:tcW w:w="680" w:type="dxa"/>
            <w:vAlign w:val="center"/>
          </w:tcPr>
          <w:p w14:paraId="38AADEB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6FD5BFF2">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苯甲酸及其钠盐（以苯甲酸计）、山梨酸及其钾盐（以山梨酸计）、脱氢乙酸及其钠盐（以脱氢乙酸计）</w:t>
            </w:r>
          </w:p>
        </w:tc>
      </w:tr>
      <w:tr w14:paraId="05DC3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830" w:hRule="atLeast"/>
          <w:jc w:val="center"/>
        </w:trPr>
        <w:tc>
          <w:tcPr>
            <w:tcW w:w="453" w:type="dxa"/>
            <w:vMerge w:val="continue"/>
            <w:vAlign w:val="center"/>
          </w:tcPr>
          <w:p w14:paraId="0F283C3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74CB0E7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6536BC9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211D0F6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腌腊肉制品</w:t>
            </w:r>
          </w:p>
        </w:tc>
        <w:tc>
          <w:tcPr>
            <w:tcW w:w="1583" w:type="dxa"/>
            <w:vAlign w:val="center"/>
          </w:tcPr>
          <w:p w14:paraId="0692990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腌腊肉制品</w:t>
            </w:r>
          </w:p>
        </w:tc>
        <w:tc>
          <w:tcPr>
            <w:tcW w:w="680" w:type="dxa"/>
            <w:vAlign w:val="center"/>
          </w:tcPr>
          <w:p w14:paraId="5A7F60B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14F4D078">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过氧化值（以脂肪计）、铅（以Pb计）、总砷（以As计）、亚硝酸盐（以亚硝酸钠计）、苯甲酸及其钠盐（以苯甲酸计）、山梨酸及其钾盐（以山梨酸计）、脱氢乙酸及其钠盐（以脱氢乙酸计）、合成着色剂（柠檬黄、日落黄、胭脂红、诱惑红、苋菜红、酸性红）、氯霉素、红2G</w:t>
            </w:r>
          </w:p>
        </w:tc>
      </w:tr>
      <w:tr w14:paraId="62059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453" w:type="dxa"/>
            <w:vMerge w:val="continue"/>
            <w:vAlign w:val="center"/>
          </w:tcPr>
          <w:p w14:paraId="786100F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75E862B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Align w:val="center"/>
          </w:tcPr>
          <w:p w14:paraId="02CA977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熟肉制品</w:t>
            </w:r>
          </w:p>
        </w:tc>
        <w:tc>
          <w:tcPr>
            <w:tcW w:w="1578" w:type="dxa"/>
            <w:vAlign w:val="center"/>
          </w:tcPr>
          <w:p w14:paraId="051C90F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发酵肉制品</w:t>
            </w:r>
          </w:p>
        </w:tc>
        <w:tc>
          <w:tcPr>
            <w:tcW w:w="1583" w:type="dxa"/>
            <w:vAlign w:val="center"/>
          </w:tcPr>
          <w:p w14:paraId="5A08A8D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发酵肉制品</w:t>
            </w:r>
          </w:p>
        </w:tc>
        <w:tc>
          <w:tcPr>
            <w:tcW w:w="680" w:type="dxa"/>
            <w:vAlign w:val="center"/>
          </w:tcPr>
          <w:p w14:paraId="679D31A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562F3FD8">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亚硝酸盐（以亚硝酸钠计）、沙门氏菌、金黄色葡萄球菌、单核细胞增生李斯特氏菌、致泻大肠埃希氏菌</w:t>
            </w:r>
          </w:p>
        </w:tc>
      </w:tr>
      <w:tr w14:paraId="6C551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37" w:hRule="atLeast"/>
          <w:jc w:val="center"/>
        </w:trPr>
        <w:tc>
          <w:tcPr>
            <w:tcW w:w="453" w:type="dxa"/>
            <w:vMerge w:val="restart"/>
            <w:vAlign w:val="center"/>
          </w:tcPr>
          <w:p w14:paraId="3D8CD81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4</w:t>
            </w:r>
          </w:p>
        </w:tc>
        <w:tc>
          <w:tcPr>
            <w:tcW w:w="940" w:type="dxa"/>
            <w:vMerge w:val="restart"/>
            <w:vAlign w:val="center"/>
          </w:tcPr>
          <w:p w14:paraId="298A44D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肉制品</w:t>
            </w:r>
          </w:p>
        </w:tc>
        <w:tc>
          <w:tcPr>
            <w:tcW w:w="1358" w:type="dxa"/>
            <w:vMerge w:val="restart"/>
            <w:vAlign w:val="center"/>
          </w:tcPr>
          <w:p w14:paraId="02C0346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熟肉制品</w:t>
            </w:r>
          </w:p>
        </w:tc>
        <w:tc>
          <w:tcPr>
            <w:tcW w:w="1578" w:type="dxa"/>
            <w:vAlign w:val="center"/>
          </w:tcPr>
          <w:p w14:paraId="15C20DC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酱卤肉制品</w:t>
            </w:r>
          </w:p>
        </w:tc>
        <w:tc>
          <w:tcPr>
            <w:tcW w:w="1583" w:type="dxa"/>
            <w:vAlign w:val="center"/>
          </w:tcPr>
          <w:p w14:paraId="4A68663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酱卤肉制品</w:t>
            </w:r>
          </w:p>
        </w:tc>
        <w:tc>
          <w:tcPr>
            <w:tcW w:w="680" w:type="dxa"/>
            <w:vAlign w:val="center"/>
          </w:tcPr>
          <w:p w14:paraId="079C9D8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64523FD5">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镉（以Cd计）、铬（以Cr计）、总碑（以As计）、N-二甲基亚硝胺、亚硝酸盐（以亚硝酸钠计）、苯甲酸及其钠盐（以苯甲酸计）、山梨酸及其钾盐（以山梨酸计）、脱氢乙酸及其钠盐（以脱氢乙酸计）、纳他霉素、防腐剂混合使用时各自用量占其最大使用量的比例之和、糖精钠（以糖精计）、合成着色剂（柠檬黄、日落黄、胭脂红、诱惑红）、氯霉素、菌落总数、大肠菌群、沙门氏菌、金黄色葡萄球菌、单核细胞增生李斯特氏菌、致泻大肠埃希氏菌</w:t>
            </w:r>
          </w:p>
        </w:tc>
      </w:tr>
      <w:tr w14:paraId="4A330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37" w:hRule="atLeast"/>
          <w:jc w:val="center"/>
        </w:trPr>
        <w:tc>
          <w:tcPr>
            <w:tcW w:w="453" w:type="dxa"/>
            <w:vMerge w:val="continue"/>
            <w:vAlign w:val="center"/>
          </w:tcPr>
          <w:p w14:paraId="7160489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3D7EEBC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2A0990F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6D880B4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油炸肉制品</w:t>
            </w:r>
          </w:p>
        </w:tc>
        <w:tc>
          <w:tcPr>
            <w:tcW w:w="1583" w:type="dxa"/>
            <w:vAlign w:val="center"/>
          </w:tcPr>
          <w:p w14:paraId="4464328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油炸肉制品</w:t>
            </w:r>
          </w:p>
        </w:tc>
        <w:tc>
          <w:tcPr>
            <w:tcW w:w="680" w:type="dxa"/>
            <w:vAlign w:val="center"/>
          </w:tcPr>
          <w:p w14:paraId="70277B0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10F1BD73">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N-二甲基亚硝胺、亚硝酸盐（以亚硝酸钠计）、苯甲酸及其钠盐（以苯甲酸计）、山梨酸及其钾盐（以山梨酸计）、沙门氏菌、金黄色葡萄球菌、单核细胞增生李斯特氏菌、致泻大肠埃希氏菌</w:t>
            </w:r>
          </w:p>
        </w:tc>
      </w:tr>
      <w:tr w14:paraId="070B5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37" w:hRule="atLeast"/>
          <w:jc w:val="center"/>
        </w:trPr>
        <w:tc>
          <w:tcPr>
            <w:tcW w:w="453" w:type="dxa"/>
            <w:vMerge w:val="continue"/>
            <w:vAlign w:val="center"/>
          </w:tcPr>
          <w:p w14:paraId="7C0F674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687EAF8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45CCC8B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430D07F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熟肉干制品</w:t>
            </w:r>
          </w:p>
        </w:tc>
        <w:tc>
          <w:tcPr>
            <w:tcW w:w="1583" w:type="dxa"/>
            <w:vAlign w:val="center"/>
          </w:tcPr>
          <w:p w14:paraId="7639EC9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熟肉干制品</w:t>
            </w:r>
          </w:p>
        </w:tc>
        <w:tc>
          <w:tcPr>
            <w:tcW w:w="680" w:type="dxa"/>
            <w:vAlign w:val="center"/>
          </w:tcPr>
          <w:p w14:paraId="5C9C2E8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5718F5E4">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N-二甲基亚硝胺、苯甲酸及其钠盐（以苯甲酸计）、山梨酸及其钾盐（以山梨酸计）、脱氢乙酸及其钠盐（以脱氢乙酸计）、防腐剂混合使用时各自用量占其最大使用量的比例之和、合成着色剂（胭脂红、诱惑红）、氯霉素、菌落总数、大肠菌群、沙门氏菌、金黄色葡萄球菌、单核细胞增生李斯特氏菌、致泻大肠埃希氏菌</w:t>
            </w:r>
          </w:p>
        </w:tc>
      </w:tr>
      <w:tr w14:paraId="3CFC8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37" w:hRule="atLeast"/>
          <w:jc w:val="center"/>
        </w:trPr>
        <w:tc>
          <w:tcPr>
            <w:tcW w:w="453" w:type="dxa"/>
            <w:vMerge w:val="continue"/>
            <w:vAlign w:val="center"/>
          </w:tcPr>
          <w:p w14:paraId="517A42C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50015EA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593381A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4FC173A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熏烧烤肉制品</w:t>
            </w:r>
          </w:p>
        </w:tc>
        <w:tc>
          <w:tcPr>
            <w:tcW w:w="1583" w:type="dxa"/>
            <w:vAlign w:val="center"/>
          </w:tcPr>
          <w:p w14:paraId="58A225C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熏烧烤肉制品</w:t>
            </w:r>
          </w:p>
        </w:tc>
        <w:tc>
          <w:tcPr>
            <w:tcW w:w="680" w:type="dxa"/>
            <w:vAlign w:val="center"/>
          </w:tcPr>
          <w:p w14:paraId="260AB7C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7843C06D">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苯并[a]芘、N-二甲基亚硝胺、亚硝酸盐（以亚硝酸钠计）、苯甲酸及其钠盐（以苯甲酸计）、山梨酸及其钾盐（以山梨酸计）、纳他霉素、合成着色剂（柠檬黄、日落黄、胭脂红）、氯霉素、菌落总数、大肠菌群、沙门氏菌、金黄色葡萄球菌、单核细胞增生李斯特氏菌、致泻大肠埃希氏菌</w:t>
            </w:r>
          </w:p>
        </w:tc>
      </w:tr>
      <w:tr w14:paraId="66949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37" w:hRule="atLeast"/>
          <w:jc w:val="center"/>
        </w:trPr>
        <w:tc>
          <w:tcPr>
            <w:tcW w:w="453" w:type="dxa"/>
            <w:vMerge w:val="continue"/>
            <w:vAlign w:val="center"/>
          </w:tcPr>
          <w:p w14:paraId="247FE5E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3E0A617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7046066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5348748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熏煮香肠火腿制品</w:t>
            </w:r>
          </w:p>
        </w:tc>
        <w:tc>
          <w:tcPr>
            <w:tcW w:w="1583" w:type="dxa"/>
            <w:vAlign w:val="center"/>
          </w:tcPr>
          <w:p w14:paraId="063984D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熏煮香肠火腿制品</w:t>
            </w:r>
          </w:p>
        </w:tc>
        <w:tc>
          <w:tcPr>
            <w:tcW w:w="680" w:type="dxa"/>
            <w:vAlign w:val="center"/>
          </w:tcPr>
          <w:p w14:paraId="5F8AC57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14043973">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亚硝酸盐（以亚硝酸钠计）、苯甲酸及其钠盐（以苯甲酸计）、山梨酸及其钾盐（以山梨酸计）、脱氢乙酸及其钠盐（以脱氢乙酸计）、防腐剂混合使用时各自用量占其最大使用量的比例之和、合成着色剂（胭脂红、诱惑红）、氯霉素、菌落总数、大肠菌群、沙门氏菌、金黄色葡萄球菌、单核细胞增生李斯特氏菌、致泻大肠埃希氏菌</w:t>
            </w:r>
          </w:p>
        </w:tc>
      </w:tr>
      <w:tr w14:paraId="28DAB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453" w:type="dxa"/>
            <w:vMerge w:val="restart"/>
            <w:vAlign w:val="center"/>
          </w:tcPr>
          <w:p w14:paraId="3F64C14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5</w:t>
            </w:r>
          </w:p>
        </w:tc>
        <w:tc>
          <w:tcPr>
            <w:tcW w:w="940" w:type="dxa"/>
            <w:vMerge w:val="restart"/>
            <w:vAlign w:val="center"/>
          </w:tcPr>
          <w:p w14:paraId="711BF69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乳制品</w:t>
            </w:r>
          </w:p>
        </w:tc>
        <w:tc>
          <w:tcPr>
            <w:tcW w:w="1358" w:type="dxa"/>
            <w:vMerge w:val="restart"/>
            <w:vAlign w:val="center"/>
          </w:tcPr>
          <w:p w14:paraId="444D6DE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乳制品</w:t>
            </w:r>
          </w:p>
        </w:tc>
        <w:tc>
          <w:tcPr>
            <w:tcW w:w="1578" w:type="dxa"/>
            <w:vMerge w:val="restart"/>
            <w:vAlign w:val="center"/>
          </w:tcPr>
          <w:p w14:paraId="259443C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液体乳</w:t>
            </w:r>
          </w:p>
        </w:tc>
        <w:tc>
          <w:tcPr>
            <w:tcW w:w="1583" w:type="dxa"/>
            <w:vAlign w:val="center"/>
          </w:tcPr>
          <w:p w14:paraId="1C28F4B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巴氏杀菌乳</w:t>
            </w:r>
          </w:p>
        </w:tc>
        <w:tc>
          <w:tcPr>
            <w:tcW w:w="680" w:type="dxa"/>
            <w:vAlign w:val="center"/>
          </w:tcPr>
          <w:p w14:paraId="4B12783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10638D77">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蛋白质、酸度、三聚氰胺、铅（以Pb计）、丙二醇、沙门氏菌、金黄色葡萄球菌、菌落总数、大肠菌群、黄曲霉毒素M₁</w:t>
            </w:r>
          </w:p>
        </w:tc>
      </w:tr>
      <w:tr w14:paraId="1B302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453" w:type="dxa"/>
            <w:vMerge w:val="continue"/>
            <w:vAlign w:val="center"/>
          </w:tcPr>
          <w:p w14:paraId="1C174C7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46F11B7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65378A7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65B6174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3A990D0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灭菌乳</w:t>
            </w:r>
          </w:p>
        </w:tc>
        <w:tc>
          <w:tcPr>
            <w:tcW w:w="680" w:type="dxa"/>
            <w:vAlign w:val="center"/>
          </w:tcPr>
          <w:p w14:paraId="6F34606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60CEEC51">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蛋白质、非脂乳固体、酸度、脂肪、三聚氰胺、铅（以Pb计）、丙二醇、商业无菌、黄曲霉毒素M₁</w:t>
            </w:r>
          </w:p>
        </w:tc>
      </w:tr>
      <w:tr w14:paraId="3A827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453" w:type="dxa"/>
            <w:vMerge w:val="continue"/>
            <w:vAlign w:val="center"/>
          </w:tcPr>
          <w:p w14:paraId="726392B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5F4BB91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42276FB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1D9C30A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312FC2F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高温杀菌乳</w:t>
            </w:r>
          </w:p>
        </w:tc>
        <w:tc>
          <w:tcPr>
            <w:tcW w:w="680" w:type="dxa"/>
            <w:vAlign w:val="center"/>
          </w:tcPr>
          <w:p w14:paraId="694FADF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6AEDD0DE">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蛋白质、酸度、三聚氰胺、铅（以Pb计）、沙门氏菌、菌落总数、大肠菌群、丙二醇、黄曲霉毒素M₁</w:t>
            </w:r>
          </w:p>
        </w:tc>
      </w:tr>
      <w:tr w14:paraId="41350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453" w:type="dxa"/>
            <w:vMerge w:val="continue"/>
            <w:vAlign w:val="center"/>
          </w:tcPr>
          <w:p w14:paraId="1553FB0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6951A78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10411AF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1195AD9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08AD433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发酵乳</w:t>
            </w:r>
          </w:p>
        </w:tc>
        <w:tc>
          <w:tcPr>
            <w:tcW w:w="680" w:type="dxa"/>
            <w:vAlign w:val="center"/>
          </w:tcPr>
          <w:p w14:paraId="758AC27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32FFB26F">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脂肪、蛋白质、酸度、三聚氰胺、铅（以Pb计）、山梨酸及其钾盐（以山梨酸计）、甜蜜素（以环已基氨基磺酸计）、阿斯巴甜、安赛蜜、金黄色葡萄球菌、沙门氏菌、大肠菌群、霉菌、黄曲霉毒素M₁</w:t>
            </w:r>
          </w:p>
        </w:tc>
      </w:tr>
      <w:tr w14:paraId="07794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453" w:type="dxa"/>
            <w:vMerge w:val="continue"/>
            <w:vAlign w:val="center"/>
          </w:tcPr>
          <w:p w14:paraId="5FCFD82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268285A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784E1B3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6CA82F5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5F4EE1A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调制乳</w:t>
            </w:r>
          </w:p>
        </w:tc>
        <w:tc>
          <w:tcPr>
            <w:tcW w:w="680" w:type="dxa"/>
            <w:vAlign w:val="center"/>
          </w:tcPr>
          <w:p w14:paraId="3BB4102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45A23A64">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蛋白质、三聚氰胺、铅（以Pb计）、商业无菌、菌落总数、大肠菌群、黄曲霉毒素M₁</w:t>
            </w:r>
          </w:p>
        </w:tc>
      </w:tr>
      <w:tr w14:paraId="5C9C3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453" w:type="dxa"/>
            <w:vMerge w:val="continue"/>
            <w:vAlign w:val="center"/>
          </w:tcPr>
          <w:p w14:paraId="2BC573E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2B5813B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03E80DC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05924E0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乳粉</w:t>
            </w:r>
          </w:p>
        </w:tc>
        <w:tc>
          <w:tcPr>
            <w:tcW w:w="1583" w:type="dxa"/>
            <w:vAlign w:val="center"/>
          </w:tcPr>
          <w:p w14:paraId="16D9C12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乳粉（全脂、脱脂、部分脱脂）和调制乳粉</w:t>
            </w:r>
          </w:p>
        </w:tc>
        <w:tc>
          <w:tcPr>
            <w:tcW w:w="680" w:type="dxa"/>
            <w:vAlign w:val="center"/>
          </w:tcPr>
          <w:p w14:paraId="5AA9C74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2D02F2D6">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蛋白质、脂肪、复原乳酸度、杂质度、水分、三聚氰胺、铅（以Pb计）、菌落总数、大肠菌群</w:t>
            </w:r>
          </w:p>
        </w:tc>
      </w:tr>
      <w:tr w14:paraId="00332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453" w:type="dxa"/>
            <w:vMerge w:val="continue"/>
            <w:vAlign w:val="center"/>
          </w:tcPr>
          <w:p w14:paraId="5475039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14CE085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7EE6FD1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5BB0693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乳清粉和乳清蛋白粉(企业原料)</w:t>
            </w:r>
          </w:p>
        </w:tc>
        <w:tc>
          <w:tcPr>
            <w:tcW w:w="1583" w:type="dxa"/>
            <w:vAlign w:val="center"/>
          </w:tcPr>
          <w:p w14:paraId="10B2842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脱盐乳清粉、非脱盐乳清粉、浓缩乳清蛋白粉、分离乳清蛋白粉</w:t>
            </w:r>
          </w:p>
        </w:tc>
        <w:tc>
          <w:tcPr>
            <w:tcW w:w="680" w:type="dxa"/>
            <w:vAlign w:val="center"/>
          </w:tcPr>
          <w:p w14:paraId="1BEE5F1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3CC98766">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蛋白质、三聚氰胺</w:t>
            </w:r>
          </w:p>
        </w:tc>
      </w:tr>
      <w:tr w14:paraId="197BE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0" w:hRule="atLeast"/>
          <w:jc w:val="center"/>
        </w:trPr>
        <w:tc>
          <w:tcPr>
            <w:tcW w:w="453" w:type="dxa"/>
            <w:vMerge w:val="continue"/>
            <w:vAlign w:val="center"/>
          </w:tcPr>
          <w:p w14:paraId="06357D6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940" w:type="dxa"/>
            <w:vMerge w:val="continue"/>
            <w:vAlign w:val="center"/>
          </w:tcPr>
          <w:p w14:paraId="31F6F04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1358" w:type="dxa"/>
            <w:vMerge w:val="continue"/>
            <w:vAlign w:val="center"/>
          </w:tcPr>
          <w:p w14:paraId="57B9350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1578" w:type="dxa"/>
            <w:vMerge w:val="restart"/>
            <w:vAlign w:val="center"/>
          </w:tcPr>
          <w:p w14:paraId="5BD3B0F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其他乳制品(浓缩乳制品、奶油、干酪、固态成型产品)</w:t>
            </w:r>
          </w:p>
        </w:tc>
        <w:tc>
          <w:tcPr>
            <w:tcW w:w="1583" w:type="dxa"/>
            <w:vAlign w:val="center"/>
          </w:tcPr>
          <w:p w14:paraId="2828E56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浓缩乳制品</w:t>
            </w:r>
          </w:p>
        </w:tc>
        <w:tc>
          <w:tcPr>
            <w:tcW w:w="680" w:type="dxa"/>
            <w:vAlign w:val="center"/>
          </w:tcPr>
          <w:p w14:paraId="305E14F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6D867393">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蛋白质、三聚氰胺、商业无菌、菌落总数、大肠菌群</w:t>
            </w:r>
          </w:p>
        </w:tc>
      </w:tr>
      <w:tr w14:paraId="50C04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0" w:hRule="atLeast"/>
          <w:jc w:val="center"/>
        </w:trPr>
        <w:tc>
          <w:tcPr>
            <w:tcW w:w="453" w:type="dxa"/>
            <w:vMerge w:val="continue"/>
            <w:vAlign w:val="center"/>
          </w:tcPr>
          <w:p w14:paraId="0E0BB81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148442C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6E73E54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7C8DAEE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048E4B4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稀奶油、奶油和无水奶油</w:t>
            </w:r>
          </w:p>
        </w:tc>
        <w:tc>
          <w:tcPr>
            <w:tcW w:w="680" w:type="dxa"/>
            <w:vAlign w:val="center"/>
          </w:tcPr>
          <w:p w14:paraId="4F57F52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2A868538">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脂肪、酸度、三聚氰胺、脱氢乙酸及其钠盐（以脱氢乙酸计）、沙门氏菌、商业无菌、菌落总数、大肠菌群、霉菌</w:t>
            </w:r>
          </w:p>
        </w:tc>
      </w:tr>
      <w:tr w14:paraId="66B36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0" w:hRule="atLeast"/>
          <w:jc w:val="center"/>
        </w:trPr>
        <w:tc>
          <w:tcPr>
            <w:tcW w:w="453" w:type="dxa"/>
            <w:vMerge w:val="continue"/>
            <w:vAlign w:val="center"/>
          </w:tcPr>
          <w:p w14:paraId="6E8970F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3B01170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6D9C4FB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798E4BC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7A9966F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干酪、再制干酪、干酪制品</w:t>
            </w:r>
          </w:p>
        </w:tc>
        <w:tc>
          <w:tcPr>
            <w:tcW w:w="680" w:type="dxa"/>
            <w:vAlign w:val="center"/>
          </w:tcPr>
          <w:p w14:paraId="2A78B06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24D6C11D">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三聚氰胺、金黄色葡萄球菌、沙门氏菌、单核细胞增生李斯特氏菌、菌落总数、大肠菌群、霉菌</w:t>
            </w:r>
          </w:p>
        </w:tc>
      </w:tr>
      <w:tr w14:paraId="4CF9F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0" w:hRule="atLeast"/>
          <w:jc w:val="center"/>
        </w:trPr>
        <w:tc>
          <w:tcPr>
            <w:tcW w:w="453" w:type="dxa"/>
            <w:vMerge w:val="continue"/>
            <w:vAlign w:val="center"/>
          </w:tcPr>
          <w:p w14:paraId="6688846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51C2B97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7E89C8B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75744D1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09F06C7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奶片、奶条等固态成型产品</w:t>
            </w:r>
          </w:p>
        </w:tc>
        <w:tc>
          <w:tcPr>
            <w:tcW w:w="680" w:type="dxa"/>
            <w:vAlign w:val="center"/>
          </w:tcPr>
          <w:p w14:paraId="53B0EE8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2C53E1DF">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蛋白质、脱氢乙酸及其钠盐（以脱氢乙酸计）、三聚氰胺、沙门氏菌</w:t>
            </w:r>
          </w:p>
        </w:tc>
      </w:tr>
      <w:tr w14:paraId="231F2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0" w:hRule="atLeast"/>
          <w:jc w:val="center"/>
        </w:trPr>
        <w:tc>
          <w:tcPr>
            <w:tcW w:w="453" w:type="dxa"/>
            <w:vMerge w:val="restart"/>
            <w:vAlign w:val="center"/>
          </w:tcPr>
          <w:p w14:paraId="6A5CC14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6</w:t>
            </w:r>
          </w:p>
        </w:tc>
        <w:tc>
          <w:tcPr>
            <w:tcW w:w="940" w:type="dxa"/>
            <w:vMerge w:val="restart"/>
            <w:vAlign w:val="center"/>
          </w:tcPr>
          <w:p w14:paraId="69B4922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饮料</w:t>
            </w:r>
          </w:p>
        </w:tc>
        <w:tc>
          <w:tcPr>
            <w:tcW w:w="1358" w:type="dxa"/>
            <w:vMerge w:val="restart"/>
            <w:vAlign w:val="center"/>
          </w:tcPr>
          <w:p w14:paraId="038D6CE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饮料</w:t>
            </w:r>
          </w:p>
        </w:tc>
        <w:tc>
          <w:tcPr>
            <w:tcW w:w="1578" w:type="dxa"/>
            <w:vMerge w:val="restart"/>
            <w:vAlign w:val="center"/>
          </w:tcPr>
          <w:p w14:paraId="680064A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包装饮用水</w:t>
            </w:r>
          </w:p>
        </w:tc>
        <w:tc>
          <w:tcPr>
            <w:tcW w:w="1583" w:type="dxa"/>
            <w:vAlign w:val="center"/>
          </w:tcPr>
          <w:p w14:paraId="37594C1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饮用天然矿泉水</w:t>
            </w:r>
          </w:p>
        </w:tc>
        <w:tc>
          <w:tcPr>
            <w:tcW w:w="680" w:type="dxa"/>
            <w:vAlign w:val="center"/>
          </w:tcPr>
          <w:p w14:paraId="09A6E76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一般</w:t>
            </w:r>
          </w:p>
        </w:tc>
        <w:tc>
          <w:tcPr>
            <w:tcW w:w="8546" w:type="dxa"/>
            <w:vAlign w:val="center"/>
          </w:tcPr>
          <w:p w14:paraId="25ECB95F">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界限指标、铅（以Pb计）、总砷（以As计）、镉（以Cd计）、总汞（以Hg计）、镍、溴酸盐、硝酸盐（以NO</w:t>
            </w:r>
            <w:r>
              <w:rPr>
                <w:rFonts w:hint="eastAsia" w:ascii="仿宋_GB2312" w:hAnsi="仿宋_GB2312" w:eastAsia="仿宋_GB2312" w:cs="仿宋_GB2312"/>
                <w:color w:val="auto"/>
                <w:sz w:val="18"/>
                <w:szCs w:val="18"/>
                <w:vertAlign w:val="subscript"/>
                <w:lang w:eastAsia="zh-CN"/>
              </w:rPr>
              <w:t>3</w:t>
            </w:r>
            <w:r>
              <w:rPr>
                <w:rFonts w:hint="eastAsia" w:ascii="仿宋_GB2312" w:hAnsi="仿宋_GB2312" w:eastAsia="仿宋_GB2312" w:cs="仿宋_GB2312"/>
                <w:color w:val="auto"/>
                <w:sz w:val="18"/>
                <w:szCs w:val="18"/>
                <w:vertAlign w:val="superscript"/>
                <w:lang w:eastAsia="zh-CN"/>
              </w:rPr>
              <w:t>-</w:t>
            </w:r>
            <w:r>
              <w:rPr>
                <w:rFonts w:hint="eastAsia" w:ascii="仿宋_GB2312" w:hAnsi="仿宋_GB2312" w:eastAsia="仿宋_GB2312" w:cs="仿宋_GB2312"/>
                <w:color w:val="auto"/>
                <w:sz w:val="18"/>
                <w:szCs w:val="18"/>
                <w:lang w:eastAsia="zh-CN"/>
              </w:rPr>
              <w:t>计）、亚硝酸盐（以NO</w:t>
            </w:r>
            <w:r>
              <w:rPr>
                <w:rFonts w:hint="eastAsia" w:ascii="仿宋_GB2312" w:hAnsi="仿宋_GB2312" w:eastAsia="仿宋_GB2312" w:cs="仿宋_GB2312"/>
                <w:color w:val="auto"/>
                <w:sz w:val="18"/>
                <w:szCs w:val="18"/>
                <w:vertAlign w:val="subscript"/>
                <w:lang w:eastAsia="zh-CN"/>
              </w:rPr>
              <w:t>2</w:t>
            </w:r>
            <w:r>
              <w:rPr>
                <w:rFonts w:hint="eastAsia" w:ascii="仿宋_GB2312" w:hAnsi="仿宋_GB2312" w:eastAsia="仿宋_GB2312" w:cs="仿宋_GB2312"/>
                <w:color w:val="auto"/>
                <w:sz w:val="18"/>
                <w:szCs w:val="18"/>
                <w:vertAlign w:val="superscript"/>
                <w:lang w:eastAsia="zh-CN"/>
              </w:rPr>
              <w:t>-</w:t>
            </w:r>
            <w:r>
              <w:rPr>
                <w:rFonts w:hint="eastAsia" w:ascii="仿宋_GB2312" w:hAnsi="仿宋_GB2312" w:eastAsia="仿宋_GB2312" w:cs="仿宋_GB2312"/>
                <w:color w:val="auto"/>
                <w:sz w:val="18"/>
                <w:szCs w:val="18"/>
                <w:lang w:eastAsia="zh-CN"/>
              </w:rPr>
              <w:t>计）、大肠菌群、铜绿假单胞菌</w:t>
            </w:r>
          </w:p>
        </w:tc>
      </w:tr>
      <w:tr w14:paraId="4B7CC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0" w:hRule="atLeast"/>
          <w:jc w:val="center"/>
        </w:trPr>
        <w:tc>
          <w:tcPr>
            <w:tcW w:w="453" w:type="dxa"/>
            <w:vMerge w:val="continue"/>
            <w:vAlign w:val="center"/>
          </w:tcPr>
          <w:p w14:paraId="0802686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0CC611A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49D8DC2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37878BA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35AA89F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饮用纯净水</w:t>
            </w:r>
          </w:p>
        </w:tc>
        <w:tc>
          <w:tcPr>
            <w:tcW w:w="680" w:type="dxa"/>
            <w:vAlign w:val="center"/>
          </w:tcPr>
          <w:p w14:paraId="603E380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较</w:t>
            </w:r>
            <w:r>
              <w:rPr>
                <w:rFonts w:hint="eastAsia" w:ascii="仿宋_GB2312" w:hAnsi="仿宋_GB2312" w:eastAsia="仿宋_GB2312" w:cs="仿宋_GB2312"/>
                <w:color w:val="auto"/>
                <w:sz w:val="18"/>
                <w:szCs w:val="18"/>
              </w:rPr>
              <w:t>高</w:t>
            </w:r>
          </w:p>
        </w:tc>
        <w:tc>
          <w:tcPr>
            <w:tcW w:w="8546" w:type="dxa"/>
            <w:vAlign w:val="center"/>
          </w:tcPr>
          <w:p w14:paraId="41E8A7EB">
            <w:pPr>
              <w:keepNext w:val="0"/>
              <w:keepLines/>
              <w:widowControl/>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电导率、耗氧量（以O</w:t>
            </w:r>
            <w:r>
              <w:rPr>
                <w:rFonts w:hint="eastAsia" w:ascii="仿宋_GB2312" w:hAnsi="仿宋_GB2312" w:eastAsia="仿宋_GB2312" w:cs="仿宋_GB2312"/>
                <w:color w:val="auto"/>
                <w:sz w:val="18"/>
                <w:szCs w:val="18"/>
                <w:vertAlign w:val="subscript"/>
                <w:lang w:eastAsia="zh-CN"/>
              </w:rPr>
              <w:t>2</w:t>
            </w:r>
            <w:r>
              <w:rPr>
                <w:rFonts w:hint="eastAsia" w:ascii="仿宋_GB2312" w:hAnsi="仿宋_GB2312" w:eastAsia="仿宋_GB2312" w:cs="仿宋_GB2312"/>
                <w:color w:val="auto"/>
                <w:sz w:val="18"/>
                <w:szCs w:val="18"/>
                <w:lang w:eastAsia="zh-CN"/>
              </w:rPr>
              <w:t>计）、铅（以Pb计）、总砷（以As计）、镉（以Cd计）、亚硝酸盐（以NO</w:t>
            </w:r>
            <w:r>
              <w:rPr>
                <w:rFonts w:hint="eastAsia" w:ascii="仿宋_GB2312" w:hAnsi="仿宋_GB2312" w:eastAsia="仿宋_GB2312" w:cs="仿宋_GB2312"/>
                <w:color w:val="auto"/>
                <w:sz w:val="18"/>
                <w:szCs w:val="18"/>
                <w:vertAlign w:val="subscript"/>
                <w:lang w:eastAsia="zh-CN"/>
              </w:rPr>
              <w:t>2</w:t>
            </w:r>
            <w:r>
              <w:rPr>
                <w:rFonts w:hint="eastAsia" w:ascii="仿宋_GB2312" w:hAnsi="仿宋_GB2312" w:eastAsia="仿宋_GB2312" w:cs="仿宋_GB2312"/>
                <w:color w:val="auto"/>
                <w:sz w:val="18"/>
                <w:szCs w:val="18"/>
                <w:vertAlign w:val="superscript"/>
                <w:lang w:eastAsia="zh-CN"/>
              </w:rPr>
              <w:t>-</w:t>
            </w:r>
            <w:r>
              <w:rPr>
                <w:rFonts w:hint="eastAsia" w:ascii="仿宋_GB2312" w:hAnsi="仿宋_GB2312" w:eastAsia="仿宋_GB2312" w:cs="仿宋_GB2312"/>
                <w:color w:val="auto"/>
                <w:sz w:val="18"/>
                <w:szCs w:val="18"/>
                <w:lang w:eastAsia="zh-CN"/>
              </w:rPr>
              <w:t>计）、余氯（游离氯）、溴酸盐、三氯甲烷、大肠菌群、铜绿假单胞菌</w:t>
            </w:r>
          </w:p>
        </w:tc>
      </w:tr>
      <w:tr w14:paraId="4F553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0" w:hRule="atLeast"/>
          <w:jc w:val="center"/>
        </w:trPr>
        <w:tc>
          <w:tcPr>
            <w:tcW w:w="453" w:type="dxa"/>
            <w:vMerge w:val="continue"/>
            <w:vAlign w:val="center"/>
          </w:tcPr>
          <w:p w14:paraId="4070C4D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2CB9E22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6127395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5E453D2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3ABDE66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其他类饮用水</w:t>
            </w:r>
          </w:p>
        </w:tc>
        <w:tc>
          <w:tcPr>
            <w:tcW w:w="680" w:type="dxa"/>
            <w:vAlign w:val="center"/>
          </w:tcPr>
          <w:p w14:paraId="6A79FEF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较</w:t>
            </w:r>
            <w:r>
              <w:rPr>
                <w:rFonts w:hint="eastAsia" w:ascii="仿宋_GB2312" w:hAnsi="仿宋_GB2312" w:eastAsia="仿宋_GB2312" w:cs="仿宋_GB2312"/>
                <w:color w:val="auto"/>
                <w:sz w:val="18"/>
                <w:szCs w:val="18"/>
              </w:rPr>
              <w:t>高</w:t>
            </w:r>
          </w:p>
        </w:tc>
        <w:tc>
          <w:tcPr>
            <w:tcW w:w="8546" w:type="dxa"/>
            <w:vAlign w:val="center"/>
          </w:tcPr>
          <w:p w14:paraId="12FC443A">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耗氧量（以O</w:t>
            </w:r>
            <w:r>
              <w:rPr>
                <w:rFonts w:hint="eastAsia" w:ascii="仿宋_GB2312" w:hAnsi="仿宋_GB2312" w:eastAsia="仿宋_GB2312" w:cs="仿宋_GB2312"/>
                <w:color w:val="auto"/>
                <w:sz w:val="18"/>
                <w:szCs w:val="18"/>
                <w:vertAlign w:val="subscript"/>
                <w:lang w:eastAsia="zh-CN"/>
              </w:rPr>
              <w:t>2</w:t>
            </w:r>
            <w:r>
              <w:rPr>
                <w:rFonts w:hint="eastAsia" w:ascii="仿宋_GB2312" w:hAnsi="仿宋_GB2312" w:eastAsia="仿宋_GB2312" w:cs="仿宋_GB2312"/>
                <w:color w:val="auto"/>
                <w:sz w:val="18"/>
                <w:szCs w:val="18"/>
                <w:lang w:eastAsia="zh-CN"/>
              </w:rPr>
              <w:t>计）、铅（以Pb计）、总砷（以As计）、镉（以Cd计）、亚硝酸盐（以NO</w:t>
            </w:r>
            <w:r>
              <w:rPr>
                <w:rFonts w:hint="eastAsia" w:ascii="仿宋_GB2312" w:hAnsi="仿宋_GB2312" w:eastAsia="仿宋_GB2312" w:cs="仿宋_GB2312"/>
                <w:color w:val="auto"/>
                <w:sz w:val="18"/>
                <w:szCs w:val="18"/>
                <w:vertAlign w:val="subscript"/>
                <w:lang w:eastAsia="zh-CN"/>
              </w:rPr>
              <w:t>2</w:t>
            </w:r>
            <w:r>
              <w:rPr>
                <w:rFonts w:hint="eastAsia" w:ascii="仿宋_GB2312" w:hAnsi="仿宋_GB2312" w:eastAsia="仿宋_GB2312" w:cs="仿宋_GB2312"/>
                <w:color w:val="auto"/>
                <w:sz w:val="18"/>
                <w:szCs w:val="18"/>
                <w:vertAlign w:val="superscript"/>
                <w:lang w:eastAsia="zh-CN"/>
              </w:rPr>
              <w:t>-</w:t>
            </w:r>
            <w:r>
              <w:rPr>
                <w:rFonts w:hint="eastAsia" w:ascii="仿宋_GB2312" w:hAnsi="仿宋_GB2312" w:eastAsia="仿宋_GB2312" w:cs="仿宋_GB2312"/>
                <w:color w:val="auto"/>
                <w:sz w:val="18"/>
                <w:szCs w:val="18"/>
                <w:lang w:eastAsia="zh-CN"/>
              </w:rPr>
              <w:t>计）、余氯（游离氯）、溴酸盐、三氯甲烷、大肠菌群、铜绿假单胞菌</w:t>
            </w:r>
          </w:p>
        </w:tc>
      </w:tr>
      <w:tr w14:paraId="694EA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0" w:hRule="atLeast"/>
          <w:jc w:val="center"/>
        </w:trPr>
        <w:tc>
          <w:tcPr>
            <w:tcW w:w="453" w:type="dxa"/>
            <w:vMerge w:val="continue"/>
            <w:vAlign w:val="center"/>
          </w:tcPr>
          <w:p w14:paraId="4B81DCB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2384B16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5115115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2BC0441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果蔬汁类及其饮料</w:t>
            </w:r>
          </w:p>
        </w:tc>
        <w:tc>
          <w:tcPr>
            <w:tcW w:w="1583" w:type="dxa"/>
            <w:vAlign w:val="center"/>
          </w:tcPr>
          <w:p w14:paraId="602D350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果蔬汁类及其饮料</w:t>
            </w:r>
          </w:p>
        </w:tc>
        <w:tc>
          <w:tcPr>
            <w:tcW w:w="680" w:type="dxa"/>
            <w:vAlign w:val="center"/>
          </w:tcPr>
          <w:p w14:paraId="14E2194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28955D55">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展青霉素、苯甲酸及其钠盐(以苯甲酸计)、山梨酸及其钾盐(以山梨酸计)、脱氢乙酸及其钠盐(以脱氢乙酸计)、纳他霉素、防腐剂混合使用时各自用量占其最大使用量的比例之和、安赛蜜、甜蜜素(以环己基氨基磺酸计)、阿斯巴甜、合成着色剂(柠檬黄、新红、苋菜红、靛蓝、胭脂红、日落黄、诱惑红、亮蓝、酸性红、喹啉黄、赤藓红)、菌落总数、大肠菌群、霉菌、酵母</w:t>
            </w:r>
          </w:p>
        </w:tc>
      </w:tr>
      <w:tr w14:paraId="00C5A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0" w:hRule="atLeast"/>
          <w:jc w:val="center"/>
        </w:trPr>
        <w:tc>
          <w:tcPr>
            <w:tcW w:w="453" w:type="dxa"/>
            <w:vMerge w:val="continue"/>
            <w:vAlign w:val="center"/>
          </w:tcPr>
          <w:p w14:paraId="7BB27BE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0B720EF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0883581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36F724F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蛋白饮料</w:t>
            </w:r>
          </w:p>
        </w:tc>
        <w:tc>
          <w:tcPr>
            <w:tcW w:w="1583" w:type="dxa"/>
            <w:vAlign w:val="center"/>
          </w:tcPr>
          <w:p w14:paraId="15F7E96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蛋白饮料</w:t>
            </w:r>
          </w:p>
        </w:tc>
        <w:tc>
          <w:tcPr>
            <w:tcW w:w="680" w:type="dxa"/>
            <w:vAlign w:val="center"/>
          </w:tcPr>
          <w:p w14:paraId="3D0A6FE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6BDE0771">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蛋白质、乳酸菌数、氰化物（以HCN计）、三聚氰胺、脱氢乙酸及其钠盐(以脱氢乙酸计)、安赛蜜、甜蜜素（以环己基氨基磺酸计）、阿斯巴甜、菌落总数、大肠菌群、霉菌、酵母、商业无菌</w:t>
            </w:r>
          </w:p>
        </w:tc>
      </w:tr>
      <w:tr w14:paraId="50A0E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0" w:hRule="atLeast"/>
          <w:jc w:val="center"/>
        </w:trPr>
        <w:tc>
          <w:tcPr>
            <w:tcW w:w="453" w:type="dxa"/>
            <w:vMerge w:val="continue"/>
            <w:vAlign w:val="center"/>
          </w:tcPr>
          <w:p w14:paraId="01D325A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36557A1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70A5FB0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2971358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碳酸饮料(汽水)</w:t>
            </w:r>
          </w:p>
        </w:tc>
        <w:tc>
          <w:tcPr>
            <w:tcW w:w="1583" w:type="dxa"/>
            <w:vAlign w:val="center"/>
          </w:tcPr>
          <w:p w14:paraId="6A2DC97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碳酸饮料(汽水)</w:t>
            </w:r>
          </w:p>
        </w:tc>
        <w:tc>
          <w:tcPr>
            <w:tcW w:w="680" w:type="dxa"/>
            <w:vAlign w:val="center"/>
          </w:tcPr>
          <w:p w14:paraId="430E32E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2A45D5BA">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二氧化碳气容量、苯甲酸及其钠盐（以苯甲酸计）、山梨酸及其钾盐（以山梨酸计）、防腐剂混合使用时各自用量占其最大使用量的比例之和、安赛蜜、甜蜜素（以环己基氨基磺酸计）、阿斯巴甜、菌落总数、霉菌、酵母</w:t>
            </w:r>
          </w:p>
        </w:tc>
      </w:tr>
      <w:tr w14:paraId="590FE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0" w:hRule="atLeast"/>
          <w:jc w:val="center"/>
        </w:trPr>
        <w:tc>
          <w:tcPr>
            <w:tcW w:w="453" w:type="dxa"/>
            <w:vMerge w:val="continue"/>
            <w:vAlign w:val="center"/>
          </w:tcPr>
          <w:p w14:paraId="3EC0BE2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49868CD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6ADA551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26E9D15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茶饮料</w:t>
            </w:r>
          </w:p>
        </w:tc>
        <w:tc>
          <w:tcPr>
            <w:tcW w:w="1583" w:type="dxa"/>
            <w:vAlign w:val="center"/>
          </w:tcPr>
          <w:p w14:paraId="1E5F981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茶饮料</w:t>
            </w:r>
          </w:p>
        </w:tc>
        <w:tc>
          <w:tcPr>
            <w:tcW w:w="680" w:type="dxa"/>
            <w:vAlign w:val="center"/>
          </w:tcPr>
          <w:p w14:paraId="0414FCC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13B94895">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茶多酚、咖啡因、脱氢乙酸及其钠盐（以脱氢乙酸计）、安赛蜜、甜蜜素（以环己基氨基磺酸计）、阿斯巴甜、菌落总数</w:t>
            </w:r>
          </w:p>
        </w:tc>
      </w:tr>
      <w:tr w14:paraId="4D04E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0" w:hRule="atLeast"/>
          <w:jc w:val="center"/>
        </w:trPr>
        <w:tc>
          <w:tcPr>
            <w:tcW w:w="453" w:type="dxa"/>
            <w:vMerge w:val="continue"/>
            <w:vAlign w:val="center"/>
          </w:tcPr>
          <w:p w14:paraId="0BBC85B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678481F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398CA0E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0861844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固体饮料</w:t>
            </w:r>
          </w:p>
        </w:tc>
        <w:tc>
          <w:tcPr>
            <w:tcW w:w="1583" w:type="dxa"/>
            <w:vAlign w:val="center"/>
          </w:tcPr>
          <w:p w14:paraId="3158469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固体饮料</w:t>
            </w:r>
          </w:p>
        </w:tc>
        <w:tc>
          <w:tcPr>
            <w:tcW w:w="680" w:type="dxa"/>
            <w:vAlign w:val="center"/>
          </w:tcPr>
          <w:p w14:paraId="61547D0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较</w:t>
            </w:r>
            <w:r>
              <w:rPr>
                <w:rFonts w:hint="eastAsia" w:ascii="仿宋_GB2312" w:hAnsi="仿宋_GB2312" w:eastAsia="仿宋_GB2312" w:cs="仿宋_GB2312"/>
                <w:color w:val="auto"/>
                <w:sz w:val="18"/>
                <w:szCs w:val="18"/>
              </w:rPr>
              <w:t>高</w:t>
            </w:r>
          </w:p>
        </w:tc>
        <w:tc>
          <w:tcPr>
            <w:tcW w:w="8546" w:type="dxa"/>
            <w:vAlign w:val="center"/>
          </w:tcPr>
          <w:p w14:paraId="5C12E58E">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蛋白质、乳酸菌数、西地那非、他达拉非、西布曲明、比沙可啶、铅(以Pb计)、氰化物(以HCN计)、苯甲酸及其钠盐(以苯甲酸计)、山梨酸及其钾盐(以山梨酸计)、防腐剂混合使用时各自用量占其最大使用量的比例之和、糖精钠(以糖精计)、安赛蜜、甜蜜素(以环己基氨基磺酸计)、阿斯巴甜、合成着色剂(柠檬黄、新红、苋菜红、靛蓝、胭脂红、日落黄、诱惑红、亮蓝、酸性红、喹啉黄、赤藓红)、相同色泽着色剂混合使用时各自用量占其最大使用量的比例之和、菌落总数、大肠菌群、霉菌</w:t>
            </w:r>
          </w:p>
        </w:tc>
      </w:tr>
      <w:tr w14:paraId="6C5CC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0" w:hRule="atLeast"/>
          <w:jc w:val="center"/>
        </w:trPr>
        <w:tc>
          <w:tcPr>
            <w:tcW w:w="453" w:type="dxa"/>
            <w:vMerge w:val="continue"/>
            <w:vAlign w:val="center"/>
          </w:tcPr>
          <w:p w14:paraId="1BF5FDC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08F56CA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20F5F6D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0294B5D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其他饮料</w:t>
            </w:r>
          </w:p>
        </w:tc>
        <w:tc>
          <w:tcPr>
            <w:tcW w:w="1583" w:type="dxa"/>
            <w:vAlign w:val="center"/>
          </w:tcPr>
          <w:p w14:paraId="73B0E84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其他饮料</w:t>
            </w:r>
          </w:p>
        </w:tc>
        <w:tc>
          <w:tcPr>
            <w:tcW w:w="680" w:type="dxa"/>
            <w:vAlign w:val="center"/>
          </w:tcPr>
          <w:p w14:paraId="4CAC117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012EC97C">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苯甲酸及其钠盐（以苯甲酸计）、山梨酸及其钾盐（以山梨酸计）、脱氢乙酸及其钠盐（以脱氢乙酸计）、防腐剂混合使用时各自用量占其最大使用量的比例之和、糖精钠（以糖精计）、安赛蜜、甜蜜素（以环己基氨基磺酸计）、阿斯巴甜、合成着色剂（柠檬黄、新红、苋菜红、靛蓝、胭脂红、日落黄、诱惑红、亮蓝、酸性红、喹啉黄、赤藓红）、菌落总数、大肠菌群、霉菌、酵母</w:t>
            </w:r>
          </w:p>
        </w:tc>
      </w:tr>
      <w:tr w14:paraId="1DEE7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0" w:hRule="atLeast"/>
          <w:jc w:val="center"/>
        </w:trPr>
        <w:tc>
          <w:tcPr>
            <w:tcW w:w="453" w:type="dxa"/>
            <w:vMerge w:val="restart"/>
            <w:vAlign w:val="center"/>
          </w:tcPr>
          <w:p w14:paraId="3B29EEB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7</w:t>
            </w:r>
          </w:p>
        </w:tc>
        <w:tc>
          <w:tcPr>
            <w:tcW w:w="940" w:type="dxa"/>
            <w:vMerge w:val="restart"/>
            <w:vAlign w:val="center"/>
          </w:tcPr>
          <w:p w14:paraId="2B082FA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方便食品</w:t>
            </w:r>
          </w:p>
        </w:tc>
        <w:tc>
          <w:tcPr>
            <w:tcW w:w="1358" w:type="dxa"/>
            <w:vMerge w:val="restart"/>
            <w:vAlign w:val="center"/>
          </w:tcPr>
          <w:p w14:paraId="72AF8A4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方便食品</w:t>
            </w:r>
          </w:p>
        </w:tc>
        <w:tc>
          <w:tcPr>
            <w:tcW w:w="1578" w:type="dxa"/>
            <w:vMerge w:val="restart"/>
            <w:vAlign w:val="center"/>
          </w:tcPr>
          <w:p w14:paraId="1606D90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方便面</w:t>
            </w:r>
          </w:p>
        </w:tc>
        <w:tc>
          <w:tcPr>
            <w:tcW w:w="1583" w:type="dxa"/>
            <w:vAlign w:val="center"/>
          </w:tcPr>
          <w:p w14:paraId="1045CEF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油炸面、非油炸</w:t>
            </w:r>
            <w:r>
              <w:rPr>
                <w:rFonts w:hint="eastAsia" w:ascii="仿宋_GB2312" w:hAnsi="仿宋_GB2312" w:eastAsia="仿宋_GB2312" w:cs="仿宋_GB2312"/>
                <w:color w:val="auto"/>
                <w:sz w:val="18"/>
                <w:szCs w:val="18"/>
                <w:lang w:eastAsia="zh-CN"/>
              </w:rPr>
              <w:br w:type="textWrapping"/>
            </w:r>
            <w:r>
              <w:rPr>
                <w:rFonts w:hint="eastAsia" w:ascii="仿宋_GB2312" w:hAnsi="仿宋_GB2312" w:eastAsia="仿宋_GB2312" w:cs="仿宋_GB2312"/>
                <w:color w:val="auto"/>
                <w:sz w:val="18"/>
                <w:szCs w:val="18"/>
                <w:lang w:eastAsia="zh-CN"/>
              </w:rPr>
              <w:t>面</w:t>
            </w:r>
          </w:p>
        </w:tc>
        <w:tc>
          <w:tcPr>
            <w:tcW w:w="680" w:type="dxa"/>
            <w:vAlign w:val="center"/>
          </w:tcPr>
          <w:p w14:paraId="18CD09D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较高</w:t>
            </w:r>
          </w:p>
        </w:tc>
        <w:tc>
          <w:tcPr>
            <w:tcW w:w="8546" w:type="dxa"/>
            <w:vAlign w:val="center"/>
          </w:tcPr>
          <w:p w14:paraId="1C2894FD">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水分、酸价(以脂肪计)(KOH)、过氧化值(以脂肪计)、菌落总数、大肠菌群、霉菌</w:t>
            </w:r>
          </w:p>
        </w:tc>
      </w:tr>
      <w:tr w14:paraId="62158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453" w:type="dxa"/>
            <w:vMerge w:val="continue"/>
            <w:vAlign w:val="center"/>
          </w:tcPr>
          <w:p w14:paraId="7B3B478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69BE982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44A2A18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2CBBB9A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07C574B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方便米粉(米线 )</w:t>
            </w:r>
          </w:p>
        </w:tc>
        <w:tc>
          <w:tcPr>
            <w:tcW w:w="680" w:type="dxa"/>
            <w:vAlign w:val="center"/>
          </w:tcPr>
          <w:p w14:paraId="5073270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较高</w:t>
            </w:r>
          </w:p>
        </w:tc>
        <w:tc>
          <w:tcPr>
            <w:tcW w:w="8546" w:type="dxa"/>
            <w:vAlign w:val="center"/>
          </w:tcPr>
          <w:p w14:paraId="7E991E68">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水分、菌落总数、大肠菌群、霉菌</w:t>
            </w:r>
          </w:p>
        </w:tc>
      </w:tr>
      <w:tr w14:paraId="15AF3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453" w:type="dxa"/>
            <w:vMerge w:val="continue"/>
            <w:vAlign w:val="center"/>
          </w:tcPr>
          <w:p w14:paraId="5352183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1908EEE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6F6D473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7006393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0A5149B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方便粉丝</w:t>
            </w:r>
          </w:p>
        </w:tc>
        <w:tc>
          <w:tcPr>
            <w:tcW w:w="680" w:type="dxa"/>
            <w:vAlign w:val="center"/>
          </w:tcPr>
          <w:p w14:paraId="2D08075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较高</w:t>
            </w:r>
          </w:p>
        </w:tc>
        <w:tc>
          <w:tcPr>
            <w:tcW w:w="8546" w:type="dxa"/>
            <w:vAlign w:val="center"/>
          </w:tcPr>
          <w:p w14:paraId="6F008CE4">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水分、菌落总数、大肠菌群、霉菌</w:t>
            </w:r>
          </w:p>
        </w:tc>
      </w:tr>
      <w:tr w14:paraId="3FF59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453" w:type="dxa"/>
            <w:vMerge w:val="continue"/>
            <w:vAlign w:val="center"/>
          </w:tcPr>
          <w:p w14:paraId="5CF0BFA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7566763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517118D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0D01661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6D19D871">
            <w:pPr>
              <w:keepNext w:val="0"/>
              <w:keepLines w:val="0"/>
              <w:widowControl/>
              <w:suppressLineNumbers w:val="0"/>
              <w:kinsoku/>
              <w:spacing w:before="0" w:beforeAutospacing="0" w:after="0" w:afterAutospacing="0" w:line="300" w:lineRule="exact"/>
              <w:ind w:left="0" w:right="0"/>
              <w:jc w:val="center"/>
              <w:textAlignment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bidi="ar"/>
              </w:rPr>
              <w:t>其他方便面</w:t>
            </w:r>
          </w:p>
        </w:tc>
        <w:tc>
          <w:tcPr>
            <w:tcW w:w="680" w:type="dxa"/>
            <w:vAlign w:val="center"/>
          </w:tcPr>
          <w:p w14:paraId="3B70D81E">
            <w:pPr>
              <w:keepNext w:val="0"/>
              <w:keepLines w:val="0"/>
              <w:widowControl/>
              <w:suppressLineNumbers w:val="0"/>
              <w:kinsoku/>
              <w:spacing w:before="0" w:beforeAutospacing="0" w:after="0" w:afterAutospacing="0" w:line="300" w:lineRule="exact"/>
              <w:ind w:left="0" w:right="0"/>
              <w:jc w:val="center"/>
              <w:textAlignment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bidi="ar"/>
              </w:rPr>
              <w:t>较高</w:t>
            </w:r>
          </w:p>
        </w:tc>
        <w:tc>
          <w:tcPr>
            <w:tcW w:w="8546" w:type="dxa"/>
            <w:vAlign w:val="center"/>
          </w:tcPr>
          <w:p w14:paraId="53C27C0F">
            <w:pPr>
              <w:keepNext w:val="0"/>
              <w:keepLines w:val="0"/>
              <w:widowControl/>
              <w:suppressLineNumbers w:val="0"/>
              <w:kinsoku/>
              <w:spacing w:before="0" w:beforeAutospacing="0" w:after="0" w:afterAutospacing="0" w:line="300" w:lineRule="exact"/>
              <w:ind w:left="0" w:right="0"/>
              <w:jc w:val="both"/>
              <w:textAlignment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bidi="ar"/>
              </w:rPr>
              <w:t>水分、酸价(以脂肪计)(KOH)、过氧化值(以脂肪计)、菌落总数、大肠菌群、霉菌</w:t>
            </w:r>
          </w:p>
        </w:tc>
      </w:tr>
      <w:tr w14:paraId="561A2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26D5FF8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5B80659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3E9F7D1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43B3978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调味面制品</w:t>
            </w:r>
          </w:p>
        </w:tc>
        <w:tc>
          <w:tcPr>
            <w:tcW w:w="1583" w:type="dxa"/>
            <w:vAlign w:val="center"/>
          </w:tcPr>
          <w:p w14:paraId="7BCEA7F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调味面制品</w:t>
            </w:r>
          </w:p>
        </w:tc>
        <w:tc>
          <w:tcPr>
            <w:tcW w:w="680" w:type="dxa"/>
            <w:vAlign w:val="center"/>
          </w:tcPr>
          <w:p w14:paraId="522BF1D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335CD8D3">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酸价(以脂肪计)(KOH)、过氧化值(以脂肪计)、苯甲酸及其钠盐(以苯甲酸计)、山梨酸及其钾盐(以山梨酸计)、脱氢乙酸及其钠盐(以脱氢乙酸计)、糖精钠(以糖精计)、甜蜜素（以环己基氨基磺酸计）、安赛蜜、三氯蔗糖、合成着色剂（柠檬黄、日落黄、诱惑红、苋菜红、胭脂红）、菌落总数、大肠菌群、霉菌、沙门氏菌、金黄色葡萄球菌</w:t>
            </w:r>
          </w:p>
        </w:tc>
      </w:tr>
      <w:tr w14:paraId="20193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7F93C82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727A889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606D133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restart"/>
            <w:vAlign w:val="center"/>
          </w:tcPr>
          <w:p w14:paraId="14789C2C">
            <w:pPr>
              <w:keepNext w:val="0"/>
              <w:keepLines w:val="0"/>
              <w:widowControl/>
              <w:suppressLineNumbers w:val="0"/>
              <w:kinsoku/>
              <w:spacing w:before="0" w:beforeAutospacing="0" w:after="0" w:afterAutospacing="0" w:line="300" w:lineRule="exact"/>
              <w:ind w:left="0" w:right="0"/>
              <w:jc w:val="center"/>
              <w:textAlignment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bidi="ar"/>
              </w:rPr>
              <w:t>其他方便食品</w:t>
            </w:r>
          </w:p>
        </w:tc>
        <w:tc>
          <w:tcPr>
            <w:tcW w:w="1583" w:type="dxa"/>
            <w:vAlign w:val="center"/>
          </w:tcPr>
          <w:p w14:paraId="5608DBF4">
            <w:pPr>
              <w:keepNext w:val="0"/>
              <w:keepLines w:val="0"/>
              <w:widowControl/>
              <w:suppressLineNumbers w:val="0"/>
              <w:kinsoku/>
              <w:spacing w:before="0" w:beforeAutospacing="0" w:after="0" w:afterAutospacing="0" w:line="300" w:lineRule="exact"/>
              <w:ind w:left="0" w:right="0"/>
              <w:jc w:val="center"/>
              <w:textAlignment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bidi="ar"/>
              </w:rPr>
              <w:t>冲调类方便食品</w:t>
            </w:r>
          </w:p>
        </w:tc>
        <w:tc>
          <w:tcPr>
            <w:tcW w:w="680" w:type="dxa"/>
            <w:vAlign w:val="center"/>
          </w:tcPr>
          <w:p w14:paraId="05D06374">
            <w:pPr>
              <w:keepNext w:val="0"/>
              <w:keepLines w:val="0"/>
              <w:widowControl/>
              <w:suppressLineNumbers w:val="0"/>
              <w:kinsoku/>
              <w:spacing w:before="0" w:beforeAutospacing="0" w:after="0" w:afterAutospacing="0" w:line="300" w:lineRule="exact"/>
              <w:ind w:left="0" w:right="0"/>
              <w:jc w:val="center"/>
              <w:textAlignment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bidi="ar"/>
              </w:rPr>
              <w:t>较高</w:t>
            </w:r>
          </w:p>
        </w:tc>
        <w:tc>
          <w:tcPr>
            <w:tcW w:w="8546" w:type="dxa"/>
            <w:vAlign w:val="center"/>
          </w:tcPr>
          <w:p w14:paraId="2D33B773">
            <w:pPr>
              <w:keepNext w:val="0"/>
              <w:keepLines w:val="0"/>
              <w:widowControl/>
              <w:suppressLineNumbers w:val="0"/>
              <w:kinsoku/>
              <w:spacing w:before="0" w:beforeAutospacing="0" w:after="0" w:afterAutospacing="0" w:line="300" w:lineRule="exact"/>
              <w:ind w:left="0" w:right="0"/>
              <w:jc w:val="both"/>
              <w:textAlignment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bidi="ar"/>
              </w:rPr>
              <w:t>酸价(以脂肪计)(KOH)、过氧化值(以脂肪计)、铅(以Pb计)、黄曲霉毒素B</w:t>
            </w:r>
            <w:r>
              <w:rPr>
                <w:rFonts w:hint="eastAsia" w:ascii="仿宋_GB2312" w:hAnsi="仿宋_GB2312" w:eastAsia="仿宋_GB2312" w:cs="仿宋_GB2312"/>
                <w:color w:val="auto"/>
                <w:sz w:val="18"/>
                <w:szCs w:val="18"/>
                <w:vertAlign w:val="subscript"/>
                <w:lang w:eastAsia="zh-CN" w:bidi="ar"/>
              </w:rPr>
              <w:t>1</w:t>
            </w:r>
            <w:r>
              <w:rPr>
                <w:rFonts w:hint="eastAsia" w:ascii="仿宋_GB2312" w:hAnsi="仿宋_GB2312" w:eastAsia="仿宋_GB2312" w:cs="仿宋_GB2312"/>
                <w:color w:val="auto"/>
                <w:sz w:val="18"/>
                <w:szCs w:val="18"/>
                <w:lang w:eastAsia="zh-CN" w:bidi="ar"/>
              </w:rPr>
              <w:t>、苯甲酸及其钠盐(以苯甲酸计)、山梨酸及其钾盐(以山梨酸计)、糖精钠(以糖精计)、菌落总数、大肠菌群、霉菌、沙门氏菌、金黄色葡萄球菌</w:t>
            </w:r>
          </w:p>
        </w:tc>
      </w:tr>
      <w:tr w14:paraId="6BE8C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109B882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098F146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23106BE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5B0C6EFE">
            <w:pPr>
              <w:keepNext w:val="0"/>
              <w:keepLines w:val="0"/>
              <w:widowControl/>
              <w:suppressLineNumbers w:val="0"/>
              <w:kinsoku/>
              <w:spacing w:before="0" w:beforeAutospacing="0" w:after="0" w:afterAutospacing="0" w:line="300" w:lineRule="exact"/>
              <w:ind w:left="0" w:right="0"/>
              <w:jc w:val="center"/>
              <w:textAlignment w:val="center"/>
              <w:rPr>
                <w:rFonts w:hint="default" w:ascii="仿宋_GB2312" w:hAnsi="仿宋_GB2312" w:eastAsia="仿宋_GB2312" w:cs="仿宋_GB2312"/>
                <w:color w:val="auto"/>
                <w:sz w:val="18"/>
                <w:szCs w:val="18"/>
                <w:lang w:eastAsia="zh-CN"/>
              </w:rPr>
            </w:pPr>
          </w:p>
        </w:tc>
        <w:tc>
          <w:tcPr>
            <w:tcW w:w="1583" w:type="dxa"/>
            <w:vAlign w:val="center"/>
          </w:tcPr>
          <w:p w14:paraId="4050C184">
            <w:pPr>
              <w:keepNext w:val="0"/>
              <w:keepLines w:val="0"/>
              <w:widowControl/>
              <w:suppressLineNumbers w:val="0"/>
              <w:kinsoku/>
              <w:spacing w:before="0" w:beforeAutospacing="0" w:after="0" w:afterAutospacing="0" w:line="300" w:lineRule="exact"/>
              <w:ind w:left="0" w:right="0"/>
              <w:jc w:val="center"/>
              <w:textAlignment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bidi="ar"/>
              </w:rPr>
              <w:t>主食类方便食品</w:t>
            </w:r>
          </w:p>
        </w:tc>
        <w:tc>
          <w:tcPr>
            <w:tcW w:w="680" w:type="dxa"/>
            <w:vAlign w:val="center"/>
          </w:tcPr>
          <w:p w14:paraId="53F13AC6">
            <w:pPr>
              <w:keepNext w:val="0"/>
              <w:keepLines w:val="0"/>
              <w:widowControl/>
              <w:suppressLineNumbers w:val="0"/>
              <w:kinsoku/>
              <w:spacing w:before="0" w:beforeAutospacing="0" w:after="0" w:afterAutospacing="0" w:line="300" w:lineRule="exact"/>
              <w:ind w:left="0" w:right="0"/>
              <w:jc w:val="center"/>
              <w:textAlignment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bidi="ar"/>
              </w:rPr>
              <w:t>较高</w:t>
            </w:r>
          </w:p>
        </w:tc>
        <w:tc>
          <w:tcPr>
            <w:tcW w:w="8546" w:type="dxa"/>
            <w:vAlign w:val="center"/>
          </w:tcPr>
          <w:p w14:paraId="3F73C73D">
            <w:pPr>
              <w:keepNext w:val="0"/>
              <w:keepLines w:val="0"/>
              <w:widowControl/>
              <w:suppressLineNumbers w:val="0"/>
              <w:kinsoku/>
              <w:spacing w:before="0" w:beforeAutospacing="0" w:after="0" w:afterAutospacing="0" w:line="300" w:lineRule="exact"/>
              <w:ind w:left="0" w:right="0"/>
              <w:jc w:val="both"/>
              <w:textAlignment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bidi="ar"/>
              </w:rPr>
              <w:t>酸价(以脂肪计)(KOH)、过氧化值(以脂肪计)、铅(以Pb计)、苯甲酸及其钠盐(以苯甲酸计)、山梨酸及其钾盐(以山梨酸计)、脱氢乙酸及其钠盐(以脱氢乙酸计)、糖精钠(以糖精计)、菌落总数、大肠菌群、霉菌、沙门氏菌、金黄色葡萄球菌</w:t>
            </w:r>
          </w:p>
        </w:tc>
      </w:tr>
      <w:tr w14:paraId="78C45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7F5F0DF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0189880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27AC9A0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57AECFCC">
            <w:pPr>
              <w:keepNext w:val="0"/>
              <w:keepLines w:val="0"/>
              <w:widowControl/>
              <w:suppressLineNumbers w:val="0"/>
              <w:kinsoku/>
              <w:spacing w:before="0" w:beforeAutospacing="0" w:after="0" w:afterAutospacing="0" w:line="300" w:lineRule="exact"/>
              <w:ind w:left="0" w:right="0"/>
              <w:jc w:val="center"/>
              <w:textAlignment w:val="center"/>
              <w:rPr>
                <w:rFonts w:hint="default" w:ascii="仿宋_GB2312" w:hAnsi="仿宋_GB2312" w:eastAsia="仿宋_GB2312" w:cs="仿宋_GB2312"/>
                <w:color w:val="auto"/>
                <w:sz w:val="18"/>
                <w:szCs w:val="18"/>
                <w:lang w:eastAsia="zh-CN"/>
              </w:rPr>
            </w:pPr>
          </w:p>
        </w:tc>
        <w:tc>
          <w:tcPr>
            <w:tcW w:w="1583" w:type="dxa"/>
            <w:vAlign w:val="center"/>
          </w:tcPr>
          <w:p w14:paraId="6561CE98">
            <w:pPr>
              <w:keepNext w:val="0"/>
              <w:keepLines w:val="0"/>
              <w:widowControl/>
              <w:suppressLineNumbers w:val="0"/>
              <w:kinsoku/>
              <w:spacing w:before="0" w:beforeAutospacing="0" w:after="0" w:afterAutospacing="0" w:line="300" w:lineRule="exact"/>
              <w:ind w:left="0" w:right="0"/>
              <w:jc w:val="center"/>
              <w:textAlignment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bidi="ar"/>
              </w:rPr>
              <w:t>其他类方便食品</w:t>
            </w:r>
          </w:p>
        </w:tc>
        <w:tc>
          <w:tcPr>
            <w:tcW w:w="680" w:type="dxa"/>
            <w:vAlign w:val="center"/>
          </w:tcPr>
          <w:p w14:paraId="39B63F8B">
            <w:pPr>
              <w:keepNext w:val="0"/>
              <w:keepLines w:val="0"/>
              <w:widowControl/>
              <w:suppressLineNumbers w:val="0"/>
              <w:kinsoku/>
              <w:spacing w:before="0" w:beforeAutospacing="0" w:after="0" w:afterAutospacing="0" w:line="300" w:lineRule="exact"/>
              <w:ind w:left="0" w:right="0"/>
              <w:jc w:val="center"/>
              <w:textAlignment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bidi="ar"/>
              </w:rPr>
              <w:t>较高</w:t>
            </w:r>
          </w:p>
        </w:tc>
        <w:tc>
          <w:tcPr>
            <w:tcW w:w="8546" w:type="dxa"/>
            <w:vAlign w:val="center"/>
          </w:tcPr>
          <w:p w14:paraId="64CF7FDD">
            <w:pPr>
              <w:keepNext w:val="0"/>
              <w:keepLines w:val="0"/>
              <w:widowControl/>
              <w:suppressLineNumbers w:val="0"/>
              <w:kinsoku/>
              <w:spacing w:before="0" w:beforeAutospacing="0" w:after="0" w:afterAutospacing="0" w:line="300" w:lineRule="exact"/>
              <w:ind w:left="0" w:right="0"/>
              <w:jc w:val="both"/>
              <w:textAlignment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bidi="ar"/>
              </w:rPr>
              <w:t>酸价(以脂肪计)(KOH)、过氧化值(以脂肪计)、铅(以Pb计)、苯甲酸及其钠盐(以苯甲酸计)、山梨酸及其钾盐(以山梨酸计)、糖精钠(以糖精计)、菌落总数、大肠菌群、霉菌、沙门氏菌、金黄色葡萄球菌</w:t>
            </w:r>
          </w:p>
        </w:tc>
      </w:tr>
      <w:tr w14:paraId="26C97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Align w:val="center"/>
          </w:tcPr>
          <w:p w14:paraId="27C1BC9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8</w:t>
            </w:r>
          </w:p>
        </w:tc>
        <w:tc>
          <w:tcPr>
            <w:tcW w:w="940" w:type="dxa"/>
            <w:vAlign w:val="center"/>
          </w:tcPr>
          <w:p w14:paraId="244AC58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饼干</w:t>
            </w:r>
          </w:p>
        </w:tc>
        <w:tc>
          <w:tcPr>
            <w:tcW w:w="1358" w:type="dxa"/>
            <w:vAlign w:val="center"/>
          </w:tcPr>
          <w:p w14:paraId="669EE01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饼干</w:t>
            </w:r>
          </w:p>
        </w:tc>
        <w:tc>
          <w:tcPr>
            <w:tcW w:w="1578" w:type="dxa"/>
            <w:vAlign w:val="center"/>
          </w:tcPr>
          <w:p w14:paraId="1403294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饼干</w:t>
            </w:r>
          </w:p>
        </w:tc>
        <w:tc>
          <w:tcPr>
            <w:tcW w:w="1583" w:type="dxa"/>
            <w:vAlign w:val="center"/>
          </w:tcPr>
          <w:p w14:paraId="43D8A21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饼干</w:t>
            </w:r>
          </w:p>
        </w:tc>
        <w:tc>
          <w:tcPr>
            <w:tcW w:w="680" w:type="dxa"/>
            <w:vAlign w:val="center"/>
          </w:tcPr>
          <w:p w14:paraId="1377029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22F830B0">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酸价(以脂肪计)(KOH)、过氧化值(以脂肪计)、山梨酸及其钾盐(以山梨酸计)、铝的残留量(干样品，以Al计)、脱氢乙酸及其钠盐(以脱氢乙酸计)、甜蜜素(以环己基氨基磺酸计)、糖精钠(以糖精计)、二氧化硫残留量、苯甲酸及其钠盐(以苯甲酸计)、合成着色剂（柠檬黄、日落黄、胭脂红、苋菜红、亮蓝、靛蓝、诱惑红）、菌落总数、大肠菌群、金黄色葡萄球菌、沙门氏菌、霉菌</w:t>
            </w:r>
          </w:p>
        </w:tc>
      </w:tr>
      <w:tr w14:paraId="166A0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restart"/>
            <w:vAlign w:val="center"/>
          </w:tcPr>
          <w:p w14:paraId="10E9BC6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9</w:t>
            </w:r>
          </w:p>
        </w:tc>
        <w:tc>
          <w:tcPr>
            <w:tcW w:w="940" w:type="dxa"/>
            <w:vMerge w:val="restart"/>
            <w:vAlign w:val="center"/>
          </w:tcPr>
          <w:p w14:paraId="7883BD6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罐头</w:t>
            </w:r>
          </w:p>
        </w:tc>
        <w:tc>
          <w:tcPr>
            <w:tcW w:w="1358" w:type="dxa"/>
            <w:vMerge w:val="restart"/>
            <w:vAlign w:val="center"/>
          </w:tcPr>
          <w:p w14:paraId="59846DD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罐头</w:t>
            </w:r>
          </w:p>
        </w:tc>
        <w:tc>
          <w:tcPr>
            <w:tcW w:w="1578" w:type="dxa"/>
            <w:vMerge w:val="restart"/>
            <w:vAlign w:val="center"/>
          </w:tcPr>
          <w:p w14:paraId="18CCF51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畜禽水产罐头</w:t>
            </w:r>
          </w:p>
        </w:tc>
        <w:tc>
          <w:tcPr>
            <w:tcW w:w="1583" w:type="dxa"/>
            <w:vAlign w:val="center"/>
          </w:tcPr>
          <w:p w14:paraId="0847F3E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畜禽肉类罐头</w:t>
            </w:r>
          </w:p>
        </w:tc>
        <w:tc>
          <w:tcPr>
            <w:tcW w:w="680" w:type="dxa"/>
            <w:vAlign w:val="center"/>
          </w:tcPr>
          <w:p w14:paraId="6D8B3CE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570A2621">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铅(以Pb计)、镉(以Cd计)、脱氢乙酸及其钠盐（以脱氢乙酸计）、苯甲酸及其钠盐(以苯甲酸计)、山梨酸及其钾盐(以山梨酸计)、商业无菌</w:t>
            </w:r>
          </w:p>
        </w:tc>
      </w:tr>
      <w:tr w14:paraId="0E33A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28AB00E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7761FB6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4469F8A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4CE125A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0975A28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水产动物类罐头</w:t>
            </w:r>
          </w:p>
        </w:tc>
        <w:tc>
          <w:tcPr>
            <w:tcW w:w="680" w:type="dxa"/>
            <w:vAlign w:val="center"/>
          </w:tcPr>
          <w:p w14:paraId="1199AED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1E5A2F42">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组胺、铅(以Pb计)、无机砷(以As计)、脱氢乙酸及其钠盐(以脱氢乙酸计)、苯甲酸及其钠盐(以苯甲酸计)、山梨酸及其钾盐(以山梨酸计)、糖精钠(以糖精计)、甜蜜素(以环己基氨基磺酸计)、商业无菌</w:t>
            </w:r>
          </w:p>
        </w:tc>
      </w:tr>
      <w:tr w14:paraId="37B69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7A7D739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4335C50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6D0DE30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restart"/>
            <w:vAlign w:val="center"/>
          </w:tcPr>
          <w:p w14:paraId="1DEBE0E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果蔬罐头</w:t>
            </w:r>
          </w:p>
        </w:tc>
        <w:tc>
          <w:tcPr>
            <w:tcW w:w="1583" w:type="dxa"/>
            <w:vAlign w:val="center"/>
          </w:tcPr>
          <w:p w14:paraId="33257C4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水果类罐头</w:t>
            </w:r>
          </w:p>
        </w:tc>
        <w:tc>
          <w:tcPr>
            <w:tcW w:w="680" w:type="dxa"/>
            <w:vAlign w:val="center"/>
          </w:tcPr>
          <w:p w14:paraId="19E45EA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77DF5A92">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合成着色剂(柠檬黄、日落黄、苋菜红、胭脂红、赤藓红、诱惑红、亮蓝)、脱氢乙酸及其钠盐(以脱氢乙酸计)、苯甲酸及其钠盐(以苯甲酸计)、山梨酸及其钾盐(以山梨酸计)、糖精钠(以糖精计)、甜蜜素(以环己基氨基磺酸计)、二氧化硫残留量、商业无菌</w:t>
            </w:r>
          </w:p>
        </w:tc>
      </w:tr>
      <w:tr w14:paraId="0B8EE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05420AD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548C25D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539BF1A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4F34576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5D84264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蔬菜类罐头</w:t>
            </w:r>
          </w:p>
        </w:tc>
        <w:tc>
          <w:tcPr>
            <w:tcW w:w="680" w:type="dxa"/>
            <w:vAlign w:val="center"/>
          </w:tcPr>
          <w:p w14:paraId="4D7ED6D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31E69516">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铅(以Pb计)、合成着色剂（柠檬黄、日落黄）、脱氢乙酸及其钠盐(以脱氢乙酸计)、苯甲酸及其钠盐(以苯甲酸计)、山梨酸及其钾盐(以山梨酸计)、乙二胺四乙酸二钠、二氧化硫残留量、商业无菌</w:t>
            </w:r>
          </w:p>
        </w:tc>
      </w:tr>
      <w:tr w14:paraId="670B0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7874654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1C240E9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71CC55A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42B3A6A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5EF73FD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食用菌罐头</w:t>
            </w:r>
          </w:p>
        </w:tc>
        <w:tc>
          <w:tcPr>
            <w:tcW w:w="680" w:type="dxa"/>
            <w:vAlign w:val="center"/>
          </w:tcPr>
          <w:p w14:paraId="30475C8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60796E8A">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铅(以Pb计)、脱氢乙酸及其钠盐(以脱氢乙酸计)、苯甲酸及其钠盐(以苯甲酸计)、山梨酸及其钾盐(以山梨酸计)、乙二胺四乙酸二钠、二氧化硫残留量、商业无菌</w:t>
            </w:r>
          </w:p>
        </w:tc>
      </w:tr>
      <w:tr w14:paraId="6813B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4398D0B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228D46E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382D76F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2CA9B96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其他罐头</w:t>
            </w:r>
          </w:p>
        </w:tc>
        <w:tc>
          <w:tcPr>
            <w:tcW w:w="1583" w:type="dxa"/>
            <w:vAlign w:val="center"/>
          </w:tcPr>
          <w:p w14:paraId="1938C47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其他罐头</w:t>
            </w:r>
          </w:p>
        </w:tc>
        <w:tc>
          <w:tcPr>
            <w:tcW w:w="680" w:type="dxa"/>
            <w:vAlign w:val="center"/>
          </w:tcPr>
          <w:p w14:paraId="04C477C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3B0AA0FD">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黄曲霉毒素B</w:t>
            </w:r>
            <w:r>
              <w:rPr>
                <w:rFonts w:hint="eastAsia" w:ascii="仿宋_GB2312" w:hAnsi="仿宋_GB2312" w:eastAsia="仿宋_GB2312" w:cs="仿宋_GB2312"/>
                <w:color w:val="auto"/>
                <w:sz w:val="18"/>
                <w:szCs w:val="18"/>
                <w:vertAlign w:val="subscript"/>
                <w:lang w:eastAsia="zh-CN"/>
              </w:rPr>
              <w:t>1</w:t>
            </w:r>
            <w:r>
              <w:rPr>
                <w:rFonts w:hint="eastAsia" w:ascii="仿宋_GB2312" w:hAnsi="仿宋_GB2312" w:eastAsia="仿宋_GB2312" w:cs="仿宋_GB2312"/>
                <w:color w:val="auto"/>
                <w:sz w:val="18"/>
                <w:szCs w:val="18"/>
                <w:lang w:eastAsia="zh-CN"/>
              </w:rPr>
              <w:t>、脱氢乙酸及其钠盐(以脱氢乙酸计)、苯甲酸及其钠盐(以苯甲酸计)、山梨酸及其钾盐(以山梨酸计)、乙二胺四乙酸二钠、商业无菌</w:t>
            </w:r>
          </w:p>
        </w:tc>
      </w:tr>
      <w:tr w14:paraId="6E0DB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Align w:val="center"/>
          </w:tcPr>
          <w:p w14:paraId="1CA4F05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10</w:t>
            </w:r>
          </w:p>
        </w:tc>
        <w:tc>
          <w:tcPr>
            <w:tcW w:w="940" w:type="dxa"/>
            <w:vAlign w:val="center"/>
          </w:tcPr>
          <w:p w14:paraId="71962FC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冷冻饮品</w:t>
            </w:r>
          </w:p>
        </w:tc>
        <w:tc>
          <w:tcPr>
            <w:tcW w:w="1358" w:type="dxa"/>
            <w:vAlign w:val="center"/>
          </w:tcPr>
          <w:p w14:paraId="19F7FA0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冷冻饮品</w:t>
            </w:r>
          </w:p>
        </w:tc>
        <w:tc>
          <w:tcPr>
            <w:tcW w:w="1578" w:type="dxa"/>
            <w:vAlign w:val="center"/>
          </w:tcPr>
          <w:p w14:paraId="17F0DB8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冷冻饮品</w:t>
            </w:r>
          </w:p>
        </w:tc>
        <w:tc>
          <w:tcPr>
            <w:tcW w:w="1583" w:type="dxa"/>
            <w:vAlign w:val="center"/>
          </w:tcPr>
          <w:p w14:paraId="02B2207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冰淇淋、雪糕、雪泥、冰棍、食用冰、甜味冰、其他类</w:t>
            </w:r>
          </w:p>
        </w:tc>
        <w:tc>
          <w:tcPr>
            <w:tcW w:w="680" w:type="dxa"/>
            <w:vAlign w:val="center"/>
          </w:tcPr>
          <w:p w14:paraId="093E47E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一般</w:t>
            </w:r>
          </w:p>
        </w:tc>
        <w:tc>
          <w:tcPr>
            <w:tcW w:w="8546" w:type="dxa"/>
            <w:vAlign w:val="center"/>
          </w:tcPr>
          <w:p w14:paraId="15D56E14">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蛋白质、甜蜜素(以环己基氨基磺酸计)、糖精钠(以糖精计)、安赛蜜、三氯蔗糖、合成着色剂（柠檬黄、日落黄、新红、苋菜红、靛蓝、胭脂红、诱惑红、亮蓝、酸性红、喹啉黄、赤藓红）、菌落总数、大肠菌群、沙门氏菌、单核细胞增生李斯特氏菌、相同色泽着色剂混合使用时各自用量占其最大使用量的比例之和</w:t>
            </w:r>
          </w:p>
        </w:tc>
      </w:tr>
      <w:tr w14:paraId="28BC4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restart"/>
            <w:vAlign w:val="center"/>
          </w:tcPr>
          <w:p w14:paraId="105068B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11</w:t>
            </w:r>
          </w:p>
        </w:tc>
        <w:tc>
          <w:tcPr>
            <w:tcW w:w="940" w:type="dxa"/>
            <w:vMerge w:val="restart"/>
            <w:vAlign w:val="center"/>
          </w:tcPr>
          <w:p w14:paraId="029D343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速冻食品</w:t>
            </w:r>
          </w:p>
        </w:tc>
        <w:tc>
          <w:tcPr>
            <w:tcW w:w="1358" w:type="dxa"/>
            <w:vMerge w:val="restart"/>
            <w:vAlign w:val="center"/>
          </w:tcPr>
          <w:p w14:paraId="3F8704C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速冻面米食品</w:t>
            </w:r>
          </w:p>
        </w:tc>
        <w:tc>
          <w:tcPr>
            <w:tcW w:w="1578" w:type="dxa"/>
            <w:vMerge w:val="restart"/>
            <w:vAlign w:val="center"/>
          </w:tcPr>
          <w:p w14:paraId="6B43E3D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速冻面米食品</w:t>
            </w:r>
          </w:p>
        </w:tc>
        <w:tc>
          <w:tcPr>
            <w:tcW w:w="1583" w:type="dxa"/>
            <w:vAlign w:val="center"/>
          </w:tcPr>
          <w:p w14:paraId="4F6AF2E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速冻面米生制品</w:t>
            </w:r>
          </w:p>
        </w:tc>
        <w:tc>
          <w:tcPr>
            <w:tcW w:w="680" w:type="dxa"/>
            <w:vAlign w:val="center"/>
          </w:tcPr>
          <w:p w14:paraId="127B510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649DD706">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过氧化值(以脂肪计)、铅(以Pb计)、糖精钠(以糖精计)、甜蜜素(以环己基氨基磺酸计)、合成着色剂(柠檬黄、日落黄、苋菜红、亮蓝、胭脂红)</w:t>
            </w:r>
          </w:p>
        </w:tc>
      </w:tr>
      <w:tr w14:paraId="59DC6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5D05759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4F927BB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1D3625C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6FB0260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307C905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速冻面米熟制品</w:t>
            </w:r>
          </w:p>
        </w:tc>
        <w:tc>
          <w:tcPr>
            <w:tcW w:w="680" w:type="dxa"/>
            <w:vAlign w:val="center"/>
          </w:tcPr>
          <w:p w14:paraId="11F3752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171E2550">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过氧化值(以脂肪计)、铅(以Pb计)、糖精钠(以糖精计)、甜蜜素(以环己基氨基磺酸计)、合成着色剂（柠檬黄、日落黄、苋菜红、亮蓝、胭脂红）、菌落总数、大肠菌群、沙门氏菌、金黄色葡萄球菌</w:t>
            </w:r>
          </w:p>
        </w:tc>
      </w:tr>
      <w:tr w14:paraId="343D8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2384A28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0A29404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restart"/>
            <w:vAlign w:val="center"/>
          </w:tcPr>
          <w:p w14:paraId="4D38843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速冻调制食品</w:t>
            </w:r>
          </w:p>
        </w:tc>
        <w:tc>
          <w:tcPr>
            <w:tcW w:w="1578" w:type="dxa"/>
            <w:vAlign w:val="center"/>
          </w:tcPr>
          <w:p w14:paraId="34412A7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速冻调理肉制品</w:t>
            </w:r>
          </w:p>
        </w:tc>
        <w:tc>
          <w:tcPr>
            <w:tcW w:w="1583" w:type="dxa"/>
            <w:vAlign w:val="center"/>
          </w:tcPr>
          <w:p w14:paraId="1090DB0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速冻调理肉制品</w:t>
            </w:r>
          </w:p>
        </w:tc>
        <w:tc>
          <w:tcPr>
            <w:tcW w:w="680" w:type="dxa"/>
            <w:vAlign w:val="center"/>
          </w:tcPr>
          <w:p w14:paraId="65E19AD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3394F49A">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过氧化值(以脂肪计)、铅(以Pb计)、铬(以Cr计)、氯霉素、合成着色剂(胭脂红、柠檬黄、日落黄、诱惑红)、亚硝酸盐(以亚硝酸钠计)、菌落总数、大肠菌群、沙门氏菌、金黄色葡萄球菌、单核细胞增生李斯特氏菌、苯甲酸及其钠盐(以苯甲酸计)、山梨酸及其钾盐(以山梨酸计)</w:t>
            </w:r>
          </w:p>
        </w:tc>
      </w:tr>
      <w:tr w14:paraId="7CC05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7113EF5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18F4EE0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16F326A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5219E64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速冻调制水产制品</w:t>
            </w:r>
          </w:p>
        </w:tc>
        <w:tc>
          <w:tcPr>
            <w:tcW w:w="1583" w:type="dxa"/>
            <w:vAlign w:val="center"/>
          </w:tcPr>
          <w:p w14:paraId="30C8C84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速冻调制水产制品</w:t>
            </w:r>
          </w:p>
        </w:tc>
        <w:tc>
          <w:tcPr>
            <w:tcW w:w="680" w:type="dxa"/>
            <w:vAlign w:val="center"/>
          </w:tcPr>
          <w:p w14:paraId="0210603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0D229781">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挥发性盐基氮、苯甲酸及其钠盐(以苯甲酸计)、山梨酸及其钾盐(以山梨酸计)、菌落总数、大肠菌群、沙门氏菌、副溶血性弧菌、单核细胞增生李斯特氏菌、二氧化硫残留量</w:t>
            </w:r>
          </w:p>
        </w:tc>
      </w:tr>
      <w:tr w14:paraId="2098F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3107802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5128963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restart"/>
            <w:vAlign w:val="center"/>
          </w:tcPr>
          <w:p w14:paraId="5C40F42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速冻其他食品</w:t>
            </w:r>
          </w:p>
        </w:tc>
        <w:tc>
          <w:tcPr>
            <w:tcW w:w="1578" w:type="dxa"/>
            <w:vAlign w:val="center"/>
          </w:tcPr>
          <w:p w14:paraId="2016801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速冻谷物食品</w:t>
            </w:r>
          </w:p>
        </w:tc>
        <w:tc>
          <w:tcPr>
            <w:tcW w:w="1583" w:type="dxa"/>
            <w:vAlign w:val="center"/>
          </w:tcPr>
          <w:p w14:paraId="0BD499E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速冻谷物食品</w:t>
            </w:r>
          </w:p>
        </w:tc>
        <w:tc>
          <w:tcPr>
            <w:tcW w:w="680" w:type="dxa"/>
            <w:vAlign w:val="center"/>
          </w:tcPr>
          <w:p w14:paraId="6696B88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765EFCCE">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铅(以Pb计)、黄曲霉毒素B</w:t>
            </w:r>
            <w:r>
              <w:rPr>
                <w:rFonts w:hint="eastAsia" w:ascii="仿宋_GB2312" w:hAnsi="仿宋_GB2312" w:eastAsia="仿宋_GB2312" w:cs="仿宋_GB2312"/>
                <w:color w:val="auto"/>
                <w:sz w:val="18"/>
                <w:szCs w:val="18"/>
                <w:vertAlign w:val="subscript"/>
                <w:lang w:eastAsia="zh-CN"/>
              </w:rPr>
              <w:t>1</w:t>
            </w:r>
          </w:p>
        </w:tc>
      </w:tr>
      <w:tr w14:paraId="2D5BD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0954A42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2953760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289A7FF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51A3148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速冻蔬菜制品</w:t>
            </w:r>
          </w:p>
        </w:tc>
        <w:tc>
          <w:tcPr>
            <w:tcW w:w="1583" w:type="dxa"/>
            <w:vAlign w:val="center"/>
          </w:tcPr>
          <w:p w14:paraId="7A17D7B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速冻蔬菜制品</w:t>
            </w:r>
          </w:p>
        </w:tc>
        <w:tc>
          <w:tcPr>
            <w:tcW w:w="680" w:type="dxa"/>
            <w:vAlign w:val="center"/>
          </w:tcPr>
          <w:p w14:paraId="41F7388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3278155E">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铅(以Pb计)、镉(以Cd计)、糖精钠(以糖精计)</w:t>
            </w:r>
          </w:p>
        </w:tc>
      </w:tr>
      <w:tr w14:paraId="7E282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450779E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6F49F55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5CDCC0F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583C654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速冻水果制品</w:t>
            </w:r>
          </w:p>
        </w:tc>
        <w:tc>
          <w:tcPr>
            <w:tcW w:w="1583" w:type="dxa"/>
            <w:vAlign w:val="center"/>
          </w:tcPr>
          <w:p w14:paraId="2B67D55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速冻水果制品</w:t>
            </w:r>
          </w:p>
        </w:tc>
        <w:tc>
          <w:tcPr>
            <w:tcW w:w="680" w:type="dxa"/>
            <w:vAlign w:val="center"/>
          </w:tcPr>
          <w:p w14:paraId="750A71C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31CA521A">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铅(以Pb计)、镉(以Cd计)、菌落总数、大肠菌群、霉菌、沙门氏菌、金黄色葡萄球菌</w:t>
            </w:r>
          </w:p>
        </w:tc>
      </w:tr>
      <w:tr w14:paraId="4720A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restart"/>
            <w:vAlign w:val="center"/>
          </w:tcPr>
          <w:p w14:paraId="7B44A00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12</w:t>
            </w:r>
          </w:p>
        </w:tc>
        <w:tc>
          <w:tcPr>
            <w:tcW w:w="940" w:type="dxa"/>
            <w:vMerge w:val="restart"/>
            <w:vAlign w:val="center"/>
          </w:tcPr>
          <w:p w14:paraId="0F90F19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薯类和膨化食品</w:t>
            </w:r>
          </w:p>
        </w:tc>
        <w:tc>
          <w:tcPr>
            <w:tcW w:w="1358" w:type="dxa"/>
            <w:vMerge w:val="restart"/>
            <w:vAlign w:val="center"/>
          </w:tcPr>
          <w:p w14:paraId="31A9C14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薯类和膨化食品</w:t>
            </w:r>
          </w:p>
        </w:tc>
        <w:tc>
          <w:tcPr>
            <w:tcW w:w="1578" w:type="dxa"/>
            <w:vAlign w:val="center"/>
          </w:tcPr>
          <w:p w14:paraId="359C896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膨化食品</w:t>
            </w:r>
          </w:p>
        </w:tc>
        <w:tc>
          <w:tcPr>
            <w:tcW w:w="1583" w:type="dxa"/>
            <w:vAlign w:val="center"/>
          </w:tcPr>
          <w:p w14:paraId="02DD18C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含油型膨化食品和非含油型膨化食品</w:t>
            </w:r>
          </w:p>
        </w:tc>
        <w:tc>
          <w:tcPr>
            <w:tcW w:w="680" w:type="dxa"/>
            <w:vAlign w:val="center"/>
          </w:tcPr>
          <w:p w14:paraId="24020B2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650DBDC1">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水分、酸价(以脂肪计)(KOH)、过氧化值(以脂肪计)、黄曲霉毒素B</w:t>
            </w:r>
            <w:r>
              <w:rPr>
                <w:rFonts w:hint="eastAsia" w:ascii="仿宋_GB2312" w:hAnsi="仿宋_GB2312" w:eastAsia="仿宋_GB2312" w:cs="仿宋_GB2312"/>
                <w:color w:val="auto"/>
                <w:sz w:val="18"/>
                <w:szCs w:val="18"/>
                <w:vertAlign w:val="subscript"/>
                <w:lang w:eastAsia="zh-CN"/>
              </w:rPr>
              <w:t>1</w:t>
            </w:r>
            <w:r>
              <w:rPr>
                <w:rFonts w:hint="eastAsia" w:ascii="仿宋_GB2312" w:hAnsi="仿宋_GB2312" w:eastAsia="仿宋_GB2312" w:cs="仿宋_GB2312"/>
                <w:color w:val="auto"/>
                <w:sz w:val="18"/>
                <w:szCs w:val="18"/>
                <w:lang w:eastAsia="zh-CN"/>
              </w:rPr>
              <w:t>、糖精钠(以糖精计)、甜蜜素(以环己基氨基磺酸计)、纽甜、三氯蔗糖、合成着色剂(新红、苋菜红、酸性红、喹啉黄)、菌落总数、大肠菌群、沙门氏菌、金黄色葡萄球菌</w:t>
            </w:r>
          </w:p>
        </w:tc>
      </w:tr>
      <w:tr w14:paraId="1FD75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7614298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5094E05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0B55D91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restart"/>
            <w:vAlign w:val="center"/>
          </w:tcPr>
          <w:p w14:paraId="35F87BE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薯类食品</w:t>
            </w:r>
          </w:p>
        </w:tc>
        <w:tc>
          <w:tcPr>
            <w:tcW w:w="1583" w:type="dxa"/>
            <w:vAlign w:val="center"/>
          </w:tcPr>
          <w:p w14:paraId="3F291D1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干制薯类</w:t>
            </w:r>
          </w:p>
        </w:tc>
        <w:tc>
          <w:tcPr>
            <w:tcW w:w="680" w:type="dxa"/>
            <w:vAlign w:val="center"/>
          </w:tcPr>
          <w:p w14:paraId="7659EC6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6EC5105F">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酸价(以脂肪计)(KOH)、过氧化值(以脂肪计)、铅(以Pb计)、菌落总数、大肠菌群、沙门氏菌、金黄色葡萄球菌、二氧化硫残留量</w:t>
            </w:r>
          </w:p>
        </w:tc>
      </w:tr>
      <w:tr w14:paraId="5CCFA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5E62524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4223E1B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3F23E2A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49B19B4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53850A3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冷冻薯类</w:t>
            </w:r>
          </w:p>
        </w:tc>
        <w:tc>
          <w:tcPr>
            <w:tcW w:w="680" w:type="dxa"/>
            <w:vAlign w:val="center"/>
          </w:tcPr>
          <w:p w14:paraId="20F9826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1DFCD04F">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铅(以Pb计)</w:t>
            </w:r>
          </w:p>
        </w:tc>
      </w:tr>
      <w:tr w14:paraId="0A8B1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52D819E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940" w:type="dxa"/>
            <w:vMerge w:val="continue"/>
            <w:vAlign w:val="center"/>
          </w:tcPr>
          <w:p w14:paraId="58F70E0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1358" w:type="dxa"/>
            <w:vMerge w:val="continue"/>
            <w:vAlign w:val="center"/>
          </w:tcPr>
          <w:p w14:paraId="38E9BB5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1578" w:type="dxa"/>
            <w:vMerge w:val="continue"/>
            <w:vAlign w:val="center"/>
          </w:tcPr>
          <w:p w14:paraId="129AA89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1583" w:type="dxa"/>
            <w:vAlign w:val="center"/>
          </w:tcPr>
          <w:p w14:paraId="7D70AA9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薯泥(酱)类</w:t>
            </w:r>
          </w:p>
        </w:tc>
        <w:tc>
          <w:tcPr>
            <w:tcW w:w="680" w:type="dxa"/>
            <w:vAlign w:val="center"/>
          </w:tcPr>
          <w:p w14:paraId="3517067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4A630B05">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铅(以Pb计)、苯甲酸及其钠盐(以苯甲酸计)、山梨酸及其钾盐(以山梨酸计)、商业无菌、沙门氏菌、金黄色葡萄球菌</w:t>
            </w:r>
          </w:p>
        </w:tc>
      </w:tr>
      <w:tr w14:paraId="0197F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285D806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6D63D7C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4AEBB97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3A65F61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16C41A5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薯粉类</w:t>
            </w:r>
          </w:p>
        </w:tc>
        <w:tc>
          <w:tcPr>
            <w:tcW w:w="680" w:type="dxa"/>
            <w:vAlign w:val="center"/>
          </w:tcPr>
          <w:p w14:paraId="715BC21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132868E3">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铅(以Pb计)、二氧化硫残留量</w:t>
            </w:r>
          </w:p>
        </w:tc>
      </w:tr>
      <w:tr w14:paraId="2AF55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4120639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37B55E4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093B493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61CFBB3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1F0D3A4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其他薯类食品</w:t>
            </w:r>
          </w:p>
        </w:tc>
        <w:tc>
          <w:tcPr>
            <w:tcW w:w="680" w:type="dxa"/>
            <w:vAlign w:val="center"/>
          </w:tcPr>
          <w:p w14:paraId="1D17A2B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68FA2732">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铅(以Pb计)、沙门氏菌、金黄色葡萄球菌</w:t>
            </w:r>
          </w:p>
        </w:tc>
      </w:tr>
      <w:tr w14:paraId="3A02B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1134" w:hRule="atLeast"/>
          <w:jc w:val="center"/>
        </w:trPr>
        <w:tc>
          <w:tcPr>
            <w:tcW w:w="453" w:type="dxa"/>
            <w:vMerge w:val="restart"/>
            <w:vAlign w:val="center"/>
          </w:tcPr>
          <w:p w14:paraId="473E776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13</w:t>
            </w:r>
          </w:p>
        </w:tc>
        <w:tc>
          <w:tcPr>
            <w:tcW w:w="940" w:type="dxa"/>
            <w:vMerge w:val="restart"/>
            <w:vAlign w:val="center"/>
          </w:tcPr>
          <w:p w14:paraId="05F1A7E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糖果制品</w:t>
            </w:r>
          </w:p>
        </w:tc>
        <w:tc>
          <w:tcPr>
            <w:tcW w:w="1358" w:type="dxa"/>
            <w:vMerge w:val="restart"/>
            <w:vAlign w:val="center"/>
          </w:tcPr>
          <w:p w14:paraId="77B10E4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糖果制品(含巧克力及制品)</w:t>
            </w:r>
          </w:p>
        </w:tc>
        <w:tc>
          <w:tcPr>
            <w:tcW w:w="1578" w:type="dxa"/>
            <w:vAlign w:val="center"/>
          </w:tcPr>
          <w:p w14:paraId="2F8B5EC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糖果</w:t>
            </w:r>
          </w:p>
        </w:tc>
        <w:tc>
          <w:tcPr>
            <w:tcW w:w="1583" w:type="dxa"/>
            <w:vAlign w:val="center"/>
          </w:tcPr>
          <w:p w14:paraId="5E664BD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糖果</w:t>
            </w:r>
          </w:p>
        </w:tc>
        <w:tc>
          <w:tcPr>
            <w:tcW w:w="680" w:type="dxa"/>
            <w:vAlign w:val="center"/>
          </w:tcPr>
          <w:p w14:paraId="4C5C71C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68D91C02">
            <w:pPr>
              <w:keepNext w:val="0"/>
              <w:keepLines/>
              <w:widowControl w:val="0"/>
              <w:suppressLineNumbers w:val="0"/>
              <w:kinsoku/>
              <w:spacing w:before="0" w:beforeAutospacing="0" w:after="0" w:afterAutospacing="0" w:line="26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糖精钠(以糖精计)、甜蜜素(以环己基氨基磺酸计)、合成着色剂(柠檬黄、新红、苋菜红、靛蓝、胭脂红、日落黄、诱惑红、亮蓝、酸性红、喹啉黄、赤藓红)、相同色泽着色剂混合使用时各自用量占其最大使用量的比例之和、二氧化硫残留量、菌落总数、大肠菌群、西地那非、他达拉非、酚丁、双酚沙丁、双丙酚丁、脱乙酰比沙可啶</w:t>
            </w:r>
          </w:p>
        </w:tc>
      </w:tr>
      <w:tr w14:paraId="6E072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1191" w:hRule="atLeast"/>
          <w:jc w:val="center"/>
        </w:trPr>
        <w:tc>
          <w:tcPr>
            <w:tcW w:w="453" w:type="dxa"/>
            <w:vMerge w:val="continue"/>
            <w:vAlign w:val="center"/>
          </w:tcPr>
          <w:p w14:paraId="2C06AAA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4B1B140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26D9517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5F5151D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巧克力及巧克力制品</w:t>
            </w:r>
          </w:p>
        </w:tc>
        <w:tc>
          <w:tcPr>
            <w:tcW w:w="1583" w:type="dxa"/>
            <w:vAlign w:val="center"/>
          </w:tcPr>
          <w:p w14:paraId="0FAAD63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巧克力、巧克力制品、代可可脂巧克力及代可可脂巧克力制品</w:t>
            </w:r>
          </w:p>
        </w:tc>
        <w:tc>
          <w:tcPr>
            <w:tcW w:w="680" w:type="dxa"/>
            <w:vAlign w:val="center"/>
          </w:tcPr>
          <w:p w14:paraId="3AE703F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7148D533">
            <w:pPr>
              <w:keepNext w:val="0"/>
              <w:keepLines/>
              <w:widowControl w:val="0"/>
              <w:suppressLineNumbers w:val="0"/>
              <w:kinsoku/>
              <w:spacing w:before="0" w:beforeAutospacing="0" w:after="0" w:afterAutospacing="0" w:line="26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铅(以Pb计)、沙门氏菌</w:t>
            </w:r>
          </w:p>
        </w:tc>
      </w:tr>
      <w:tr w14:paraId="2A4B6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1134" w:hRule="atLeast"/>
          <w:jc w:val="center"/>
        </w:trPr>
        <w:tc>
          <w:tcPr>
            <w:tcW w:w="453" w:type="dxa"/>
            <w:vMerge w:val="continue"/>
            <w:vAlign w:val="center"/>
          </w:tcPr>
          <w:p w14:paraId="063D3CD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22D0A20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0C58152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307391B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果冻</w:t>
            </w:r>
          </w:p>
        </w:tc>
        <w:tc>
          <w:tcPr>
            <w:tcW w:w="1583" w:type="dxa"/>
            <w:vAlign w:val="center"/>
          </w:tcPr>
          <w:p w14:paraId="458FFF8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果冻</w:t>
            </w:r>
          </w:p>
        </w:tc>
        <w:tc>
          <w:tcPr>
            <w:tcW w:w="680" w:type="dxa"/>
            <w:vAlign w:val="center"/>
          </w:tcPr>
          <w:p w14:paraId="7E8DC93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0F5FB0FB">
            <w:pPr>
              <w:keepNext w:val="0"/>
              <w:keepLines/>
              <w:widowControl w:val="0"/>
              <w:suppressLineNumbers w:val="0"/>
              <w:kinsoku/>
              <w:spacing w:before="0" w:beforeAutospacing="0" w:after="0" w:afterAutospacing="0" w:line="26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山梨酸及其钾盐(以山梨酸计)、苯甲酸及其钠盐(以苯甲酸计)、糖精钠(以糖精计)、甜蜜素(以环己基氨基磺酸计)、安赛蜜、合成着色剂(柠檬黄、新红、苋菜红、靛蓝、胭脂红、日落黄、诱惑红、亮蓝、酸性红、喹啉黄、赤藓红)、相同色泽着色剂混合使用时各自用量占其最大使用量的比例之和、菌落总数、大肠菌群、霉菌、酵母、双丙酚丁、脱乙酰比沙可啶</w:t>
            </w:r>
          </w:p>
        </w:tc>
      </w:tr>
      <w:tr w14:paraId="1212E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1134" w:hRule="atLeast"/>
          <w:jc w:val="center"/>
        </w:trPr>
        <w:tc>
          <w:tcPr>
            <w:tcW w:w="453" w:type="dxa"/>
            <w:vMerge w:val="restart"/>
            <w:vAlign w:val="center"/>
          </w:tcPr>
          <w:p w14:paraId="6D4B7D1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14</w:t>
            </w:r>
          </w:p>
        </w:tc>
        <w:tc>
          <w:tcPr>
            <w:tcW w:w="940" w:type="dxa"/>
            <w:vMerge w:val="restart"/>
            <w:vAlign w:val="center"/>
          </w:tcPr>
          <w:p w14:paraId="78DEDEB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茶叶及相关制品</w:t>
            </w:r>
          </w:p>
        </w:tc>
        <w:tc>
          <w:tcPr>
            <w:tcW w:w="1358" w:type="dxa"/>
            <w:vAlign w:val="center"/>
          </w:tcPr>
          <w:p w14:paraId="49AB18E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茶叶</w:t>
            </w:r>
          </w:p>
        </w:tc>
        <w:tc>
          <w:tcPr>
            <w:tcW w:w="1578" w:type="dxa"/>
            <w:vAlign w:val="center"/>
          </w:tcPr>
          <w:p w14:paraId="1BC66CD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茶叶</w:t>
            </w:r>
          </w:p>
        </w:tc>
        <w:tc>
          <w:tcPr>
            <w:tcW w:w="1583" w:type="dxa"/>
            <w:vAlign w:val="center"/>
          </w:tcPr>
          <w:p w14:paraId="33DA6E3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绿茶、红茶、乌龙茶、黄茶、白茶、黑茶、花茶、袋泡茶、紧压茶</w:t>
            </w:r>
          </w:p>
        </w:tc>
        <w:tc>
          <w:tcPr>
            <w:tcW w:w="680" w:type="dxa"/>
            <w:vAlign w:val="center"/>
          </w:tcPr>
          <w:p w14:paraId="4FEEE8E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66A9B367">
            <w:pPr>
              <w:keepNext w:val="0"/>
              <w:keepLines/>
              <w:widowControl w:val="0"/>
              <w:suppressLineNumbers w:val="0"/>
              <w:kinsoku/>
              <w:spacing w:before="0" w:beforeAutospacing="0" w:after="0" w:afterAutospacing="0" w:line="26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草甘膦、吡虫啉、乙酰甲胺磷、联苯菊酯、灭多威、三氯杀螨醇、氰戊菊酯和S-氰戊菊酯、甲拌磷、克百威、水胺硫磷、氧乐果、毒死蜱、啶虫脒、多菌灵、茚虫威、合成着色剂(柠檬黄、日落黄、胭脂红、亮蓝)、糖精钠(以糖精计)、甜蜜素(以环己基氨基磺酸计)</w:t>
            </w:r>
          </w:p>
        </w:tc>
      </w:tr>
      <w:tr w14:paraId="455C3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67" w:hRule="atLeast"/>
          <w:jc w:val="center"/>
        </w:trPr>
        <w:tc>
          <w:tcPr>
            <w:tcW w:w="453" w:type="dxa"/>
            <w:vMerge w:val="continue"/>
            <w:vAlign w:val="center"/>
          </w:tcPr>
          <w:p w14:paraId="459B44E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7B39C41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restart"/>
            <w:vAlign w:val="center"/>
          </w:tcPr>
          <w:p w14:paraId="243154B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含茶制品</w:t>
            </w:r>
          </w:p>
          <w:p w14:paraId="607E1E8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和代用茶</w:t>
            </w:r>
          </w:p>
        </w:tc>
        <w:tc>
          <w:tcPr>
            <w:tcW w:w="1578" w:type="dxa"/>
            <w:vAlign w:val="center"/>
          </w:tcPr>
          <w:p w14:paraId="6F368D1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含茶制品</w:t>
            </w:r>
          </w:p>
        </w:tc>
        <w:tc>
          <w:tcPr>
            <w:tcW w:w="1583" w:type="dxa"/>
            <w:vAlign w:val="center"/>
          </w:tcPr>
          <w:p w14:paraId="65E6681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速溶茶类、其他含茶制品</w:t>
            </w:r>
          </w:p>
        </w:tc>
        <w:tc>
          <w:tcPr>
            <w:tcW w:w="680" w:type="dxa"/>
            <w:vAlign w:val="center"/>
          </w:tcPr>
          <w:p w14:paraId="661B510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54743417">
            <w:pPr>
              <w:keepNext w:val="0"/>
              <w:keepLines/>
              <w:widowControl w:val="0"/>
              <w:suppressLineNumbers w:val="0"/>
              <w:kinsoku/>
              <w:spacing w:before="0" w:beforeAutospacing="0" w:after="0" w:afterAutospacing="0" w:line="26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铅(以Pb计)、菌落总数、霉菌、霉菌及酵母、合成着色剂(柠檬黄、日落黄、胭脂红、亮蓝)</w:t>
            </w:r>
          </w:p>
        </w:tc>
      </w:tr>
      <w:tr w14:paraId="2F859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67" w:hRule="atLeast"/>
          <w:jc w:val="center"/>
        </w:trPr>
        <w:tc>
          <w:tcPr>
            <w:tcW w:w="453" w:type="dxa"/>
            <w:vMerge w:val="continue"/>
            <w:vAlign w:val="center"/>
          </w:tcPr>
          <w:p w14:paraId="258D176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43A9136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75B7CC9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restart"/>
            <w:vAlign w:val="center"/>
          </w:tcPr>
          <w:p w14:paraId="09FDA7C9">
            <w:pPr>
              <w:keepNext w:val="0"/>
              <w:keepLines w:val="0"/>
              <w:widowControl/>
              <w:suppressLineNumbers w:val="0"/>
              <w:kinsoku/>
              <w:spacing w:before="0" w:beforeAutospacing="0" w:after="0" w:afterAutospacing="0" w:line="300" w:lineRule="exact"/>
              <w:ind w:left="0" w:right="0"/>
              <w:jc w:val="center"/>
              <w:textAlignment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bidi="ar"/>
              </w:rPr>
              <w:t>代用茶</w:t>
            </w:r>
          </w:p>
        </w:tc>
        <w:tc>
          <w:tcPr>
            <w:tcW w:w="1583" w:type="dxa"/>
            <w:vAlign w:val="center"/>
          </w:tcPr>
          <w:p w14:paraId="129479BA">
            <w:pPr>
              <w:keepNext w:val="0"/>
              <w:keepLines w:val="0"/>
              <w:widowControl/>
              <w:suppressLineNumbers w:val="0"/>
              <w:kinsoku/>
              <w:spacing w:before="0" w:beforeAutospacing="0" w:after="0" w:afterAutospacing="0" w:line="300" w:lineRule="exact"/>
              <w:ind w:left="0" w:right="0"/>
              <w:jc w:val="center"/>
              <w:textAlignment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bidi="ar"/>
              </w:rPr>
              <w:t>枸杞(干)</w:t>
            </w:r>
          </w:p>
        </w:tc>
        <w:tc>
          <w:tcPr>
            <w:tcW w:w="680" w:type="dxa"/>
            <w:vAlign w:val="center"/>
          </w:tcPr>
          <w:p w14:paraId="6710D6D7">
            <w:pPr>
              <w:keepNext w:val="0"/>
              <w:keepLines w:val="0"/>
              <w:widowControl/>
              <w:suppressLineNumbers w:val="0"/>
              <w:kinsoku/>
              <w:spacing w:before="0" w:beforeAutospacing="0" w:after="0" w:afterAutospacing="0" w:line="300" w:lineRule="exact"/>
              <w:ind w:left="0" w:right="0"/>
              <w:jc w:val="center"/>
              <w:textAlignment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bidi="ar"/>
              </w:rPr>
              <w:t>一般</w:t>
            </w:r>
          </w:p>
        </w:tc>
        <w:tc>
          <w:tcPr>
            <w:tcW w:w="8546" w:type="dxa"/>
            <w:vAlign w:val="center"/>
          </w:tcPr>
          <w:p w14:paraId="381DE6F5">
            <w:pPr>
              <w:keepNext w:val="0"/>
              <w:keepLines w:val="0"/>
              <w:widowControl/>
              <w:suppressLineNumbers w:val="0"/>
              <w:kinsoku/>
              <w:spacing w:before="0" w:beforeAutospacing="0" w:after="0" w:afterAutospacing="0" w:line="260" w:lineRule="exact"/>
              <w:ind w:left="0" w:right="0"/>
              <w:jc w:val="both"/>
              <w:textAlignment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bidi="ar"/>
              </w:rPr>
              <w:t>铅(以Pb计)、二氧化硫残留量、啶虫脒、克百威、毒死蜱、吡虫啉、氯氟氰菊酯和高效氯氟氰菊酯、三唑磷、霉菌</w:t>
            </w:r>
          </w:p>
        </w:tc>
      </w:tr>
      <w:tr w14:paraId="611B8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40" w:hRule="atLeast"/>
          <w:jc w:val="center"/>
        </w:trPr>
        <w:tc>
          <w:tcPr>
            <w:tcW w:w="453" w:type="dxa"/>
            <w:vMerge w:val="continue"/>
            <w:vAlign w:val="center"/>
          </w:tcPr>
          <w:p w14:paraId="792BD53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60275B4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0E34D34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5E15630B">
            <w:pPr>
              <w:keepNext w:val="0"/>
              <w:keepLines w:val="0"/>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15D5C42E">
            <w:pPr>
              <w:keepNext w:val="0"/>
              <w:keepLines w:val="0"/>
              <w:widowControl/>
              <w:suppressLineNumbers w:val="0"/>
              <w:kinsoku/>
              <w:spacing w:before="0" w:beforeAutospacing="0" w:after="0" w:afterAutospacing="0" w:line="300" w:lineRule="exact"/>
              <w:ind w:left="0" w:right="0"/>
              <w:jc w:val="center"/>
              <w:textAlignment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bidi="ar"/>
              </w:rPr>
              <w:t>菊花(干)</w:t>
            </w:r>
          </w:p>
        </w:tc>
        <w:tc>
          <w:tcPr>
            <w:tcW w:w="680" w:type="dxa"/>
            <w:vAlign w:val="center"/>
          </w:tcPr>
          <w:p w14:paraId="3164355F">
            <w:pPr>
              <w:keepNext w:val="0"/>
              <w:keepLines w:val="0"/>
              <w:widowControl/>
              <w:suppressLineNumbers w:val="0"/>
              <w:kinsoku/>
              <w:spacing w:before="0" w:beforeAutospacing="0" w:after="0" w:afterAutospacing="0" w:line="300" w:lineRule="exact"/>
              <w:ind w:left="0" w:right="0"/>
              <w:jc w:val="center"/>
              <w:textAlignment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bidi="ar"/>
              </w:rPr>
              <w:t>一般</w:t>
            </w:r>
          </w:p>
        </w:tc>
        <w:tc>
          <w:tcPr>
            <w:tcW w:w="8546" w:type="dxa"/>
          </w:tcPr>
          <w:p w14:paraId="0BA7651C">
            <w:pPr>
              <w:keepNext w:val="0"/>
              <w:keepLines/>
              <w:widowControl w:val="0"/>
              <w:suppressLineNumbers w:val="0"/>
              <w:kinsoku/>
              <w:spacing w:before="0" w:beforeAutospacing="0" w:after="0" w:afterAutospacing="0" w:line="26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铅(以Pb计)、二氧化硫残留量、啶虫脒、克百威、毒死蜱、氯氟氰菊酯和高效氯氟氰菊酯、吡虫啉、三唑磷、霉菌</w:t>
            </w:r>
          </w:p>
        </w:tc>
      </w:tr>
      <w:tr w14:paraId="63095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23" w:hRule="atLeast"/>
          <w:jc w:val="center"/>
        </w:trPr>
        <w:tc>
          <w:tcPr>
            <w:tcW w:w="453" w:type="dxa"/>
            <w:vMerge w:val="continue"/>
            <w:vAlign w:val="center"/>
          </w:tcPr>
          <w:p w14:paraId="3B49764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1EDBDA2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6844BAE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3C69C207">
            <w:pPr>
              <w:keepNext w:val="0"/>
              <w:keepLines w:val="0"/>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23D12E5E">
            <w:pPr>
              <w:keepNext w:val="0"/>
              <w:keepLines w:val="0"/>
              <w:widowControl/>
              <w:suppressLineNumbers w:val="0"/>
              <w:kinsoku/>
              <w:spacing w:before="0" w:beforeAutospacing="0" w:after="0" w:afterAutospacing="0" w:line="300" w:lineRule="exact"/>
              <w:ind w:left="0" w:right="0"/>
              <w:jc w:val="center"/>
              <w:textAlignment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bidi="ar"/>
              </w:rPr>
              <w:t>金银花(干)</w:t>
            </w:r>
          </w:p>
        </w:tc>
        <w:tc>
          <w:tcPr>
            <w:tcW w:w="680" w:type="dxa"/>
            <w:vAlign w:val="center"/>
          </w:tcPr>
          <w:p w14:paraId="633DDFD5">
            <w:pPr>
              <w:keepNext w:val="0"/>
              <w:keepLines w:val="0"/>
              <w:widowControl/>
              <w:suppressLineNumbers w:val="0"/>
              <w:kinsoku/>
              <w:spacing w:before="0" w:beforeAutospacing="0" w:after="0" w:afterAutospacing="0" w:line="300" w:lineRule="exact"/>
              <w:ind w:left="0" w:right="0"/>
              <w:jc w:val="center"/>
              <w:textAlignment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bidi="ar"/>
              </w:rPr>
              <w:t>一般</w:t>
            </w:r>
          </w:p>
        </w:tc>
        <w:tc>
          <w:tcPr>
            <w:tcW w:w="8546" w:type="dxa"/>
          </w:tcPr>
          <w:p w14:paraId="7D14B142">
            <w:pPr>
              <w:keepNext w:val="0"/>
              <w:keepLines/>
              <w:widowControl w:val="0"/>
              <w:suppressLineNumbers w:val="0"/>
              <w:kinsoku/>
              <w:spacing w:before="0" w:beforeAutospacing="0" w:after="0" w:afterAutospacing="0" w:line="26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铅(以Pb计)、二氧化硫残留量、啶虫脒、克百威、毒死蜱、氯氟氰菊酯和高效氯氟氰菊酯、吡虫啉、三唑磷、霉菌</w:t>
            </w:r>
          </w:p>
        </w:tc>
      </w:tr>
      <w:tr w14:paraId="421DC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453" w:type="dxa"/>
            <w:vMerge w:val="continue"/>
            <w:vAlign w:val="center"/>
          </w:tcPr>
          <w:p w14:paraId="3BD9CFA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77D74E5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47DFCC9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5FC95FFD">
            <w:pPr>
              <w:keepNext w:val="0"/>
              <w:keepLines w:val="0"/>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02AA4B9B">
            <w:pPr>
              <w:keepNext w:val="0"/>
              <w:keepLines w:val="0"/>
              <w:widowControl/>
              <w:suppressLineNumbers w:val="0"/>
              <w:kinsoku/>
              <w:spacing w:before="0" w:beforeAutospacing="0" w:after="0" w:afterAutospacing="0" w:line="300" w:lineRule="exact"/>
              <w:ind w:left="0" w:right="0"/>
              <w:jc w:val="center"/>
              <w:textAlignment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bidi="ar"/>
              </w:rPr>
              <w:t>苦丁茶</w:t>
            </w:r>
          </w:p>
        </w:tc>
        <w:tc>
          <w:tcPr>
            <w:tcW w:w="680" w:type="dxa"/>
            <w:vAlign w:val="center"/>
          </w:tcPr>
          <w:p w14:paraId="58CAC36C">
            <w:pPr>
              <w:keepNext w:val="0"/>
              <w:keepLines w:val="0"/>
              <w:widowControl/>
              <w:suppressLineNumbers w:val="0"/>
              <w:kinsoku/>
              <w:spacing w:before="0" w:beforeAutospacing="0" w:after="0" w:afterAutospacing="0" w:line="300" w:lineRule="exact"/>
              <w:ind w:left="0" w:right="0"/>
              <w:jc w:val="center"/>
              <w:textAlignment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bidi="ar"/>
              </w:rPr>
              <w:t>一般</w:t>
            </w:r>
          </w:p>
        </w:tc>
        <w:tc>
          <w:tcPr>
            <w:tcW w:w="8546" w:type="dxa"/>
          </w:tcPr>
          <w:p w14:paraId="18B50E4A">
            <w:pPr>
              <w:keepNext w:val="0"/>
              <w:keepLines/>
              <w:widowControl w:val="0"/>
              <w:suppressLineNumbers w:val="0"/>
              <w:kinsoku/>
              <w:spacing w:before="0" w:beforeAutospacing="0" w:after="0" w:afterAutospacing="0" w:line="26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铅(以Pb计)、二氧化硫残留量、啶虫脒、克百威、毒死蜱、氯氟氰菊酯和高效氯氟氰菊酯、吡虫啉、三唑磷、霉菌</w:t>
            </w:r>
          </w:p>
        </w:tc>
      </w:tr>
      <w:tr w14:paraId="07690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67" w:hRule="atLeast"/>
          <w:jc w:val="center"/>
        </w:trPr>
        <w:tc>
          <w:tcPr>
            <w:tcW w:w="453" w:type="dxa"/>
            <w:vMerge w:val="continue"/>
            <w:vAlign w:val="center"/>
          </w:tcPr>
          <w:p w14:paraId="6AADAD6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2C266EF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0EA7C96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692F65BC">
            <w:pPr>
              <w:keepNext w:val="0"/>
              <w:keepLines w:val="0"/>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315077B3">
            <w:pPr>
              <w:keepNext w:val="0"/>
              <w:keepLines w:val="0"/>
              <w:widowControl/>
              <w:suppressLineNumbers w:val="0"/>
              <w:kinsoku/>
              <w:spacing w:before="0" w:beforeAutospacing="0" w:after="0" w:afterAutospacing="0" w:line="300" w:lineRule="exact"/>
              <w:ind w:left="0" w:right="0"/>
              <w:jc w:val="center"/>
              <w:textAlignment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bidi="ar"/>
              </w:rPr>
              <w:t>其他代用茶</w:t>
            </w:r>
          </w:p>
        </w:tc>
        <w:tc>
          <w:tcPr>
            <w:tcW w:w="680" w:type="dxa"/>
            <w:vAlign w:val="center"/>
          </w:tcPr>
          <w:p w14:paraId="28AB0B77">
            <w:pPr>
              <w:keepNext w:val="0"/>
              <w:keepLines w:val="0"/>
              <w:widowControl/>
              <w:suppressLineNumbers w:val="0"/>
              <w:kinsoku/>
              <w:spacing w:before="0" w:beforeAutospacing="0" w:after="0" w:afterAutospacing="0" w:line="300" w:lineRule="exact"/>
              <w:ind w:left="0" w:right="0"/>
              <w:jc w:val="center"/>
              <w:textAlignment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bidi="ar"/>
              </w:rPr>
              <w:t>一般</w:t>
            </w:r>
          </w:p>
        </w:tc>
        <w:tc>
          <w:tcPr>
            <w:tcW w:w="8546" w:type="dxa"/>
          </w:tcPr>
          <w:p w14:paraId="693FCC0C">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铅(以Pb计)、二氧化硫残留量、啶虫脒、克百威、毒死蜱、氯氟氰菊酯和高效氯氟氰菊酯、吡虫啉、三唑磷、霉菌</w:t>
            </w:r>
          </w:p>
        </w:tc>
      </w:tr>
      <w:tr w14:paraId="0C1B4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restart"/>
            <w:vAlign w:val="center"/>
          </w:tcPr>
          <w:p w14:paraId="0D12ABD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15</w:t>
            </w:r>
          </w:p>
        </w:tc>
        <w:tc>
          <w:tcPr>
            <w:tcW w:w="940" w:type="dxa"/>
            <w:vMerge w:val="restart"/>
            <w:vAlign w:val="center"/>
          </w:tcPr>
          <w:p w14:paraId="57EEA88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酒类</w:t>
            </w:r>
          </w:p>
        </w:tc>
        <w:tc>
          <w:tcPr>
            <w:tcW w:w="1358" w:type="dxa"/>
            <w:vAlign w:val="center"/>
          </w:tcPr>
          <w:p w14:paraId="36241FD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蒸馏酒</w:t>
            </w:r>
          </w:p>
        </w:tc>
        <w:tc>
          <w:tcPr>
            <w:tcW w:w="1578" w:type="dxa"/>
            <w:vAlign w:val="center"/>
          </w:tcPr>
          <w:p w14:paraId="3EED773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白酒</w:t>
            </w:r>
          </w:p>
        </w:tc>
        <w:tc>
          <w:tcPr>
            <w:tcW w:w="1583" w:type="dxa"/>
            <w:vAlign w:val="center"/>
          </w:tcPr>
          <w:p w14:paraId="77D9071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白酒、白酒(液态)、白酒(原酒)</w:t>
            </w:r>
          </w:p>
        </w:tc>
        <w:tc>
          <w:tcPr>
            <w:tcW w:w="680" w:type="dxa"/>
            <w:vAlign w:val="center"/>
          </w:tcPr>
          <w:p w14:paraId="7D5CCAC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3298AD41">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酒精度、铅(以Pb计)、甲醇、氰化物(以HCN计)、糖精钠(以糖精计)、甜蜜素(以环己基氨基磺酸计)、三氯蔗糖、安赛蜜、纽甜</w:t>
            </w:r>
          </w:p>
        </w:tc>
      </w:tr>
      <w:tr w14:paraId="1183B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7EA47C2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37C6BCE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restart"/>
            <w:vAlign w:val="center"/>
          </w:tcPr>
          <w:p w14:paraId="2C95B74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发酵酒</w:t>
            </w:r>
          </w:p>
        </w:tc>
        <w:tc>
          <w:tcPr>
            <w:tcW w:w="1578" w:type="dxa"/>
            <w:vAlign w:val="center"/>
          </w:tcPr>
          <w:p w14:paraId="613CCA4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黄酒</w:t>
            </w:r>
          </w:p>
        </w:tc>
        <w:tc>
          <w:tcPr>
            <w:tcW w:w="1583" w:type="dxa"/>
            <w:vAlign w:val="center"/>
          </w:tcPr>
          <w:p w14:paraId="548D236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黄酒</w:t>
            </w:r>
          </w:p>
        </w:tc>
        <w:tc>
          <w:tcPr>
            <w:tcW w:w="680" w:type="dxa"/>
            <w:vAlign w:val="center"/>
          </w:tcPr>
          <w:p w14:paraId="3B12AD2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1AB1F393">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酒精度、氨基酸态氮、苯甲酸及其钠盐(以苯甲酸计)、山梨酸及其钾盐(以山梨酸计)、糖精钠(以糖精计)、甜蜜素(以环己基氨基磺酸计)</w:t>
            </w:r>
          </w:p>
        </w:tc>
      </w:tr>
      <w:tr w14:paraId="3D469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109DA07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586D960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6D64112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41EB05C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啤酒</w:t>
            </w:r>
          </w:p>
        </w:tc>
        <w:tc>
          <w:tcPr>
            <w:tcW w:w="1583" w:type="dxa"/>
            <w:vAlign w:val="center"/>
          </w:tcPr>
          <w:p w14:paraId="7BA42FD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啤酒</w:t>
            </w:r>
          </w:p>
        </w:tc>
        <w:tc>
          <w:tcPr>
            <w:tcW w:w="680" w:type="dxa"/>
            <w:vAlign w:val="center"/>
          </w:tcPr>
          <w:p w14:paraId="1296F27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3CB10404">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酒精度、甲醛</w:t>
            </w:r>
          </w:p>
        </w:tc>
      </w:tr>
      <w:tr w14:paraId="023C2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5E2B25B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940" w:type="dxa"/>
            <w:vMerge w:val="continue"/>
            <w:vAlign w:val="center"/>
          </w:tcPr>
          <w:p w14:paraId="065C888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1358" w:type="dxa"/>
            <w:vMerge w:val="continue"/>
            <w:vAlign w:val="center"/>
          </w:tcPr>
          <w:p w14:paraId="0CAE7DE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1578" w:type="dxa"/>
            <w:vAlign w:val="center"/>
          </w:tcPr>
          <w:p w14:paraId="7448E92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葡萄酒</w:t>
            </w:r>
          </w:p>
        </w:tc>
        <w:tc>
          <w:tcPr>
            <w:tcW w:w="1583" w:type="dxa"/>
            <w:vAlign w:val="center"/>
          </w:tcPr>
          <w:p w14:paraId="4AF73EE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葡萄酒</w:t>
            </w:r>
          </w:p>
        </w:tc>
        <w:tc>
          <w:tcPr>
            <w:tcW w:w="680" w:type="dxa"/>
            <w:vAlign w:val="center"/>
          </w:tcPr>
          <w:p w14:paraId="11C680A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25FA6979">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酒精度、甲醇、苯甲酸及其钠盐(以苯甲酸计)、山梨酸及其钾盐(以山梨酸计)、糖精钠(以糖精计)、二氧化硫残留量、甜蜜素(以环己基氨基磺酸计)、三氯蔗糖、合成着色剂(柠檬黄、日落黄、新红、胭脂红、赤藓红、苋菜红、诱惑红、酸性红、亮蓝)</w:t>
            </w:r>
          </w:p>
        </w:tc>
      </w:tr>
      <w:tr w14:paraId="012B6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4918933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138DEBF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34F8E72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688BBD2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果酒</w:t>
            </w:r>
          </w:p>
        </w:tc>
        <w:tc>
          <w:tcPr>
            <w:tcW w:w="1583" w:type="dxa"/>
            <w:vAlign w:val="center"/>
          </w:tcPr>
          <w:p w14:paraId="439DF72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果酒</w:t>
            </w:r>
          </w:p>
        </w:tc>
        <w:tc>
          <w:tcPr>
            <w:tcW w:w="680" w:type="dxa"/>
            <w:vAlign w:val="center"/>
          </w:tcPr>
          <w:p w14:paraId="0FA2870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30A538E1">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酒精度、展青霉素、糖精钠(以糖精计)、甜蜜素(以环己基氨基磺酸计)、安赛蜜、二氧化硫残留量、酸性红</w:t>
            </w:r>
          </w:p>
        </w:tc>
      </w:tr>
      <w:tr w14:paraId="42554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791642C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2CC66EF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restart"/>
            <w:vAlign w:val="center"/>
          </w:tcPr>
          <w:p w14:paraId="6A03DD4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其他酒</w:t>
            </w:r>
          </w:p>
        </w:tc>
        <w:tc>
          <w:tcPr>
            <w:tcW w:w="1578" w:type="dxa"/>
            <w:vMerge w:val="restart"/>
            <w:vAlign w:val="center"/>
          </w:tcPr>
          <w:p w14:paraId="7C58946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配制酒</w:t>
            </w:r>
          </w:p>
        </w:tc>
        <w:tc>
          <w:tcPr>
            <w:tcW w:w="1583" w:type="dxa"/>
            <w:vAlign w:val="center"/>
          </w:tcPr>
          <w:p w14:paraId="19875DE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以蒸馏酒及食用酒精为酒基的配制酒</w:t>
            </w:r>
          </w:p>
        </w:tc>
        <w:tc>
          <w:tcPr>
            <w:tcW w:w="680" w:type="dxa"/>
            <w:vAlign w:val="center"/>
          </w:tcPr>
          <w:p w14:paraId="3CA6197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02ACCFA2">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酒精度、甲醇、氰化物(以HCN计)、西地那非、豪莫西地那非、硫代艾地那非、他达拉非、二硫代去甲基卡巴地那非、那非乙酰酸、去甲基卡巴地那非、去甲基他达拉非、羟基豪莫西地那非、伐地那非、育亨宾、甜蜜素(以环己基氨基磺酸计)、安赛蜜、纽甜</w:t>
            </w:r>
          </w:p>
        </w:tc>
      </w:tr>
      <w:tr w14:paraId="2B477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759A68D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7D5C211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3B0F8B7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6655F83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7167A75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以发酵酒为酒基的配制酒</w:t>
            </w:r>
          </w:p>
        </w:tc>
        <w:tc>
          <w:tcPr>
            <w:tcW w:w="680" w:type="dxa"/>
            <w:vAlign w:val="center"/>
          </w:tcPr>
          <w:p w14:paraId="5FB594C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441C1B5A">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酒精度、苯甲酸及其钠盐(以苯甲酸计)、山梨酸及其钾盐(以山梨酸计)、甜蜜素(以环己基氨基磺酸计)、防腐剂混合使用时各自用量占其最大使用量的比例之和、安赛蜜</w:t>
            </w:r>
          </w:p>
        </w:tc>
      </w:tr>
      <w:tr w14:paraId="3993F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25D8B64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4C953AA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2EEC2EE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08E0307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其他蒸馏酒</w:t>
            </w:r>
          </w:p>
        </w:tc>
        <w:tc>
          <w:tcPr>
            <w:tcW w:w="1583" w:type="dxa"/>
            <w:vAlign w:val="center"/>
          </w:tcPr>
          <w:p w14:paraId="1438D16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其他蒸馏酒</w:t>
            </w:r>
          </w:p>
        </w:tc>
        <w:tc>
          <w:tcPr>
            <w:tcW w:w="680" w:type="dxa"/>
            <w:vAlign w:val="center"/>
          </w:tcPr>
          <w:p w14:paraId="7E3F0E6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3A4BA876">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酒精度、铅(以Pb计)、甲醇、氰化物(以HCN计)、甜蜜素（以环己基氨基磺酸计）、三氯蔗糖</w:t>
            </w:r>
          </w:p>
        </w:tc>
      </w:tr>
      <w:tr w14:paraId="52ED8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5D033A0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4C8CB65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0B98750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5E07D74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其他发酵酒</w:t>
            </w:r>
          </w:p>
        </w:tc>
        <w:tc>
          <w:tcPr>
            <w:tcW w:w="1583" w:type="dxa"/>
            <w:vAlign w:val="center"/>
          </w:tcPr>
          <w:p w14:paraId="7632C17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其他发酵酒</w:t>
            </w:r>
          </w:p>
        </w:tc>
        <w:tc>
          <w:tcPr>
            <w:tcW w:w="680" w:type="dxa"/>
            <w:vAlign w:val="center"/>
          </w:tcPr>
          <w:p w14:paraId="4BE23EB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3B23ABF4">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酒精度、苯甲酸及其钠盐(以苯甲酸计)、山梨酸及其钾盐(以山梨酸计)、糖精钠(以糖精计)、甜蜜素(以环己基氨基磺酸计)、安赛蜜</w:t>
            </w:r>
          </w:p>
        </w:tc>
      </w:tr>
      <w:tr w14:paraId="36194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restart"/>
            <w:vAlign w:val="center"/>
          </w:tcPr>
          <w:p w14:paraId="5D428DF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16</w:t>
            </w:r>
          </w:p>
        </w:tc>
        <w:tc>
          <w:tcPr>
            <w:tcW w:w="940" w:type="dxa"/>
            <w:vMerge w:val="restart"/>
            <w:vAlign w:val="center"/>
          </w:tcPr>
          <w:p w14:paraId="21E6C05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蔬菜制品</w:t>
            </w:r>
          </w:p>
        </w:tc>
        <w:tc>
          <w:tcPr>
            <w:tcW w:w="1358" w:type="dxa"/>
            <w:vMerge w:val="restart"/>
            <w:vAlign w:val="center"/>
          </w:tcPr>
          <w:p w14:paraId="1F7D983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蔬菜制品</w:t>
            </w:r>
          </w:p>
        </w:tc>
        <w:tc>
          <w:tcPr>
            <w:tcW w:w="1578" w:type="dxa"/>
            <w:vAlign w:val="center"/>
          </w:tcPr>
          <w:p w14:paraId="20E9712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酱腌菜</w:t>
            </w:r>
          </w:p>
        </w:tc>
        <w:tc>
          <w:tcPr>
            <w:tcW w:w="1583" w:type="dxa"/>
            <w:vAlign w:val="center"/>
          </w:tcPr>
          <w:p w14:paraId="65EBDA8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酱腌菜</w:t>
            </w:r>
          </w:p>
        </w:tc>
        <w:tc>
          <w:tcPr>
            <w:tcW w:w="680" w:type="dxa"/>
            <w:vAlign w:val="center"/>
          </w:tcPr>
          <w:p w14:paraId="7E986AF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0C0C9A2B">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亚硝酸盐(以NaNO₂计)、苯甲酸及其钠盐(以苯甲酸计)、山梨酸及其钾盐(以山梨酸计)、脱氢乙酸及其钠盐(以脱氢乙酸计)、糖精钠(以糖精计)、甜蜜素(以环己基氨基磺酸计)、阿斯巴甜、安赛蜜、纽甜、三氯蔗糖、二氧化硫残留量、防腐剂混合使用时各自用量占其最大使用量的比例之和、合成着色剂(柠檬黄、日落黄、胭脂红、诱惑红)、大肠菌群</w:t>
            </w:r>
          </w:p>
        </w:tc>
      </w:tr>
      <w:tr w14:paraId="1B551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4E6165D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556A729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4B46A4D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09EEB7A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蔬菜干制品</w:t>
            </w:r>
          </w:p>
        </w:tc>
        <w:tc>
          <w:tcPr>
            <w:tcW w:w="1583" w:type="dxa"/>
            <w:vAlign w:val="center"/>
          </w:tcPr>
          <w:p w14:paraId="5A3CCCE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蔬菜干制品</w:t>
            </w:r>
          </w:p>
        </w:tc>
        <w:tc>
          <w:tcPr>
            <w:tcW w:w="680" w:type="dxa"/>
            <w:vAlign w:val="center"/>
          </w:tcPr>
          <w:p w14:paraId="2B973D3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2F0D116C">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铅(以Pb计)、苯甲酸及其钠盐(以苯甲酸计)、山梨酸及其钾盐(以山梨酸计)、二氧化硫残留量、合成着色剂(柠檬黄、日落黄、胭脂红、苋菜红、亮蓝)</w:t>
            </w:r>
          </w:p>
        </w:tc>
      </w:tr>
      <w:tr w14:paraId="69313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90" w:hRule="atLeast"/>
          <w:jc w:val="center"/>
        </w:trPr>
        <w:tc>
          <w:tcPr>
            <w:tcW w:w="453" w:type="dxa"/>
            <w:vMerge w:val="continue"/>
            <w:vAlign w:val="center"/>
          </w:tcPr>
          <w:p w14:paraId="4C075C0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3BB4ADC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318EE62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0129C64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其他蔬菜制品</w:t>
            </w:r>
          </w:p>
        </w:tc>
        <w:tc>
          <w:tcPr>
            <w:tcW w:w="1583" w:type="dxa"/>
            <w:vAlign w:val="center"/>
          </w:tcPr>
          <w:p w14:paraId="52E5EF3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其他蔬菜制品</w:t>
            </w:r>
          </w:p>
        </w:tc>
        <w:tc>
          <w:tcPr>
            <w:tcW w:w="680" w:type="dxa"/>
            <w:vAlign w:val="center"/>
          </w:tcPr>
          <w:p w14:paraId="51FF77E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一般</w:t>
            </w:r>
          </w:p>
        </w:tc>
        <w:tc>
          <w:tcPr>
            <w:tcW w:w="8546" w:type="dxa"/>
            <w:vAlign w:val="center"/>
          </w:tcPr>
          <w:p w14:paraId="1CE6434D">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铅(以Pb计)、苯甲酸及其钠盐(以苯甲酸计)、山梨酸及其钾盐(以山梨酸计)、脱氢乙酸及其钠盐(以脱氢乙酸计)、二氧化硫残留量</w:t>
            </w:r>
          </w:p>
        </w:tc>
      </w:tr>
      <w:tr w14:paraId="647A6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66" w:hRule="atLeast"/>
          <w:jc w:val="center"/>
        </w:trPr>
        <w:tc>
          <w:tcPr>
            <w:tcW w:w="453" w:type="dxa"/>
            <w:vMerge w:val="continue"/>
            <w:vAlign w:val="center"/>
          </w:tcPr>
          <w:p w14:paraId="321070C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0939509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433F578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restart"/>
            <w:vAlign w:val="center"/>
          </w:tcPr>
          <w:p w14:paraId="40336D6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食用菌制品</w:t>
            </w:r>
          </w:p>
        </w:tc>
        <w:tc>
          <w:tcPr>
            <w:tcW w:w="1583" w:type="dxa"/>
            <w:vAlign w:val="center"/>
          </w:tcPr>
          <w:p w14:paraId="60834D5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干制食用菌</w:t>
            </w:r>
          </w:p>
        </w:tc>
        <w:tc>
          <w:tcPr>
            <w:tcW w:w="680" w:type="dxa"/>
            <w:vAlign w:val="center"/>
          </w:tcPr>
          <w:p w14:paraId="623C891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一般</w:t>
            </w:r>
          </w:p>
        </w:tc>
        <w:tc>
          <w:tcPr>
            <w:tcW w:w="8546" w:type="dxa"/>
            <w:vAlign w:val="center"/>
          </w:tcPr>
          <w:p w14:paraId="51F6277A">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铅(以Pb计)、镉(以Cd计)、甲基汞(以Hg计)、无机砷(以As计)</w:t>
            </w:r>
          </w:p>
        </w:tc>
      </w:tr>
      <w:tr w14:paraId="6CF87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57" w:hRule="atLeast"/>
          <w:jc w:val="center"/>
        </w:trPr>
        <w:tc>
          <w:tcPr>
            <w:tcW w:w="453" w:type="dxa"/>
            <w:vMerge w:val="continue"/>
            <w:vAlign w:val="center"/>
          </w:tcPr>
          <w:p w14:paraId="7D7F723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230BADF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7E10E97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0623511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6F30040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腌渍食用菌</w:t>
            </w:r>
          </w:p>
        </w:tc>
        <w:tc>
          <w:tcPr>
            <w:tcW w:w="680" w:type="dxa"/>
            <w:vAlign w:val="center"/>
          </w:tcPr>
          <w:p w14:paraId="1924853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一般</w:t>
            </w:r>
          </w:p>
        </w:tc>
        <w:tc>
          <w:tcPr>
            <w:tcW w:w="8546" w:type="dxa"/>
            <w:vAlign w:val="center"/>
          </w:tcPr>
          <w:p w14:paraId="7930FF5A">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苯甲酸及其钠盐(以苯甲酸计)、山梨酸及其钾盐(以山梨酸计)、脱氢乙酸及其钠盐(以脱氢乙酸计)、防腐剂混合使用时各自用量占其最大使用量的比例之和</w:t>
            </w:r>
          </w:p>
        </w:tc>
      </w:tr>
      <w:tr w14:paraId="0D80F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3" w:type="dxa"/>
            <w:vMerge w:val="restart"/>
            <w:vAlign w:val="center"/>
          </w:tcPr>
          <w:p w14:paraId="0C66857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17</w:t>
            </w:r>
          </w:p>
        </w:tc>
        <w:tc>
          <w:tcPr>
            <w:tcW w:w="940" w:type="dxa"/>
            <w:vMerge w:val="restart"/>
            <w:vAlign w:val="center"/>
          </w:tcPr>
          <w:p w14:paraId="120EAAB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水果制品</w:t>
            </w:r>
          </w:p>
        </w:tc>
        <w:tc>
          <w:tcPr>
            <w:tcW w:w="1358" w:type="dxa"/>
            <w:vMerge w:val="restart"/>
            <w:vAlign w:val="center"/>
          </w:tcPr>
          <w:p w14:paraId="647F5AB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水果制品</w:t>
            </w:r>
          </w:p>
        </w:tc>
        <w:tc>
          <w:tcPr>
            <w:tcW w:w="1578" w:type="dxa"/>
            <w:vAlign w:val="center"/>
          </w:tcPr>
          <w:p w14:paraId="7AE7EFE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蜜饯</w:t>
            </w:r>
          </w:p>
        </w:tc>
        <w:tc>
          <w:tcPr>
            <w:tcW w:w="1583" w:type="dxa"/>
            <w:vAlign w:val="center"/>
          </w:tcPr>
          <w:p w14:paraId="25D0761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蜜饯类、凉果类、果脯类、话化类、果糕类</w:t>
            </w:r>
          </w:p>
        </w:tc>
        <w:tc>
          <w:tcPr>
            <w:tcW w:w="680" w:type="dxa"/>
            <w:vAlign w:val="center"/>
          </w:tcPr>
          <w:p w14:paraId="4CC56D1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124DEB5F">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苯甲酸及其钠盐(以苯甲酸计)、山梨酸及其钾盐(以山梨酸计)、脱氢乙酸及其钠盐(以脱氢乙酸计)、防腐剂混合使用时各自用量占其最大使用量的比例之和、糖精钠(以糖精计)、甜蜜素(以环己基氨基磺酸计)、安赛蜜、二氧化硫残留量、合成着色剂(亮蓝、柠檬黄、日落黄、苋菜红、胭脂红、诱惑红、喹啉黄、赤藓红)、相同色泽着色剂混合使用时各自用量占其最大使用量的比例之和、乙二胺四乙酸二钠、菌落总数、大肠菌群、霉菌</w:t>
            </w:r>
          </w:p>
        </w:tc>
      </w:tr>
      <w:tr w14:paraId="6868F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3" w:type="dxa"/>
            <w:vMerge w:val="continue"/>
            <w:vAlign w:val="center"/>
          </w:tcPr>
          <w:p w14:paraId="2A17D53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46EE882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4D1C495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4E17BE4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水果干制品</w:t>
            </w:r>
          </w:p>
        </w:tc>
        <w:tc>
          <w:tcPr>
            <w:tcW w:w="1583" w:type="dxa"/>
            <w:vAlign w:val="center"/>
          </w:tcPr>
          <w:p w14:paraId="652EE95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水果干制品(含干枸杞)</w:t>
            </w:r>
          </w:p>
        </w:tc>
        <w:tc>
          <w:tcPr>
            <w:tcW w:w="680" w:type="dxa"/>
            <w:vAlign w:val="center"/>
          </w:tcPr>
          <w:p w14:paraId="037969B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73DF1332">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啶虫脒、吡虫啉、克百威、氯氟氰菊酯和高效氯氟氰菊酯、氯氰菊酯和高效氯氰菊酯、苯甲酸及其钠盐(以苯甲酸计)、山梨酸及其钾盐(以山梨酸计)、脱氢乙酸及其钠盐(以脱氢乙酸计)、糖精钠(以糖精计)、二氧化硫残留量、合成着色剂(亮蓝、柠檬黄、日落黄、苋菜红、胭脂红、诱惑红、喹啉黄、赤藓红)、菌落总数、大肠菌群、霉菌</w:t>
            </w:r>
          </w:p>
        </w:tc>
      </w:tr>
      <w:tr w14:paraId="61C24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94" w:hRule="atLeast"/>
          <w:jc w:val="center"/>
        </w:trPr>
        <w:tc>
          <w:tcPr>
            <w:tcW w:w="453" w:type="dxa"/>
            <w:vMerge w:val="continue"/>
            <w:vAlign w:val="center"/>
          </w:tcPr>
          <w:p w14:paraId="65B05FF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705F920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6DD3ED8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1495736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果酱</w:t>
            </w:r>
          </w:p>
        </w:tc>
        <w:tc>
          <w:tcPr>
            <w:tcW w:w="1583" w:type="dxa"/>
            <w:vAlign w:val="center"/>
          </w:tcPr>
          <w:p w14:paraId="308137F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果酱</w:t>
            </w:r>
          </w:p>
        </w:tc>
        <w:tc>
          <w:tcPr>
            <w:tcW w:w="680" w:type="dxa"/>
            <w:vAlign w:val="center"/>
          </w:tcPr>
          <w:p w14:paraId="7ECD1A5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06ED31AE">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脱氢乙酸及其钠盐(以脱氢乙酸计)、菌落总数、大肠菌群、霉菌、商业无菌、二氧化硫残留量</w:t>
            </w:r>
          </w:p>
        </w:tc>
      </w:tr>
      <w:tr w14:paraId="78B24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3" w:type="dxa"/>
            <w:vMerge w:val="restart"/>
            <w:vAlign w:val="center"/>
          </w:tcPr>
          <w:p w14:paraId="0A63973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18</w:t>
            </w:r>
          </w:p>
        </w:tc>
        <w:tc>
          <w:tcPr>
            <w:tcW w:w="940" w:type="dxa"/>
            <w:vMerge w:val="restart"/>
            <w:vAlign w:val="center"/>
          </w:tcPr>
          <w:p w14:paraId="4BADB2D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炒货食品及坚果制品</w:t>
            </w:r>
          </w:p>
        </w:tc>
        <w:tc>
          <w:tcPr>
            <w:tcW w:w="1358" w:type="dxa"/>
            <w:vMerge w:val="restart"/>
            <w:vAlign w:val="center"/>
          </w:tcPr>
          <w:p w14:paraId="4794647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炒货食品及坚果制品</w:t>
            </w:r>
          </w:p>
        </w:tc>
        <w:tc>
          <w:tcPr>
            <w:tcW w:w="1578" w:type="dxa"/>
            <w:vMerge w:val="restart"/>
            <w:vAlign w:val="center"/>
          </w:tcPr>
          <w:p w14:paraId="1035249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炒货食品及坚果制品(烘炒类、油炸类、其他类)</w:t>
            </w:r>
          </w:p>
        </w:tc>
        <w:tc>
          <w:tcPr>
            <w:tcW w:w="1583" w:type="dxa"/>
            <w:vAlign w:val="center"/>
          </w:tcPr>
          <w:p w14:paraId="37AEDFE3">
            <w:pPr>
              <w:keepNext w:val="0"/>
              <w:keepLines w:val="0"/>
              <w:widowControl/>
              <w:suppressLineNumbers w:val="0"/>
              <w:kinsoku/>
              <w:spacing w:before="0" w:beforeAutospacing="0" w:after="0" w:afterAutospacing="0" w:line="300" w:lineRule="exact"/>
              <w:ind w:left="0" w:right="0"/>
              <w:jc w:val="center"/>
              <w:textAlignment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bidi="ar"/>
              </w:rPr>
              <w:t>瓜子</w:t>
            </w:r>
          </w:p>
        </w:tc>
        <w:tc>
          <w:tcPr>
            <w:tcW w:w="680" w:type="dxa"/>
            <w:vAlign w:val="center"/>
          </w:tcPr>
          <w:p w14:paraId="122AAF44">
            <w:pPr>
              <w:keepNext w:val="0"/>
              <w:keepLines w:val="0"/>
              <w:widowControl/>
              <w:suppressLineNumbers w:val="0"/>
              <w:kinsoku/>
              <w:spacing w:before="0" w:beforeAutospacing="0" w:after="0" w:afterAutospacing="0" w:line="300" w:lineRule="exact"/>
              <w:ind w:left="0" w:right="0"/>
              <w:jc w:val="center"/>
              <w:textAlignment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bidi="ar"/>
              </w:rPr>
              <w:t>一般</w:t>
            </w:r>
          </w:p>
        </w:tc>
        <w:tc>
          <w:tcPr>
            <w:tcW w:w="8546" w:type="dxa"/>
            <w:vAlign w:val="center"/>
          </w:tcPr>
          <w:p w14:paraId="42711FAE">
            <w:pPr>
              <w:keepNext w:val="0"/>
              <w:keepLines w:val="0"/>
              <w:widowControl/>
              <w:suppressLineNumbers w:val="0"/>
              <w:kinsoku/>
              <w:spacing w:before="0" w:beforeAutospacing="0" w:after="0" w:afterAutospacing="0" w:line="300" w:lineRule="exact"/>
              <w:ind w:left="0" w:right="0"/>
              <w:jc w:val="both"/>
              <w:textAlignment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bidi="ar"/>
              </w:rPr>
              <w:t>酸价(以脂肪计)(KOH)、过氧化值(以脂肪计)、铅(以Pb计)、黄曲霉毒素B</w:t>
            </w:r>
            <w:r>
              <w:rPr>
                <w:rFonts w:hint="eastAsia" w:ascii="仿宋_GB2312" w:hAnsi="仿宋_GB2312" w:eastAsia="仿宋_GB2312" w:cs="仿宋_GB2312"/>
                <w:color w:val="auto"/>
                <w:sz w:val="18"/>
                <w:szCs w:val="18"/>
                <w:vertAlign w:val="subscript"/>
                <w:lang w:eastAsia="zh-CN" w:bidi="ar"/>
              </w:rPr>
              <w:t>1</w:t>
            </w:r>
            <w:r>
              <w:rPr>
                <w:rFonts w:hint="eastAsia" w:ascii="仿宋_GB2312" w:hAnsi="仿宋_GB2312" w:eastAsia="仿宋_GB2312" w:cs="仿宋_GB2312"/>
                <w:color w:val="auto"/>
                <w:sz w:val="18"/>
                <w:szCs w:val="18"/>
                <w:lang w:eastAsia="zh-CN" w:bidi="ar"/>
              </w:rPr>
              <w:t>、苯甲酸及其钠盐(以苯甲酸计)、山梨酸及其钾盐(以山梨酸计)、脱氢乙酸及其钠盐(以脱氢乙酸计)、二氧化硫残留量、糖精钠(以糖精计)、甜蜜素(以环己基氨基磺酸计)、安赛蜜、大肠菌群、霉菌</w:t>
            </w:r>
          </w:p>
        </w:tc>
      </w:tr>
      <w:tr w14:paraId="36C7B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3" w:type="dxa"/>
            <w:vMerge w:val="continue"/>
            <w:vAlign w:val="center"/>
          </w:tcPr>
          <w:p w14:paraId="5C7F12D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0154B64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69AA52B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3B3C2D4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32B0FAA4">
            <w:pPr>
              <w:keepNext w:val="0"/>
              <w:keepLines w:val="0"/>
              <w:widowControl/>
              <w:suppressLineNumbers w:val="0"/>
              <w:kinsoku/>
              <w:spacing w:before="0" w:beforeAutospacing="0" w:after="0" w:afterAutospacing="0" w:line="300" w:lineRule="exact"/>
              <w:ind w:left="0" w:right="0"/>
              <w:jc w:val="center"/>
              <w:textAlignment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bidi="ar"/>
              </w:rPr>
              <w:t>花生制品</w:t>
            </w:r>
          </w:p>
        </w:tc>
        <w:tc>
          <w:tcPr>
            <w:tcW w:w="680" w:type="dxa"/>
            <w:vAlign w:val="center"/>
          </w:tcPr>
          <w:p w14:paraId="08D0CB03">
            <w:pPr>
              <w:keepNext w:val="0"/>
              <w:keepLines w:val="0"/>
              <w:widowControl/>
              <w:suppressLineNumbers w:val="0"/>
              <w:kinsoku/>
              <w:spacing w:before="0" w:beforeAutospacing="0" w:after="0" w:afterAutospacing="0" w:line="300" w:lineRule="exact"/>
              <w:ind w:left="0" w:right="0"/>
              <w:jc w:val="center"/>
              <w:textAlignment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bidi="ar"/>
              </w:rPr>
              <w:t>一般</w:t>
            </w:r>
          </w:p>
        </w:tc>
        <w:tc>
          <w:tcPr>
            <w:tcW w:w="8546" w:type="dxa"/>
            <w:vAlign w:val="center"/>
          </w:tcPr>
          <w:p w14:paraId="24717F98">
            <w:pPr>
              <w:keepNext w:val="0"/>
              <w:keepLines w:val="0"/>
              <w:widowControl/>
              <w:suppressLineNumbers w:val="0"/>
              <w:kinsoku/>
              <w:spacing w:before="0" w:beforeAutospacing="0" w:after="0" w:afterAutospacing="0" w:line="300" w:lineRule="exact"/>
              <w:ind w:left="0" w:right="0"/>
              <w:jc w:val="both"/>
              <w:textAlignment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bidi="ar"/>
              </w:rPr>
              <w:t>酸价(以脂肪计)(KOH)、过氧化值(以脂肪计)、铅(以Pb计)、黄曲霉毒素B</w:t>
            </w:r>
            <w:r>
              <w:rPr>
                <w:rFonts w:hint="eastAsia" w:ascii="仿宋_GB2312" w:hAnsi="仿宋_GB2312" w:eastAsia="仿宋_GB2312" w:cs="仿宋_GB2312"/>
                <w:color w:val="auto"/>
                <w:sz w:val="18"/>
                <w:szCs w:val="18"/>
                <w:vertAlign w:val="subscript"/>
                <w:lang w:eastAsia="zh-CN" w:bidi="ar"/>
              </w:rPr>
              <w:t>1</w:t>
            </w:r>
            <w:r>
              <w:rPr>
                <w:rFonts w:hint="eastAsia" w:ascii="仿宋_GB2312" w:hAnsi="仿宋_GB2312" w:eastAsia="仿宋_GB2312" w:cs="仿宋_GB2312"/>
                <w:color w:val="auto"/>
                <w:sz w:val="18"/>
                <w:szCs w:val="18"/>
                <w:lang w:eastAsia="zh-CN" w:bidi="ar"/>
              </w:rPr>
              <w:t>、苯甲酸及其钠盐(以苯甲酸计)、山梨酸及其钾盐(以山梨酸计)、脱氢乙酸及其钠盐(以脱氢乙酸计)、二氧化硫残留量、糖精钠(以糖精计)、甜蜜素(以环己基氨基磺酸计)、安赛蜜、大肠菌群、霉菌</w:t>
            </w:r>
          </w:p>
        </w:tc>
      </w:tr>
      <w:tr w14:paraId="79A90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913" w:hRule="atLeast"/>
          <w:jc w:val="center"/>
        </w:trPr>
        <w:tc>
          <w:tcPr>
            <w:tcW w:w="453" w:type="dxa"/>
            <w:vMerge w:val="continue"/>
            <w:vAlign w:val="center"/>
          </w:tcPr>
          <w:p w14:paraId="48DDDF7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7B26E9B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685AC6E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627E33C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71C19AA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其他炒货食品及坚果制品</w:t>
            </w:r>
          </w:p>
        </w:tc>
        <w:tc>
          <w:tcPr>
            <w:tcW w:w="680" w:type="dxa"/>
            <w:vAlign w:val="center"/>
          </w:tcPr>
          <w:p w14:paraId="7E22F23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55D0A8A5">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酸价(以脂肪计)(KOH)、过氧化值(以脂肪计)、铅(以Pb计)、黄曲霉毒素B</w:t>
            </w:r>
            <w:r>
              <w:rPr>
                <w:rFonts w:hint="eastAsia" w:ascii="仿宋_GB2312" w:hAnsi="仿宋_GB2312" w:eastAsia="仿宋_GB2312" w:cs="仿宋_GB2312"/>
                <w:color w:val="auto"/>
                <w:sz w:val="18"/>
                <w:szCs w:val="18"/>
                <w:vertAlign w:val="subscript"/>
                <w:lang w:eastAsia="zh-CN"/>
              </w:rPr>
              <w:t>1</w:t>
            </w:r>
            <w:r>
              <w:rPr>
                <w:rFonts w:hint="eastAsia" w:ascii="仿宋_GB2312" w:hAnsi="仿宋_GB2312" w:eastAsia="仿宋_GB2312" w:cs="仿宋_GB2312"/>
                <w:color w:val="auto"/>
                <w:sz w:val="18"/>
                <w:szCs w:val="18"/>
                <w:lang w:eastAsia="zh-CN"/>
              </w:rPr>
              <w:t>、脱氢乙酸及其钠盐(以脱氢乙酸计)、二氧化硫残留量、糖精钠(以糖精计)、甜蜜素(以环己基氨基磺酸计)、安赛蜜、大肠菌群、霉菌</w:t>
            </w:r>
          </w:p>
        </w:tc>
      </w:tr>
      <w:tr w14:paraId="49897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3" w:type="dxa"/>
            <w:vMerge w:val="restart"/>
            <w:vAlign w:val="center"/>
          </w:tcPr>
          <w:p w14:paraId="269CA7F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19</w:t>
            </w:r>
          </w:p>
        </w:tc>
        <w:tc>
          <w:tcPr>
            <w:tcW w:w="940" w:type="dxa"/>
            <w:vMerge w:val="restart"/>
            <w:vAlign w:val="center"/>
          </w:tcPr>
          <w:p w14:paraId="081AA2F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蛋制品</w:t>
            </w:r>
          </w:p>
        </w:tc>
        <w:tc>
          <w:tcPr>
            <w:tcW w:w="1358" w:type="dxa"/>
            <w:vMerge w:val="restart"/>
            <w:vAlign w:val="center"/>
          </w:tcPr>
          <w:p w14:paraId="17F1F4C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蛋制品</w:t>
            </w:r>
          </w:p>
        </w:tc>
        <w:tc>
          <w:tcPr>
            <w:tcW w:w="1578" w:type="dxa"/>
            <w:vAlign w:val="center"/>
          </w:tcPr>
          <w:p w14:paraId="68F6E72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再制蛋</w:t>
            </w:r>
          </w:p>
        </w:tc>
        <w:tc>
          <w:tcPr>
            <w:tcW w:w="1583" w:type="dxa"/>
            <w:vAlign w:val="center"/>
          </w:tcPr>
          <w:p w14:paraId="52DF08D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再制蛋</w:t>
            </w:r>
          </w:p>
        </w:tc>
        <w:tc>
          <w:tcPr>
            <w:tcW w:w="680" w:type="dxa"/>
            <w:vAlign w:val="center"/>
          </w:tcPr>
          <w:p w14:paraId="171FA92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5CB927D2">
            <w:pPr>
              <w:keepNext w:val="0"/>
              <w:keepLines/>
              <w:widowControl w:val="0"/>
              <w:suppressLineNumbers w:val="0"/>
              <w:kinsoku/>
              <w:spacing w:before="0" w:beforeAutospacing="0" w:after="0" w:afterAutospacing="0" w:line="26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铅(以Pb计)、苯甲酸及其钠盐(以苯甲酸计)、山梨酸及其钾盐(以山梨酸计)、菌落总数、大肠菌群、沙门氏菌</w:t>
            </w:r>
          </w:p>
        </w:tc>
      </w:tr>
      <w:tr w14:paraId="32644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3" w:type="dxa"/>
            <w:vMerge w:val="continue"/>
            <w:vAlign w:val="center"/>
          </w:tcPr>
          <w:p w14:paraId="01A9112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03C7832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6B15EEE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662FA9F2">
            <w:pPr>
              <w:keepNext w:val="0"/>
              <w:keepLines w:val="0"/>
              <w:widowControl/>
              <w:suppressLineNumbers w:val="0"/>
              <w:kinsoku/>
              <w:spacing w:before="0" w:beforeAutospacing="0" w:after="0" w:afterAutospacing="0" w:line="300" w:lineRule="exact"/>
              <w:ind w:left="0" w:right="0"/>
              <w:jc w:val="center"/>
              <w:textAlignment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bidi="ar"/>
              </w:rPr>
              <w:t>干蛋制品</w:t>
            </w:r>
          </w:p>
        </w:tc>
        <w:tc>
          <w:tcPr>
            <w:tcW w:w="1583" w:type="dxa"/>
            <w:vAlign w:val="center"/>
          </w:tcPr>
          <w:p w14:paraId="3747D868">
            <w:pPr>
              <w:keepNext w:val="0"/>
              <w:keepLines w:val="0"/>
              <w:widowControl/>
              <w:suppressLineNumbers w:val="0"/>
              <w:kinsoku/>
              <w:spacing w:before="0" w:beforeAutospacing="0" w:after="0" w:afterAutospacing="0" w:line="300" w:lineRule="exact"/>
              <w:ind w:left="0" w:right="0"/>
              <w:jc w:val="center"/>
              <w:textAlignment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bidi="ar"/>
              </w:rPr>
              <w:t>干蛋制品</w:t>
            </w:r>
          </w:p>
        </w:tc>
        <w:tc>
          <w:tcPr>
            <w:tcW w:w="680" w:type="dxa"/>
            <w:vAlign w:val="center"/>
          </w:tcPr>
          <w:p w14:paraId="04AC4A7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418C19D0">
            <w:pPr>
              <w:keepNext w:val="0"/>
              <w:keepLines/>
              <w:widowControl w:val="0"/>
              <w:suppressLineNumbers w:val="0"/>
              <w:kinsoku/>
              <w:spacing w:before="0" w:beforeAutospacing="0" w:after="0" w:afterAutospacing="0" w:line="26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菌落总数、大肠菌群、沙门氏菌</w:t>
            </w:r>
          </w:p>
        </w:tc>
      </w:tr>
      <w:tr w14:paraId="33886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3" w:type="dxa"/>
            <w:vMerge w:val="continue"/>
            <w:vAlign w:val="center"/>
          </w:tcPr>
          <w:p w14:paraId="1EC57E9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51954CF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6C596F0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79B23AB8">
            <w:pPr>
              <w:keepNext w:val="0"/>
              <w:keepLines w:val="0"/>
              <w:widowControl/>
              <w:suppressLineNumbers w:val="0"/>
              <w:kinsoku/>
              <w:spacing w:before="0" w:beforeAutospacing="0" w:after="0" w:afterAutospacing="0" w:line="300" w:lineRule="exact"/>
              <w:ind w:left="0" w:right="0"/>
              <w:jc w:val="center"/>
              <w:textAlignment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bidi="ar"/>
              </w:rPr>
              <w:t>冰蛋制品</w:t>
            </w:r>
          </w:p>
        </w:tc>
        <w:tc>
          <w:tcPr>
            <w:tcW w:w="1583" w:type="dxa"/>
            <w:vAlign w:val="center"/>
          </w:tcPr>
          <w:p w14:paraId="4B0C316F">
            <w:pPr>
              <w:keepNext w:val="0"/>
              <w:keepLines w:val="0"/>
              <w:widowControl/>
              <w:suppressLineNumbers w:val="0"/>
              <w:kinsoku/>
              <w:spacing w:before="0" w:beforeAutospacing="0" w:after="0" w:afterAutospacing="0" w:line="300" w:lineRule="exact"/>
              <w:ind w:left="0" w:right="0"/>
              <w:jc w:val="center"/>
              <w:textAlignment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bidi="ar"/>
              </w:rPr>
              <w:t>冰蛋制品</w:t>
            </w:r>
          </w:p>
        </w:tc>
        <w:tc>
          <w:tcPr>
            <w:tcW w:w="680" w:type="dxa"/>
            <w:vAlign w:val="center"/>
          </w:tcPr>
          <w:p w14:paraId="2F34DD8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48602875">
            <w:pPr>
              <w:keepNext w:val="0"/>
              <w:keepLines/>
              <w:widowControl w:val="0"/>
              <w:suppressLineNumbers w:val="0"/>
              <w:kinsoku/>
              <w:spacing w:before="0" w:beforeAutospacing="0" w:after="0" w:afterAutospacing="0" w:line="26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菌落总数、大肠菌群、沙门氏菌</w:t>
            </w:r>
          </w:p>
        </w:tc>
      </w:tr>
      <w:tr w14:paraId="2F7E8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3" w:type="dxa"/>
            <w:vMerge w:val="continue"/>
            <w:vAlign w:val="center"/>
          </w:tcPr>
          <w:p w14:paraId="59ED180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1C3DEC7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505785A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5C518E8E">
            <w:pPr>
              <w:keepNext w:val="0"/>
              <w:keepLines w:val="0"/>
              <w:widowControl/>
              <w:suppressLineNumbers w:val="0"/>
              <w:kinsoku/>
              <w:spacing w:before="0" w:beforeAutospacing="0" w:after="0" w:afterAutospacing="0" w:line="300" w:lineRule="exact"/>
              <w:ind w:left="0" w:right="0"/>
              <w:jc w:val="center"/>
              <w:textAlignment w:val="center"/>
              <w:rPr>
                <w:rFonts w:hint="default" w:ascii="仿宋_GB2312" w:hAnsi="仿宋_GB2312" w:eastAsia="仿宋_GB2312" w:cs="仿宋_GB2312"/>
                <w:color w:val="auto"/>
                <w:sz w:val="18"/>
                <w:szCs w:val="18"/>
                <w:lang w:eastAsia="zh-CN" w:bidi="ar"/>
              </w:rPr>
            </w:pPr>
            <w:r>
              <w:rPr>
                <w:rFonts w:hint="eastAsia" w:ascii="仿宋_GB2312" w:hAnsi="仿宋_GB2312" w:eastAsia="仿宋_GB2312" w:cs="仿宋_GB2312"/>
                <w:color w:val="auto"/>
                <w:sz w:val="18"/>
                <w:szCs w:val="18"/>
                <w:lang w:eastAsia="zh-CN" w:bidi="ar"/>
              </w:rPr>
              <w:t>其他蛋制品</w:t>
            </w:r>
          </w:p>
        </w:tc>
        <w:tc>
          <w:tcPr>
            <w:tcW w:w="1583" w:type="dxa"/>
            <w:vAlign w:val="center"/>
          </w:tcPr>
          <w:p w14:paraId="496A0AB6">
            <w:pPr>
              <w:keepNext w:val="0"/>
              <w:keepLines w:val="0"/>
              <w:widowControl/>
              <w:suppressLineNumbers w:val="0"/>
              <w:kinsoku/>
              <w:spacing w:before="0" w:beforeAutospacing="0" w:after="0" w:afterAutospacing="0" w:line="300" w:lineRule="exact"/>
              <w:ind w:left="0" w:right="0"/>
              <w:jc w:val="center"/>
              <w:textAlignment w:val="center"/>
              <w:rPr>
                <w:rFonts w:hint="default" w:ascii="仿宋_GB2312" w:hAnsi="仿宋_GB2312" w:eastAsia="仿宋_GB2312" w:cs="仿宋_GB2312"/>
                <w:color w:val="auto"/>
                <w:sz w:val="18"/>
                <w:szCs w:val="18"/>
                <w:lang w:eastAsia="zh-CN" w:bidi="ar"/>
              </w:rPr>
            </w:pPr>
            <w:r>
              <w:rPr>
                <w:rFonts w:hint="eastAsia" w:ascii="仿宋_GB2312" w:hAnsi="仿宋_GB2312" w:eastAsia="仿宋_GB2312" w:cs="仿宋_GB2312"/>
                <w:color w:val="auto"/>
                <w:sz w:val="18"/>
                <w:szCs w:val="18"/>
                <w:lang w:eastAsia="zh-CN" w:bidi="ar"/>
              </w:rPr>
              <w:t>其他蛋制品</w:t>
            </w:r>
          </w:p>
        </w:tc>
        <w:tc>
          <w:tcPr>
            <w:tcW w:w="680" w:type="dxa"/>
            <w:vAlign w:val="center"/>
          </w:tcPr>
          <w:p w14:paraId="2B393CB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52712732">
            <w:pPr>
              <w:keepNext w:val="0"/>
              <w:keepLines/>
              <w:widowControl w:val="0"/>
              <w:suppressLineNumbers w:val="0"/>
              <w:kinsoku/>
              <w:spacing w:before="0" w:beforeAutospacing="0" w:after="0" w:afterAutospacing="0" w:line="26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铅(以Pb计)、苯甲酸及其钠盐(以苯甲酸计)、山梨酸及其钾盐(以山梨酸计)、脱氢乙酸及其钠盐(以脱氢乙酸计)、菌落总数、大肠菌群、沙门氏菌</w:t>
            </w:r>
          </w:p>
        </w:tc>
      </w:tr>
      <w:tr w14:paraId="50267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3" w:type="dxa"/>
            <w:vMerge w:val="continue"/>
            <w:vAlign w:val="center"/>
          </w:tcPr>
          <w:p w14:paraId="0FCD2D2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336F1C9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04D1932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60B17EFA">
            <w:pPr>
              <w:keepNext w:val="0"/>
              <w:keepLines w:val="0"/>
              <w:widowControl/>
              <w:suppressLineNumbers w:val="0"/>
              <w:kinsoku/>
              <w:spacing w:before="0" w:beforeAutospacing="0" w:after="0" w:afterAutospacing="0" w:line="300" w:lineRule="exact"/>
              <w:ind w:left="0" w:right="0"/>
              <w:jc w:val="center"/>
              <w:textAlignment w:val="center"/>
              <w:rPr>
                <w:rFonts w:hint="default" w:ascii="仿宋_GB2312" w:hAnsi="仿宋_GB2312" w:eastAsia="仿宋_GB2312" w:cs="仿宋_GB2312"/>
                <w:color w:val="auto"/>
                <w:sz w:val="18"/>
                <w:szCs w:val="18"/>
                <w:lang w:eastAsia="zh-CN" w:bidi="ar"/>
              </w:rPr>
            </w:pPr>
            <w:r>
              <w:rPr>
                <w:rFonts w:hint="eastAsia" w:ascii="仿宋_GB2312" w:hAnsi="仿宋_GB2312" w:eastAsia="仿宋_GB2312" w:cs="仿宋_GB2312"/>
                <w:color w:val="auto"/>
                <w:sz w:val="18"/>
                <w:szCs w:val="18"/>
                <w:lang w:eastAsia="zh-CN" w:bidi="ar"/>
              </w:rPr>
              <w:t>液蛋制品</w:t>
            </w:r>
          </w:p>
        </w:tc>
        <w:tc>
          <w:tcPr>
            <w:tcW w:w="1583" w:type="dxa"/>
            <w:vAlign w:val="center"/>
          </w:tcPr>
          <w:p w14:paraId="4D620681">
            <w:pPr>
              <w:keepNext w:val="0"/>
              <w:keepLines w:val="0"/>
              <w:widowControl/>
              <w:suppressLineNumbers w:val="0"/>
              <w:kinsoku/>
              <w:spacing w:before="0" w:beforeAutospacing="0" w:after="0" w:afterAutospacing="0" w:line="300" w:lineRule="exact"/>
              <w:ind w:left="0" w:right="0"/>
              <w:jc w:val="center"/>
              <w:textAlignment w:val="center"/>
              <w:rPr>
                <w:rFonts w:hint="default" w:ascii="仿宋_GB2312" w:hAnsi="仿宋_GB2312" w:eastAsia="仿宋_GB2312" w:cs="仿宋_GB2312"/>
                <w:color w:val="auto"/>
                <w:sz w:val="18"/>
                <w:szCs w:val="18"/>
                <w:lang w:eastAsia="zh-CN" w:bidi="ar"/>
              </w:rPr>
            </w:pPr>
            <w:r>
              <w:rPr>
                <w:rFonts w:hint="eastAsia" w:ascii="仿宋_GB2312" w:hAnsi="仿宋_GB2312" w:eastAsia="仿宋_GB2312" w:cs="仿宋_GB2312"/>
                <w:color w:val="auto"/>
                <w:sz w:val="18"/>
                <w:szCs w:val="18"/>
                <w:lang w:eastAsia="zh-CN" w:bidi="ar"/>
              </w:rPr>
              <w:t>液蛋制品</w:t>
            </w:r>
          </w:p>
        </w:tc>
        <w:tc>
          <w:tcPr>
            <w:tcW w:w="680" w:type="dxa"/>
            <w:vAlign w:val="center"/>
          </w:tcPr>
          <w:p w14:paraId="3AF0EEE3">
            <w:pPr>
              <w:keepNext w:val="0"/>
              <w:keepLines w:val="0"/>
              <w:widowControl/>
              <w:suppressLineNumbers w:val="0"/>
              <w:kinsoku/>
              <w:spacing w:before="0" w:beforeAutospacing="0" w:after="0" w:afterAutospacing="0" w:line="300" w:lineRule="exact"/>
              <w:ind w:left="0" w:right="0"/>
              <w:jc w:val="center"/>
              <w:textAlignment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bidi="ar"/>
              </w:rPr>
              <w:t>较高</w:t>
            </w:r>
          </w:p>
        </w:tc>
        <w:tc>
          <w:tcPr>
            <w:tcW w:w="8546" w:type="dxa"/>
            <w:vAlign w:val="center"/>
          </w:tcPr>
          <w:p w14:paraId="2EE0628B">
            <w:pPr>
              <w:keepNext w:val="0"/>
              <w:keepLines w:val="0"/>
              <w:widowControl/>
              <w:suppressLineNumbers w:val="0"/>
              <w:kinsoku/>
              <w:spacing w:before="0" w:beforeAutospacing="0" w:after="0" w:afterAutospacing="0" w:line="260" w:lineRule="exact"/>
              <w:ind w:left="0" w:right="0"/>
              <w:jc w:val="both"/>
              <w:textAlignment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bidi="ar"/>
              </w:rPr>
              <w:t>铅(以Pb计)、苯甲酸及其钠盐(以苯甲酸计)、山梨酸及其钾盐(以山梨酸计)、脱氢乙酸及其钠盐(以脱氢乙酸计)、菌落总数、大肠菌群、沙门氏菌</w:t>
            </w:r>
          </w:p>
        </w:tc>
      </w:tr>
      <w:tr w14:paraId="06179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3" w:type="dxa"/>
            <w:vMerge w:val="continue"/>
            <w:vAlign w:val="center"/>
          </w:tcPr>
          <w:p w14:paraId="56C0F0B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2CAC11A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61C92FA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37320C3C">
            <w:pPr>
              <w:keepNext w:val="0"/>
              <w:keepLines w:val="0"/>
              <w:widowControl/>
              <w:suppressLineNumbers w:val="0"/>
              <w:kinsoku/>
              <w:spacing w:before="0" w:beforeAutospacing="0" w:after="0" w:afterAutospacing="0" w:line="300" w:lineRule="exact"/>
              <w:ind w:left="0" w:right="0"/>
              <w:jc w:val="center"/>
              <w:textAlignment w:val="center"/>
              <w:rPr>
                <w:rFonts w:hint="default" w:ascii="仿宋_GB2312" w:hAnsi="仿宋_GB2312" w:eastAsia="仿宋_GB2312" w:cs="仿宋_GB2312"/>
                <w:color w:val="auto"/>
                <w:sz w:val="18"/>
                <w:szCs w:val="18"/>
                <w:lang w:eastAsia="zh-CN" w:bidi="ar"/>
              </w:rPr>
            </w:pPr>
            <w:r>
              <w:rPr>
                <w:rFonts w:hint="eastAsia" w:ascii="仿宋_GB2312" w:hAnsi="仿宋_GB2312" w:eastAsia="仿宋_GB2312" w:cs="仿宋_GB2312"/>
                <w:color w:val="auto"/>
                <w:sz w:val="18"/>
                <w:szCs w:val="18"/>
                <w:lang w:eastAsia="zh-CN" w:bidi="ar"/>
              </w:rPr>
              <w:t>热凝固蛋制品</w:t>
            </w:r>
          </w:p>
        </w:tc>
        <w:tc>
          <w:tcPr>
            <w:tcW w:w="1583" w:type="dxa"/>
            <w:vAlign w:val="center"/>
          </w:tcPr>
          <w:p w14:paraId="19135EB8">
            <w:pPr>
              <w:keepNext w:val="0"/>
              <w:keepLines w:val="0"/>
              <w:widowControl/>
              <w:suppressLineNumbers w:val="0"/>
              <w:kinsoku/>
              <w:spacing w:before="0" w:beforeAutospacing="0" w:after="0" w:afterAutospacing="0" w:line="300" w:lineRule="exact"/>
              <w:ind w:left="0" w:right="0"/>
              <w:jc w:val="center"/>
              <w:textAlignment w:val="center"/>
              <w:rPr>
                <w:rFonts w:hint="default" w:ascii="仿宋_GB2312" w:hAnsi="仿宋_GB2312" w:eastAsia="仿宋_GB2312" w:cs="仿宋_GB2312"/>
                <w:color w:val="auto"/>
                <w:sz w:val="18"/>
                <w:szCs w:val="18"/>
                <w:lang w:eastAsia="zh-CN" w:bidi="ar"/>
              </w:rPr>
            </w:pPr>
            <w:r>
              <w:rPr>
                <w:rFonts w:hint="eastAsia" w:ascii="仿宋_GB2312" w:hAnsi="仿宋_GB2312" w:eastAsia="仿宋_GB2312" w:cs="仿宋_GB2312"/>
                <w:color w:val="auto"/>
                <w:sz w:val="18"/>
                <w:szCs w:val="18"/>
                <w:lang w:eastAsia="zh-CN" w:bidi="ar"/>
              </w:rPr>
              <w:t>热凝固蛋制品</w:t>
            </w:r>
          </w:p>
        </w:tc>
        <w:tc>
          <w:tcPr>
            <w:tcW w:w="680" w:type="dxa"/>
            <w:vAlign w:val="center"/>
          </w:tcPr>
          <w:p w14:paraId="1921BFEA">
            <w:pPr>
              <w:keepNext w:val="0"/>
              <w:keepLines w:val="0"/>
              <w:widowControl/>
              <w:suppressLineNumbers w:val="0"/>
              <w:kinsoku/>
              <w:spacing w:before="0" w:beforeAutospacing="0" w:after="0" w:afterAutospacing="0" w:line="300" w:lineRule="exact"/>
              <w:ind w:left="0" w:right="0"/>
              <w:jc w:val="center"/>
              <w:textAlignment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bidi="ar"/>
              </w:rPr>
              <w:t>较高</w:t>
            </w:r>
          </w:p>
        </w:tc>
        <w:tc>
          <w:tcPr>
            <w:tcW w:w="8546" w:type="dxa"/>
            <w:vAlign w:val="center"/>
          </w:tcPr>
          <w:p w14:paraId="16FFD7B4">
            <w:pPr>
              <w:keepNext w:val="0"/>
              <w:keepLines w:val="0"/>
              <w:widowControl/>
              <w:suppressLineNumbers w:val="0"/>
              <w:kinsoku/>
              <w:spacing w:before="0" w:beforeAutospacing="0" w:after="0" w:afterAutospacing="0" w:line="260" w:lineRule="exact"/>
              <w:ind w:left="0" w:right="0"/>
              <w:jc w:val="both"/>
              <w:textAlignment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bidi="ar"/>
              </w:rPr>
              <w:t>铅(以Pb计)、苯甲酸及其钠盐(以苯甲酸计)、山梨酸及其钾盐(以山梨酸计)、脱氢乙酸及其钠盐(以脱氢乙酸计)、菌落总数、大肠菌群、沙门氏菌</w:t>
            </w:r>
          </w:p>
        </w:tc>
      </w:tr>
      <w:tr w14:paraId="63995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3" w:type="dxa"/>
            <w:vMerge w:val="restart"/>
            <w:vAlign w:val="center"/>
          </w:tcPr>
          <w:p w14:paraId="4820FFE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20</w:t>
            </w:r>
          </w:p>
        </w:tc>
        <w:tc>
          <w:tcPr>
            <w:tcW w:w="940" w:type="dxa"/>
            <w:vMerge w:val="restart"/>
            <w:vAlign w:val="center"/>
          </w:tcPr>
          <w:p w14:paraId="5CDF039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可可及焙烤咖啡产品</w:t>
            </w:r>
          </w:p>
        </w:tc>
        <w:tc>
          <w:tcPr>
            <w:tcW w:w="1358" w:type="dxa"/>
            <w:vAlign w:val="center"/>
          </w:tcPr>
          <w:p w14:paraId="16970CA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焙</w:t>
            </w:r>
            <w:r>
              <w:rPr>
                <w:rFonts w:hint="eastAsia" w:ascii="仿宋_GB2312" w:hAnsi="仿宋_GB2312" w:eastAsia="仿宋_GB2312" w:cs="仿宋_GB2312"/>
                <w:color w:val="auto"/>
                <w:sz w:val="18"/>
                <w:szCs w:val="18"/>
                <w:lang w:eastAsia="zh-CN"/>
              </w:rPr>
              <w:t>炒</w:t>
            </w:r>
            <w:r>
              <w:rPr>
                <w:rFonts w:hint="eastAsia" w:ascii="仿宋_GB2312" w:hAnsi="仿宋_GB2312" w:eastAsia="仿宋_GB2312" w:cs="仿宋_GB2312"/>
                <w:color w:val="auto"/>
                <w:sz w:val="18"/>
                <w:szCs w:val="18"/>
              </w:rPr>
              <w:t>咖啡</w:t>
            </w:r>
          </w:p>
        </w:tc>
        <w:tc>
          <w:tcPr>
            <w:tcW w:w="1578" w:type="dxa"/>
            <w:vAlign w:val="center"/>
          </w:tcPr>
          <w:p w14:paraId="6DC268B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焙</w:t>
            </w:r>
            <w:r>
              <w:rPr>
                <w:rFonts w:hint="eastAsia" w:ascii="仿宋_GB2312" w:hAnsi="仿宋_GB2312" w:eastAsia="仿宋_GB2312" w:cs="仿宋_GB2312"/>
                <w:color w:val="auto"/>
                <w:sz w:val="18"/>
                <w:szCs w:val="18"/>
                <w:lang w:eastAsia="zh-CN"/>
              </w:rPr>
              <w:t>炒</w:t>
            </w:r>
            <w:r>
              <w:rPr>
                <w:rFonts w:hint="eastAsia" w:ascii="仿宋_GB2312" w:hAnsi="仿宋_GB2312" w:eastAsia="仿宋_GB2312" w:cs="仿宋_GB2312"/>
                <w:color w:val="auto"/>
                <w:sz w:val="18"/>
                <w:szCs w:val="18"/>
              </w:rPr>
              <w:t>咖啡</w:t>
            </w:r>
          </w:p>
        </w:tc>
        <w:tc>
          <w:tcPr>
            <w:tcW w:w="1583" w:type="dxa"/>
            <w:vAlign w:val="center"/>
          </w:tcPr>
          <w:p w14:paraId="44D3F2B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焙</w:t>
            </w:r>
            <w:r>
              <w:rPr>
                <w:rFonts w:hint="eastAsia" w:ascii="仿宋_GB2312" w:hAnsi="仿宋_GB2312" w:eastAsia="仿宋_GB2312" w:cs="仿宋_GB2312"/>
                <w:color w:val="auto"/>
                <w:sz w:val="18"/>
                <w:szCs w:val="18"/>
                <w:lang w:eastAsia="zh-CN"/>
              </w:rPr>
              <w:t>炒</w:t>
            </w:r>
            <w:r>
              <w:rPr>
                <w:rFonts w:hint="eastAsia" w:ascii="仿宋_GB2312" w:hAnsi="仿宋_GB2312" w:eastAsia="仿宋_GB2312" w:cs="仿宋_GB2312"/>
                <w:color w:val="auto"/>
                <w:sz w:val="18"/>
                <w:szCs w:val="18"/>
              </w:rPr>
              <w:t>咖啡</w:t>
            </w:r>
          </w:p>
        </w:tc>
        <w:tc>
          <w:tcPr>
            <w:tcW w:w="680" w:type="dxa"/>
            <w:vAlign w:val="center"/>
          </w:tcPr>
          <w:p w14:paraId="5C15F7F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kern w:val="31"/>
                <w:sz w:val="18"/>
                <w:szCs w:val="18"/>
                <w:lang w:eastAsia="zh-CN"/>
              </w:rPr>
            </w:pPr>
            <w:r>
              <w:rPr>
                <w:rFonts w:hint="eastAsia" w:ascii="仿宋_GB2312" w:hAnsi="仿宋_GB2312" w:eastAsia="仿宋_GB2312" w:cs="仿宋_GB2312"/>
                <w:color w:val="auto"/>
                <w:sz w:val="18"/>
                <w:szCs w:val="18"/>
              </w:rPr>
              <w:t>一般</w:t>
            </w:r>
          </w:p>
        </w:tc>
        <w:tc>
          <w:tcPr>
            <w:tcW w:w="8546" w:type="dxa"/>
            <w:vAlign w:val="center"/>
          </w:tcPr>
          <w:p w14:paraId="17A6EB67">
            <w:pPr>
              <w:keepNext w:val="0"/>
              <w:keepLines/>
              <w:widowControl w:val="0"/>
              <w:suppressLineNumbers w:val="0"/>
              <w:kinsoku/>
              <w:spacing w:before="0" w:beforeAutospacing="0" w:after="0" w:afterAutospacing="0" w:line="26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咖啡因、铅(以Pb计)、赭曲霉毒素A</w:t>
            </w:r>
          </w:p>
        </w:tc>
      </w:tr>
      <w:tr w14:paraId="6F52A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3" w:type="dxa"/>
            <w:vMerge w:val="continue"/>
            <w:vAlign w:val="center"/>
          </w:tcPr>
          <w:p w14:paraId="004E011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4DF80C8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Align w:val="center"/>
          </w:tcPr>
          <w:p w14:paraId="7C46F32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可可制品</w:t>
            </w:r>
          </w:p>
        </w:tc>
        <w:tc>
          <w:tcPr>
            <w:tcW w:w="1578" w:type="dxa"/>
            <w:vAlign w:val="center"/>
          </w:tcPr>
          <w:p w14:paraId="3970F4C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可可制品</w:t>
            </w:r>
          </w:p>
        </w:tc>
        <w:tc>
          <w:tcPr>
            <w:tcW w:w="1583" w:type="dxa"/>
            <w:vAlign w:val="center"/>
          </w:tcPr>
          <w:p w14:paraId="14CF5C8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可可制品</w:t>
            </w:r>
          </w:p>
        </w:tc>
        <w:tc>
          <w:tcPr>
            <w:tcW w:w="680" w:type="dxa"/>
            <w:vAlign w:val="center"/>
          </w:tcPr>
          <w:p w14:paraId="1342FA2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kern w:val="31"/>
                <w:sz w:val="18"/>
                <w:szCs w:val="18"/>
                <w:lang w:eastAsia="zh-CN"/>
              </w:rPr>
            </w:pPr>
            <w:r>
              <w:rPr>
                <w:rFonts w:hint="eastAsia" w:ascii="仿宋_GB2312" w:hAnsi="仿宋_GB2312" w:eastAsia="仿宋_GB2312" w:cs="仿宋_GB2312"/>
                <w:color w:val="auto"/>
                <w:sz w:val="18"/>
                <w:szCs w:val="18"/>
              </w:rPr>
              <w:t>一般</w:t>
            </w:r>
          </w:p>
        </w:tc>
        <w:tc>
          <w:tcPr>
            <w:tcW w:w="8546" w:type="dxa"/>
            <w:vAlign w:val="center"/>
          </w:tcPr>
          <w:p w14:paraId="5FCBE648">
            <w:pPr>
              <w:keepNext w:val="0"/>
              <w:keepLines/>
              <w:widowControl w:val="0"/>
              <w:suppressLineNumbers w:val="0"/>
              <w:kinsoku/>
              <w:spacing w:before="0" w:beforeAutospacing="0" w:after="0" w:afterAutospacing="0" w:line="26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铅(以Pb计)、沙门氏菌</w:t>
            </w:r>
          </w:p>
        </w:tc>
      </w:tr>
      <w:tr w14:paraId="767DB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3" w:type="dxa"/>
            <w:vMerge w:val="restart"/>
            <w:vAlign w:val="center"/>
          </w:tcPr>
          <w:p w14:paraId="6F6290C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rPr>
              <w:t>2</w:t>
            </w:r>
            <w:r>
              <w:rPr>
                <w:rFonts w:hint="eastAsia" w:ascii="仿宋_GB2312" w:hAnsi="仿宋_GB2312" w:eastAsia="仿宋_GB2312" w:cs="仿宋_GB2312"/>
                <w:color w:val="auto"/>
                <w:sz w:val="18"/>
                <w:szCs w:val="18"/>
                <w:lang w:eastAsia="zh-CN"/>
              </w:rPr>
              <w:t>1</w:t>
            </w:r>
          </w:p>
        </w:tc>
        <w:tc>
          <w:tcPr>
            <w:tcW w:w="940" w:type="dxa"/>
            <w:vMerge w:val="restart"/>
            <w:vAlign w:val="center"/>
          </w:tcPr>
          <w:p w14:paraId="501F56B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食糖</w:t>
            </w:r>
          </w:p>
        </w:tc>
        <w:tc>
          <w:tcPr>
            <w:tcW w:w="1358" w:type="dxa"/>
            <w:vMerge w:val="restart"/>
            <w:vAlign w:val="center"/>
          </w:tcPr>
          <w:p w14:paraId="2B59B77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食糖</w:t>
            </w:r>
          </w:p>
        </w:tc>
        <w:tc>
          <w:tcPr>
            <w:tcW w:w="1578" w:type="dxa"/>
            <w:vMerge w:val="restart"/>
            <w:vAlign w:val="center"/>
          </w:tcPr>
          <w:p w14:paraId="195D78B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食糖</w:t>
            </w:r>
          </w:p>
        </w:tc>
        <w:tc>
          <w:tcPr>
            <w:tcW w:w="1583" w:type="dxa"/>
            <w:vAlign w:val="center"/>
          </w:tcPr>
          <w:p w14:paraId="22C8325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白砂糖</w:t>
            </w:r>
          </w:p>
        </w:tc>
        <w:tc>
          <w:tcPr>
            <w:tcW w:w="680" w:type="dxa"/>
            <w:vAlign w:val="center"/>
          </w:tcPr>
          <w:p w14:paraId="5EFA7F5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4EA81B26">
            <w:pPr>
              <w:keepNext w:val="0"/>
              <w:keepLines/>
              <w:widowControl w:val="0"/>
              <w:suppressLineNumbers w:val="0"/>
              <w:kinsoku/>
              <w:spacing w:before="0" w:beforeAutospacing="0" w:after="0" w:afterAutospacing="0" w:line="26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蔗糖分、还原糖分、色值、干燥失重、二氧化硫残留量、螨</w:t>
            </w:r>
          </w:p>
        </w:tc>
      </w:tr>
      <w:tr w14:paraId="44462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3" w:type="dxa"/>
            <w:vMerge w:val="continue"/>
            <w:vAlign w:val="center"/>
          </w:tcPr>
          <w:p w14:paraId="54EAF0A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597AA9C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7D4E755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6C97B30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6E1351F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绵白糖</w:t>
            </w:r>
          </w:p>
        </w:tc>
        <w:tc>
          <w:tcPr>
            <w:tcW w:w="680" w:type="dxa"/>
            <w:vAlign w:val="center"/>
          </w:tcPr>
          <w:p w14:paraId="2287569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3F2DDBA0">
            <w:pPr>
              <w:keepNext w:val="0"/>
              <w:keepLines/>
              <w:widowControl w:val="0"/>
              <w:suppressLineNumbers w:val="0"/>
              <w:kinsoku/>
              <w:spacing w:before="0" w:beforeAutospacing="0" w:after="0" w:afterAutospacing="0" w:line="26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总糖分、还原糖分、色值、干燥失重、二氧化硫残留量、螨</w:t>
            </w:r>
          </w:p>
        </w:tc>
      </w:tr>
      <w:tr w14:paraId="16DF2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3" w:type="dxa"/>
            <w:vMerge w:val="continue"/>
            <w:vAlign w:val="center"/>
          </w:tcPr>
          <w:p w14:paraId="56096FD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7FBBFA0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07C3715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7F9829B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41B8977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赤砂糖</w:t>
            </w:r>
          </w:p>
        </w:tc>
        <w:tc>
          <w:tcPr>
            <w:tcW w:w="680" w:type="dxa"/>
            <w:vAlign w:val="center"/>
          </w:tcPr>
          <w:p w14:paraId="3AB8479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6D2560DA">
            <w:pPr>
              <w:keepNext w:val="0"/>
              <w:keepLines/>
              <w:widowControl w:val="0"/>
              <w:suppressLineNumbers w:val="0"/>
              <w:kinsoku/>
              <w:spacing w:before="0" w:beforeAutospacing="0" w:after="0" w:afterAutospacing="0" w:line="26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总糖分、不溶于水杂质、干燥失重、二氧化硫残留量、螨、合成着色剂(柠檬黄、新红、苋菜红、胭脂红、日落黄、诱惑红、酸性红、喹啉黄、赤藓红)</w:t>
            </w:r>
          </w:p>
        </w:tc>
      </w:tr>
      <w:tr w14:paraId="1AAB3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3" w:type="dxa"/>
            <w:vMerge w:val="continue"/>
            <w:vAlign w:val="center"/>
          </w:tcPr>
          <w:p w14:paraId="08B0521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0142470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28C066E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78DC1A1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17A26A0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红糖</w:t>
            </w:r>
          </w:p>
        </w:tc>
        <w:tc>
          <w:tcPr>
            <w:tcW w:w="680" w:type="dxa"/>
            <w:vAlign w:val="center"/>
          </w:tcPr>
          <w:p w14:paraId="1597327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5DE62B07">
            <w:pPr>
              <w:keepNext w:val="0"/>
              <w:keepLines/>
              <w:widowControl w:val="0"/>
              <w:suppressLineNumbers w:val="0"/>
              <w:kinsoku/>
              <w:spacing w:before="0" w:beforeAutospacing="0" w:after="0" w:afterAutospacing="0" w:line="26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总糖分、不溶于水杂质、干燥失重、二氧化硫残留量、螨、合成着色剂(柠檬黄、新红、苋菜红、胭脂红、日落黄、诱惑红、酸性红、喹啉黄、赤藓红)</w:t>
            </w:r>
          </w:p>
        </w:tc>
      </w:tr>
      <w:tr w14:paraId="4A606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3" w:type="dxa"/>
            <w:vMerge w:val="continue"/>
            <w:vAlign w:val="center"/>
          </w:tcPr>
          <w:p w14:paraId="6D3CCC1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36E8868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6BFD6C0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01377C9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3C392FE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冰糖</w:t>
            </w:r>
          </w:p>
        </w:tc>
        <w:tc>
          <w:tcPr>
            <w:tcW w:w="680" w:type="dxa"/>
            <w:vAlign w:val="center"/>
          </w:tcPr>
          <w:p w14:paraId="0C75D68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57E6D632">
            <w:pPr>
              <w:keepNext w:val="0"/>
              <w:keepLines/>
              <w:widowControl w:val="0"/>
              <w:suppressLineNumbers w:val="0"/>
              <w:kinsoku/>
              <w:spacing w:before="0" w:beforeAutospacing="0" w:after="0" w:afterAutospacing="0" w:line="26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蔗糖分、还原糖分、色值、干燥失重、二氧化硫残留量、螨、合成着色剂(柠檬黄、新红、苋菜红、胭脂红、日落黄、诱惑红、酸性红、喹啉黄、赤藓红)</w:t>
            </w:r>
          </w:p>
        </w:tc>
      </w:tr>
      <w:tr w14:paraId="334E8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3" w:type="dxa"/>
            <w:vMerge w:val="continue"/>
            <w:vAlign w:val="center"/>
          </w:tcPr>
          <w:p w14:paraId="3B6D707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3D46015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369B592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46620A4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22179CA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冰片糖</w:t>
            </w:r>
          </w:p>
        </w:tc>
        <w:tc>
          <w:tcPr>
            <w:tcW w:w="680" w:type="dxa"/>
            <w:vAlign w:val="center"/>
          </w:tcPr>
          <w:p w14:paraId="4F6B7C5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5776026C">
            <w:pPr>
              <w:keepNext w:val="0"/>
              <w:keepLines/>
              <w:widowControl w:val="0"/>
              <w:suppressLineNumbers w:val="0"/>
              <w:kinsoku/>
              <w:spacing w:before="0" w:beforeAutospacing="0" w:after="0" w:afterAutospacing="0" w:line="26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总糖分、还原糖分、干燥失重、二氧化硫残留量、螨、合成着色剂(柠檬黄、新红、苋菜红、胭脂红、日落黄、诱惑红、酸性红、喹啉黄、赤藓红)</w:t>
            </w:r>
          </w:p>
        </w:tc>
      </w:tr>
      <w:tr w14:paraId="6B4FE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3" w:type="dxa"/>
            <w:vMerge w:val="continue"/>
            <w:vAlign w:val="center"/>
          </w:tcPr>
          <w:p w14:paraId="7421AD9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64155FF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4BEE5CC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29E09D8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02E725B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方糖</w:t>
            </w:r>
          </w:p>
        </w:tc>
        <w:tc>
          <w:tcPr>
            <w:tcW w:w="680" w:type="dxa"/>
            <w:vAlign w:val="center"/>
          </w:tcPr>
          <w:p w14:paraId="0A27ED6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7647D62A">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蔗糖分、还原糖分、色值、干燥失重、二氧化硫残留量、螨</w:t>
            </w:r>
          </w:p>
        </w:tc>
      </w:tr>
      <w:tr w14:paraId="58387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3" w:type="dxa"/>
            <w:vMerge w:val="continue"/>
            <w:vAlign w:val="center"/>
          </w:tcPr>
          <w:p w14:paraId="05FEF3F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53337A4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636FA49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43DAC5C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6E5E0EF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其他糖</w:t>
            </w:r>
          </w:p>
        </w:tc>
        <w:tc>
          <w:tcPr>
            <w:tcW w:w="680" w:type="dxa"/>
            <w:vAlign w:val="center"/>
          </w:tcPr>
          <w:p w14:paraId="40C4358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47C4507D">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蔗糖分、总糖分、色值、还原糖分、干燥失重、二氧化硫残留量、螨、合成着色剂(柠檬黄、新红、苋菜红、胭脂红、日落黄、诱惑红、酸性红、喹啉黄、赤藓红)、菌落总数、大肠菌群、霉菌、酵母菌</w:t>
            </w:r>
          </w:p>
        </w:tc>
      </w:tr>
      <w:tr w14:paraId="1D9C4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3" w:type="dxa"/>
            <w:vMerge w:val="restart"/>
            <w:vAlign w:val="center"/>
          </w:tcPr>
          <w:p w14:paraId="01EC6BE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rPr>
              <w:t>2</w:t>
            </w:r>
            <w:r>
              <w:rPr>
                <w:rFonts w:hint="eastAsia" w:ascii="仿宋_GB2312" w:hAnsi="仿宋_GB2312" w:eastAsia="仿宋_GB2312" w:cs="仿宋_GB2312"/>
                <w:color w:val="auto"/>
                <w:sz w:val="18"/>
                <w:szCs w:val="18"/>
                <w:lang w:eastAsia="zh-CN"/>
              </w:rPr>
              <w:t>2</w:t>
            </w:r>
          </w:p>
        </w:tc>
        <w:tc>
          <w:tcPr>
            <w:tcW w:w="940" w:type="dxa"/>
            <w:vMerge w:val="restart"/>
            <w:vAlign w:val="center"/>
          </w:tcPr>
          <w:p w14:paraId="4F81158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水产制品</w:t>
            </w:r>
          </w:p>
        </w:tc>
        <w:tc>
          <w:tcPr>
            <w:tcW w:w="1358" w:type="dxa"/>
            <w:vMerge w:val="restart"/>
            <w:vAlign w:val="center"/>
          </w:tcPr>
          <w:p w14:paraId="3588CA7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水产制品</w:t>
            </w:r>
          </w:p>
        </w:tc>
        <w:tc>
          <w:tcPr>
            <w:tcW w:w="1578" w:type="dxa"/>
            <w:vMerge w:val="restart"/>
            <w:vAlign w:val="center"/>
          </w:tcPr>
          <w:p w14:paraId="07F74F2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干制水产品</w:t>
            </w:r>
          </w:p>
        </w:tc>
        <w:tc>
          <w:tcPr>
            <w:tcW w:w="1583" w:type="dxa"/>
            <w:vAlign w:val="center"/>
          </w:tcPr>
          <w:p w14:paraId="16B0258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藻类干制品</w:t>
            </w:r>
          </w:p>
        </w:tc>
        <w:tc>
          <w:tcPr>
            <w:tcW w:w="680" w:type="dxa"/>
            <w:vAlign w:val="center"/>
          </w:tcPr>
          <w:p w14:paraId="541A6B6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0CD7EBCA">
            <w:pPr>
              <w:keepNext w:val="0"/>
              <w:keepLines/>
              <w:widowControl w:val="0"/>
              <w:suppressLineNumbers w:val="0"/>
              <w:kinsoku/>
              <w:spacing w:before="0" w:beforeAutospacing="0" w:after="0" w:afterAutospacing="0" w:line="26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铅(以Pb计)、菌落总数、大肠菌群</w:t>
            </w:r>
          </w:p>
        </w:tc>
      </w:tr>
      <w:tr w14:paraId="40930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3" w:type="dxa"/>
            <w:vMerge w:val="continue"/>
            <w:vAlign w:val="center"/>
          </w:tcPr>
          <w:p w14:paraId="063D1E8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3F8E6AC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2FA872D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7A14D4B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0246AD9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预制动物性水产干制品</w:t>
            </w:r>
          </w:p>
        </w:tc>
        <w:tc>
          <w:tcPr>
            <w:tcW w:w="680" w:type="dxa"/>
            <w:vAlign w:val="center"/>
          </w:tcPr>
          <w:p w14:paraId="53F8141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30CA4DED">
            <w:pPr>
              <w:keepNext w:val="0"/>
              <w:keepLines/>
              <w:widowControl w:val="0"/>
              <w:suppressLineNumbers w:val="0"/>
              <w:kinsoku/>
              <w:spacing w:before="0" w:beforeAutospacing="0" w:after="0" w:afterAutospacing="0" w:line="26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过氧化值(以脂肪计)、镉(以Cd计)、苯甲酸及其钠盐(以苯甲酸计)、山梨酸及其钾盐(以山梨酸计)、合成着色剂(柠檬黄、胭脂红、日落黄、诱惑红)、铅(以Pb计)</w:t>
            </w:r>
          </w:p>
        </w:tc>
      </w:tr>
      <w:tr w14:paraId="0DBFC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3" w:type="dxa"/>
            <w:vMerge w:val="continue"/>
            <w:vAlign w:val="center"/>
          </w:tcPr>
          <w:p w14:paraId="51A6639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5C5DE64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46D3045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restart"/>
            <w:vAlign w:val="center"/>
          </w:tcPr>
          <w:p w14:paraId="66E5913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盐渍水产品</w:t>
            </w:r>
          </w:p>
        </w:tc>
        <w:tc>
          <w:tcPr>
            <w:tcW w:w="1583" w:type="dxa"/>
            <w:vAlign w:val="center"/>
          </w:tcPr>
          <w:p w14:paraId="50269BF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盐渍鱼</w:t>
            </w:r>
          </w:p>
        </w:tc>
        <w:tc>
          <w:tcPr>
            <w:tcW w:w="680" w:type="dxa"/>
            <w:vAlign w:val="center"/>
          </w:tcPr>
          <w:p w14:paraId="4C7C591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74915CED">
            <w:pPr>
              <w:keepNext w:val="0"/>
              <w:keepLines/>
              <w:widowControl w:val="0"/>
              <w:suppressLineNumbers w:val="0"/>
              <w:kinsoku/>
              <w:spacing w:before="0" w:beforeAutospacing="0" w:after="0" w:afterAutospacing="0" w:line="26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过氧化值(以脂肪计)、组胺、镉(以Cd计)、苯甲酸及其钠盐(以苯甲酸计)、山梨酸及其钾盐(以山梨酸计)</w:t>
            </w:r>
          </w:p>
        </w:tc>
      </w:tr>
      <w:tr w14:paraId="0EFD5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453" w:type="dxa"/>
            <w:vMerge w:val="continue"/>
            <w:vAlign w:val="center"/>
          </w:tcPr>
          <w:p w14:paraId="74BEB2B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53BA73F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592A16B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0C4D7C0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05FE55F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盐渍藻</w:t>
            </w:r>
          </w:p>
        </w:tc>
        <w:tc>
          <w:tcPr>
            <w:tcW w:w="680" w:type="dxa"/>
            <w:vAlign w:val="center"/>
          </w:tcPr>
          <w:p w14:paraId="39128B2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5517315F">
            <w:pPr>
              <w:keepNext w:val="0"/>
              <w:keepLines/>
              <w:widowControl w:val="0"/>
              <w:suppressLineNumbers w:val="0"/>
              <w:kinsoku/>
              <w:spacing w:before="0" w:beforeAutospacing="0" w:after="0" w:afterAutospacing="0" w:line="26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铅(以Pb计)、苯甲酸及其钠盐(以苯甲酸计)、山梨酸及其钾盐(以山梨酸计)</w:t>
            </w:r>
          </w:p>
        </w:tc>
      </w:tr>
      <w:tr w14:paraId="2FA55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453" w:type="dxa"/>
            <w:vMerge w:val="continue"/>
            <w:vAlign w:val="center"/>
          </w:tcPr>
          <w:p w14:paraId="2060BD4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5623BD8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04DA4AF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12C0758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3E9B7BF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其他盐渍水产品</w:t>
            </w:r>
          </w:p>
        </w:tc>
        <w:tc>
          <w:tcPr>
            <w:tcW w:w="680" w:type="dxa"/>
            <w:vAlign w:val="center"/>
          </w:tcPr>
          <w:p w14:paraId="5DD2BDD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47EB67EB">
            <w:pPr>
              <w:keepNext w:val="0"/>
              <w:keepLines/>
              <w:widowControl w:val="0"/>
              <w:suppressLineNumbers w:val="0"/>
              <w:kinsoku/>
              <w:spacing w:before="0" w:beforeAutospacing="0" w:after="0" w:afterAutospacing="0" w:line="26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苯甲酸及其钠盐(以苯甲酸计)、山梨酸及其钾盐(以山梨酸计)</w:t>
            </w:r>
          </w:p>
        </w:tc>
      </w:tr>
      <w:tr w14:paraId="5488C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3" w:type="dxa"/>
            <w:vMerge w:val="continue"/>
            <w:vAlign w:val="center"/>
          </w:tcPr>
          <w:p w14:paraId="45509D9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5DB68C2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2A63EBE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13A79F3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鱼糜制品</w:t>
            </w:r>
          </w:p>
        </w:tc>
        <w:tc>
          <w:tcPr>
            <w:tcW w:w="1583" w:type="dxa"/>
            <w:vAlign w:val="center"/>
          </w:tcPr>
          <w:p w14:paraId="569CDE3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预制鱼糜制品</w:t>
            </w:r>
          </w:p>
        </w:tc>
        <w:tc>
          <w:tcPr>
            <w:tcW w:w="680" w:type="dxa"/>
            <w:vAlign w:val="center"/>
          </w:tcPr>
          <w:p w14:paraId="133CE60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38CB60D2">
            <w:pPr>
              <w:keepNext w:val="0"/>
              <w:keepLines/>
              <w:widowControl w:val="0"/>
              <w:suppressLineNumbers w:val="0"/>
              <w:kinsoku/>
              <w:spacing w:before="0" w:beforeAutospacing="0" w:after="0" w:afterAutospacing="0" w:line="26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苯甲酸及其钠盐(以苯甲酸计)、山梨酸及其钾盐(以山梨酸计)、脱氢乙酸及其钠盐(以脱氢乙酸计)、合成着色剂（诱惑红、柠檬黄、日落黄)、铅(以Pb计)</w:t>
            </w:r>
          </w:p>
        </w:tc>
      </w:tr>
      <w:tr w14:paraId="71A9E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07" w:hRule="atLeast"/>
          <w:jc w:val="center"/>
        </w:trPr>
        <w:tc>
          <w:tcPr>
            <w:tcW w:w="453" w:type="dxa"/>
            <w:vMerge w:val="continue"/>
            <w:vAlign w:val="center"/>
          </w:tcPr>
          <w:p w14:paraId="1FFD1FE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38B8C6E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3C02458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40C7DD1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熟制动物性水产制品</w:t>
            </w:r>
          </w:p>
        </w:tc>
        <w:tc>
          <w:tcPr>
            <w:tcW w:w="1583" w:type="dxa"/>
            <w:vAlign w:val="center"/>
          </w:tcPr>
          <w:p w14:paraId="4F7AA34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熟制动物性水产制品</w:t>
            </w:r>
          </w:p>
        </w:tc>
        <w:tc>
          <w:tcPr>
            <w:tcW w:w="680" w:type="dxa"/>
            <w:vAlign w:val="center"/>
          </w:tcPr>
          <w:p w14:paraId="4D8B4E7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378F3726">
            <w:pPr>
              <w:keepNext w:val="0"/>
              <w:keepLines/>
              <w:widowControl w:val="0"/>
              <w:suppressLineNumbers w:val="0"/>
              <w:kinsoku/>
              <w:spacing w:before="0" w:beforeAutospacing="0" w:after="0" w:afterAutospacing="0" w:line="26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铅(以Pb计)、镉(以Cd计)、苯甲酸及其钠盐(以苯甲酸计)、山梨酸及其钾盐(以山梨酸计)、甜蜜素(以环己基氨基磺酸计)、脱氢乙酸及其钠盐(以脱氢乙酸计)</w:t>
            </w:r>
          </w:p>
        </w:tc>
      </w:tr>
      <w:tr w14:paraId="3E1FC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3" w:type="dxa"/>
            <w:vMerge w:val="continue"/>
            <w:vAlign w:val="center"/>
          </w:tcPr>
          <w:p w14:paraId="3F541A7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05727FE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10A16C8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14BCF77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生食水产品</w:t>
            </w:r>
          </w:p>
        </w:tc>
        <w:tc>
          <w:tcPr>
            <w:tcW w:w="1583" w:type="dxa"/>
            <w:vAlign w:val="center"/>
          </w:tcPr>
          <w:p w14:paraId="776E68F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生食动物性水产品</w:t>
            </w:r>
          </w:p>
        </w:tc>
        <w:tc>
          <w:tcPr>
            <w:tcW w:w="680" w:type="dxa"/>
            <w:vAlign w:val="center"/>
          </w:tcPr>
          <w:p w14:paraId="44D6F31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71CFD52D">
            <w:pPr>
              <w:keepNext w:val="0"/>
              <w:keepLines/>
              <w:widowControl w:val="0"/>
              <w:suppressLineNumbers w:val="0"/>
              <w:kinsoku/>
              <w:spacing w:before="0" w:beforeAutospacing="0" w:after="0" w:afterAutospacing="0" w:line="26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挥发性盐基氮、苯甲酸及其钠盐(以苯甲酸计)、山梨酸及其钾盐(以山梨酸计)、铝的残留量(以即食海蜇中Al计)、菌落总数、大肠菌群、沙门氏菌、副溶血性弧菌、单核细胞增生李斯特氏菌</w:t>
            </w:r>
          </w:p>
        </w:tc>
      </w:tr>
      <w:tr w14:paraId="4EC78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3" w:type="dxa"/>
            <w:vMerge w:val="continue"/>
            <w:vAlign w:val="center"/>
          </w:tcPr>
          <w:p w14:paraId="399FD55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3106A82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5894168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04874DB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其他水产制品</w:t>
            </w:r>
          </w:p>
        </w:tc>
        <w:tc>
          <w:tcPr>
            <w:tcW w:w="1583" w:type="dxa"/>
            <w:vAlign w:val="center"/>
          </w:tcPr>
          <w:p w14:paraId="47BD311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其他水产制品</w:t>
            </w:r>
          </w:p>
        </w:tc>
        <w:tc>
          <w:tcPr>
            <w:tcW w:w="680" w:type="dxa"/>
            <w:vAlign w:val="center"/>
          </w:tcPr>
          <w:p w14:paraId="05E531D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0A19802B">
            <w:pPr>
              <w:keepNext w:val="0"/>
              <w:keepLines/>
              <w:widowControl w:val="0"/>
              <w:suppressLineNumbers w:val="0"/>
              <w:kinsoku/>
              <w:spacing w:before="0" w:beforeAutospacing="0" w:after="0" w:afterAutospacing="0" w:line="26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苯甲酸及其钠盐(以苯甲酸计)、山梨酸及其钾盐(以山梨酸计)、脱氢乙酸及其钠盐(以脱氢乙酸计)、合成着色剂(柠檬黄)、甜蜜素（以环己基氨基磺酸计）、防腐剂混合使用时各自用量占其最大使用量的比例之和、菌落总数、糖精钠(以糖精计)</w:t>
            </w:r>
          </w:p>
        </w:tc>
      </w:tr>
      <w:tr w14:paraId="7950D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453" w:type="dxa"/>
            <w:vMerge w:val="restart"/>
            <w:vAlign w:val="center"/>
          </w:tcPr>
          <w:p w14:paraId="1D9ADEE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rPr>
              <w:t>2</w:t>
            </w:r>
            <w:r>
              <w:rPr>
                <w:rFonts w:hint="eastAsia" w:ascii="仿宋_GB2312" w:hAnsi="仿宋_GB2312" w:eastAsia="仿宋_GB2312" w:cs="仿宋_GB2312"/>
                <w:color w:val="auto"/>
                <w:sz w:val="18"/>
                <w:szCs w:val="18"/>
                <w:lang w:eastAsia="zh-CN"/>
              </w:rPr>
              <w:t>3</w:t>
            </w:r>
          </w:p>
        </w:tc>
        <w:tc>
          <w:tcPr>
            <w:tcW w:w="940" w:type="dxa"/>
            <w:vMerge w:val="restart"/>
            <w:vAlign w:val="center"/>
          </w:tcPr>
          <w:p w14:paraId="78F0070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淀粉及淀粉制品</w:t>
            </w:r>
          </w:p>
        </w:tc>
        <w:tc>
          <w:tcPr>
            <w:tcW w:w="1358" w:type="dxa"/>
            <w:vMerge w:val="restart"/>
            <w:vAlign w:val="center"/>
          </w:tcPr>
          <w:p w14:paraId="4DD1714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淀粉及淀粉制品</w:t>
            </w:r>
          </w:p>
        </w:tc>
        <w:tc>
          <w:tcPr>
            <w:tcW w:w="1578" w:type="dxa"/>
            <w:vAlign w:val="center"/>
          </w:tcPr>
          <w:p w14:paraId="5B83F9A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淀粉</w:t>
            </w:r>
          </w:p>
        </w:tc>
        <w:tc>
          <w:tcPr>
            <w:tcW w:w="1583" w:type="dxa"/>
            <w:vAlign w:val="center"/>
          </w:tcPr>
          <w:p w14:paraId="6C1CD56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淀粉</w:t>
            </w:r>
          </w:p>
        </w:tc>
        <w:tc>
          <w:tcPr>
            <w:tcW w:w="680" w:type="dxa"/>
            <w:vAlign w:val="center"/>
          </w:tcPr>
          <w:p w14:paraId="3234703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203B4D74">
            <w:pPr>
              <w:keepNext w:val="0"/>
              <w:keepLines/>
              <w:widowControl w:val="0"/>
              <w:suppressLineNumbers w:val="0"/>
              <w:kinsoku/>
              <w:spacing w:before="0" w:beforeAutospacing="0" w:after="0" w:afterAutospacing="0" w:line="26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铅(以Pb计)、霉菌和酵母、二氧化硫残留量、脱氢乙酸及其钠盐(以脱氢乙酸计)、葛根素、水分、氢氰酸</w:t>
            </w:r>
          </w:p>
        </w:tc>
      </w:tr>
      <w:tr w14:paraId="3851B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53" w:hRule="atLeast"/>
          <w:jc w:val="center"/>
        </w:trPr>
        <w:tc>
          <w:tcPr>
            <w:tcW w:w="453" w:type="dxa"/>
            <w:vMerge w:val="continue"/>
            <w:vAlign w:val="center"/>
          </w:tcPr>
          <w:p w14:paraId="602B679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646194B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77C1D13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restart"/>
            <w:vAlign w:val="center"/>
          </w:tcPr>
          <w:p w14:paraId="7CC555C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淀粉制品</w:t>
            </w:r>
          </w:p>
        </w:tc>
        <w:tc>
          <w:tcPr>
            <w:tcW w:w="1583" w:type="dxa"/>
            <w:vAlign w:val="center"/>
          </w:tcPr>
          <w:p w14:paraId="3A7C67F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粉丝粉条</w:t>
            </w:r>
          </w:p>
        </w:tc>
        <w:tc>
          <w:tcPr>
            <w:tcW w:w="680" w:type="dxa"/>
            <w:vAlign w:val="center"/>
          </w:tcPr>
          <w:p w14:paraId="222102B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42547864">
            <w:pPr>
              <w:keepNext w:val="0"/>
              <w:keepLines/>
              <w:widowControl w:val="0"/>
              <w:suppressLineNumbers w:val="0"/>
              <w:kinsoku/>
              <w:spacing w:before="0" w:beforeAutospacing="0" w:after="0" w:afterAutospacing="0" w:line="26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苯甲酸及其钠盐(以苯甲酸计)、山梨酸及其钾盐(以山梨酸计)、脱氢乙酸及其钠盐(以脱氢乙酸计)、铝的残留量(干样品，以Al计)、二氧化硫残留量、合成着色剂(柠檬黄、新红、苋菜红、靛蓝、胭脂红、日落黄、诱惑红、亮蓝、酸性红、喹啉黄、赤藓红)</w:t>
            </w:r>
          </w:p>
        </w:tc>
      </w:tr>
      <w:tr w14:paraId="06684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960" w:hRule="atLeast"/>
          <w:jc w:val="center"/>
        </w:trPr>
        <w:tc>
          <w:tcPr>
            <w:tcW w:w="453" w:type="dxa"/>
            <w:vMerge w:val="continue"/>
            <w:vAlign w:val="center"/>
          </w:tcPr>
          <w:p w14:paraId="79EC808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68F0EB4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2A2772F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5343279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2689917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其他淀粉制品</w:t>
            </w:r>
          </w:p>
        </w:tc>
        <w:tc>
          <w:tcPr>
            <w:tcW w:w="680" w:type="dxa"/>
            <w:vAlign w:val="center"/>
          </w:tcPr>
          <w:p w14:paraId="36ACD5D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524CB000">
            <w:pPr>
              <w:keepNext w:val="0"/>
              <w:keepLines/>
              <w:widowControl w:val="0"/>
              <w:suppressLineNumbers w:val="0"/>
              <w:kinsoku/>
              <w:spacing w:before="0" w:beforeAutospacing="0" w:after="0" w:afterAutospacing="0" w:line="26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苯甲酸及其钠盐(以苯甲酸计)、山梨酸及其钾盐(以山梨酸计)、脱氢乙酸及其钠盐（以脱氢乙酸计）、铝的残留量(干样品，以Al计)、二氧化硫残留量、合成着色剂(柠檬黄、新红、苋菜红、靛蓝、胭脂红、日落黄、诱惑红、亮蓝、酸性红、喹啉黄、赤藓红)、相同色泽着色剂混合使用时各自用量占其最大使用量的比例之和</w:t>
            </w:r>
          </w:p>
        </w:tc>
      </w:tr>
      <w:tr w14:paraId="68A06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1020" w:hRule="atLeast"/>
          <w:jc w:val="center"/>
        </w:trPr>
        <w:tc>
          <w:tcPr>
            <w:tcW w:w="453" w:type="dxa"/>
            <w:vMerge w:val="continue"/>
            <w:vAlign w:val="center"/>
          </w:tcPr>
          <w:p w14:paraId="3BE1206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0D22E85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4D97FBA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37B6BCC3">
            <w:pPr>
              <w:keepNext w:val="0"/>
              <w:keepLines/>
              <w:widowControl w:val="0"/>
              <w:suppressLineNumbers w:val="0"/>
              <w:kinsoku/>
              <w:spacing w:before="0" w:beforeAutospacing="0" w:after="0" w:afterAutospacing="0" w:line="26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淀粉糖</w:t>
            </w:r>
          </w:p>
        </w:tc>
        <w:tc>
          <w:tcPr>
            <w:tcW w:w="1583" w:type="dxa"/>
            <w:vAlign w:val="center"/>
          </w:tcPr>
          <w:p w14:paraId="0EF1507C">
            <w:pPr>
              <w:keepNext w:val="0"/>
              <w:keepLines/>
              <w:widowControl w:val="0"/>
              <w:suppressLineNumbers w:val="0"/>
              <w:kinsoku/>
              <w:spacing w:before="0" w:beforeAutospacing="0" w:after="0" w:afterAutospacing="0" w:line="26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淀粉糖</w:t>
            </w:r>
          </w:p>
        </w:tc>
        <w:tc>
          <w:tcPr>
            <w:tcW w:w="680" w:type="dxa"/>
            <w:vAlign w:val="center"/>
          </w:tcPr>
          <w:p w14:paraId="48FDE895">
            <w:pPr>
              <w:keepNext w:val="0"/>
              <w:keepLines/>
              <w:widowControl w:val="0"/>
              <w:suppressLineNumbers w:val="0"/>
              <w:kinsoku/>
              <w:spacing w:before="0" w:beforeAutospacing="0" w:after="0" w:afterAutospacing="0" w:line="26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433B8C34">
            <w:pPr>
              <w:keepNext w:val="0"/>
              <w:keepLines/>
              <w:widowControl w:val="0"/>
              <w:suppressLineNumbers w:val="0"/>
              <w:kinsoku/>
              <w:spacing w:before="0" w:beforeAutospacing="0" w:after="0" w:afterAutospacing="0" w:line="26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铅(以Pb计)、总砷(以As计)、葡萄糖含量(以干基计，质量分数)、IMO含量(占干物质，质量分数)、IG</w:t>
            </w:r>
            <w:r>
              <w:rPr>
                <w:rFonts w:hint="eastAsia" w:ascii="仿宋_GB2312" w:hAnsi="仿宋_GB2312" w:eastAsia="仿宋_GB2312" w:cs="仿宋_GB2312"/>
                <w:color w:val="auto"/>
                <w:sz w:val="18"/>
                <w:szCs w:val="18"/>
                <w:vertAlign w:val="subscript"/>
                <w:lang w:eastAsia="zh-CN"/>
              </w:rPr>
              <w:t>2</w:t>
            </w:r>
            <w:r>
              <w:rPr>
                <w:rFonts w:hint="eastAsia" w:ascii="仿宋_GB2312" w:hAnsi="仿宋_GB2312" w:eastAsia="仿宋_GB2312" w:cs="仿宋_GB2312"/>
                <w:color w:val="auto"/>
                <w:sz w:val="18"/>
                <w:szCs w:val="18"/>
                <w:lang w:eastAsia="zh-CN"/>
              </w:rPr>
              <w:t>+P+IG</w:t>
            </w:r>
            <w:r>
              <w:rPr>
                <w:rFonts w:hint="eastAsia" w:ascii="仿宋_GB2312" w:hAnsi="仿宋_GB2312" w:eastAsia="仿宋_GB2312" w:cs="仿宋_GB2312"/>
                <w:color w:val="auto"/>
                <w:sz w:val="18"/>
                <w:szCs w:val="18"/>
                <w:vertAlign w:val="subscript"/>
                <w:lang w:eastAsia="zh-CN"/>
              </w:rPr>
              <w:t>3</w:t>
            </w:r>
            <w:r>
              <w:rPr>
                <w:rFonts w:hint="eastAsia" w:ascii="仿宋_GB2312" w:hAnsi="仿宋_GB2312" w:eastAsia="仿宋_GB2312" w:cs="仿宋_GB2312"/>
                <w:color w:val="auto"/>
                <w:sz w:val="18"/>
                <w:szCs w:val="18"/>
                <w:lang w:eastAsia="zh-CN"/>
              </w:rPr>
              <w:t>含量(占干物质，质量分数)、果糖(占干基比)、果糖+葡萄糖(占干基比)、5-羟甲基糠醛(以吸光度计)、果糖+葡萄糖含量(以干物质计)、果糖含量(以干物质计)、麦芽糖含量(以干物质计，质量分数)、干物质(固形物)、硫酸灰分</w:t>
            </w:r>
          </w:p>
        </w:tc>
      </w:tr>
      <w:tr w14:paraId="38FDE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1656" w:hRule="atLeast"/>
          <w:jc w:val="center"/>
        </w:trPr>
        <w:tc>
          <w:tcPr>
            <w:tcW w:w="453" w:type="dxa"/>
            <w:vMerge w:val="restart"/>
            <w:vAlign w:val="center"/>
          </w:tcPr>
          <w:p w14:paraId="1173F8B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rPr>
              <w:t>2</w:t>
            </w:r>
            <w:r>
              <w:rPr>
                <w:rFonts w:hint="eastAsia" w:ascii="仿宋_GB2312" w:hAnsi="仿宋_GB2312" w:eastAsia="仿宋_GB2312" w:cs="仿宋_GB2312"/>
                <w:color w:val="auto"/>
                <w:sz w:val="18"/>
                <w:szCs w:val="18"/>
                <w:lang w:eastAsia="zh-CN"/>
              </w:rPr>
              <w:t>4</w:t>
            </w:r>
          </w:p>
        </w:tc>
        <w:tc>
          <w:tcPr>
            <w:tcW w:w="940" w:type="dxa"/>
            <w:vMerge w:val="restart"/>
            <w:vAlign w:val="center"/>
          </w:tcPr>
          <w:p w14:paraId="70A78A8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糕点</w:t>
            </w:r>
          </w:p>
        </w:tc>
        <w:tc>
          <w:tcPr>
            <w:tcW w:w="1358" w:type="dxa"/>
            <w:vMerge w:val="restart"/>
            <w:vAlign w:val="center"/>
          </w:tcPr>
          <w:p w14:paraId="5986729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糕点</w:t>
            </w:r>
          </w:p>
        </w:tc>
        <w:tc>
          <w:tcPr>
            <w:tcW w:w="1578" w:type="dxa"/>
            <w:vAlign w:val="center"/>
          </w:tcPr>
          <w:p w14:paraId="75279B8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面包</w:t>
            </w:r>
          </w:p>
        </w:tc>
        <w:tc>
          <w:tcPr>
            <w:tcW w:w="1583" w:type="dxa"/>
            <w:vAlign w:val="center"/>
          </w:tcPr>
          <w:p w14:paraId="0CDCAC9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面包</w:t>
            </w:r>
          </w:p>
        </w:tc>
        <w:tc>
          <w:tcPr>
            <w:tcW w:w="680" w:type="dxa"/>
            <w:vAlign w:val="center"/>
          </w:tcPr>
          <w:p w14:paraId="7C68A5F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3EE9B739">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酸价(以脂肪计)(KOH)、过氧化值(以脂肪计)、铅(以Pb计)、苯甲酸及其钠盐(以苯甲酸计)、山梨酸及其钾盐(以山梨酸计)、糖精钠(以糖精计)、甜蜜素(以环己基氨基磺酸计)、安赛蜜、铝的残留量(干样品，以Al计)、丙酸及其钠盐、钙盐(以丙酸计)、脱氢乙酸及其钠盐(以脱氢乙酸计)、三氯蔗糖、合成着色剂(柠檬黄、日落黄、胭脂红、苋菜红、亮蓝、诱惑红、酸性红)、防腐剂混合使用时各自用量占其最大使用量的比例之和、菌落总数、大肠菌群、金黄色葡萄球菌、沙门氏菌、霉菌、富马酸二甲酯</w:t>
            </w:r>
          </w:p>
        </w:tc>
      </w:tr>
      <w:tr w14:paraId="60635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1744" w:hRule="atLeast"/>
          <w:jc w:val="center"/>
        </w:trPr>
        <w:tc>
          <w:tcPr>
            <w:tcW w:w="453" w:type="dxa"/>
            <w:vMerge w:val="continue"/>
            <w:vAlign w:val="center"/>
          </w:tcPr>
          <w:p w14:paraId="37B744D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32CDDEB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5D717EA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5403927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月饼</w:t>
            </w:r>
          </w:p>
        </w:tc>
        <w:tc>
          <w:tcPr>
            <w:tcW w:w="1583" w:type="dxa"/>
            <w:vAlign w:val="center"/>
          </w:tcPr>
          <w:p w14:paraId="6694B15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月饼</w:t>
            </w:r>
          </w:p>
        </w:tc>
        <w:tc>
          <w:tcPr>
            <w:tcW w:w="680" w:type="dxa"/>
            <w:vAlign w:val="center"/>
          </w:tcPr>
          <w:p w14:paraId="4BCB1DC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240C90F0">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酸价(以脂肪计)(KOH)、过氧化值(以脂肪计)、糖精钠(以糖精计)、苯甲酸及其钠盐(以苯甲酸计)、山梨酸及其钾盐(以山梨酸计)、铝的残留量(干样品，以Al计)、丙酸及其钠盐、钙盐(以丙酸计)、脱氢乙酸及其钠盐(以脱氢乙酸计)、纳他霉素、合成着色剂(柠檬黄、日落黄、胭脂红、苋菜红、亮蓝、赤藓红、诱惑红)、防腐剂混合使用时各自用量占其最大使用量的比例之和、菌落总数、大肠菌群、金黄色葡萄球菌、沙门氏菌、霉菌、富马酸二甲酯</w:t>
            </w:r>
          </w:p>
        </w:tc>
      </w:tr>
      <w:tr w14:paraId="541F1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1109" w:hRule="atLeast"/>
          <w:jc w:val="center"/>
        </w:trPr>
        <w:tc>
          <w:tcPr>
            <w:tcW w:w="453" w:type="dxa"/>
            <w:vMerge w:val="continue"/>
            <w:vAlign w:val="center"/>
          </w:tcPr>
          <w:p w14:paraId="2F79F57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2532A2F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31C3E6C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48867D3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粽子</w:t>
            </w:r>
          </w:p>
        </w:tc>
        <w:tc>
          <w:tcPr>
            <w:tcW w:w="1583" w:type="dxa"/>
            <w:vAlign w:val="center"/>
          </w:tcPr>
          <w:p w14:paraId="02F92EF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粽子</w:t>
            </w:r>
          </w:p>
        </w:tc>
        <w:tc>
          <w:tcPr>
            <w:tcW w:w="680" w:type="dxa"/>
            <w:vAlign w:val="center"/>
          </w:tcPr>
          <w:p w14:paraId="5D814E3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0494C2C4">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过氧化值(以脂肪计)、甜蜜素(以环己基氨基磺酸计)、山梨酸及其钾盐(以山梨酸计)、脱氢乙酸及其钠盐(以脱氢乙酸计)、糖精钠(以糖精计)、安赛蜜、菌落总数、大肠菌群、金黄色葡萄球菌、沙门氏菌、霉菌、商业无菌</w:t>
            </w:r>
          </w:p>
        </w:tc>
      </w:tr>
      <w:tr w14:paraId="65935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1750" w:hRule="atLeast"/>
          <w:jc w:val="center"/>
        </w:trPr>
        <w:tc>
          <w:tcPr>
            <w:tcW w:w="453" w:type="dxa"/>
            <w:vMerge w:val="continue"/>
            <w:vAlign w:val="center"/>
          </w:tcPr>
          <w:p w14:paraId="4FBE653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7E6CBA2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2B8348D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0ADEA8B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糕点</w:t>
            </w:r>
          </w:p>
        </w:tc>
        <w:tc>
          <w:tcPr>
            <w:tcW w:w="1583" w:type="dxa"/>
            <w:vAlign w:val="center"/>
          </w:tcPr>
          <w:p w14:paraId="33E96C4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糕点</w:t>
            </w:r>
          </w:p>
        </w:tc>
        <w:tc>
          <w:tcPr>
            <w:tcW w:w="680" w:type="dxa"/>
            <w:vAlign w:val="center"/>
          </w:tcPr>
          <w:p w14:paraId="3567F1F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较高</w:t>
            </w:r>
          </w:p>
        </w:tc>
        <w:tc>
          <w:tcPr>
            <w:tcW w:w="8546" w:type="dxa"/>
            <w:vAlign w:val="center"/>
          </w:tcPr>
          <w:p w14:paraId="3B7ECBA8">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酸价(以脂肪计)(KOH)、过氧化值(以脂肪计)、铅(以Pb计)、苯甲酸及其钠盐(以苯甲酸计)、山梨酸及其钾盐(以山梨酸计)、糖精钠(以糖精计)、甜蜜素(以环己基氨基磺酸计)、安赛蜜、铝的残留量(干样品，以Al计)、丙酸及其钠盐、钙盐(以丙酸计)、脱氢乙酸及其钠盐(以脱氢乙酸计)、纳他霉素、三氯蔗糖、丙二醇、合成着色剂(柠檬黄、日落黄、胭脂红、苋菜红、亮蓝、赤藓红、诱惑红)、防腐剂混合使用时各自用量占其最大使用量的比例之和、菌落总数、大肠菌群、金黄色葡萄球菌、沙门氏菌、霉菌、富马酸二甲酯</w:t>
            </w:r>
          </w:p>
        </w:tc>
      </w:tr>
      <w:tr w14:paraId="30C0B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980" w:hRule="atLeast"/>
          <w:jc w:val="center"/>
        </w:trPr>
        <w:tc>
          <w:tcPr>
            <w:tcW w:w="453" w:type="dxa"/>
            <w:vMerge w:val="restart"/>
            <w:vAlign w:val="center"/>
          </w:tcPr>
          <w:p w14:paraId="506D5DD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rPr>
              <w:t>2</w:t>
            </w:r>
            <w:r>
              <w:rPr>
                <w:rFonts w:hint="eastAsia" w:ascii="仿宋_GB2312" w:hAnsi="仿宋_GB2312" w:eastAsia="仿宋_GB2312" w:cs="仿宋_GB2312"/>
                <w:color w:val="auto"/>
                <w:sz w:val="18"/>
                <w:szCs w:val="18"/>
                <w:lang w:eastAsia="zh-CN"/>
              </w:rPr>
              <w:t>5</w:t>
            </w:r>
          </w:p>
        </w:tc>
        <w:tc>
          <w:tcPr>
            <w:tcW w:w="940" w:type="dxa"/>
            <w:vMerge w:val="restart"/>
            <w:vAlign w:val="center"/>
          </w:tcPr>
          <w:p w14:paraId="550124B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豆制品</w:t>
            </w:r>
          </w:p>
        </w:tc>
        <w:tc>
          <w:tcPr>
            <w:tcW w:w="1358" w:type="dxa"/>
            <w:vMerge w:val="restart"/>
            <w:vAlign w:val="center"/>
          </w:tcPr>
          <w:p w14:paraId="0B20AD3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豆制品</w:t>
            </w:r>
          </w:p>
        </w:tc>
        <w:tc>
          <w:tcPr>
            <w:tcW w:w="1578" w:type="dxa"/>
            <w:vAlign w:val="center"/>
          </w:tcPr>
          <w:p w14:paraId="0FA2C46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发酵性豆制品</w:t>
            </w:r>
          </w:p>
        </w:tc>
        <w:tc>
          <w:tcPr>
            <w:tcW w:w="1583" w:type="dxa"/>
            <w:vAlign w:val="center"/>
          </w:tcPr>
          <w:p w14:paraId="20D0AB0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腐乳、豆豉、纳豆等</w:t>
            </w:r>
          </w:p>
        </w:tc>
        <w:tc>
          <w:tcPr>
            <w:tcW w:w="680" w:type="dxa"/>
            <w:vAlign w:val="center"/>
          </w:tcPr>
          <w:p w14:paraId="673430D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5ED1E002">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铅(以Pb计)、黄曲霉毒素B</w:t>
            </w:r>
            <w:r>
              <w:rPr>
                <w:rFonts w:hint="eastAsia" w:ascii="仿宋_GB2312" w:hAnsi="仿宋_GB2312" w:eastAsia="仿宋_GB2312" w:cs="仿宋_GB2312"/>
                <w:color w:val="auto"/>
                <w:sz w:val="18"/>
                <w:szCs w:val="18"/>
                <w:vertAlign w:val="subscript"/>
                <w:lang w:eastAsia="zh-CN"/>
              </w:rPr>
              <w:t>1</w:t>
            </w:r>
            <w:r>
              <w:rPr>
                <w:rFonts w:hint="eastAsia" w:ascii="仿宋_GB2312" w:hAnsi="仿宋_GB2312" w:eastAsia="仿宋_GB2312" w:cs="仿宋_GB2312"/>
                <w:color w:val="auto"/>
                <w:sz w:val="18"/>
                <w:szCs w:val="18"/>
                <w:lang w:eastAsia="zh-CN"/>
              </w:rPr>
              <w:t>、苯甲酸及其钠盐(以苯甲酸计)、山梨酸及其钾盐(以山梨酸计)、脱氢乙酸及其钠盐(以脱氢乙酸计)、糖精钠(以糖精计)、甜蜜素(以环己基氨基磺酸计)、铝的残留量(干样品，以Al计)、大肠菌群</w:t>
            </w:r>
          </w:p>
        </w:tc>
      </w:tr>
      <w:tr w14:paraId="5BA52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20" w:hRule="atLeast"/>
          <w:jc w:val="center"/>
        </w:trPr>
        <w:tc>
          <w:tcPr>
            <w:tcW w:w="453" w:type="dxa"/>
            <w:vMerge w:val="continue"/>
            <w:vAlign w:val="center"/>
          </w:tcPr>
          <w:p w14:paraId="0826E8E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754B549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15A014E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restart"/>
            <w:vAlign w:val="center"/>
          </w:tcPr>
          <w:p w14:paraId="5A5048A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非发酵性豆制品</w:t>
            </w:r>
          </w:p>
        </w:tc>
        <w:tc>
          <w:tcPr>
            <w:tcW w:w="1583" w:type="dxa"/>
            <w:vAlign w:val="center"/>
          </w:tcPr>
          <w:p w14:paraId="5F763DB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腐竹、油皮及其再制品</w:t>
            </w:r>
          </w:p>
        </w:tc>
        <w:tc>
          <w:tcPr>
            <w:tcW w:w="680" w:type="dxa"/>
            <w:vAlign w:val="center"/>
          </w:tcPr>
          <w:p w14:paraId="0FA4F48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1412C35D">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蛋白质、铅(以Pb计)、苯甲酸及其钠盐(以苯甲酸计)、山梨酸及其钾盐(以山梨酸计)、脱氢乙酸及其钠盐(以脱氢乙酸计)、二氧化硫残留量、铝的残留量(干样品，以Al计)、合成着色剂(柠檬黄、日落黄)</w:t>
            </w:r>
          </w:p>
        </w:tc>
      </w:tr>
      <w:tr w14:paraId="75540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1470" w:hRule="atLeast"/>
          <w:jc w:val="center"/>
        </w:trPr>
        <w:tc>
          <w:tcPr>
            <w:tcW w:w="453" w:type="dxa"/>
            <w:vMerge w:val="continue"/>
            <w:vAlign w:val="center"/>
          </w:tcPr>
          <w:p w14:paraId="2D2DFAB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0E14675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456D02D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525F0CB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47C81AD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豆干、豆腐、豆皮等</w:t>
            </w:r>
          </w:p>
        </w:tc>
        <w:tc>
          <w:tcPr>
            <w:tcW w:w="680" w:type="dxa"/>
            <w:vAlign w:val="center"/>
          </w:tcPr>
          <w:p w14:paraId="4EED2A4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1EC1FE76">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苯甲酸及其钠盐(以苯甲酸计)、山梨酸及其钾盐(以山梨酸计)、脱氢乙酸及其钠盐(以脱氢乙酸计)、丙酸及其钠盐、钙盐(以丙酸计)、防腐剂混合使用时各自用量占其最大使用量的比例之和、糖精钠(以糖精计)、三氯蔗糖、甜蜜素(以环己基氨基磺酸计)、铝的残留量(干样品，以Al计)、合成着色剂(柠檬黄、日落黄)、大肠菌群、金黄色葡萄球菌</w:t>
            </w:r>
          </w:p>
        </w:tc>
      </w:tr>
      <w:tr w14:paraId="31C1B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1057" w:hRule="atLeast"/>
          <w:jc w:val="center"/>
        </w:trPr>
        <w:tc>
          <w:tcPr>
            <w:tcW w:w="453" w:type="dxa"/>
            <w:vMerge w:val="continue"/>
            <w:vAlign w:val="center"/>
          </w:tcPr>
          <w:p w14:paraId="3004517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26CEE75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308E46D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7ACC128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其他豆制品</w:t>
            </w:r>
          </w:p>
        </w:tc>
        <w:tc>
          <w:tcPr>
            <w:tcW w:w="1583" w:type="dxa"/>
            <w:vAlign w:val="center"/>
          </w:tcPr>
          <w:p w14:paraId="49B0965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大豆蛋白类制品等</w:t>
            </w:r>
          </w:p>
        </w:tc>
        <w:tc>
          <w:tcPr>
            <w:tcW w:w="680" w:type="dxa"/>
            <w:vAlign w:val="center"/>
          </w:tcPr>
          <w:p w14:paraId="5FCC1A8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74272853">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铅(以Pb计)、苯甲酸及其钠盐(以苯甲酸计)、山梨酸及其钾盐(以山梨酸计)、脱氢乙酸及其钠盐(以脱氢乙酸计)、糖精钠(以糖精计)、三氯蔗糖、铝的残留量(干样品，以Al计)、大肠菌群、合成着色剂(柠檬黄、日落黄)</w:t>
            </w:r>
          </w:p>
        </w:tc>
      </w:tr>
      <w:tr w14:paraId="33345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94" w:hRule="atLeast"/>
          <w:jc w:val="center"/>
        </w:trPr>
        <w:tc>
          <w:tcPr>
            <w:tcW w:w="453" w:type="dxa"/>
            <w:vMerge w:val="restart"/>
            <w:vAlign w:val="center"/>
          </w:tcPr>
          <w:p w14:paraId="632FC72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rPr>
              <w:t>2</w:t>
            </w:r>
            <w:r>
              <w:rPr>
                <w:rFonts w:hint="eastAsia" w:ascii="仿宋_GB2312" w:hAnsi="仿宋_GB2312" w:eastAsia="仿宋_GB2312" w:cs="仿宋_GB2312"/>
                <w:color w:val="auto"/>
                <w:sz w:val="18"/>
                <w:szCs w:val="18"/>
                <w:lang w:eastAsia="zh-CN"/>
              </w:rPr>
              <w:t>6</w:t>
            </w:r>
          </w:p>
        </w:tc>
        <w:tc>
          <w:tcPr>
            <w:tcW w:w="940" w:type="dxa"/>
            <w:vMerge w:val="restart"/>
            <w:vAlign w:val="center"/>
          </w:tcPr>
          <w:p w14:paraId="6CC2AA2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蜂产品</w:t>
            </w:r>
          </w:p>
        </w:tc>
        <w:tc>
          <w:tcPr>
            <w:tcW w:w="1358" w:type="dxa"/>
            <w:vMerge w:val="restart"/>
            <w:vAlign w:val="center"/>
          </w:tcPr>
          <w:p w14:paraId="491BCA2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蜂产品</w:t>
            </w:r>
          </w:p>
        </w:tc>
        <w:tc>
          <w:tcPr>
            <w:tcW w:w="1578" w:type="dxa"/>
            <w:vAlign w:val="center"/>
          </w:tcPr>
          <w:p w14:paraId="7C79514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蜂蜜</w:t>
            </w:r>
          </w:p>
        </w:tc>
        <w:tc>
          <w:tcPr>
            <w:tcW w:w="1583" w:type="dxa"/>
            <w:vAlign w:val="center"/>
          </w:tcPr>
          <w:p w14:paraId="7B02352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蜂蜜</w:t>
            </w:r>
          </w:p>
        </w:tc>
        <w:tc>
          <w:tcPr>
            <w:tcW w:w="680" w:type="dxa"/>
            <w:vAlign w:val="center"/>
          </w:tcPr>
          <w:p w14:paraId="141A686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556CF0AD">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果糖和葡萄糖、蔗糖、山梨酸及其钾盐(以山梨酸计)、氯霉素、呋喃西林代谢物、呋喃唑酮代谢物、甲硝唑、双甲脒、诺氟沙星、氧氟沙星、菌落总数、霉菌计数、嗜渗酵母计数、氟胺氰菊酯</w:t>
            </w:r>
          </w:p>
        </w:tc>
      </w:tr>
      <w:tr w14:paraId="3E841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90" w:hRule="atLeast"/>
          <w:jc w:val="center"/>
        </w:trPr>
        <w:tc>
          <w:tcPr>
            <w:tcW w:w="453" w:type="dxa"/>
            <w:vMerge w:val="continue"/>
            <w:vAlign w:val="center"/>
          </w:tcPr>
          <w:p w14:paraId="7EDFD27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780D8E9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72A2EB6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0A10530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蜂王浆(含蜂王浆冻干品)</w:t>
            </w:r>
          </w:p>
        </w:tc>
        <w:tc>
          <w:tcPr>
            <w:tcW w:w="1583" w:type="dxa"/>
            <w:vAlign w:val="center"/>
          </w:tcPr>
          <w:p w14:paraId="405778D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蜂王浆(含蜂王浆冻干品)</w:t>
            </w:r>
          </w:p>
        </w:tc>
        <w:tc>
          <w:tcPr>
            <w:tcW w:w="680" w:type="dxa"/>
            <w:vAlign w:val="center"/>
          </w:tcPr>
          <w:p w14:paraId="517972F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5FF97B83">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10-羟基-2-癸烯酸、酸度、蛋白质、呋喃西林代谢物</w:t>
            </w:r>
          </w:p>
        </w:tc>
      </w:tr>
      <w:tr w14:paraId="6F734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71" w:hRule="atLeast"/>
          <w:jc w:val="center"/>
        </w:trPr>
        <w:tc>
          <w:tcPr>
            <w:tcW w:w="453" w:type="dxa"/>
            <w:vMerge w:val="continue"/>
            <w:vAlign w:val="center"/>
          </w:tcPr>
          <w:p w14:paraId="297A87B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16D97B9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67317C8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79D1F47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蜂花粉</w:t>
            </w:r>
          </w:p>
        </w:tc>
        <w:tc>
          <w:tcPr>
            <w:tcW w:w="1583" w:type="dxa"/>
            <w:vAlign w:val="center"/>
          </w:tcPr>
          <w:p w14:paraId="0253FA0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蜂花粉</w:t>
            </w:r>
          </w:p>
        </w:tc>
        <w:tc>
          <w:tcPr>
            <w:tcW w:w="680" w:type="dxa"/>
            <w:vAlign w:val="center"/>
          </w:tcPr>
          <w:p w14:paraId="14E471F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7DBD5BEE">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铅(以Pb计)、菌落总数、大肠菌群、霉菌</w:t>
            </w:r>
          </w:p>
        </w:tc>
      </w:tr>
      <w:tr w14:paraId="6AFF8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37" w:hRule="atLeast"/>
          <w:jc w:val="center"/>
        </w:trPr>
        <w:tc>
          <w:tcPr>
            <w:tcW w:w="453" w:type="dxa"/>
            <w:vMerge w:val="continue"/>
            <w:vAlign w:val="center"/>
          </w:tcPr>
          <w:p w14:paraId="6BE7F57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2F3D3C8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3B143B6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07EBE9E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蜂产品制品</w:t>
            </w:r>
          </w:p>
        </w:tc>
        <w:tc>
          <w:tcPr>
            <w:tcW w:w="1583" w:type="dxa"/>
            <w:vAlign w:val="center"/>
          </w:tcPr>
          <w:p w14:paraId="330317A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蜂产品制品</w:t>
            </w:r>
          </w:p>
        </w:tc>
        <w:tc>
          <w:tcPr>
            <w:tcW w:w="680" w:type="dxa"/>
            <w:vAlign w:val="center"/>
          </w:tcPr>
          <w:p w14:paraId="7D54C0C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046E2EBC">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山梨酸及其钾盐(以山梨酸计)、菌落总数、合成着色剂(柠檬黄、日落黄)</w:t>
            </w:r>
          </w:p>
        </w:tc>
      </w:tr>
      <w:tr w14:paraId="19847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211" w:hRule="atLeast"/>
          <w:jc w:val="center"/>
        </w:trPr>
        <w:tc>
          <w:tcPr>
            <w:tcW w:w="453" w:type="dxa"/>
            <w:vAlign w:val="center"/>
          </w:tcPr>
          <w:p w14:paraId="0119D1B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rPr>
              <w:t>2</w:t>
            </w:r>
            <w:r>
              <w:rPr>
                <w:rFonts w:hint="eastAsia" w:ascii="仿宋_GB2312" w:hAnsi="仿宋_GB2312" w:eastAsia="仿宋_GB2312" w:cs="仿宋_GB2312"/>
                <w:color w:val="auto"/>
                <w:sz w:val="18"/>
                <w:szCs w:val="18"/>
                <w:lang w:eastAsia="zh-CN"/>
              </w:rPr>
              <w:t>7</w:t>
            </w:r>
          </w:p>
        </w:tc>
        <w:tc>
          <w:tcPr>
            <w:tcW w:w="940" w:type="dxa"/>
            <w:vAlign w:val="center"/>
          </w:tcPr>
          <w:p w14:paraId="5B6F8D3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保健食品</w:t>
            </w:r>
          </w:p>
        </w:tc>
        <w:tc>
          <w:tcPr>
            <w:tcW w:w="1358" w:type="dxa"/>
            <w:vAlign w:val="center"/>
          </w:tcPr>
          <w:p w14:paraId="61B7B23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保健食品</w:t>
            </w:r>
          </w:p>
        </w:tc>
        <w:tc>
          <w:tcPr>
            <w:tcW w:w="1578" w:type="dxa"/>
            <w:vAlign w:val="center"/>
          </w:tcPr>
          <w:p w14:paraId="14C4E6F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保健食品</w:t>
            </w:r>
          </w:p>
        </w:tc>
        <w:tc>
          <w:tcPr>
            <w:tcW w:w="1583" w:type="dxa"/>
            <w:vAlign w:val="center"/>
          </w:tcPr>
          <w:p w14:paraId="5B3F213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保健食品</w:t>
            </w:r>
          </w:p>
        </w:tc>
        <w:tc>
          <w:tcPr>
            <w:tcW w:w="680" w:type="dxa"/>
            <w:vAlign w:val="center"/>
          </w:tcPr>
          <w:p w14:paraId="35181DE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5C6DD06C">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氨基酸、10-羟基-2-癸烯酸、蛋白质、二十二碳六烯酸、二十碳五烯酸、泛酸、钙、还原糖、肌醇、赖氨酸、绿原酸、铁、维生素A、维生素B</w:t>
            </w:r>
            <w:r>
              <w:rPr>
                <w:rFonts w:hint="eastAsia" w:ascii="仿宋_GB2312" w:hAnsi="仿宋_GB2312" w:eastAsia="仿宋_GB2312" w:cs="仿宋_GB2312"/>
                <w:color w:val="auto"/>
                <w:sz w:val="18"/>
                <w:szCs w:val="18"/>
                <w:vertAlign w:val="subscript"/>
                <w:lang w:eastAsia="zh-CN"/>
              </w:rPr>
              <w:t>1</w:t>
            </w:r>
            <w:r>
              <w:rPr>
                <w:rFonts w:hint="eastAsia" w:ascii="仿宋_GB2312" w:hAnsi="仿宋_GB2312" w:eastAsia="仿宋_GB2312" w:cs="仿宋_GB2312"/>
                <w:color w:val="auto"/>
                <w:sz w:val="18"/>
                <w:szCs w:val="18"/>
                <w:lang w:eastAsia="zh-CN"/>
              </w:rPr>
              <w:t>、维生素B</w:t>
            </w:r>
            <w:r>
              <w:rPr>
                <w:rFonts w:hint="eastAsia" w:ascii="仿宋_GB2312" w:hAnsi="仿宋_GB2312" w:eastAsia="仿宋_GB2312" w:cs="仿宋_GB2312"/>
                <w:color w:val="auto"/>
                <w:sz w:val="18"/>
                <w:szCs w:val="18"/>
                <w:vertAlign w:val="subscript"/>
                <w:lang w:eastAsia="zh-CN"/>
              </w:rPr>
              <w:t>12</w:t>
            </w:r>
            <w:r>
              <w:rPr>
                <w:rFonts w:hint="eastAsia" w:ascii="仿宋_GB2312" w:hAnsi="仿宋_GB2312" w:eastAsia="仿宋_GB2312" w:cs="仿宋_GB2312"/>
                <w:color w:val="auto"/>
                <w:sz w:val="18"/>
                <w:szCs w:val="18"/>
                <w:lang w:eastAsia="zh-CN"/>
              </w:rPr>
              <w:t>、维生素B</w:t>
            </w:r>
            <w:r>
              <w:rPr>
                <w:rFonts w:hint="eastAsia" w:ascii="仿宋_GB2312" w:hAnsi="仿宋_GB2312" w:eastAsia="仿宋_GB2312" w:cs="仿宋_GB2312"/>
                <w:color w:val="auto"/>
                <w:sz w:val="18"/>
                <w:szCs w:val="18"/>
                <w:vertAlign w:val="subscript"/>
                <w:lang w:eastAsia="zh-CN"/>
              </w:rPr>
              <w:t>2</w:t>
            </w:r>
            <w:r>
              <w:rPr>
                <w:rFonts w:hint="eastAsia" w:ascii="仿宋_GB2312" w:hAnsi="仿宋_GB2312" w:eastAsia="仿宋_GB2312" w:cs="仿宋_GB2312"/>
                <w:color w:val="auto"/>
                <w:sz w:val="18"/>
                <w:szCs w:val="18"/>
                <w:lang w:eastAsia="zh-CN"/>
              </w:rPr>
              <w:t>、维生素B</w:t>
            </w:r>
            <w:r>
              <w:rPr>
                <w:rFonts w:hint="eastAsia" w:ascii="仿宋_GB2312" w:hAnsi="仿宋_GB2312" w:eastAsia="仿宋_GB2312" w:cs="仿宋_GB2312"/>
                <w:color w:val="auto"/>
                <w:sz w:val="18"/>
                <w:szCs w:val="18"/>
                <w:vertAlign w:val="subscript"/>
                <w:lang w:eastAsia="zh-CN"/>
              </w:rPr>
              <w:t>6</w:t>
            </w:r>
            <w:r>
              <w:rPr>
                <w:rFonts w:hint="eastAsia" w:ascii="仿宋_GB2312" w:hAnsi="仿宋_GB2312" w:eastAsia="仿宋_GB2312" w:cs="仿宋_GB2312"/>
                <w:color w:val="auto"/>
                <w:sz w:val="18"/>
                <w:szCs w:val="18"/>
                <w:lang w:eastAsia="zh-CN"/>
              </w:rPr>
              <w:t>、维生素C、维生素D、维生素D</w:t>
            </w:r>
            <w:r>
              <w:rPr>
                <w:rFonts w:hint="eastAsia" w:ascii="仿宋_GB2312" w:hAnsi="仿宋_GB2312" w:eastAsia="仿宋_GB2312" w:cs="仿宋_GB2312"/>
                <w:color w:val="auto"/>
                <w:sz w:val="18"/>
                <w:szCs w:val="18"/>
                <w:vertAlign w:val="subscript"/>
                <w:lang w:eastAsia="zh-CN"/>
              </w:rPr>
              <w:t>3</w:t>
            </w:r>
            <w:r>
              <w:rPr>
                <w:rFonts w:hint="eastAsia" w:ascii="仿宋_GB2312" w:hAnsi="仿宋_GB2312" w:eastAsia="仿宋_GB2312" w:cs="仿宋_GB2312"/>
                <w:color w:val="auto"/>
                <w:sz w:val="18"/>
                <w:szCs w:val="18"/>
                <w:lang w:eastAsia="zh-CN"/>
              </w:rPr>
              <w:t>、维生素E、硒、锌、烟酰胺、叶酸、免疫球蛋白IgG、总黄酮、总皂苷、总蒽醌、吡啶甲酸铬、芦荟苷、总三萜、嗜酸乳杆菌、双歧杆菌、水分、可溶性固形物、酸价、过氧化值、崩解时限、灰分、铅(Pb)、总砷(As)、总汞(Hg)、硬胶囊壳中的铬、菌落总数、大肠菌群、霉菌和酵母、金黄色葡萄球菌、沙门氏菌、褪黑素、甘草酸，咖啡因，淫羊藿苷，葛根素，辅酶Q10,番茄红素、那红地那非、红地那非、伐地那非、羟基豪莫西地那非、西地那非、豪莫西地那非、氨基他达拉非、他达拉非、硫代艾地那非、伪伐地那非、那莫西地那非、去甲基他达拉非、育亨宾、西布曲明、N-单去甲基西布曲明、N.N-双去甲基西布曲明</w:t>
            </w:r>
          </w:p>
        </w:tc>
      </w:tr>
      <w:tr w14:paraId="2316F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1361" w:hRule="atLeast"/>
          <w:jc w:val="center"/>
        </w:trPr>
        <w:tc>
          <w:tcPr>
            <w:tcW w:w="453" w:type="dxa"/>
            <w:vMerge w:val="restart"/>
            <w:vAlign w:val="center"/>
          </w:tcPr>
          <w:p w14:paraId="179163E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rPr>
              <w:t>2</w:t>
            </w:r>
            <w:r>
              <w:rPr>
                <w:rFonts w:hint="eastAsia" w:ascii="仿宋_GB2312" w:hAnsi="仿宋_GB2312" w:eastAsia="仿宋_GB2312" w:cs="仿宋_GB2312"/>
                <w:color w:val="auto"/>
                <w:sz w:val="18"/>
                <w:szCs w:val="18"/>
                <w:lang w:eastAsia="zh-CN"/>
              </w:rPr>
              <w:t>8</w:t>
            </w:r>
          </w:p>
        </w:tc>
        <w:tc>
          <w:tcPr>
            <w:tcW w:w="940" w:type="dxa"/>
            <w:vMerge w:val="restart"/>
            <w:vAlign w:val="center"/>
          </w:tcPr>
          <w:p w14:paraId="23EAEF1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特殊膳食食品</w:t>
            </w:r>
          </w:p>
        </w:tc>
        <w:tc>
          <w:tcPr>
            <w:tcW w:w="1358" w:type="dxa"/>
            <w:vMerge w:val="restart"/>
            <w:vAlign w:val="center"/>
          </w:tcPr>
          <w:p w14:paraId="0412E99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婴幼儿辅助食品</w:t>
            </w:r>
          </w:p>
        </w:tc>
        <w:tc>
          <w:tcPr>
            <w:tcW w:w="1578" w:type="dxa"/>
            <w:vAlign w:val="center"/>
          </w:tcPr>
          <w:p w14:paraId="1745C09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婴幼儿谷类辅助食品</w:t>
            </w:r>
          </w:p>
        </w:tc>
        <w:tc>
          <w:tcPr>
            <w:tcW w:w="1583" w:type="dxa"/>
            <w:vAlign w:val="center"/>
          </w:tcPr>
          <w:p w14:paraId="75D55333">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婴幼儿谷物辅助食品、婴幼儿高蛋白谷物辅助食品、婴幼儿生制类谷物辅助食品、其他婴幼儿谷物辅助食品</w:t>
            </w:r>
          </w:p>
        </w:tc>
        <w:tc>
          <w:tcPr>
            <w:tcW w:w="680" w:type="dxa"/>
            <w:vAlign w:val="center"/>
          </w:tcPr>
          <w:p w14:paraId="153F002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1584CD39">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能量、蛋白质、脂肪、亚油酸、月桂酸占总脂肪的比值、肉豆蔻酸占总脂肪的比值、维生素A、维生素D、维生素B</w:t>
            </w:r>
            <w:r>
              <w:rPr>
                <w:rFonts w:hint="eastAsia" w:ascii="仿宋_GB2312" w:hAnsi="仿宋_GB2312" w:eastAsia="仿宋_GB2312" w:cs="仿宋_GB2312"/>
                <w:color w:val="auto"/>
                <w:sz w:val="18"/>
                <w:szCs w:val="18"/>
                <w:vertAlign w:val="subscript"/>
                <w:lang w:eastAsia="zh-CN"/>
              </w:rPr>
              <w:t>1</w:t>
            </w:r>
            <w:r>
              <w:rPr>
                <w:rFonts w:hint="eastAsia" w:ascii="仿宋_GB2312" w:hAnsi="仿宋_GB2312" w:eastAsia="仿宋_GB2312" w:cs="仿宋_GB2312"/>
                <w:color w:val="auto"/>
                <w:sz w:val="18"/>
                <w:szCs w:val="18"/>
                <w:lang w:eastAsia="zh-CN"/>
              </w:rPr>
              <w:t>、钙、铁、锌、钠、维生素E、维生素B</w:t>
            </w:r>
            <w:r>
              <w:rPr>
                <w:rFonts w:hint="eastAsia" w:ascii="仿宋_GB2312" w:hAnsi="仿宋_GB2312" w:eastAsia="仿宋_GB2312" w:cs="仿宋_GB2312"/>
                <w:color w:val="auto"/>
                <w:sz w:val="18"/>
                <w:szCs w:val="18"/>
                <w:vertAlign w:val="subscript"/>
                <w:lang w:eastAsia="zh-CN"/>
              </w:rPr>
              <w:t>2</w:t>
            </w:r>
            <w:r>
              <w:rPr>
                <w:rFonts w:hint="eastAsia" w:ascii="仿宋_GB2312" w:hAnsi="仿宋_GB2312" w:eastAsia="仿宋_GB2312" w:cs="仿宋_GB2312"/>
                <w:color w:val="auto"/>
                <w:sz w:val="18"/>
                <w:szCs w:val="18"/>
                <w:lang w:eastAsia="zh-CN"/>
              </w:rPr>
              <w:t>、维生素B</w:t>
            </w:r>
            <w:r>
              <w:rPr>
                <w:rFonts w:hint="eastAsia" w:ascii="仿宋_GB2312" w:hAnsi="仿宋_GB2312" w:eastAsia="仿宋_GB2312" w:cs="仿宋_GB2312"/>
                <w:color w:val="auto"/>
                <w:sz w:val="18"/>
                <w:szCs w:val="18"/>
                <w:vertAlign w:val="subscript"/>
                <w:lang w:eastAsia="zh-CN"/>
              </w:rPr>
              <w:t>6</w:t>
            </w:r>
            <w:r>
              <w:rPr>
                <w:rFonts w:hint="eastAsia" w:ascii="仿宋_GB2312" w:hAnsi="仿宋_GB2312" w:eastAsia="仿宋_GB2312" w:cs="仿宋_GB2312"/>
                <w:color w:val="auto"/>
                <w:sz w:val="18"/>
                <w:szCs w:val="18"/>
                <w:lang w:eastAsia="zh-CN"/>
              </w:rPr>
              <w:t>、维生素B</w:t>
            </w:r>
            <w:r>
              <w:rPr>
                <w:rFonts w:hint="eastAsia" w:ascii="仿宋_GB2312" w:hAnsi="仿宋_GB2312" w:eastAsia="仿宋_GB2312" w:cs="仿宋_GB2312"/>
                <w:color w:val="auto"/>
                <w:sz w:val="18"/>
                <w:szCs w:val="18"/>
                <w:vertAlign w:val="subscript"/>
                <w:lang w:eastAsia="zh-CN"/>
              </w:rPr>
              <w:t>12</w:t>
            </w:r>
            <w:r>
              <w:rPr>
                <w:rFonts w:hint="eastAsia" w:ascii="仿宋_GB2312" w:hAnsi="仿宋_GB2312" w:eastAsia="仿宋_GB2312" w:cs="仿宋_GB2312"/>
                <w:color w:val="auto"/>
                <w:sz w:val="18"/>
                <w:szCs w:val="18"/>
                <w:lang w:eastAsia="zh-CN"/>
              </w:rPr>
              <w:t>、叶酸、泛酸、维生素C、生物素、磷、碘、钾、水分、不溶性膳食纤维、脲酶活性定性测定、铅(以Pb计)、无机砷(以As计)、锡(以Sn计)、镉(以Cd计)、黄曲霉毒素B</w:t>
            </w:r>
            <w:r>
              <w:rPr>
                <w:rFonts w:hint="eastAsia" w:ascii="仿宋_GB2312" w:hAnsi="仿宋_GB2312" w:eastAsia="仿宋_GB2312" w:cs="仿宋_GB2312"/>
                <w:color w:val="auto"/>
                <w:sz w:val="18"/>
                <w:szCs w:val="18"/>
                <w:vertAlign w:val="subscript"/>
                <w:lang w:eastAsia="zh-CN"/>
              </w:rPr>
              <w:t>1</w:t>
            </w:r>
            <w:r>
              <w:rPr>
                <w:rFonts w:hint="eastAsia" w:ascii="仿宋_GB2312" w:hAnsi="仿宋_GB2312" w:eastAsia="仿宋_GB2312" w:cs="仿宋_GB2312"/>
                <w:color w:val="auto"/>
                <w:sz w:val="18"/>
                <w:szCs w:val="18"/>
                <w:lang w:eastAsia="zh-CN"/>
              </w:rPr>
              <w:t>、硝酸盐(以NaNO</w:t>
            </w:r>
            <w:r>
              <w:rPr>
                <w:rFonts w:hint="eastAsia" w:ascii="仿宋_GB2312" w:hAnsi="仿宋_GB2312" w:eastAsia="仿宋_GB2312" w:cs="仿宋_GB2312"/>
                <w:color w:val="auto"/>
                <w:sz w:val="18"/>
                <w:szCs w:val="18"/>
                <w:vertAlign w:val="subscript"/>
                <w:lang w:eastAsia="zh-CN"/>
              </w:rPr>
              <w:t>3</w:t>
            </w:r>
            <w:r>
              <w:rPr>
                <w:rFonts w:hint="eastAsia" w:ascii="仿宋_GB2312" w:hAnsi="仿宋_GB2312" w:eastAsia="仿宋_GB2312" w:cs="仿宋_GB2312"/>
                <w:color w:val="auto"/>
                <w:sz w:val="18"/>
                <w:szCs w:val="18"/>
                <w:lang w:eastAsia="zh-CN"/>
              </w:rPr>
              <w:t>计)、亚硝酸盐(以NaNO</w:t>
            </w:r>
            <w:r>
              <w:rPr>
                <w:rFonts w:hint="eastAsia" w:ascii="仿宋_GB2312" w:hAnsi="仿宋_GB2312" w:eastAsia="仿宋_GB2312" w:cs="仿宋_GB2312"/>
                <w:color w:val="auto"/>
                <w:sz w:val="18"/>
                <w:szCs w:val="18"/>
                <w:vertAlign w:val="subscript"/>
                <w:lang w:eastAsia="zh-CN"/>
              </w:rPr>
              <w:t>2</w:t>
            </w:r>
            <w:r>
              <w:rPr>
                <w:rFonts w:hint="eastAsia" w:ascii="仿宋_GB2312" w:hAnsi="仿宋_GB2312" w:eastAsia="仿宋_GB2312" w:cs="仿宋_GB2312"/>
                <w:color w:val="auto"/>
                <w:sz w:val="18"/>
                <w:szCs w:val="18"/>
                <w:lang w:eastAsia="zh-CN"/>
              </w:rPr>
              <w:t>计)、菌落总数、大肠菌群、沙门氏菌、二十二碳六烯酸、花生四烯酸、金黄色葡萄球菌、烟酸/烟酰胺、镁、商业无菌</w:t>
            </w:r>
          </w:p>
        </w:tc>
      </w:tr>
      <w:tr w14:paraId="02FCE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1417" w:hRule="atLeast"/>
          <w:jc w:val="center"/>
        </w:trPr>
        <w:tc>
          <w:tcPr>
            <w:tcW w:w="453" w:type="dxa"/>
            <w:vMerge w:val="continue"/>
            <w:vAlign w:val="center"/>
          </w:tcPr>
          <w:p w14:paraId="4A71CC0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3B85372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437A565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3ED64DC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婴幼儿罐装辅助食品</w:t>
            </w:r>
          </w:p>
        </w:tc>
        <w:tc>
          <w:tcPr>
            <w:tcW w:w="1583" w:type="dxa"/>
            <w:vAlign w:val="center"/>
          </w:tcPr>
          <w:p w14:paraId="33AD23C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婴幼儿泥(糊)状罐装辅助食品，婴幼儿颗粒、片(块)状罐装辅助食品，婴幼儿汁类罐装辅助食品</w:t>
            </w:r>
          </w:p>
        </w:tc>
        <w:tc>
          <w:tcPr>
            <w:tcW w:w="680" w:type="dxa"/>
            <w:vAlign w:val="center"/>
          </w:tcPr>
          <w:p w14:paraId="795EDD8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4A7E5EE1">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蛋白质、脂肪、总钠/钠、铅(以Pb计)、无机砷(以As计)、总汞(以Hg计)、锡(以Sn计)、硝酸盐(以NaNO</w:t>
            </w:r>
            <w:r>
              <w:rPr>
                <w:rFonts w:hint="eastAsia" w:ascii="仿宋_GB2312" w:hAnsi="仿宋_GB2312" w:eastAsia="仿宋_GB2312" w:cs="仿宋_GB2312"/>
                <w:color w:val="auto"/>
                <w:sz w:val="18"/>
                <w:szCs w:val="18"/>
                <w:vertAlign w:val="subscript"/>
                <w:lang w:eastAsia="zh-CN"/>
              </w:rPr>
              <w:t>3</w:t>
            </w:r>
            <w:r>
              <w:rPr>
                <w:rFonts w:hint="eastAsia" w:ascii="仿宋_GB2312" w:hAnsi="仿宋_GB2312" w:eastAsia="仿宋_GB2312" w:cs="仿宋_GB2312"/>
                <w:color w:val="auto"/>
                <w:sz w:val="18"/>
                <w:szCs w:val="18"/>
                <w:lang w:eastAsia="zh-CN"/>
              </w:rPr>
              <w:t>计)、亚硝酸盐(以NaNO</w:t>
            </w:r>
            <w:r>
              <w:rPr>
                <w:rFonts w:hint="eastAsia" w:ascii="仿宋_GB2312" w:hAnsi="仿宋_GB2312" w:eastAsia="仿宋_GB2312" w:cs="仿宋_GB2312"/>
                <w:color w:val="auto"/>
                <w:sz w:val="18"/>
                <w:szCs w:val="18"/>
                <w:vertAlign w:val="subscript"/>
                <w:lang w:eastAsia="zh-CN"/>
              </w:rPr>
              <w:t>2</w:t>
            </w:r>
            <w:r>
              <w:rPr>
                <w:rFonts w:hint="eastAsia" w:ascii="仿宋_GB2312" w:hAnsi="仿宋_GB2312" w:eastAsia="仿宋_GB2312" w:cs="仿宋_GB2312"/>
                <w:color w:val="auto"/>
                <w:sz w:val="18"/>
                <w:szCs w:val="18"/>
                <w:lang w:eastAsia="zh-CN"/>
              </w:rPr>
              <w:t>计)、商业无菌、霉菌、组胺</w:t>
            </w:r>
          </w:p>
        </w:tc>
      </w:tr>
      <w:tr w14:paraId="49D9F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850" w:hRule="atLeast"/>
          <w:jc w:val="center"/>
        </w:trPr>
        <w:tc>
          <w:tcPr>
            <w:tcW w:w="453" w:type="dxa"/>
            <w:vMerge w:val="continue"/>
            <w:vAlign w:val="center"/>
          </w:tcPr>
          <w:p w14:paraId="4628FD8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2011D2E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restart"/>
            <w:vAlign w:val="center"/>
          </w:tcPr>
          <w:p w14:paraId="4FDE842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营养补充品</w:t>
            </w:r>
          </w:p>
        </w:tc>
        <w:tc>
          <w:tcPr>
            <w:tcW w:w="1578" w:type="dxa"/>
            <w:vMerge w:val="restart"/>
            <w:vAlign w:val="center"/>
          </w:tcPr>
          <w:p w14:paraId="79A9579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营养补充品</w:t>
            </w:r>
          </w:p>
        </w:tc>
        <w:tc>
          <w:tcPr>
            <w:tcW w:w="1583" w:type="dxa"/>
            <w:vAlign w:val="center"/>
          </w:tcPr>
          <w:p w14:paraId="49534E4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辅食营养素补充食品、辅食营养素补充片、辅食营养素撒剂</w:t>
            </w:r>
          </w:p>
        </w:tc>
        <w:tc>
          <w:tcPr>
            <w:tcW w:w="680" w:type="dxa"/>
            <w:vAlign w:val="center"/>
          </w:tcPr>
          <w:p w14:paraId="7CB4571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258F3230">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蛋白质、钙、铁、锌、维生素A、维生素D、维生素B</w:t>
            </w:r>
            <w:r>
              <w:rPr>
                <w:rFonts w:hint="eastAsia" w:ascii="仿宋_GB2312" w:hAnsi="仿宋_GB2312" w:eastAsia="仿宋_GB2312" w:cs="仿宋_GB2312"/>
                <w:color w:val="auto"/>
                <w:sz w:val="18"/>
                <w:szCs w:val="18"/>
                <w:vertAlign w:val="subscript"/>
                <w:lang w:eastAsia="zh-CN"/>
              </w:rPr>
              <w:t>1</w:t>
            </w:r>
            <w:r>
              <w:rPr>
                <w:rFonts w:hint="eastAsia" w:ascii="仿宋_GB2312" w:hAnsi="仿宋_GB2312" w:eastAsia="仿宋_GB2312" w:cs="仿宋_GB2312"/>
                <w:color w:val="auto"/>
                <w:sz w:val="18"/>
                <w:szCs w:val="18"/>
                <w:lang w:eastAsia="zh-CN"/>
              </w:rPr>
              <w:t>、维生素B</w:t>
            </w:r>
            <w:r>
              <w:rPr>
                <w:rFonts w:hint="eastAsia" w:ascii="仿宋_GB2312" w:hAnsi="仿宋_GB2312" w:eastAsia="仿宋_GB2312" w:cs="仿宋_GB2312"/>
                <w:color w:val="auto"/>
                <w:sz w:val="18"/>
                <w:szCs w:val="18"/>
                <w:vertAlign w:val="subscript"/>
                <w:lang w:eastAsia="zh-CN"/>
              </w:rPr>
              <w:t>2</w:t>
            </w:r>
            <w:r>
              <w:rPr>
                <w:rFonts w:hint="eastAsia" w:ascii="仿宋_GB2312" w:hAnsi="仿宋_GB2312" w:eastAsia="仿宋_GB2312" w:cs="仿宋_GB2312"/>
                <w:color w:val="auto"/>
                <w:sz w:val="18"/>
                <w:szCs w:val="18"/>
                <w:lang w:eastAsia="zh-CN"/>
              </w:rPr>
              <w:t>、维生素K</w:t>
            </w:r>
            <w:r>
              <w:rPr>
                <w:rFonts w:hint="eastAsia" w:ascii="仿宋_GB2312" w:hAnsi="仿宋_GB2312" w:eastAsia="仿宋_GB2312" w:cs="仿宋_GB2312"/>
                <w:color w:val="auto"/>
                <w:sz w:val="18"/>
                <w:szCs w:val="18"/>
                <w:vertAlign w:val="subscript"/>
                <w:lang w:eastAsia="zh-CN"/>
              </w:rPr>
              <w:t>1</w:t>
            </w:r>
            <w:r>
              <w:rPr>
                <w:rFonts w:hint="eastAsia" w:ascii="仿宋_GB2312" w:hAnsi="仿宋_GB2312" w:eastAsia="仿宋_GB2312" w:cs="仿宋_GB2312"/>
                <w:color w:val="auto"/>
                <w:sz w:val="18"/>
                <w:szCs w:val="18"/>
                <w:lang w:eastAsia="zh-CN"/>
              </w:rPr>
              <w:t>、烟酸(烟酰胺)、维生素B</w:t>
            </w:r>
            <w:r>
              <w:rPr>
                <w:rFonts w:hint="eastAsia" w:ascii="仿宋_GB2312" w:hAnsi="仿宋_GB2312" w:eastAsia="仿宋_GB2312" w:cs="仿宋_GB2312"/>
                <w:color w:val="auto"/>
                <w:sz w:val="18"/>
                <w:szCs w:val="18"/>
                <w:vertAlign w:val="subscript"/>
                <w:lang w:eastAsia="zh-CN"/>
              </w:rPr>
              <w:t>6</w:t>
            </w:r>
            <w:r>
              <w:rPr>
                <w:rFonts w:hint="eastAsia" w:ascii="仿宋_GB2312" w:hAnsi="仿宋_GB2312" w:eastAsia="仿宋_GB2312" w:cs="仿宋_GB2312"/>
                <w:color w:val="auto"/>
                <w:sz w:val="18"/>
                <w:szCs w:val="18"/>
                <w:lang w:eastAsia="zh-CN"/>
              </w:rPr>
              <w:t>、叶酸、维生素B</w:t>
            </w:r>
            <w:r>
              <w:rPr>
                <w:rFonts w:hint="eastAsia" w:ascii="仿宋_GB2312" w:hAnsi="仿宋_GB2312" w:eastAsia="仿宋_GB2312" w:cs="仿宋_GB2312"/>
                <w:color w:val="auto"/>
                <w:sz w:val="18"/>
                <w:szCs w:val="18"/>
                <w:vertAlign w:val="subscript"/>
                <w:lang w:eastAsia="zh-CN"/>
              </w:rPr>
              <w:t>12</w:t>
            </w:r>
            <w:r>
              <w:rPr>
                <w:rFonts w:hint="eastAsia" w:ascii="仿宋_GB2312" w:hAnsi="仿宋_GB2312" w:eastAsia="仿宋_GB2312" w:cs="仿宋_GB2312"/>
                <w:color w:val="auto"/>
                <w:sz w:val="18"/>
                <w:szCs w:val="18"/>
                <w:lang w:eastAsia="zh-CN"/>
              </w:rPr>
              <w:t>、泛酸、胆碱、生物素、维生素C、二十二碳六烯酸、脲酶活性定性、铅(以Pb计)、总砷(以As计)、黄曲霉毒素M</w:t>
            </w:r>
            <w:r>
              <w:rPr>
                <w:rFonts w:hint="eastAsia" w:ascii="仿宋_GB2312" w:hAnsi="仿宋_GB2312" w:eastAsia="仿宋_GB2312" w:cs="仿宋_GB2312"/>
                <w:color w:val="auto"/>
                <w:sz w:val="18"/>
                <w:szCs w:val="18"/>
                <w:vertAlign w:val="subscript"/>
                <w:lang w:eastAsia="zh-CN"/>
              </w:rPr>
              <w:t>1</w:t>
            </w:r>
            <w:r>
              <w:rPr>
                <w:rFonts w:hint="eastAsia" w:ascii="仿宋_GB2312" w:hAnsi="仿宋_GB2312" w:eastAsia="仿宋_GB2312" w:cs="仿宋_GB2312"/>
                <w:color w:val="auto"/>
                <w:sz w:val="18"/>
                <w:szCs w:val="18"/>
                <w:lang w:eastAsia="zh-CN"/>
              </w:rPr>
              <w:t>、黄曲霉毒素B</w:t>
            </w:r>
            <w:r>
              <w:rPr>
                <w:rFonts w:hint="eastAsia" w:ascii="仿宋_GB2312" w:hAnsi="仿宋_GB2312" w:eastAsia="仿宋_GB2312" w:cs="仿宋_GB2312"/>
                <w:color w:val="auto"/>
                <w:sz w:val="18"/>
                <w:szCs w:val="18"/>
                <w:vertAlign w:val="subscript"/>
                <w:lang w:eastAsia="zh-CN"/>
              </w:rPr>
              <w:t>1</w:t>
            </w:r>
            <w:r>
              <w:rPr>
                <w:rFonts w:hint="eastAsia" w:ascii="仿宋_GB2312" w:hAnsi="仿宋_GB2312" w:eastAsia="仿宋_GB2312" w:cs="仿宋_GB2312"/>
                <w:color w:val="auto"/>
                <w:sz w:val="18"/>
                <w:szCs w:val="18"/>
                <w:lang w:eastAsia="zh-CN"/>
              </w:rPr>
              <w:t>、硝酸盐(以NaNO</w:t>
            </w:r>
            <w:r>
              <w:rPr>
                <w:rFonts w:hint="eastAsia" w:ascii="仿宋_GB2312" w:hAnsi="仿宋_GB2312" w:eastAsia="仿宋_GB2312" w:cs="仿宋_GB2312"/>
                <w:color w:val="auto"/>
                <w:sz w:val="18"/>
                <w:szCs w:val="18"/>
                <w:vertAlign w:val="subscript"/>
                <w:lang w:eastAsia="zh-CN"/>
              </w:rPr>
              <w:t>3</w:t>
            </w:r>
            <w:r>
              <w:rPr>
                <w:rFonts w:hint="eastAsia" w:ascii="仿宋_GB2312" w:hAnsi="仿宋_GB2312" w:eastAsia="仿宋_GB2312" w:cs="仿宋_GB2312"/>
                <w:color w:val="auto"/>
                <w:sz w:val="18"/>
                <w:szCs w:val="18"/>
                <w:lang w:eastAsia="zh-CN"/>
              </w:rPr>
              <w:t>计)、亚硝酸盐(以NaNO</w:t>
            </w:r>
            <w:r>
              <w:rPr>
                <w:rFonts w:hint="eastAsia" w:ascii="仿宋_GB2312" w:hAnsi="仿宋_GB2312" w:eastAsia="仿宋_GB2312" w:cs="仿宋_GB2312"/>
                <w:color w:val="auto"/>
                <w:sz w:val="18"/>
                <w:szCs w:val="18"/>
                <w:vertAlign w:val="subscript"/>
                <w:lang w:eastAsia="zh-CN"/>
              </w:rPr>
              <w:t>2</w:t>
            </w:r>
            <w:r>
              <w:rPr>
                <w:rFonts w:hint="eastAsia" w:ascii="仿宋_GB2312" w:hAnsi="仿宋_GB2312" w:eastAsia="仿宋_GB2312" w:cs="仿宋_GB2312"/>
                <w:color w:val="auto"/>
                <w:sz w:val="18"/>
                <w:szCs w:val="18"/>
                <w:lang w:eastAsia="zh-CN"/>
              </w:rPr>
              <w:t>计)、菌落总数、大肠菌群、沙门氏菌、金黄色葡萄球菌</w:t>
            </w:r>
          </w:p>
        </w:tc>
      </w:tr>
      <w:tr w14:paraId="29AB3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850" w:hRule="atLeast"/>
          <w:jc w:val="center"/>
        </w:trPr>
        <w:tc>
          <w:tcPr>
            <w:tcW w:w="453" w:type="dxa"/>
            <w:vMerge w:val="continue"/>
            <w:vAlign w:val="center"/>
          </w:tcPr>
          <w:p w14:paraId="35B40DF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168A8C1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22C44CF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0CF5D54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6322EDF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孕妇及乳母营养补充食品</w:t>
            </w:r>
          </w:p>
        </w:tc>
        <w:tc>
          <w:tcPr>
            <w:tcW w:w="680" w:type="dxa"/>
            <w:vAlign w:val="center"/>
          </w:tcPr>
          <w:p w14:paraId="7C7B1A7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64DB8C17">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铁、维生素A、维生素D、叶酸、维生素B</w:t>
            </w:r>
            <w:r>
              <w:rPr>
                <w:rFonts w:hint="eastAsia" w:ascii="仿宋_GB2312" w:hAnsi="仿宋_GB2312" w:eastAsia="仿宋_GB2312" w:cs="仿宋_GB2312"/>
                <w:color w:val="auto"/>
                <w:sz w:val="18"/>
                <w:szCs w:val="18"/>
                <w:vertAlign w:val="subscript"/>
                <w:lang w:eastAsia="zh-CN"/>
              </w:rPr>
              <w:t>12</w:t>
            </w:r>
            <w:r>
              <w:rPr>
                <w:rFonts w:hint="eastAsia" w:ascii="仿宋_GB2312" w:hAnsi="仿宋_GB2312" w:eastAsia="仿宋_GB2312" w:cs="仿宋_GB2312"/>
                <w:color w:val="auto"/>
                <w:sz w:val="18"/>
                <w:szCs w:val="18"/>
                <w:lang w:eastAsia="zh-CN"/>
              </w:rPr>
              <w:t>、钙、镁、锌、硒、维生素E、维生素K、维生素B</w:t>
            </w:r>
            <w:r>
              <w:rPr>
                <w:rFonts w:hint="eastAsia" w:ascii="仿宋_GB2312" w:hAnsi="仿宋_GB2312" w:eastAsia="仿宋_GB2312" w:cs="仿宋_GB2312"/>
                <w:color w:val="auto"/>
                <w:sz w:val="18"/>
                <w:szCs w:val="18"/>
                <w:vertAlign w:val="subscript"/>
                <w:lang w:eastAsia="zh-CN"/>
              </w:rPr>
              <w:t>1</w:t>
            </w:r>
            <w:r>
              <w:rPr>
                <w:rFonts w:hint="eastAsia" w:ascii="仿宋_GB2312" w:hAnsi="仿宋_GB2312" w:eastAsia="仿宋_GB2312" w:cs="仿宋_GB2312"/>
                <w:color w:val="auto"/>
                <w:sz w:val="18"/>
                <w:szCs w:val="18"/>
                <w:lang w:eastAsia="zh-CN"/>
              </w:rPr>
              <w:t>、维生素B</w:t>
            </w:r>
            <w:r>
              <w:rPr>
                <w:rFonts w:hint="eastAsia" w:ascii="仿宋_GB2312" w:hAnsi="仿宋_GB2312" w:eastAsia="仿宋_GB2312" w:cs="仿宋_GB2312"/>
                <w:color w:val="auto"/>
                <w:sz w:val="18"/>
                <w:szCs w:val="18"/>
                <w:vertAlign w:val="subscript"/>
                <w:lang w:eastAsia="zh-CN"/>
              </w:rPr>
              <w:t>2</w:t>
            </w:r>
            <w:r>
              <w:rPr>
                <w:rFonts w:hint="eastAsia" w:ascii="仿宋_GB2312" w:hAnsi="仿宋_GB2312" w:eastAsia="仿宋_GB2312" w:cs="仿宋_GB2312"/>
                <w:color w:val="auto"/>
                <w:sz w:val="18"/>
                <w:szCs w:val="18"/>
                <w:lang w:eastAsia="zh-CN"/>
              </w:rPr>
              <w:t>、维生素B</w:t>
            </w:r>
            <w:r>
              <w:rPr>
                <w:rFonts w:hint="eastAsia" w:ascii="仿宋_GB2312" w:hAnsi="仿宋_GB2312" w:eastAsia="仿宋_GB2312" w:cs="仿宋_GB2312"/>
                <w:color w:val="auto"/>
                <w:sz w:val="18"/>
                <w:szCs w:val="18"/>
                <w:vertAlign w:val="subscript"/>
                <w:lang w:eastAsia="zh-CN"/>
              </w:rPr>
              <w:t>6</w:t>
            </w:r>
            <w:r>
              <w:rPr>
                <w:rFonts w:hint="eastAsia" w:ascii="仿宋_GB2312" w:hAnsi="仿宋_GB2312" w:eastAsia="仿宋_GB2312" w:cs="仿宋_GB2312"/>
                <w:color w:val="auto"/>
                <w:sz w:val="18"/>
                <w:szCs w:val="18"/>
                <w:lang w:eastAsia="zh-CN"/>
              </w:rPr>
              <w:t>、烟酸(烟酰胺)、泛酸、胆碱、生物素、维生素C、二十二碳六烯酸、脲酶活性定性、铅(以Pb计)、总砷(以As计)、硝酸盐(以NaNO</w:t>
            </w:r>
            <w:r>
              <w:rPr>
                <w:rFonts w:hint="eastAsia" w:ascii="仿宋_GB2312" w:hAnsi="仿宋_GB2312" w:eastAsia="仿宋_GB2312" w:cs="仿宋_GB2312"/>
                <w:color w:val="auto"/>
                <w:sz w:val="18"/>
                <w:szCs w:val="18"/>
                <w:vertAlign w:val="subscript"/>
                <w:lang w:eastAsia="zh-CN"/>
              </w:rPr>
              <w:t>3</w:t>
            </w:r>
            <w:r>
              <w:rPr>
                <w:rFonts w:hint="eastAsia" w:ascii="仿宋_GB2312" w:hAnsi="仿宋_GB2312" w:eastAsia="仿宋_GB2312" w:cs="仿宋_GB2312"/>
                <w:color w:val="auto"/>
                <w:sz w:val="18"/>
                <w:szCs w:val="18"/>
                <w:lang w:eastAsia="zh-CN"/>
              </w:rPr>
              <w:t>计)、亚硝酸盐(以NaNO</w:t>
            </w:r>
            <w:r>
              <w:rPr>
                <w:rFonts w:hint="eastAsia" w:ascii="仿宋_GB2312" w:hAnsi="仿宋_GB2312" w:eastAsia="仿宋_GB2312" w:cs="仿宋_GB2312"/>
                <w:color w:val="auto"/>
                <w:sz w:val="18"/>
                <w:szCs w:val="18"/>
                <w:vertAlign w:val="subscript"/>
                <w:lang w:eastAsia="zh-CN"/>
              </w:rPr>
              <w:t>2</w:t>
            </w:r>
            <w:r>
              <w:rPr>
                <w:rFonts w:hint="eastAsia" w:ascii="仿宋_GB2312" w:hAnsi="仿宋_GB2312" w:eastAsia="仿宋_GB2312" w:cs="仿宋_GB2312"/>
                <w:color w:val="auto"/>
                <w:sz w:val="18"/>
                <w:szCs w:val="18"/>
                <w:lang w:eastAsia="zh-CN"/>
              </w:rPr>
              <w:t>计)、黄曲霉毒素M</w:t>
            </w:r>
            <w:r>
              <w:rPr>
                <w:rFonts w:hint="eastAsia" w:ascii="仿宋_GB2312" w:hAnsi="仿宋_GB2312" w:eastAsia="仿宋_GB2312" w:cs="仿宋_GB2312"/>
                <w:color w:val="auto"/>
                <w:sz w:val="18"/>
                <w:szCs w:val="18"/>
                <w:vertAlign w:val="subscript"/>
                <w:lang w:eastAsia="zh-CN"/>
              </w:rPr>
              <w:t>1</w:t>
            </w:r>
            <w:r>
              <w:rPr>
                <w:rFonts w:hint="eastAsia" w:ascii="仿宋_GB2312" w:hAnsi="仿宋_GB2312" w:eastAsia="仿宋_GB2312" w:cs="仿宋_GB2312"/>
                <w:color w:val="auto"/>
                <w:sz w:val="18"/>
                <w:szCs w:val="18"/>
                <w:lang w:eastAsia="zh-CN"/>
              </w:rPr>
              <w:t>、黄曲霉毒素B</w:t>
            </w:r>
            <w:r>
              <w:rPr>
                <w:rFonts w:hint="eastAsia" w:ascii="仿宋_GB2312" w:hAnsi="仿宋_GB2312" w:eastAsia="仿宋_GB2312" w:cs="仿宋_GB2312"/>
                <w:color w:val="auto"/>
                <w:sz w:val="18"/>
                <w:szCs w:val="18"/>
                <w:vertAlign w:val="subscript"/>
                <w:lang w:eastAsia="zh-CN"/>
              </w:rPr>
              <w:t>1</w:t>
            </w:r>
            <w:r>
              <w:rPr>
                <w:rFonts w:hint="eastAsia" w:ascii="仿宋_GB2312" w:hAnsi="仿宋_GB2312" w:eastAsia="仿宋_GB2312" w:cs="仿宋_GB2312"/>
                <w:color w:val="auto"/>
                <w:sz w:val="18"/>
                <w:szCs w:val="18"/>
                <w:lang w:eastAsia="zh-CN"/>
              </w:rPr>
              <w:t>、大肠菌群、沙门氏菌、金黄色葡萄球菌</w:t>
            </w:r>
          </w:p>
        </w:tc>
      </w:tr>
      <w:tr w14:paraId="5D379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24" w:hRule="atLeast"/>
          <w:jc w:val="center"/>
        </w:trPr>
        <w:tc>
          <w:tcPr>
            <w:tcW w:w="453" w:type="dxa"/>
            <w:vMerge w:val="continue"/>
            <w:vAlign w:val="center"/>
          </w:tcPr>
          <w:p w14:paraId="7FF68AC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256E95C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3CED736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23AE4B1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449AC6E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运动营养食品</w:t>
            </w:r>
          </w:p>
        </w:tc>
        <w:tc>
          <w:tcPr>
            <w:tcW w:w="680" w:type="dxa"/>
            <w:vAlign w:val="center"/>
          </w:tcPr>
          <w:p w14:paraId="018B1F4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1E254358">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咖啡因、肌酸、肽类、维生素A、维生素D、维生素E、维生素B</w:t>
            </w:r>
            <w:r>
              <w:rPr>
                <w:rFonts w:hint="eastAsia" w:ascii="仿宋_GB2312" w:hAnsi="仿宋_GB2312" w:eastAsia="仿宋_GB2312" w:cs="仿宋_GB2312"/>
                <w:color w:val="auto"/>
                <w:sz w:val="18"/>
                <w:szCs w:val="18"/>
                <w:vertAlign w:val="subscript"/>
                <w:lang w:eastAsia="zh-CN"/>
              </w:rPr>
              <w:t>1</w:t>
            </w:r>
            <w:r>
              <w:rPr>
                <w:rFonts w:hint="eastAsia" w:ascii="仿宋_GB2312" w:hAnsi="仿宋_GB2312" w:eastAsia="仿宋_GB2312" w:cs="仿宋_GB2312"/>
                <w:color w:val="auto"/>
                <w:sz w:val="18"/>
                <w:szCs w:val="18"/>
                <w:lang w:eastAsia="zh-CN"/>
              </w:rPr>
              <w:t>、维生素B</w:t>
            </w:r>
            <w:r>
              <w:rPr>
                <w:rFonts w:hint="eastAsia" w:ascii="仿宋_GB2312" w:hAnsi="仿宋_GB2312" w:eastAsia="仿宋_GB2312" w:cs="仿宋_GB2312"/>
                <w:color w:val="auto"/>
                <w:sz w:val="18"/>
                <w:szCs w:val="18"/>
                <w:vertAlign w:val="subscript"/>
                <w:lang w:eastAsia="zh-CN"/>
              </w:rPr>
              <w:t>2</w:t>
            </w:r>
            <w:r>
              <w:rPr>
                <w:rFonts w:hint="eastAsia" w:ascii="仿宋_GB2312" w:hAnsi="仿宋_GB2312" w:eastAsia="仿宋_GB2312" w:cs="仿宋_GB2312"/>
                <w:color w:val="auto"/>
                <w:sz w:val="18"/>
                <w:szCs w:val="18"/>
                <w:lang w:eastAsia="zh-CN"/>
              </w:rPr>
              <w:t>、维生素B</w:t>
            </w:r>
            <w:r>
              <w:rPr>
                <w:rFonts w:hint="eastAsia" w:ascii="仿宋_GB2312" w:hAnsi="仿宋_GB2312" w:eastAsia="仿宋_GB2312" w:cs="仿宋_GB2312"/>
                <w:color w:val="auto"/>
                <w:sz w:val="18"/>
                <w:szCs w:val="18"/>
                <w:vertAlign w:val="subscript"/>
                <w:lang w:eastAsia="zh-CN"/>
              </w:rPr>
              <w:t>6</w:t>
            </w:r>
            <w:r>
              <w:rPr>
                <w:rFonts w:hint="eastAsia" w:ascii="仿宋_GB2312" w:hAnsi="仿宋_GB2312" w:eastAsia="仿宋_GB2312" w:cs="仿宋_GB2312"/>
                <w:color w:val="auto"/>
                <w:sz w:val="18"/>
                <w:szCs w:val="18"/>
                <w:lang w:eastAsia="zh-CN"/>
              </w:rPr>
              <w:t>、维生素B</w:t>
            </w:r>
            <w:r>
              <w:rPr>
                <w:rFonts w:hint="eastAsia" w:ascii="仿宋_GB2312" w:hAnsi="仿宋_GB2312" w:eastAsia="仿宋_GB2312" w:cs="仿宋_GB2312"/>
                <w:color w:val="auto"/>
                <w:sz w:val="18"/>
                <w:szCs w:val="18"/>
                <w:vertAlign w:val="subscript"/>
                <w:lang w:eastAsia="zh-CN"/>
              </w:rPr>
              <w:t>12</w:t>
            </w:r>
            <w:r>
              <w:rPr>
                <w:rFonts w:hint="eastAsia" w:ascii="仿宋_GB2312" w:hAnsi="仿宋_GB2312" w:eastAsia="仿宋_GB2312" w:cs="仿宋_GB2312"/>
                <w:color w:val="auto"/>
                <w:sz w:val="18"/>
                <w:szCs w:val="18"/>
                <w:lang w:eastAsia="zh-CN"/>
              </w:rPr>
              <w:t>、维生素C、叶酸、烟酸、生物素、泛酸、钙、钠、钾、镁、铁、锌、硒、铜、碘、锰、磷、钼、铬、左旋肉碱、牛磺酸、铅(以Pb计)、总砷(以As计)、黄曲霉毒素M</w:t>
            </w:r>
            <w:r>
              <w:rPr>
                <w:rFonts w:hint="eastAsia" w:ascii="仿宋_GB2312" w:hAnsi="仿宋_GB2312" w:eastAsia="仿宋_GB2312" w:cs="仿宋_GB2312"/>
                <w:color w:val="auto"/>
                <w:sz w:val="18"/>
                <w:szCs w:val="18"/>
                <w:vertAlign w:val="subscript"/>
                <w:lang w:eastAsia="zh-CN"/>
              </w:rPr>
              <w:t>1</w:t>
            </w:r>
            <w:r>
              <w:rPr>
                <w:rFonts w:hint="eastAsia" w:ascii="仿宋_GB2312" w:hAnsi="仿宋_GB2312" w:eastAsia="仿宋_GB2312" w:cs="仿宋_GB2312"/>
                <w:color w:val="auto"/>
                <w:sz w:val="18"/>
                <w:szCs w:val="18"/>
                <w:lang w:eastAsia="zh-CN"/>
              </w:rPr>
              <w:t>、黄曲霉毒素B</w:t>
            </w:r>
            <w:r>
              <w:rPr>
                <w:rFonts w:hint="eastAsia" w:ascii="仿宋_GB2312" w:hAnsi="仿宋_GB2312" w:eastAsia="仿宋_GB2312" w:cs="仿宋_GB2312"/>
                <w:color w:val="auto"/>
                <w:sz w:val="18"/>
                <w:szCs w:val="18"/>
                <w:vertAlign w:val="subscript"/>
                <w:lang w:eastAsia="zh-CN"/>
              </w:rPr>
              <w:t>1</w:t>
            </w:r>
            <w:r>
              <w:rPr>
                <w:rFonts w:hint="eastAsia" w:ascii="仿宋_GB2312" w:hAnsi="仿宋_GB2312" w:eastAsia="仿宋_GB2312" w:cs="仿宋_GB2312"/>
                <w:color w:val="auto"/>
                <w:sz w:val="18"/>
                <w:szCs w:val="18"/>
                <w:lang w:eastAsia="zh-CN"/>
              </w:rPr>
              <w:t>、沙门氏菌、金黄色葡萄球菌</w:t>
            </w:r>
          </w:p>
        </w:tc>
      </w:tr>
      <w:tr w14:paraId="1AC87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80" w:hRule="atLeast"/>
          <w:jc w:val="center"/>
        </w:trPr>
        <w:tc>
          <w:tcPr>
            <w:tcW w:w="453" w:type="dxa"/>
            <w:vMerge w:val="restart"/>
            <w:vAlign w:val="center"/>
          </w:tcPr>
          <w:p w14:paraId="699CBD5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29</w:t>
            </w:r>
          </w:p>
        </w:tc>
        <w:tc>
          <w:tcPr>
            <w:tcW w:w="940" w:type="dxa"/>
            <w:vMerge w:val="restart"/>
            <w:vAlign w:val="center"/>
          </w:tcPr>
          <w:p w14:paraId="48324B7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餐饮食品</w:t>
            </w:r>
          </w:p>
        </w:tc>
        <w:tc>
          <w:tcPr>
            <w:tcW w:w="1358" w:type="dxa"/>
            <w:vMerge w:val="restart"/>
            <w:vAlign w:val="center"/>
          </w:tcPr>
          <w:p w14:paraId="399BCFD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米面及其制品(自制)</w:t>
            </w:r>
          </w:p>
        </w:tc>
        <w:tc>
          <w:tcPr>
            <w:tcW w:w="1578" w:type="dxa"/>
            <w:vMerge w:val="restart"/>
            <w:vAlign w:val="center"/>
          </w:tcPr>
          <w:p w14:paraId="719F4F3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小麦粉制品（自制）</w:t>
            </w:r>
          </w:p>
        </w:tc>
        <w:tc>
          <w:tcPr>
            <w:tcW w:w="1583" w:type="dxa"/>
            <w:vAlign w:val="center"/>
          </w:tcPr>
          <w:p w14:paraId="2234488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kern w:val="31"/>
                <w:sz w:val="18"/>
                <w:szCs w:val="18"/>
                <w:lang w:eastAsia="zh-CN"/>
              </w:rPr>
            </w:pPr>
            <w:r>
              <w:rPr>
                <w:rFonts w:hint="eastAsia" w:ascii="仿宋_GB2312" w:hAnsi="仿宋_GB2312" w:eastAsia="仿宋_GB2312" w:cs="仿宋_GB2312"/>
                <w:color w:val="auto"/>
                <w:sz w:val="18"/>
                <w:szCs w:val="18"/>
                <w:lang w:eastAsia="zh-CN"/>
              </w:rPr>
              <w:t>馒头花卷（自制）</w:t>
            </w:r>
          </w:p>
        </w:tc>
        <w:tc>
          <w:tcPr>
            <w:tcW w:w="680" w:type="dxa"/>
            <w:vAlign w:val="center"/>
          </w:tcPr>
          <w:p w14:paraId="1D2C36F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kern w:val="31"/>
                <w:sz w:val="18"/>
                <w:szCs w:val="18"/>
                <w:lang w:eastAsia="zh-CN"/>
              </w:rPr>
            </w:pPr>
            <w:r>
              <w:rPr>
                <w:rFonts w:hint="eastAsia" w:ascii="仿宋_GB2312" w:hAnsi="仿宋_GB2312" w:eastAsia="仿宋_GB2312" w:cs="仿宋_GB2312"/>
                <w:color w:val="auto"/>
                <w:sz w:val="18"/>
                <w:szCs w:val="18"/>
                <w:lang w:eastAsia="zh-CN"/>
              </w:rPr>
              <w:t>一般</w:t>
            </w:r>
          </w:p>
        </w:tc>
        <w:tc>
          <w:tcPr>
            <w:tcW w:w="8546" w:type="dxa"/>
            <w:vAlign w:val="center"/>
          </w:tcPr>
          <w:p w14:paraId="0A05552F">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kern w:val="31"/>
                <w:sz w:val="18"/>
                <w:szCs w:val="18"/>
                <w:lang w:eastAsia="zh-CN"/>
              </w:rPr>
            </w:pPr>
            <w:r>
              <w:rPr>
                <w:rFonts w:hint="eastAsia" w:ascii="仿宋_GB2312" w:hAnsi="仿宋_GB2312" w:eastAsia="仿宋_GB2312" w:cs="仿宋_GB2312"/>
                <w:color w:val="auto"/>
                <w:sz w:val="18"/>
                <w:szCs w:val="18"/>
                <w:lang w:eastAsia="zh-CN"/>
              </w:rPr>
              <w:t>苯甲酸及其钠盐(以苯甲酸计)、山梨酸及其钾盐(以山梨酸计)、糖精钠(以糖精计)、 脱氢乙酸及其钠盐(以脱氢乙酸计)、甜蜜素(以环己基氨基磺酸计)、铅(以Pb计)、合成着色剂(柠檬黄、日落黄、胭脂红、苋菜红、亮蓝)</w:t>
            </w:r>
          </w:p>
        </w:tc>
      </w:tr>
      <w:tr w14:paraId="47C7A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67" w:hRule="atLeast"/>
          <w:jc w:val="center"/>
        </w:trPr>
        <w:tc>
          <w:tcPr>
            <w:tcW w:w="453" w:type="dxa"/>
            <w:vMerge w:val="continue"/>
            <w:vAlign w:val="center"/>
          </w:tcPr>
          <w:p w14:paraId="3773339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4805BC3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514C088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7F251FA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2428D0B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kern w:val="31"/>
                <w:sz w:val="18"/>
                <w:szCs w:val="18"/>
                <w:lang w:eastAsia="zh-CN"/>
              </w:rPr>
            </w:pPr>
            <w:r>
              <w:rPr>
                <w:rFonts w:hint="eastAsia" w:ascii="仿宋_GB2312" w:hAnsi="仿宋_GB2312" w:eastAsia="仿宋_GB2312" w:cs="仿宋_GB2312"/>
                <w:color w:val="auto"/>
                <w:sz w:val="18"/>
                <w:szCs w:val="18"/>
                <w:lang w:eastAsia="zh-CN"/>
              </w:rPr>
              <w:t>包子（自制）</w:t>
            </w:r>
          </w:p>
        </w:tc>
        <w:tc>
          <w:tcPr>
            <w:tcW w:w="680" w:type="dxa"/>
            <w:vAlign w:val="center"/>
          </w:tcPr>
          <w:p w14:paraId="244F5E7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kern w:val="31"/>
                <w:sz w:val="18"/>
                <w:szCs w:val="18"/>
                <w:lang w:eastAsia="zh-CN"/>
              </w:rPr>
            </w:pPr>
            <w:r>
              <w:rPr>
                <w:rFonts w:hint="eastAsia" w:ascii="仿宋_GB2312" w:hAnsi="仿宋_GB2312" w:eastAsia="仿宋_GB2312" w:cs="仿宋_GB2312"/>
                <w:color w:val="auto"/>
                <w:sz w:val="18"/>
                <w:szCs w:val="18"/>
                <w:lang w:eastAsia="zh-CN"/>
              </w:rPr>
              <w:t>一般</w:t>
            </w:r>
          </w:p>
        </w:tc>
        <w:tc>
          <w:tcPr>
            <w:tcW w:w="8546" w:type="dxa"/>
            <w:vAlign w:val="center"/>
          </w:tcPr>
          <w:p w14:paraId="5014E258">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kern w:val="31"/>
                <w:sz w:val="18"/>
                <w:szCs w:val="18"/>
                <w:lang w:eastAsia="zh-CN"/>
              </w:rPr>
            </w:pPr>
            <w:r>
              <w:rPr>
                <w:rFonts w:hint="eastAsia" w:ascii="仿宋_GB2312" w:hAnsi="仿宋_GB2312" w:eastAsia="仿宋_GB2312" w:cs="仿宋_GB2312"/>
                <w:color w:val="auto"/>
                <w:sz w:val="18"/>
                <w:szCs w:val="18"/>
                <w:lang w:eastAsia="zh-CN"/>
              </w:rPr>
              <w:t>苯甲酸及其钠盐(以苯甲酸计)、山梨酸及其钾盐(以山梨酸计)、糖精钠(以糖精计)、 脱氢乙酸及其钠盐(以脱氢乙酸计)、甜蜜素(以环己基氨基磺酸计)</w:t>
            </w:r>
          </w:p>
        </w:tc>
      </w:tr>
      <w:tr w14:paraId="6CA3E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453" w:type="dxa"/>
            <w:vMerge w:val="continue"/>
            <w:vAlign w:val="center"/>
          </w:tcPr>
          <w:p w14:paraId="7AE450D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6F8E2A1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2432C6B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41890B3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7EE8019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kern w:val="31"/>
                <w:sz w:val="18"/>
                <w:szCs w:val="18"/>
                <w:lang w:eastAsia="zh-CN"/>
              </w:rPr>
            </w:pPr>
            <w:r>
              <w:rPr>
                <w:rFonts w:hint="eastAsia" w:ascii="仿宋_GB2312" w:hAnsi="仿宋_GB2312" w:eastAsia="仿宋_GB2312" w:cs="仿宋_GB2312"/>
                <w:color w:val="auto"/>
                <w:sz w:val="18"/>
                <w:szCs w:val="18"/>
                <w:lang w:eastAsia="zh-CN"/>
              </w:rPr>
              <w:t>油饼油条（自制）</w:t>
            </w:r>
          </w:p>
        </w:tc>
        <w:tc>
          <w:tcPr>
            <w:tcW w:w="680" w:type="dxa"/>
            <w:vAlign w:val="center"/>
          </w:tcPr>
          <w:p w14:paraId="27BAD28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kern w:val="31"/>
                <w:sz w:val="18"/>
                <w:szCs w:val="18"/>
                <w:lang w:eastAsia="zh-CN"/>
              </w:rPr>
            </w:pPr>
            <w:r>
              <w:rPr>
                <w:rFonts w:hint="eastAsia" w:ascii="仿宋_GB2312" w:hAnsi="仿宋_GB2312" w:eastAsia="仿宋_GB2312" w:cs="仿宋_GB2312"/>
                <w:color w:val="auto"/>
                <w:sz w:val="18"/>
                <w:szCs w:val="18"/>
                <w:lang w:eastAsia="zh-CN"/>
              </w:rPr>
              <w:t>较高</w:t>
            </w:r>
          </w:p>
        </w:tc>
        <w:tc>
          <w:tcPr>
            <w:tcW w:w="8546" w:type="dxa"/>
            <w:vAlign w:val="center"/>
          </w:tcPr>
          <w:p w14:paraId="7F6BF88A">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kern w:val="31"/>
                <w:sz w:val="18"/>
                <w:szCs w:val="18"/>
                <w:lang w:eastAsia="zh-CN"/>
              </w:rPr>
            </w:pPr>
            <w:r>
              <w:rPr>
                <w:rFonts w:hint="eastAsia" w:ascii="仿宋_GB2312" w:hAnsi="仿宋_GB2312" w:eastAsia="仿宋_GB2312" w:cs="仿宋_GB2312"/>
                <w:color w:val="auto"/>
                <w:sz w:val="18"/>
                <w:szCs w:val="18"/>
                <w:lang w:eastAsia="zh-CN"/>
              </w:rPr>
              <w:t>铝的残留量(干样品，以Al计)</w:t>
            </w:r>
          </w:p>
        </w:tc>
      </w:tr>
      <w:tr w14:paraId="6BF12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453" w:type="dxa"/>
            <w:vMerge w:val="continue"/>
            <w:vAlign w:val="center"/>
          </w:tcPr>
          <w:p w14:paraId="7BEF00D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231F1E8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7E73A7C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3E381AF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6A68660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凉皮类（自制）</w:t>
            </w:r>
          </w:p>
        </w:tc>
        <w:tc>
          <w:tcPr>
            <w:tcW w:w="680" w:type="dxa"/>
            <w:vAlign w:val="center"/>
          </w:tcPr>
          <w:p w14:paraId="25D1692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较高</w:t>
            </w:r>
          </w:p>
        </w:tc>
        <w:tc>
          <w:tcPr>
            <w:tcW w:w="8546" w:type="dxa"/>
            <w:vAlign w:val="center"/>
          </w:tcPr>
          <w:p w14:paraId="256EB749">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kern w:val="31"/>
                <w:sz w:val="18"/>
                <w:szCs w:val="18"/>
                <w:lang w:eastAsia="zh-CN"/>
              </w:rPr>
            </w:pPr>
            <w:r>
              <w:rPr>
                <w:rFonts w:hint="eastAsia" w:ascii="仿宋_GB2312" w:hAnsi="仿宋_GB2312" w:eastAsia="仿宋_GB2312" w:cs="仿宋_GB2312"/>
                <w:color w:val="auto"/>
                <w:sz w:val="18"/>
                <w:szCs w:val="18"/>
                <w:lang w:eastAsia="zh-CN"/>
              </w:rPr>
              <w:t>脱氢乙酸及其钠盐(以脱氢乙酸计)、柠檬黄</w:t>
            </w:r>
          </w:p>
        </w:tc>
      </w:tr>
      <w:tr w14:paraId="22437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453" w:type="dxa"/>
            <w:vMerge w:val="continue"/>
            <w:vAlign w:val="center"/>
          </w:tcPr>
          <w:p w14:paraId="73B8EA7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4857CB1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restart"/>
            <w:vAlign w:val="center"/>
          </w:tcPr>
          <w:p w14:paraId="703EE13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肉制品(自制)</w:t>
            </w:r>
          </w:p>
        </w:tc>
        <w:tc>
          <w:tcPr>
            <w:tcW w:w="1578" w:type="dxa"/>
            <w:vMerge w:val="restart"/>
            <w:vAlign w:val="center"/>
          </w:tcPr>
          <w:p w14:paraId="1DBAE5A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熟肉制品(自制)</w:t>
            </w:r>
          </w:p>
        </w:tc>
        <w:tc>
          <w:tcPr>
            <w:tcW w:w="1583" w:type="dxa"/>
            <w:vAlign w:val="center"/>
          </w:tcPr>
          <w:p w14:paraId="34ADC54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肉冻皮冻(自制)</w:t>
            </w:r>
          </w:p>
        </w:tc>
        <w:tc>
          <w:tcPr>
            <w:tcW w:w="680" w:type="dxa"/>
            <w:vAlign w:val="center"/>
          </w:tcPr>
          <w:p w14:paraId="331A19B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58278559">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铬(以Cr计)</w:t>
            </w:r>
          </w:p>
        </w:tc>
      </w:tr>
      <w:tr w14:paraId="3FDAE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453" w:type="dxa"/>
            <w:vMerge w:val="continue"/>
            <w:vAlign w:val="center"/>
          </w:tcPr>
          <w:p w14:paraId="2F324C8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940" w:type="dxa"/>
            <w:vMerge w:val="continue"/>
            <w:vAlign w:val="center"/>
          </w:tcPr>
          <w:p w14:paraId="4B4DA9E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1358" w:type="dxa"/>
            <w:vMerge w:val="continue"/>
            <w:vAlign w:val="center"/>
          </w:tcPr>
          <w:p w14:paraId="3732579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1578" w:type="dxa"/>
            <w:vMerge w:val="continue"/>
            <w:vAlign w:val="center"/>
          </w:tcPr>
          <w:p w14:paraId="2949BBC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1583" w:type="dxa"/>
            <w:vAlign w:val="center"/>
          </w:tcPr>
          <w:p w14:paraId="739F96A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熏烧烤肉类(自制)</w:t>
            </w:r>
          </w:p>
        </w:tc>
        <w:tc>
          <w:tcPr>
            <w:tcW w:w="680" w:type="dxa"/>
            <w:vAlign w:val="center"/>
          </w:tcPr>
          <w:p w14:paraId="28F1DA3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210FB706">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N-二甲基亚硝胺、苯并[</w:t>
            </w:r>
            <w:r>
              <w:rPr>
                <w:rFonts w:hint="eastAsia" w:ascii="仿宋_GB2312" w:hAnsi="仿宋_GB2312" w:eastAsia="仿宋_GB2312" w:cs="仿宋_GB2312"/>
                <w:color w:val="auto"/>
                <w:sz w:val="18"/>
                <w:szCs w:val="18"/>
              </w:rPr>
              <w:t>α</w:t>
            </w:r>
            <w:r>
              <w:rPr>
                <w:rFonts w:hint="eastAsia" w:ascii="仿宋_GB2312" w:hAnsi="仿宋_GB2312" w:eastAsia="仿宋_GB2312" w:cs="仿宋_GB2312"/>
                <w:color w:val="auto"/>
                <w:sz w:val="18"/>
                <w:szCs w:val="18"/>
                <w:lang w:eastAsia="zh-CN"/>
              </w:rPr>
              <w:t>]芘、铅(以Pb计)</w:t>
            </w:r>
          </w:p>
        </w:tc>
      </w:tr>
      <w:tr w14:paraId="57030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6782504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58B3277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Align w:val="center"/>
          </w:tcPr>
          <w:p w14:paraId="1586610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调味料(自制)</w:t>
            </w:r>
          </w:p>
        </w:tc>
        <w:tc>
          <w:tcPr>
            <w:tcW w:w="1578" w:type="dxa"/>
            <w:vAlign w:val="center"/>
          </w:tcPr>
          <w:p w14:paraId="2664DEF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调味料(自制)</w:t>
            </w:r>
          </w:p>
        </w:tc>
        <w:tc>
          <w:tcPr>
            <w:tcW w:w="1583" w:type="dxa"/>
            <w:vAlign w:val="center"/>
          </w:tcPr>
          <w:p w14:paraId="02859F6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火锅麻辣烫底料(自制)</w:t>
            </w:r>
          </w:p>
        </w:tc>
        <w:tc>
          <w:tcPr>
            <w:tcW w:w="680" w:type="dxa"/>
            <w:vAlign w:val="center"/>
          </w:tcPr>
          <w:p w14:paraId="4688937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631E4402">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罂粟碱、吗啡、可待因、那可丁</w:t>
            </w:r>
          </w:p>
        </w:tc>
      </w:tr>
      <w:tr w14:paraId="0653B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0E8886A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4C3F31A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Align w:val="center"/>
          </w:tcPr>
          <w:p w14:paraId="5D42DD5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水产制品(自制)</w:t>
            </w:r>
          </w:p>
        </w:tc>
        <w:tc>
          <w:tcPr>
            <w:tcW w:w="1578" w:type="dxa"/>
            <w:vAlign w:val="center"/>
          </w:tcPr>
          <w:p w14:paraId="1891C61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预制水产制品(自制)</w:t>
            </w:r>
          </w:p>
        </w:tc>
        <w:tc>
          <w:tcPr>
            <w:tcW w:w="1583" w:type="dxa"/>
            <w:vAlign w:val="center"/>
          </w:tcPr>
          <w:p w14:paraId="6147718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生食动物性水产品(自制)</w:t>
            </w:r>
          </w:p>
        </w:tc>
        <w:tc>
          <w:tcPr>
            <w:tcW w:w="680" w:type="dxa"/>
            <w:vAlign w:val="center"/>
          </w:tcPr>
          <w:p w14:paraId="5127FF9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07B1AC54">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铝的残留量(以即食海蜇中Al计)</w:t>
            </w:r>
          </w:p>
        </w:tc>
      </w:tr>
      <w:tr w14:paraId="29BDF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3DFF5C7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6A08803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Align w:val="center"/>
          </w:tcPr>
          <w:p w14:paraId="367DA46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坚果及籽类食品(自制)</w:t>
            </w:r>
          </w:p>
        </w:tc>
        <w:tc>
          <w:tcPr>
            <w:tcW w:w="1578" w:type="dxa"/>
            <w:vAlign w:val="center"/>
          </w:tcPr>
          <w:p w14:paraId="72751D4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坚果及籽类食品(自制)</w:t>
            </w:r>
          </w:p>
        </w:tc>
        <w:tc>
          <w:tcPr>
            <w:tcW w:w="1583" w:type="dxa"/>
            <w:vAlign w:val="center"/>
          </w:tcPr>
          <w:p w14:paraId="2523EC0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花生制品(自制)</w:t>
            </w:r>
          </w:p>
        </w:tc>
        <w:tc>
          <w:tcPr>
            <w:tcW w:w="680" w:type="dxa"/>
            <w:vAlign w:val="center"/>
          </w:tcPr>
          <w:p w14:paraId="1D4797E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22B5427E">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黄曲霉毒素B</w:t>
            </w:r>
            <w:r>
              <w:rPr>
                <w:rFonts w:hint="eastAsia" w:ascii="仿宋_GB2312" w:hAnsi="仿宋_GB2312" w:eastAsia="仿宋_GB2312" w:cs="仿宋_GB2312"/>
                <w:color w:val="auto"/>
                <w:sz w:val="18"/>
                <w:szCs w:val="18"/>
                <w:vertAlign w:val="subscript"/>
                <w:lang w:eastAsia="zh-CN"/>
              </w:rPr>
              <w:t>1</w:t>
            </w:r>
            <w:r>
              <w:rPr>
                <w:rFonts w:hint="eastAsia" w:ascii="仿宋_GB2312" w:hAnsi="仿宋_GB2312" w:eastAsia="仿宋_GB2312" w:cs="仿宋_GB2312"/>
                <w:color w:val="auto"/>
                <w:sz w:val="18"/>
                <w:szCs w:val="18"/>
                <w:lang w:eastAsia="zh-CN"/>
              </w:rPr>
              <w:t>、苯甲酸及其钠盐(以苯甲酸计)、山梨酸及其钾盐(以山梨酸计)、脱氢乙酸及其钠盐(以脱氢乙酸计)</w:t>
            </w:r>
          </w:p>
        </w:tc>
      </w:tr>
      <w:tr w14:paraId="3E52D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317B19E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7CD0A4B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restart"/>
            <w:vAlign w:val="center"/>
          </w:tcPr>
          <w:p w14:paraId="3D3347D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餐饮具</w:t>
            </w:r>
          </w:p>
        </w:tc>
        <w:tc>
          <w:tcPr>
            <w:tcW w:w="1578" w:type="dxa"/>
            <w:vMerge w:val="restart"/>
            <w:vAlign w:val="center"/>
          </w:tcPr>
          <w:p w14:paraId="6D52ACD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复用餐饮具</w:t>
            </w:r>
          </w:p>
        </w:tc>
        <w:tc>
          <w:tcPr>
            <w:tcW w:w="1583" w:type="dxa"/>
            <w:vAlign w:val="center"/>
          </w:tcPr>
          <w:p w14:paraId="6454BC5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复用餐饮具(餐馆自行消毒)</w:t>
            </w:r>
          </w:p>
        </w:tc>
        <w:tc>
          <w:tcPr>
            <w:tcW w:w="680" w:type="dxa"/>
            <w:vAlign w:val="center"/>
          </w:tcPr>
          <w:p w14:paraId="05236C2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6A911CD1">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阴离子合成洗涤剂(以十二烷基苯磺酸钠计)、大肠菌群</w:t>
            </w:r>
          </w:p>
        </w:tc>
      </w:tr>
      <w:tr w14:paraId="1247F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0F9E6AE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7BBD849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6B7477A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36FA922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39DB286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复用餐饮具(集中清洗消毒服务单位消毒)</w:t>
            </w:r>
          </w:p>
        </w:tc>
        <w:tc>
          <w:tcPr>
            <w:tcW w:w="680" w:type="dxa"/>
            <w:vAlign w:val="center"/>
          </w:tcPr>
          <w:p w14:paraId="0E62F0D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2780E0B8">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阴离子合成洗涤剂(以十二烷基苯磺酸钠计)、大肠菌群</w:t>
            </w:r>
          </w:p>
        </w:tc>
      </w:tr>
      <w:tr w14:paraId="53C04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5F1959F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36EBE9F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Align w:val="center"/>
          </w:tcPr>
          <w:p w14:paraId="2AB8F5F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焙烤食品(自制)</w:t>
            </w:r>
          </w:p>
        </w:tc>
        <w:tc>
          <w:tcPr>
            <w:tcW w:w="1578" w:type="dxa"/>
            <w:vAlign w:val="center"/>
          </w:tcPr>
          <w:p w14:paraId="253BDDD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焙烤食品(自制)</w:t>
            </w:r>
          </w:p>
        </w:tc>
        <w:tc>
          <w:tcPr>
            <w:tcW w:w="1583" w:type="dxa"/>
            <w:vAlign w:val="center"/>
          </w:tcPr>
          <w:p w14:paraId="6523E03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糕点(自制)</w:t>
            </w:r>
          </w:p>
        </w:tc>
        <w:tc>
          <w:tcPr>
            <w:tcW w:w="680" w:type="dxa"/>
            <w:vAlign w:val="center"/>
          </w:tcPr>
          <w:p w14:paraId="3052E4A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5651D027">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酸价(以脂肪计)(KOH)、过氧化值(以脂肪计)、山梨酸及其钾盐(以山梨酸计)、脱氢乙酸及其钠盐(以脱氢乙酸计)、铝的残留量(干样品，以Al计)</w:t>
            </w:r>
          </w:p>
        </w:tc>
      </w:tr>
      <w:tr w14:paraId="596E0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28E1DC5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178A211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Align w:val="center"/>
          </w:tcPr>
          <w:p w14:paraId="72596E4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食用油、油脂及其制品(自制)</w:t>
            </w:r>
          </w:p>
        </w:tc>
        <w:tc>
          <w:tcPr>
            <w:tcW w:w="1578" w:type="dxa"/>
            <w:vAlign w:val="center"/>
          </w:tcPr>
          <w:p w14:paraId="0F025EA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食用油、油脂及其制品(自制)</w:t>
            </w:r>
          </w:p>
        </w:tc>
        <w:tc>
          <w:tcPr>
            <w:tcW w:w="1583" w:type="dxa"/>
            <w:vAlign w:val="center"/>
          </w:tcPr>
          <w:p w14:paraId="29FB48C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煎炸过程用油</w:t>
            </w:r>
          </w:p>
        </w:tc>
        <w:tc>
          <w:tcPr>
            <w:tcW w:w="680" w:type="dxa"/>
            <w:vAlign w:val="center"/>
          </w:tcPr>
          <w:p w14:paraId="727B944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23D9BE6D">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极性组分、酸价(KOH)</w:t>
            </w:r>
          </w:p>
        </w:tc>
      </w:tr>
      <w:tr w14:paraId="160FD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73DF125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940" w:type="dxa"/>
            <w:vMerge w:val="continue"/>
            <w:vAlign w:val="center"/>
          </w:tcPr>
          <w:p w14:paraId="2C546AC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1358" w:type="dxa"/>
            <w:vAlign w:val="center"/>
          </w:tcPr>
          <w:p w14:paraId="6B9A95E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淀粉制品(自制)</w:t>
            </w:r>
          </w:p>
        </w:tc>
        <w:tc>
          <w:tcPr>
            <w:tcW w:w="1578" w:type="dxa"/>
            <w:vAlign w:val="center"/>
          </w:tcPr>
          <w:p w14:paraId="798902B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粉丝粉条</w:t>
            </w:r>
            <w:r>
              <w:rPr>
                <w:rFonts w:hint="eastAsia" w:ascii="仿宋_GB2312" w:hAnsi="仿宋_GB2312" w:eastAsia="仿宋_GB2312" w:cs="仿宋_GB2312"/>
                <w:color w:val="auto"/>
                <w:sz w:val="18"/>
                <w:szCs w:val="18"/>
              </w:rPr>
              <w:t>(自制)</w:t>
            </w:r>
          </w:p>
        </w:tc>
        <w:tc>
          <w:tcPr>
            <w:tcW w:w="1583" w:type="dxa"/>
            <w:vAlign w:val="center"/>
          </w:tcPr>
          <w:p w14:paraId="4AC3C08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粉丝粉条(自制)</w:t>
            </w:r>
          </w:p>
        </w:tc>
        <w:tc>
          <w:tcPr>
            <w:tcW w:w="680" w:type="dxa"/>
            <w:vAlign w:val="center"/>
          </w:tcPr>
          <w:p w14:paraId="6402F70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6B283D94">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铝的残留量(干样品，以Al计)、脱氢乙酸及其钠盐(以脱氢乙酸计)</w:t>
            </w:r>
          </w:p>
        </w:tc>
      </w:tr>
      <w:tr w14:paraId="2EADD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478C62B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1FF5C06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Align w:val="center"/>
          </w:tcPr>
          <w:p w14:paraId="64756B8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饮料（自制）</w:t>
            </w:r>
          </w:p>
        </w:tc>
        <w:tc>
          <w:tcPr>
            <w:tcW w:w="1578" w:type="dxa"/>
            <w:vAlign w:val="center"/>
          </w:tcPr>
          <w:p w14:paraId="2A262E1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饮料（自制）</w:t>
            </w:r>
          </w:p>
        </w:tc>
        <w:tc>
          <w:tcPr>
            <w:tcW w:w="1583" w:type="dxa"/>
            <w:vAlign w:val="center"/>
          </w:tcPr>
          <w:p w14:paraId="62EC84B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奶茶（自制）</w:t>
            </w:r>
          </w:p>
        </w:tc>
        <w:tc>
          <w:tcPr>
            <w:tcW w:w="680" w:type="dxa"/>
            <w:vAlign w:val="center"/>
          </w:tcPr>
          <w:p w14:paraId="39AFA5E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较高</w:t>
            </w:r>
          </w:p>
        </w:tc>
        <w:tc>
          <w:tcPr>
            <w:tcW w:w="8546" w:type="dxa"/>
            <w:vAlign w:val="center"/>
          </w:tcPr>
          <w:p w14:paraId="7F2FC3D9">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脱氢乙酸及其钠盐(以脱氢乙酸计)</w:t>
            </w:r>
          </w:p>
        </w:tc>
      </w:tr>
      <w:tr w14:paraId="505F9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restart"/>
            <w:vAlign w:val="center"/>
          </w:tcPr>
          <w:p w14:paraId="4F97512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30</w:t>
            </w:r>
          </w:p>
        </w:tc>
        <w:tc>
          <w:tcPr>
            <w:tcW w:w="940" w:type="dxa"/>
            <w:vMerge w:val="restart"/>
            <w:vAlign w:val="center"/>
          </w:tcPr>
          <w:p w14:paraId="11263A8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食品添加剂</w:t>
            </w:r>
          </w:p>
        </w:tc>
        <w:tc>
          <w:tcPr>
            <w:tcW w:w="1358" w:type="dxa"/>
            <w:vMerge w:val="restart"/>
            <w:vAlign w:val="center"/>
          </w:tcPr>
          <w:p w14:paraId="57A4C9D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食品添加剂</w:t>
            </w:r>
          </w:p>
        </w:tc>
        <w:tc>
          <w:tcPr>
            <w:tcW w:w="1578" w:type="dxa"/>
            <w:vAlign w:val="center"/>
          </w:tcPr>
          <w:p w14:paraId="36C058A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复配食品添加剂</w:t>
            </w:r>
          </w:p>
        </w:tc>
        <w:tc>
          <w:tcPr>
            <w:tcW w:w="1583" w:type="dxa"/>
            <w:vAlign w:val="center"/>
          </w:tcPr>
          <w:p w14:paraId="46434FE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复配食品添加剂</w:t>
            </w:r>
          </w:p>
        </w:tc>
        <w:tc>
          <w:tcPr>
            <w:tcW w:w="680" w:type="dxa"/>
            <w:vAlign w:val="center"/>
          </w:tcPr>
          <w:p w14:paraId="56B9C8D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4443730D">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铅(Pb)、砷(以As计)、致病性微生物</w:t>
            </w:r>
          </w:p>
        </w:tc>
      </w:tr>
      <w:tr w14:paraId="620C4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0FDDD31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762370D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7518440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35CE5C6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食品用香精</w:t>
            </w:r>
          </w:p>
        </w:tc>
        <w:tc>
          <w:tcPr>
            <w:tcW w:w="1583" w:type="dxa"/>
            <w:vAlign w:val="center"/>
          </w:tcPr>
          <w:p w14:paraId="0EB1EFD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食品用香精</w:t>
            </w:r>
          </w:p>
        </w:tc>
        <w:tc>
          <w:tcPr>
            <w:tcW w:w="680" w:type="dxa"/>
            <w:vAlign w:val="center"/>
          </w:tcPr>
          <w:p w14:paraId="6C8FEF0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4B63FB3B">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砷(以As计)含量/无机砷含量、菌落总数</w:t>
            </w:r>
          </w:p>
        </w:tc>
      </w:tr>
      <w:tr w14:paraId="3B02C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751F38D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7DB8A33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65FA470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restart"/>
            <w:vAlign w:val="center"/>
          </w:tcPr>
          <w:p w14:paraId="74234C4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单一食品添加剂</w:t>
            </w:r>
          </w:p>
        </w:tc>
        <w:tc>
          <w:tcPr>
            <w:tcW w:w="1583" w:type="dxa"/>
            <w:vAlign w:val="center"/>
          </w:tcPr>
          <w:p w14:paraId="797E045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明胶</w:t>
            </w:r>
          </w:p>
        </w:tc>
        <w:tc>
          <w:tcPr>
            <w:tcW w:w="680" w:type="dxa"/>
            <w:vAlign w:val="center"/>
          </w:tcPr>
          <w:p w14:paraId="28ABFCE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7DB6272D">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铬(Cr)、铅(Pb)、总砷(As)、二氧化硫、过氧化物</w:t>
            </w:r>
          </w:p>
        </w:tc>
      </w:tr>
      <w:tr w14:paraId="4BEC6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55B4BA8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940" w:type="dxa"/>
            <w:vMerge w:val="continue"/>
            <w:vAlign w:val="center"/>
          </w:tcPr>
          <w:p w14:paraId="5DD69E3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1358" w:type="dxa"/>
            <w:vMerge w:val="continue"/>
            <w:vAlign w:val="center"/>
          </w:tcPr>
          <w:p w14:paraId="44CE3BF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1578" w:type="dxa"/>
            <w:vMerge w:val="continue"/>
            <w:vAlign w:val="center"/>
          </w:tcPr>
          <w:p w14:paraId="61478BF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1583" w:type="dxa"/>
            <w:vAlign w:val="center"/>
          </w:tcPr>
          <w:p w14:paraId="14B37A8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糖精钠</w:t>
            </w:r>
          </w:p>
        </w:tc>
        <w:tc>
          <w:tcPr>
            <w:tcW w:w="680" w:type="dxa"/>
            <w:vAlign w:val="center"/>
          </w:tcPr>
          <w:p w14:paraId="50645C6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1EB0748A">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糖精钠含量、干燥失重、总砷(以As计)、铅(Pb)、酸度和碱度、苯甲酸盐和水杨酸盐</w:t>
            </w:r>
          </w:p>
        </w:tc>
      </w:tr>
      <w:tr w14:paraId="55511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67" w:hRule="atLeast"/>
          <w:jc w:val="center"/>
        </w:trPr>
        <w:tc>
          <w:tcPr>
            <w:tcW w:w="453" w:type="dxa"/>
            <w:vMerge w:val="continue"/>
            <w:vAlign w:val="center"/>
          </w:tcPr>
          <w:p w14:paraId="567601E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3CE5214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2AD29D2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1B90631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4381DAC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环己基氨基磺酸钠(又名甜蜜素)</w:t>
            </w:r>
          </w:p>
        </w:tc>
        <w:tc>
          <w:tcPr>
            <w:tcW w:w="680" w:type="dxa"/>
            <w:vAlign w:val="center"/>
          </w:tcPr>
          <w:p w14:paraId="40CAF38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3FC16019">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环己基氨基磺酸钠含量(以干基计)、硫酸盐(以SO</w:t>
            </w:r>
            <w:r>
              <w:rPr>
                <w:rFonts w:hint="eastAsia" w:ascii="仿宋_GB2312" w:hAnsi="仿宋_GB2312" w:eastAsia="仿宋_GB2312" w:cs="仿宋_GB2312"/>
                <w:color w:val="auto"/>
                <w:sz w:val="18"/>
                <w:szCs w:val="18"/>
                <w:vertAlign w:val="subscript"/>
                <w:lang w:eastAsia="zh-CN"/>
              </w:rPr>
              <w:t>4</w:t>
            </w:r>
            <w:r>
              <w:rPr>
                <w:rFonts w:hint="eastAsia" w:ascii="仿宋_GB2312" w:hAnsi="仿宋_GB2312" w:eastAsia="仿宋_GB2312" w:cs="仿宋_GB2312"/>
                <w:color w:val="auto"/>
                <w:sz w:val="18"/>
                <w:szCs w:val="18"/>
                <w:lang w:eastAsia="zh-CN"/>
              </w:rPr>
              <w:t>计)、pH(100g/L水溶液)、干燥减量、氨基磺酸、环己胺、双环己胺、吸光值(100g/L溶液)、透明度(以100g/L溶液的透光率表示)、重金属(以Pb计)、砷(As)</w:t>
            </w:r>
          </w:p>
        </w:tc>
      </w:tr>
      <w:tr w14:paraId="421FA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67" w:hRule="atLeast"/>
          <w:jc w:val="center"/>
        </w:trPr>
        <w:tc>
          <w:tcPr>
            <w:tcW w:w="453" w:type="dxa"/>
            <w:vMerge w:val="continue"/>
            <w:vAlign w:val="center"/>
          </w:tcPr>
          <w:p w14:paraId="6F37880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10A132D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081572D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22D9447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422016A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碳酸钠</w:t>
            </w:r>
          </w:p>
        </w:tc>
        <w:tc>
          <w:tcPr>
            <w:tcW w:w="680" w:type="dxa"/>
            <w:vAlign w:val="center"/>
          </w:tcPr>
          <w:p w14:paraId="5AD459C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2C846D1B">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总碱量(以Na</w:t>
            </w:r>
            <w:r>
              <w:rPr>
                <w:rFonts w:hint="eastAsia" w:ascii="仿宋_GB2312" w:hAnsi="仿宋_GB2312" w:eastAsia="仿宋_GB2312" w:cs="仿宋_GB2312"/>
                <w:color w:val="auto"/>
                <w:sz w:val="18"/>
                <w:szCs w:val="18"/>
                <w:vertAlign w:val="subscript"/>
                <w:lang w:eastAsia="zh-CN"/>
              </w:rPr>
              <w:t>2</w:t>
            </w:r>
            <w:r>
              <w:rPr>
                <w:rFonts w:hint="eastAsia" w:ascii="仿宋_GB2312" w:hAnsi="仿宋_GB2312" w:eastAsia="仿宋_GB2312" w:cs="仿宋_GB2312"/>
                <w:color w:val="auto"/>
                <w:sz w:val="18"/>
                <w:szCs w:val="18"/>
                <w:lang w:eastAsia="zh-CN"/>
              </w:rPr>
              <w:t>CO</w:t>
            </w:r>
            <w:r>
              <w:rPr>
                <w:rFonts w:hint="eastAsia" w:ascii="仿宋_GB2312" w:hAnsi="仿宋_GB2312" w:eastAsia="仿宋_GB2312" w:cs="仿宋_GB2312"/>
                <w:color w:val="auto"/>
                <w:sz w:val="18"/>
                <w:szCs w:val="18"/>
                <w:vertAlign w:val="subscript"/>
                <w:lang w:eastAsia="zh-CN"/>
              </w:rPr>
              <w:t>3</w:t>
            </w:r>
            <w:r>
              <w:rPr>
                <w:rFonts w:hint="eastAsia" w:ascii="仿宋_GB2312" w:hAnsi="仿宋_GB2312" w:eastAsia="仿宋_GB2312" w:cs="仿宋_GB2312"/>
                <w:color w:val="auto"/>
                <w:sz w:val="18"/>
                <w:szCs w:val="18"/>
                <w:lang w:eastAsia="zh-CN"/>
              </w:rPr>
              <w:t>计)(以干基计)、总碱量(以Na</w:t>
            </w:r>
            <w:r>
              <w:rPr>
                <w:rFonts w:hint="eastAsia" w:ascii="仿宋_GB2312" w:hAnsi="仿宋_GB2312" w:eastAsia="仿宋_GB2312" w:cs="仿宋_GB2312"/>
                <w:color w:val="auto"/>
                <w:sz w:val="18"/>
                <w:szCs w:val="18"/>
                <w:vertAlign w:val="subscript"/>
                <w:lang w:eastAsia="zh-CN"/>
              </w:rPr>
              <w:t>2</w:t>
            </w:r>
            <w:r>
              <w:rPr>
                <w:rFonts w:hint="eastAsia" w:ascii="仿宋_GB2312" w:hAnsi="仿宋_GB2312" w:eastAsia="仿宋_GB2312" w:cs="仿宋_GB2312"/>
                <w:color w:val="auto"/>
                <w:sz w:val="18"/>
                <w:szCs w:val="18"/>
                <w:lang w:eastAsia="zh-CN"/>
              </w:rPr>
              <w:t>CO</w:t>
            </w:r>
            <w:r>
              <w:rPr>
                <w:rFonts w:hint="eastAsia" w:ascii="仿宋_GB2312" w:hAnsi="仿宋_GB2312" w:eastAsia="仿宋_GB2312" w:cs="仿宋_GB2312"/>
                <w:color w:val="auto"/>
                <w:sz w:val="18"/>
                <w:szCs w:val="18"/>
                <w:vertAlign w:val="subscript"/>
                <w:lang w:eastAsia="zh-CN"/>
              </w:rPr>
              <w:t>3</w:t>
            </w:r>
            <w:r>
              <w:rPr>
                <w:rFonts w:hint="eastAsia" w:ascii="仿宋_GB2312" w:hAnsi="仿宋_GB2312" w:eastAsia="仿宋_GB2312" w:cs="仿宋_GB2312"/>
                <w:color w:val="auto"/>
                <w:sz w:val="18"/>
                <w:szCs w:val="18"/>
                <w:lang w:eastAsia="zh-CN"/>
              </w:rPr>
              <w:t>计)(以湿基计)、水不溶物(以干基计)、氯化物(以NaCl计)(以干基计)、铁(Fe)(以干基计)、铅(Pb)(以干基计)、砷(As)(以干基计)</w:t>
            </w:r>
          </w:p>
        </w:tc>
      </w:tr>
      <w:tr w14:paraId="515A7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4556466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5AD3946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4376A6B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64A866A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39C2ED7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碳酸氢钠</w:t>
            </w:r>
          </w:p>
        </w:tc>
        <w:tc>
          <w:tcPr>
            <w:tcW w:w="680" w:type="dxa"/>
            <w:vAlign w:val="center"/>
          </w:tcPr>
          <w:p w14:paraId="239F1DA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2F091FC2">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总碱量(以NaHCO</w:t>
            </w:r>
            <w:r>
              <w:rPr>
                <w:rFonts w:hint="eastAsia" w:ascii="仿宋_GB2312" w:hAnsi="仿宋_GB2312" w:eastAsia="仿宋_GB2312" w:cs="仿宋_GB2312"/>
                <w:color w:val="auto"/>
                <w:sz w:val="18"/>
                <w:szCs w:val="18"/>
                <w:vertAlign w:val="subscript"/>
                <w:lang w:eastAsia="zh-CN"/>
              </w:rPr>
              <w:t>3</w:t>
            </w:r>
            <w:r>
              <w:rPr>
                <w:rFonts w:hint="eastAsia" w:ascii="仿宋_GB2312" w:hAnsi="仿宋_GB2312" w:eastAsia="仿宋_GB2312" w:cs="仿宋_GB2312"/>
                <w:color w:val="auto"/>
                <w:sz w:val="18"/>
                <w:szCs w:val="18"/>
                <w:lang w:eastAsia="zh-CN"/>
              </w:rPr>
              <w:t>计)、干燥减量、pH(10g/L水溶液)、铵盐、澄清度、氯化物(以Cl计)、白度、砷(As)、重金属(以Pb计)</w:t>
            </w:r>
          </w:p>
        </w:tc>
      </w:tr>
      <w:tr w14:paraId="5A800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309A45B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4684AC0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418E4C3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381C712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6A2C92B4">
            <w:pPr>
              <w:pStyle w:val="66"/>
              <w:keepNext w:val="0"/>
              <w:keepLines w:val="0"/>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kern w:val="31"/>
                <w:sz w:val="18"/>
                <w:szCs w:val="18"/>
              </w:rPr>
            </w:pPr>
            <w:r>
              <w:rPr>
                <w:rFonts w:hint="eastAsia" w:ascii="仿宋_GB2312" w:hAnsi="仿宋_GB2312" w:eastAsia="仿宋_GB2312" w:cs="仿宋_GB2312"/>
                <w:color w:val="auto"/>
                <w:spacing w:val="-2"/>
                <w:sz w:val="18"/>
                <w:szCs w:val="18"/>
              </w:rPr>
              <w:t>焦糖色</w:t>
            </w:r>
          </w:p>
        </w:tc>
        <w:tc>
          <w:tcPr>
            <w:tcW w:w="680" w:type="dxa"/>
            <w:vAlign w:val="center"/>
          </w:tcPr>
          <w:p w14:paraId="555F936F">
            <w:pPr>
              <w:pStyle w:val="66"/>
              <w:keepNext w:val="0"/>
              <w:keepLines w:val="0"/>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kern w:val="31"/>
                <w:sz w:val="18"/>
                <w:szCs w:val="18"/>
              </w:rPr>
            </w:pPr>
            <w:r>
              <w:rPr>
                <w:rFonts w:hint="eastAsia" w:ascii="仿宋_GB2312" w:hAnsi="仿宋_GB2312" w:eastAsia="仿宋_GB2312" w:cs="仿宋_GB2312"/>
                <w:color w:val="auto"/>
                <w:spacing w:val="-6"/>
                <w:sz w:val="18"/>
                <w:szCs w:val="18"/>
              </w:rPr>
              <w:t>一般</w:t>
            </w:r>
          </w:p>
        </w:tc>
        <w:tc>
          <w:tcPr>
            <w:tcW w:w="8546" w:type="dxa"/>
            <w:vAlign w:val="center"/>
          </w:tcPr>
          <w:p w14:paraId="31D406D4">
            <w:pPr>
              <w:pStyle w:val="66"/>
              <w:keepNext w:val="0"/>
              <w:keepLines w:val="0"/>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kern w:val="31"/>
                <w:sz w:val="18"/>
                <w:szCs w:val="18"/>
                <w:lang w:eastAsia="zh-CN"/>
              </w:rPr>
            </w:pPr>
            <w:r>
              <w:rPr>
                <w:rFonts w:hint="eastAsia" w:ascii="仿宋_GB2312" w:hAnsi="仿宋_GB2312" w:eastAsia="仿宋_GB2312" w:cs="仿宋_GB2312"/>
                <w:color w:val="auto"/>
                <w:spacing w:val="3"/>
                <w:sz w:val="18"/>
                <w:szCs w:val="18"/>
                <w:lang w:eastAsia="zh-CN"/>
              </w:rPr>
              <w:t>吸光度E</w:t>
            </w:r>
            <w:r>
              <w:rPr>
                <w:rFonts w:hint="eastAsia" w:ascii="仿宋_GB2312" w:hAnsi="仿宋_GB2312" w:eastAsia="仿宋_GB2312" w:cs="仿宋_GB2312"/>
                <w:color w:val="auto"/>
                <w:spacing w:val="3"/>
                <w:sz w:val="21"/>
                <w:szCs w:val="21"/>
                <w:vertAlign w:val="superscript"/>
                <w:lang w:eastAsia="zh-CN"/>
                <w:eastAsianLayout w:id="9" w:combine="1"/>
              </w:rPr>
              <w:t>0.1% 1CM</w:t>
            </w:r>
            <w:r>
              <w:rPr>
                <w:rFonts w:hint="eastAsia" w:ascii="仿宋_GB2312" w:hAnsi="仿宋_GB2312" w:eastAsia="仿宋_GB2312" w:cs="仿宋_GB2312"/>
                <w:color w:val="auto"/>
                <w:spacing w:val="3"/>
                <w:sz w:val="18"/>
                <w:szCs w:val="18"/>
                <w:lang w:eastAsia="zh-CN"/>
              </w:rPr>
              <w:t>(610</w:t>
            </w:r>
            <w:r>
              <w:rPr>
                <w:rFonts w:hint="eastAsia" w:ascii="仿宋_GB2312" w:hAnsi="仿宋_GB2312" w:eastAsia="仿宋_GB2312" w:cs="仿宋_GB2312"/>
                <w:color w:val="auto"/>
                <w:sz w:val="18"/>
                <w:szCs w:val="18"/>
                <w:lang w:eastAsia="zh-CN"/>
              </w:rPr>
              <w:t>nm</w:t>
            </w:r>
            <w:r>
              <w:rPr>
                <w:rFonts w:hint="eastAsia" w:ascii="仿宋_GB2312" w:hAnsi="仿宋_GB2312" w:eastAsia="仿宋_GB2312" w:cs="仿宋_GB2312"/>
                <w:color w:val="auto"/>
                <w:spacing w:val="3"/>
                <w:sz w:val="18"/>
                <w:szCs w:val="18"/>
                <w:lang w:eastAsia="zh-CN"/>
              </w:rPr>
              <w:t>)、氨氮(以N计)、二氧化硫(以</w:t>
            </w:r>
            <w:r>
              <w:rPr>
                <w:rFonts w:hint="eastAsia" w:ascii="仿宋_GB2312" w:hAnsi="仿宋_GB2312" w:eastAsia="仿宋_GB2312" w:cs="仿宋_GB2312"/>
                <w:color w:val="auto"/>
                <w:sz w:val="18"/>
                <w:szCs w:val="18"/>
                <w:lang w:eastAsia="zh-CN"/>
              </w:rPr>
              <w:t>SO</w:t>
            </w:r>
            <w:r>
              <w:rPr>
                <w:rFonts w:hint="eastAsia" w:ascii="仿宋_GB2312" w:hAnsi="仿宋_GB2312" w:eastAsia="仿宋_GB2312" w:cs="仿宋_GB2312"/>
                <w:color w:val="auto"/>
                <w:spacing w:val="3"/>
                <w:sz w:val="18"/>
                <w:szCs w:val="18"/>
                <w:vertAlign w:val="subscript"/>
                <w:lang w:eastAsia="zh-CN"/>
              </w:rPr>
              <w:t>2</w:t>
            </w:r>
            <w:r>
              <w:rPr>
                <w:rFonts w:hint="eastAsia" w:ascii="仿宋_GB2312" w:hAnsi="仿宋_GB2312" w:eastAsia="仿宋_GB2312" w:cs="仿宋_GB2312"/>
                <w:color w:val="auto"/>
                <w:spacing w:val="3"/>
                <w:sz w:val="18"/>
                <w:szCs w:val="18"/>
                <w:lang w:eastAsia="zh-CN"/>
              </w:rPr>
              <w:t>计)、4-甲基咪唑</w:t>
            </w:r>
            <w:r>
              <w:rPr>
                <w:rFonts w:hint="eastAsia" w:ascii="仿宋_GB2312" w:hAnsi="仿宋_GB2312" w:eastAsia="仿宋_GB2312" w:cs="仿宋_GB2312"/>
                <w:color w:val="auto"/>
                <w:spacing w:val="2"/>
                <w:sz w:val="18"/>
                <w:szCs w:val="18"/>
                <w:lang w:eastAsia="zh-CN"/>
              </w:rPr>
              <w:t>、总氮(以N</w:t>
            </w:r>
            <w:r>
              <w:rPr>
                <w:rFonts w:hint="eastAsia" w:ascii="仿宋_GB2312" w:hAnsi="仿宋_GB2312" w:eastAsia="仿宋_GB2312" w:cs="仿宋_GB2312"/>
                <w:color w:val="auto"/>
                <w:spacing w:val="1"/>
                <w:sz w:val="18"/>
                <w:szCs w:val="18"/>
                <w:lang w:eastAsia="zh-CN"/>
              </w:rPr>
              <w:t>计)、总硫(以S计)、总砷(以</w:t>
            </w:r>
            <w:r>
              <w:rPr>
                <w:rFonts w:hint="eastAsia" w:ascii="仿宋_GB2312" w:hAnsi="仿宋_GB2312" w:eastAsia="仿宋_GB2312" w:cs="仿宋_GB2312"/>
                <w:color w:val="auto"/>
                <w:sz w:val="18"/>
                <w:szCs w:val="18"/>
                <w:lang w:eastAsia="zh-CN"/>
              </w:rPr>
              <w:t>As</w:t>
            </w:r>
            <w:r>
              <w:rPr>
                <w:rFonts w:hint="eastAsia" w:ascii="仿宋_GB2312" w:hAnsi="仿宋_GB2312" w:eastAsia="仿宋_GB2312" w:cs="仿宋_GB2312"/>
                <w:color w:val="auto"/>
                <w:spacing w:val="1"/>
                <w:sz w:val="18"/>
                <w:szCs w:val="18"/>
                <w:lang w:eastAsia="zh-CN"/>
              </w:rPr>
              <w:t>计)、铅(</w:t>
            </w:r>
            <w:r>
              <w:rPr>
                <w:rFonts w:hint="eastAsia" w:ascii="仿宋_GB2312" w:hAnsi="仿宋_GB2312" w:eastAsia="仿宋_GB2312" w:cs="仿宋_GB2312"/>
                <w:color w:val="auto"/>
                <w:sz w:val="18"/>
                <w:szCs w:val="18"/>
                <w:lang w:eastAsia="zh-CN"/>
              </w:rPr>
              <w:t>Pb</w:t>
            </w:r>
            <w:r>
              <w:rPr>
                <w:rFonts w:hint="eastAsia" w:ascii="仿宋_GB2312" w:hAnsi="仿宋_GB2312" w:eastAsia="仿宋_GB2312" w:cs="仿宋_GB2312"/>
                <w:color w:val="auto"/>
                <w:spacing w:val="1"/>
                <w:sz w:val="18"/>
                <w:szCs w:val="18"/>
                <w:lang w:eastAsia="zh-CN"/>
              </w:rPr>
              <w:t>)、总汞(以</w:t>
            </w:r>
            <w:r>
              <w:rPr>
                <w:rFonts w:hint="eastAsia" w:ascii="仿宋_GB2312" w:hAnsi="仿宋_GB2312" w:eastAsia="仿宋_GB2312" w:cs="仿宋_GB2312"/>
                <w:color w:val="auto"/>
                <w:sz w:val="18"/>
                <w:szCs w:val="18"/>
                <w:lang w:eastAsia="zh-CN"/>
              </w:rPr>
              <w:t>Hg</w:t>
            </w:r>
            <w:r>
              <w:rPr>
                <w:rFonts w:hint="eastAsia" w:ascii="仿宋_GB2312" w:hAnsi="仿宋_GB2312" w:eastAsia="仿宋_GB2312" w:cs="仿宋_GB2312"/>
                <w:color w:val="auto"/>
                <w:spacing w:val="1"/>
                <w:sz w:val="18"/>
                <w:szCs w:val="18"/>
                <w:lang w:eastAsia="zh-CN"/>
              </w:rPr>
              <w:t>计)</w:t>
            </w:r>
          </w:p>
        </w:tc>
      </w:tr>
      <w:tr w14:paraId="2A88B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6C00335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5835500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40DBB66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0B8AC15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5F4419F3">
            <w:pPr>
              <w:pStyle w:val="66"/>
              <w:keepNext w:val="0"/>
              <w:keepLines w:val="0"/>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kern w:val="31"/>
                <w:sz w:val="18"/>
                <w:szCs w:val="18"/>
              </w:rPr>
            </w:pPr>
            <w:r>
              <w:rPr>
                <w:rFonts w:hint="eastAsia" w:ascii="仿宋_GB2312" w:hAnsi="仿宋_GB2312" w:eastAsia="仿宋_GB2312" w:cs="仿宋_GB2312"/>
                <w:color w:val="auto"/>
                <w:spacing w:val="-3"/>
                <w:sz w:val="18"/>
                <w:szCs w:val="18"/>
              </w:rPr>
              <w:t>蜂蜡</w:t>
            </w:r>
          </w:p>
        </w:tc>
        <w:tc>
          <w:tcPr>
            <w:tcW w:w="680" w:type="dxa"/>
            <w:vAlign w:val="center"/>
          </w:tcPr>
          <w:p w14:paraId="18B3F4C2">
            <w:pPr>
              <w:pStyle w:val="66"/>
              <w:keepNext w:val="0"/>
              <w:keepLines w:val="0"/>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kern w:val="31"/>
                <w:sz w:val="18"/>
                <w:szCs w:val="18"/>
              </w:rPr>
            </w:pPr>
            <w:r>
              <w:rPr>
                <w:rFonts w:hint="eastAsia" w:ascii="仿宋_GB2312" w:hAnsi="仿宋_GB2312" w:eastAsia="仿宋_GB2312" w:cs="仿宋_GB2312"/>
                <w:color w:val="auto"/>
                <w:spacing w:val="-6"/>
                <w:sz w:val="18"/>
                <w:szCs w:val="18"/>
              </w:rPr>
              <w:t>一般</w:t>
            </w:r>
          </w:p>
        </w:tc>
        <w:tc>
          <w:tcPr>
            <w:tcW w:w="8546" w:type="dxa"/>
            <w:vAlign w:val="center"/>
          </w:tcPr>
          <w:p w14:paraId="0386F26B">
            <w:pPr>
              <w:pStyle w:val="66"/>
              <w:keepNext w:val="0"/>
              <w:keepLines w:val="0"/>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kern w:val="31"/>
                <w:sz w:val="18"/>
                <w:szCs w:val="18"/>
                <w:lang w:eastAsia="zh-CN"/>
              </w:rPr>
            </w:pPr>
            <w:r>
              <w:rPr>
                <w:rFonts w:hint="eastAsia" w:ascii="仿宋_GB2312" w:hAnsi="仿宋_GB2312" w:eastAsia="仿宋_GB2312" w:cs="仿宋_GB2312"/>
                <w:color w:val="auto"/>
                <w:sz w:val="18"/>
                <w:szCs w:val="18"/>
                <w:lang w:eastAsia="zh-CN"/>
              </w:rPr>
              <w:t>过氧化值，酸值(以KOH计),皂化值(以KOH计),熔程，</w:t>
            </w:r>
            <w:r>
              <w:rPr>
                <w:rFonts w:hint="eastAsia" w:ascii="仿宋_GB2312" w:hAnsi="仿宋_GB2312" w:eastAsia="仿宋_GB2312" w:cs="仿宋_GB2312"/>
                <w:color w:val="auto"/>
                <w:spacing w:val="-1"/>
                <w:sz w:val="18"/>
                <w:szCs w:val="18"/>
                <w:lang w:eastAsia="zh-CN"/>
              </w:rPr>
              <w:t>甘油和其他多元醇，铅</w:t>
            </w:r>
            <w:r>
              <w:rPr>
                <w:rFonts w:hint="eastAsia" w:ascii="仿宋_GB2312" w:hAnsi="仿宋_GB2312" w:eastAsia="仿宋_GB2312" w:cs="仿宋_GB2312"/>
                <w:color w:val="auto"/>
                <w:sz w:val="18"/>
                <w:szCs w:val="18"/>
                <w:lang w:eastAsia="zh-CN"/>
              </w:rPr>
              <w:t>(Pb),巴西棕榈蜡，纯白地蜡、石蜡及其他蜡，脂肪、日本蜡、松脂和皂质</w:t>
            </w:r>
          </w:p>
        </w:tc>
      </w:tr>
      <w:tr w14:paraId="2913B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20208E4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0D9AC62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21BA493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0E898BC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6B2EB71E">
            <w:pPr>
              <w:pStyle w:val="66"/>
              <w:keepNext w:val="0"/>
              <w:keepLines w:val="0"/>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kern w:val="31"/>
                <w:sz w:val="18"/>
                <w:szCs w:val="18"/>
              </w:rPr>
            </w:pPr>
            <w:r>
              <w:rPr>
                <w:rFonts w:hint="eastAsia" w:ascii="仿宋_GB2312" w:hAnsi="仿宋_GB2312" w:eastAsia="仿宋_GB2312" w:cs="仿宋_GB2312"/>
                <w:color w:val="auto"/>
                <w:spacing w:val="2"/>
                <w:sz w:val="18"/>
                <w:szCs w:val="18"/>
              </w:rPr>
              <w:t>红曲米</w:t>
            </w:r>
          </w:p>
        </w:tc>
        <w:tc>
          <w:tcPr>
            <w:tcW w:w="680" w:type="dxa"/>
            <w:vAlign w:val="center"/>
          </w:tcPr>
          <w:p w14:paraId="6A28FBEE">
            <w:pPr>
              <w:pStyle w:val="66"/>
              <w:keepNext w:val="0"/>
              <w:keepLines w:val="0"/>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kern w:val="31"/>
                <w:sz w:val="18"/>
                <w:szCs w:val="18"/>
              </w:rPr>
            </w:pPr>
            <w:r>
              <w:rPr>
                <w:rFonts w:hint="eastAsia" w:ascii="仿宋_GB2312" w:hAnsi="仿宋_GB2312" w:eastAsia="仿宋_GB2312" w:cs="仿宋_GB2312"/>
                <w:color w:val="auto"/>
                <w:spacing w:val="-6"/>
                <w:sz w:val="18"/>
                <w:szCs w:val="18"/>
              </w:rPr>
              <w:t>一般</w:t>
            </w:r>
          </w:p>
        </w:tc>
        <w:tc>
          <w:tcPr>
            <w:tcW w:w="8546" w:type="dxa"/>
            <w:vAlign w:val="center"/>
          </w:tcPr>
          <w:p w14:paraId="59527822">
            <w:pPr>
              <w:pStyle w:val="66"/>
              <w:keepNext w:val="0"/>
              <w:keepLines w:val="0"/>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kern w:val="31"/>
                <w:sz w:val="18"/>
                <w:szCs w:val="18"/>
                <w:lang w:eastAsia="zh-CN"/>
              </w:rPr>
            </w:pPr>
            <w:r>
              <w:rPr>
                <w:rFonts w:hint="eastAsia" w:ascii="仿宋_GB2312" w:hAnsi="仿宋_GB2312" w:eastAsia="仿宋_GB2312" w:cs="仿宋_GB2312"/>
                <w:color w:val="auto"/>
                <w:spacing w:val="3"/>
                <w:sz w:val="18"/>
                <w:szCs w:val="18"/>
                <w:lang w:eastAsia="zh-CN"/>
              </w:rPr>
              <w:t>水分、黄曲霉毒素B</w:t>
            </w:r>
            <w:r>
              <w:rPr>
                <w:rFonts w:hint="eastAsia" w:ascii="仿宋_GB2312" w:hAnsi="仿宋_GB2312" w:eastAsia="仿宋_GB2312" w:cs="仿宋_GB2312"/>
                <w:color w:val="auto"/>
                <w:spacing w:val="3"/>
                <w:sz w:val="18"/>
                <w:szCs w:val="18"/>
                <w:vertAlign w:val="subscript"/>
                <w:lang w:eastAsia="zh-CN"/>
              </w:rPr>
              <w:t>1</w:t>
            </w:r>
            <w:r>
              <w:rPr>
                <w:rFonts w:hint="eastAsia" w:ascii="仿宋_GB2312" w:hAnsi="仿宋_GB2312" w:eastAsia="仿宋_GB2312" w:cs="仿宋_GB2312"/>
                <w:color w:val="auto"/>
                <w:spacing w:val="-22"/>
                <w:sz w:val="18"/>
                <w:szCs w:val="18"/>
                <w:lang w:eastAsia="zh-CN"/>
              </w:rPr>
              <w:t>、</w:t>
            </w:r>
            <w:r>
              <w:rPr>
                <w:rFonts w:hint="eastAsia" w:ascii="仿宋_GB2312" w:hAnsi="仿宋_GB2312" w:eastAsia="仿宋_GB2312" w:cs="仿宋_GB2312"/>
                <w:color w:val="auto"/>
                <w:spacing w:val="3"/>
                <w:sz w:val="18"/>
                <w:szCs w:val="18"/>
                <w:lang w:eastAsia="zh-CN"/>
              </w:rPr>
              <w:t>色价、细度150</w:t>
            </w:r>
            <w:r>
              <w:rPr>
                <w:rFonts w:hint="eastAsia" w:ascii="仿宋_GB2312" w:hAnsi="仿宋_GB2312" w:eastAsia="仿宋_GB2312" w:cs="仿宋_GB2312"/>
                <w:color w:val="auto"/>
                <w:spacing w:val="3"/>
                <w:sz w:val="18"/>
                <w:szCs w:val="18"/>
              </w:rPr>
              <w:t>μ</w:t>
            </w:r>
            <w:r>
              <w:rPr>
                <w:rFonts w:hint="eastAsia" w:ascii="仿宋_GB2312" w:hAnsi="仿宋_GB2312" w:eastAsia="仿宋_GB2312" w:cs="仿宋_GB2312"/>
                <w:color w:val="auto"/>
                <w:spacing w:val="3"/>
                <w:sz w:val="18"/>
                <w:szCs w:val="18"/>
                <w:lang w:eastAsia="zh-CN"/>
              </w:rPr>
              <w:t>m(1</w:t>
            </w:r>
            <w:r>
              <w:rPr>
                <w:rFonts w:hint="eastAsia" w:ascii="仿宋_GB2312" w:hAnsi="仿宋_GB2312" w:eastAsia="仿宋_GB2312" w:cs="仿宋_GB2312"/>
                <w:color w:val="auto"/>
                <w:spacing w:val="2"/>
                <w:sz w:val="18"/>
                <w:szCs w:val="18"/>
                <w:lang w:eastAsia="zh-CN"/>
              </w:rPr>
              <w:t>00目)通过率、总砷(以</w:t>
            </w:r>
            <w:r>
              <w:rPr>
                <w:rFonts w:hint="eastAsia" w:ascii="仿宋_GB2312" w:hAnsi="仿宋_GB2312" w:eastAsia="仿宋_GB2312" w:cs="仿宋_GB2312"/>
                <w:color w:val="auto"/>
                <w:sz w:val="18"/>
                <w:szCs w:val="18"/>
                <w:lang w:eastAsia="zh-CN"/>
              </w:rPr>
              <w:t>As</w:t>
            </w:r>
            <w:r>
              <w:rPr>
                <w:rFonts w:hint="eastAsia" w:ascii="仿宋_GB2312" w:hAnsi="仿宋_GB2312" w:eastAsia="仿宋_GB2312" w:cs="仿宋_GB2312"/>
                <w:color w:val="auto"/>
                <w:spacing w:val="2"/>
                <w:sz w:val="18"/>
                <w:szCs w:val="18"/>
                <w:lang w:eastAsia="zh-CN"/>
              </w:rPr>
              <w:t>计)、重金属(以</w:t>
            </w:r>
            <w:r>
              <w:rPr>
                <w:rFonts w:hint="eastAsia" w:ascii="仿宋_GB2312" w:hAnsi="仿宋_GB2312" w:eastAsia="仿宋_GB2312" w:cs="仿宋_GB2312"/>
                <w:color w:val="auto"/>
                <w:sz w:val="18"/>
                <w:szCs w:val="18"/>
                <w:lang w:eastAsia="zh-CN"/>
              </w:rPr>
              <w:t>Pb计)、大肠菌群、沙门氏菌、志贺氏菌、金</w:t>
            </w:r>
            <w:r>
              <w:rPr>
                <w:rFonts w:hint="eastAsia" w:ascii="仿宋_GB2312" w:hAnsi="仿宋_GB2312" w:eastAsia="仿宋_GB2312" w:cs="仿宋_GB2312"/>
                <w:color w:val="auto"/>
                <w:spacing w:val="-1"/>
                <w:sz w:val="18"/>
                <w:szCs w:val="18"/>
                <w:lang w:eastAsia="zh-CN"/>
              </w:rPr>
              <w:t>黄色葡萄球菌</w:t>
            </w:r>
          </w:p>
        </w:tc>
      </w:tr>
      <w:tr w14:paraId="1E994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453" w:type="dxa"/>
            <w:vMerge w:val="continue"/>
            <w:vAlign w:val="center"/>
          </w:tcPr>
          <w:p w14:paraId="7179AD8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099F0DA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538FE91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2F9C2F4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30FA5774">
            <w:pPr>
              <w:pStyle w:val="66"/>
              <w:keepNext w:val="0"/>
              <w:keepLines w:val="0"/>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kern w:val="31"/>
                <w:sz w:val="18"/>
                <w:szCs w:val="18"/>
              </w:rPr>
            </w:pPr>
            <w:r>
              <w:rPr>
                <w:rFonts w:hint="eastAsia" w:ascii="仿宋_GB2312" w:hAnsi="仿宋_GB2312" w:eastAsia="仿宋_GB2312" w:cs="仿宋_GB2312"/>
                <w:color w:val="auto"/>
                <w:spacing w:val="-3"/>
                <w:sz w:val="18"/>
                <w:szCs w:val="18"/>
              </w:rPr>
              <w:t>红曲红</w:t>
            </w:r>
          </w:p>
        </w:tc>
        <w:tc>
          <w:tcPr>
            <w:tcW w:w="680" w:type="dxa"/>
            <w:vAlign w:val="center"/>
          </w:tcPr>
          <w:p w14:paraId="40570CE3">
            <w:pPr>
              <w:pStyle w:val="66"/>
              <w:keepNext w:val="0"/>
              <w:keepLines w:val="0"/>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kern w:val="31"/>
                <w:sz w:val="18"/>
                <w:szCs w:val="18"/>
              </w:rPr>
            </w:pPr>
            <w:r>
              <w:rPr>
                <w:rFonts w:hint="eastAsia" w:ascii="仿宋_GB2312" w:hAnsi="仿宋_GB2312" w:eastAsia="仿宋_GB2312" w:cs="仿宋_GB2312"/>
                <w:color w:val="auto"/>
                <w:spacing w:val="-5"/>
                <w:sz w:val="18"/>
                <w:szCs w:val="18"/>
              </w:rPr>
              <w:t>一般</w:t>
            </w:r>
          </w:p>
        </w:tc>
        <w:tc>
          <w:tcPr>
            <w:tcW w:w="8546" w:type="dxa"/>
            <w:vAlign w:val="center"/>
          </w:tcPr>
          <w:p w14:paraId="229E82FC">
            <w:pPr>
              <w:pStyle w:val="66"/>
              <w:keepNext w:val="0"/>
              <w:keepLines w:val="0"/>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kern w:val="31"/>
                <w:sz w:val="18"/>
                <w:szCs w:val="18"/>
              </w:rPr>
            </w:pPr>
            <w:r>
              <w:rPr>
                <w:rFonts w:hint="eastAsia" w:ascii="仿宋_GB2312" w:hAnsi="仿宋_GB2312" w:eastAsia="仿宋_GB2312" w:cs="仿宋_GB2312"/>
                <w:color w:val="auto"/>
                <w:spacing w:val="1"/>
                <w:sz w:val="18"/>
                <w:szCs w:val="18"/>
              </w:rPr>
              <w:t>色价</w:t>
            </w:r>
            <w:r>
              <w:rPr>
                <w:rFonts w:hint="eastAsia" w:ascii="仿宋_GB2312" w:hAnsi="仿宋_GB2312" w:eastAsia="仿宋_GB2312" w:cs="仿宋_GB2312"/>
                <w:color w:val="auto"/>
                <w:sz w:val="18"/>
                <w:szCs w:val="18"/>
                <w:lang w:eastAsia="zh-CN"/>
              </w:rPr>
              <w:drawing>
                <wp:inline distT="0" distB="0" distL="114300" distR="114300">
                  <wp:extent cx="151765" cy="130175"/>
                  <wp:effectExtent l="0" t="0" r="635" b="254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0"/>
                          <a:stretch>
                            <a:fillRect/>
                          </a:stretch>
                        </pic:blipFill>
                        <pic:spPr>
                          <a:xfrm>
                            <a:off x="0" y="0"/>
                            <a:ext cx="151765" cy="130175"/>
                          </a:xfrm>
                          <a:prstGeom prst="rect">
                            <a:avLst/>
                          </a:prstGeom>
                          <a:noFill/>
                          <a:ln>
                            <a:noFill/>
                          </a:ln>
                        </pic:spPr>
                      </pic:pic>
                    </a:graphicData>
                  </a:graphic>
                </wp:inline>
              </w:drawing>
            </w:r>
            <w:r>
              <w:rPr>
                <w:rFonts w:hint="eastAsia" w:ascii="仿宋_GB2312" w:hAnsi="仿宋_GB2312" w:eastAsia="仿宋_GB2312" w:cs="仿宋_GB2312"/>
                <w:color w:val="auto"/>
                <w:spacing w:val="1"/>
                <w:sz w:val="18"/>
                <w:szCs w:val="18"/>
              </w:rPr>
              <w:t>(495±10)</w:t>
            </w:r>
            <w:r>
              <w:rPr>
                <w:rFonts w:hint="eastAsia" w:ascii="仿宋_GB2312" w:hAnsi="仿宋_GB2312" w:eastAsia="仿宋_GB2312" w:cs="仿宋_GB2312"/>
                <w:color w:val="auto"/>
                <w:sz w:val="18"/>
                <w:szCs w:val="18"/>
              </w:rPr>
              <w:t>nm</w:t>
            </w:r>
            <w:r>
              <w:rPr>
                <w:rFonts w:hint="eastAsia" w:ascii="仿宋_GB2312" w:hAnsi="仿宋_GB2312" w:eastAsia="仿宋_GB2312" w:cs="仿宋_GB2312"/>
                <w:color w:val="auto"/>
                <w:spacing w:val="1"/>
                <w:sz w:val="18"/>
                <w:szCs w:val="18"/>
              </w:rPr>
              <w:t>、干燥减量、铅(</w:t>
            </w:r>
            <w:r>
              <w:rPr>
                <w:rFonts w:hint="eastAsia" w:ascii="仿宋_GB2312" w:hAnsi="仿宋_GB2312" w:eastAsia="仿宋_GB2312" w:cs="仿宋_GB2312"/>
                <w:color w:val="auto"/>
                <w:sz w:val="18"/>
                <w:szCs w:val="18"/>
              </w:rPr>
              <w:t>Pb</w:t>
            </w:r>
            <w:r>
              <w:rPr>
                <w:rFonts w:hint="eastAsia" w:ascii="仿宋_GB2312" w:hAnsi="仿宋_GB2312" w:eastAsia="仿宋_GB2312" w:cs="仿宋_GB2312"/>
                <w:color w:val="auto"/>
                <w:spacing w:val="1"/>
                <w:sz w:val="18"/>
                <w:szCs w:val="18"/>
              </w:rPr>
              <w:t>)、砷(</w:t>
            </w:r>
            <w:r>
              <w:rPr>
                <w:rFonts w:hint="eastAsia" w:ascii="仿宋_GB2312" w:hAnsi="仿宋_GB2312" w:eastAsia="仿宋_GB2312" w:cs="仿宋_GB2312"/>
                <w:color w:val="auto"/>
                <w:sz w:val="18"/>
                <w:szCs w:val="18"/>
              </w:rPr>
              <w:t>As</w:t>
            </w:r>
            <w:r>
              <w:rPr>
                <w:rFonts w:hint="eastAsia" w:ascii="仿宋_GB2312" w:hAnsi="仿宋_GB2312" w:eastAsia="仿宋_GB2312" w:cs="仿宋_GB2312"/>
                <w:color w:val="auto"/>
                <w:spacing w:val="1"/>
                <w:sz w:val="18"/>
                <w:szCs w:val="18"/>
              </w:rPr>
              <w:t>)</w:t>
            </w:r>
          </w:p>
        </w:tc>
      </w:tr>
      <w:tr w14:paraId="3BD4A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453" w:type="dxa"/>
            <w:vMerge w:val="continue"/>
            <w:vAlign w:val="center"/>
          </w:tcPr>
          <w:p w14:paraId="14DD059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940" w:type="dxa"/>
            <w:vMerge w:val="continue"/>
            <w:vAlign w:val="center"/>
          </w:tcPr>
          <w:p w14:paraId="4A4E75C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1358" w:type="dxa"/>
            <w:vMerge w:val="continue"/>
            <w:vAlign w:val="center"/>
          </w:tcPr>
          <w:p w14:paraId="4A76FF8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1578" w:type="dxa"/>
            <w:vMerge w:val="continue"/>
            <w:vAlign w:val="center"/>
          </w:tcPr>
          <w:p w14:paraId="63AA61E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p>
        </w:tc>
        <w:tc>
          <w:tcPr>
            <w:tcW w:w="1583" w:type="dxa"/>
            <w:vAlign w:val="center"/>
          </w:tcPr>
          <w:p w14:paraId="540FFEE0">
            <w:pPr>
              <w:pStyle w:val="66"/>
              <w:keepNext w:val="0"/>
              <w:keepLines w:val="0"/>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kern w:val="31"/>
                <w:sz w:val="18"/>
                <w:szCs w:val="18"/>
              </w:rPr>
            </w:pPr>
            <w:r>
              <w:rPr>
                <w:rFonts w:hint="eastAsia" w:ascii="仿宋_GB2312" w:hAnsi="仿宋_GB2312" w:eastAsia="仿宋_GB2312" w:cs="仿宋_GB2312"/>
                <w:color w:val="auto"/>
                <w:spacing w:val="-2"/>
                <w:sz w:val="18"/>
                <w:szCs w:val="18"/>
              </w:rPr>
              <w:t>红曲黄色素</w:t>
            </w:r>
          </w:p>
        </w:tc>
        <w:tc>
          <w:tcPr>
            <w:tcW w:w="680" w:type="dxa"/>
            <w:vAlign w:val="center"/>
          </w:tcPr>
          <w:p w14:paraId="315DC73A">
            <w:pPr>
              <w:pStyle w:val="66"/>
              <w:keepNext w:val="0"/>
              <w:keepLines w:val="0"/>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kern w:val="31"/>
                <w:sz w:val="18"/>
                <w:szCs w:val="18"/>
                <w:lang w:eastAsia="zh-CN"/>
              </w:rPr>
            </w:pPr>
            <w:r>
              <w:rPr>
                <w:rFonts w:hint="eastAsia" w:ascii="仿宋_GB2312" w:hAnsi="仿宋_GB2312" w:eastAsia="仿宋_GB2312" w:cs="仿宋_GB2312"/>
                <w:color w:val="auto"/>
                <w:kern w:val="31"/>
                <w:sz w:val="18"/>
                <w:szCs w:val="18"/>
                <w:lang w:eastAsia="zh-CN"/>
              </w:rPr>
              <w:t>一般</w:t>
            </w:r>
          </w:p>
        </w:tc>
        <w:tc>
          <w:tcPr>
            <w:tcW w:w="8546" w:type="dxa"/>
            <w:vAlign w:val="center"/>
          </w:tcPr>
          <w:p w14:paraId="1B0D93E4">
            <w:pPr>
              <w:pStyle w:val="66"/>
              <w:keepNext w:val="0"/>
              <w:keepLines w:val="0"/>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kern w:val="31"/>
                <w:sz w:val="18"/>
                <w:szCs w:val="18"/>
                <w:lang w:eastAsia="zh-CN"/>
              </w:rPr>
            </w:pPr>
            <w:r>
              <w:rPr>
                <w:rFonts w:hint="eastAsia" w:ascii="仿宋_GB2312" w:hAnsi="仿宋_GB2312" w:eastAsia="仿宋_GB2312" w:cs="仿宋_GB2312"/>
                <w:color w:val="auto"/>
                <w:spacing w:val="1"/>
                <w:sz w:val="18"/>
                <w:szCs w:val="18"/>
                <w:lang w:eastAsia="zh-CN"/>
              </w:rPr>
              <w:t>色价</w:t>
            </w:r>
            <w:r>
              <w:rPr>
                <w:rFonts w:hint="eastAsia" w:ascii="仿宋_GB2312" w:hAnsi="仿宋_GB2312" w:eastAsia="仿宋_GB2312" w:cs="仿宋_GB2312"/>
                <w:color w:val="auto"/>
                <w:sz w:val="18"/>
                <w:szCs w:val="18"/>
                <w:lang w:eastAsia="zh-CN"/>
              </w:rPr>
              <w:drawing>
                <wp:inline distT="0" distB="0" distL="114300" distR="114300">
                  <wp:extent cx="151765" cy="130175"/>
                  <wp:effectExtent l="0" t="0" r="635" b="254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0"/>
                          <a:stretch>
                            <a:fillRect/>
                          </a:stretch>
                        </pic:blipFill>
                        <pic:spPr>
                          <a:xfrm>
                            <a:off x="0" y="0"/>
                            <a:ext cx="151765" cy="130175"/>
                          </a:xfrm>
                          <a:prstGeom prst="rect">
                            <a:avLst/>
                          </a:prstGeom>
                          <a:noFill/>
                          <a:ln>
                            <a:noFill/>
                          </a:ln>
                        </pic:spPr>
                      </pic:pic>
                    </a:graphicData>
                  </a:graphic>
                </wp:inline>
              </w:drawing>
            </w:r>
            <w:r>
              <w:rPr>
                <w:rFonts w:hint="eastAsia" w:ascii="仿宋_GB2312" w:hAnsi="仿宋_GB2312" w:eastAsia="仿宋_GB2312" w:cs="仿宋_GB2312"/>
                <w:color w:val="auto"/>
                <w:spacing w:val="1"/>
                <w:sz w:val="18"/>
                <w:szCs w:val="18"/>
                <w:lang w:eastAsia="zh-CN"/>
              </w:rPr>
              <w:t>(476±10)</w:t>
            </w:r>
            <w:r>
              <w:rPr>
                <w:rFonts w:hint="eastAsia" w:ascii="仿宋_GB2312" w:hAnsi="仿宋_GB2312" w:eastAsia="仿宋_GB2312" w:cs="仿宋_GB2312"/>
                <w:color w:val="auto"/>
                <w:sz w:val="18"/>
                <w:szCs w:val="18"/>
                <w:lang w:eastAsia="zh-CN"/>
              </w:rPr>
              <w:t>nm</w:t>
            </w:r>
            <w:r>
              <w:rPr>
                <w:rFonts w:hint="eastAsia" w:ascii="仿宋_GB2312" w:hAnsi="仿宋_GB2312" w:eastAsia="仿宋_GB2312" w:cs="仿宋_GB2312"/>
                <w:color w:val="auto"/>
                <w:spacing w:val="1"/>
                <w:sz w:val="18"/>
                <w:szCs w:val="18"/>
                <w:lang w:eastAsia="zh-CN"/>
              </w:rPr>
              <w:t>、干燥减量、灼烧残渣、铅(</w:t>
            </w:r>
            <w:r>
              <w:rPr>
                <w:rFonts w:hint="eastAsia" w:ascii="仿宋_GB2312" w:hAnsi="仿宋_GB2312" w:eastAsia="仿宋_GB2312" w:cs="仿宋_GB2312"/>
                <w:color w:val="auto"/>
                <w:sz w:val="18"/>
                <w:szCs w:val="18"/>
                <w:lang w:eastAsia="zh-CN"/>
              </w:rPr>
              <w:t>Pb</w:t>
            </w:r>
            <w:r>
              <w:rPr>
                <w:rFonts w:hint="eastAsia" w:ascii="仿宋_GB2312" w:hAnsi="仿宋_GB2312" w:eastAsia="仿宋_GB2312" w:cs="仿宋_GB2312"/>
                <w:color w:val="auto"/>
                <w:spacing w:val="1"/>
                <w:sz w:val="18"/>
                <w:szCs w:val="18"/>
                <w:lang w:eastAsia="zh-CN"/>
              </w:rPr>
              <w:t>)、总砷(以</w:t>
            </w:r>
            <w:r>
              <w:rPr>
                <w:rFonts w:hint="eastAsia" w:ascii="仿宋_GB2312" w:hAnsi="仿宋_GB2312" w:eastAsia="仿宋_GB2312" w:cs="仿宋_GB2312"/>
                <w:color w:val="auto"/>
                <w:sz w:val="18"/>
                <w:szCs w:val="18"/>
                <w:lang w:eastAsia="zh-CN"/>
              </w:rPr>
              <w:t>As</w:t>
            </w:r>
            <w:r>
              <w:rPr>
                <w:rFonts w:hint="eastAsia" w:ascii="仿宋_GB2312" w:hAnsi="仿宋_GB2312" w:eastAsia="仿宋_GB2312" w:cs="仿宋_GB2312"/>
                <w:color w:val="auto"/>
                <w:spacing w:val="1"/>
                <w:sz w:val="18"/>
                <w:szCs w:val="18"/>
                <w:lang w:eastAsia="zh-CN"/>
              </w:rPr>
              <w:t>计)</w:t>
            </w:r>
          </w:p>
        </w:tc>
      </w:tr>
      <w:tr w14:paraId="11EFE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453" w:type="dxa"/>
            <w:vMerge w:val="continue"/>
            <w:vAlign w:val="center"/>
          </w:tcPr>
          <w:p w14:paraId="4B9E3C0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4A4F8DE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645E2CE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5EE1373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胶基</w:t>
            </w:r>
          </w:p>
        </w:tc>
        <w:tc>
          <w:tcPr>
            <w:tcW w:w="1583" w:type="dxa"/>
            <w:vAlign w:val="center"/>
          </w:tcPr>
          <w:p w14:paraId="01878D6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胶基</w:t>
            </w:r>
          </w:p>
        </w:tc>
        <w:tc>
          <w:tcPr>
            <w:tcW w:w="680" w:type="dxa"/>
            <w:vAlign w:val="center"/>
          </w:tcPr>
          <w:p w14:paraId="15A2443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276367EE">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铅(Pb)、总砷(以As计)</w:t>
            </w:r>
          </w:p>
        </w:tc>
      </w:tr>
      <w:tr w14:paraId="578B8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453" w:type="dxa"/>
            <w:vMerge w:val="continue"/>
            <w:vAlign w:val="center"/>
          </w:tcPr>
          <w:p w14:paraId="3B89DB9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4DF8A88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548AA03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6849437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食品工业用酶制剂</w:t>
            </w:r>
          </w:p>
        </w:tc>
        <w:tc>
          <w:tcPr>
            <w:tcW w:w="1583" w:type="dxa"/>
            <w:vAlign w:val="center"/>
          </w:tcPr>
          <w:p w14:paraId="642DAF8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食品工业用酶制剂</w:t>
            </w:r>
          </w:p>
        </w:tc>
        <w:tc>
          <w:tcPr>
            <w:tcW w:w="680" w:type="dxa"/>
            <w:vAlign w:val="center"/>
          </w:tcPr>
          <w:p w14:paraId="619912C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1F157002">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铅(Pb)、总砷(以As计)、菌落总数、大肠菌群、大肠埃希氏菌、沙门氏菌、抗菌活性</w:t>
            </w:r>
          </w:p>
        </w:tc>
      </w:tr>
      <w:tr w14:paraId="1A05B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80" w:hRule="atLeast"/>
          <w:jc w:val="center"/>
        </w:trPr>
        <w:tc>
          <w:tcPr>
            <w:tcW w:w="453" w:type="dxa"/>
            <w:vMerge w:val="restart"/>
            <w:vAlign w:val="center"/>
          </w:tcPr>
          <w:p w14:paraId="4A41B00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31</w:t>
            </w:r>
          </w:p>
        </w:tc>
        <w:tc>
          <w:tcPr>
            <w:tcW w:w="940" w:type="dxa"/>
            <w:vMerge w:val="restart"/>
            <w:vAlign w:val="center"/>
          </w:tcPr>
          <w:p w14:paraId="480F619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畜禽肉及副产品</w:t>
            </w:r>
          </w:p>
        </w:tc>
        <w:tc>
          <w:tcPr>
            <w:tcW w:w="1358" w:type="dxa"/>
            <w:vMerge w:val="restart"/>
            <w:vAlign w:val="center"/>
          </w:tcPr>
          <w:p w14:paraId="35ECD90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畜禽肉及副产品</w:t>
            </w:r>
          </w:p>
        </w:tc>
        <w:tc>
          <w:tcPr>
            <w:tcW w:w="1578" w:type="dxa"/>
            <w:vMerge w:val="restart"/>
            <w:vAlign w:val="center"/>
          </w:tcPr>
          <w:p w14:paraId="72608E7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畜肉</w:t>
            </w:r>
          </w:p>
        </w:tc>
        <w:tc>
          <w:tcPr>
            <w:tcW w:w="1583" w:type="dxa"/>
            <w:vAlign w:val="center"/>
          </w:tcPr>
          <w:p w14:paraId="644F793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猪肉</w:t>
            </w:r>
          </w:p>
        </w:tc>
        <w:tc>
          <w:tcPr>
            <w:tcW w:w="680" w:type="dxa"/>
            <w:vAlign w:val="center"/>
          </w:tcPr>
          <w:p w14:paraId="3348384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611910D8">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挥发性盐基氮、呋喃唑酮代谢物、呋喃西林代谢物、氯霉素、克伦特罗、莱克多巴胺、沙丁胺醇、喹乙醇、恩诺沙星、替米考星、磺胺类(总量)、甲氧苄啶、氟苯尼考、多西环素、地塞米松、甲硝唑、氯丙嗪、林可霉素、土霉素/金霉素/四环素(组合含量)、水分</w:t>
            </w:r>
          </w:p>
        </w:tc>
      </w:tr>
      <w:tr w14:paraId="36134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80" w:hRule="atLeast"/>
          <w:jc w:val="center"/>
        </w:trPr>
        <w:tc>
          <w:tcPr>
            <w:tcW w:w="453" w:type="dxa"/>
            <w:vMerge w:val="continue"/>
            <w:vAlign w:val="center"/>
          </w:tcPr>
          <w:p w14:paraId="60CF18B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0F22067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31B2727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0493561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5746D3B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牛肉</w:t>
            </w:r>
          </w:p>
        </w:tc>
        <w:tc>
          <w:tcPr>
            <w:tcW w:w="680" w:type="dxa"/>
            <w:vAlign w:val="center"/>
          </w:tcPr>
          <w:p w14:paraId="09B7AA1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31D4CE7E">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挥发性盐基氮、呋喃唑酮代谢物、呋喃西林代谢物、氯霉素、克伦特罗、莱克多巴胺、沙丁胺醇、恩诺沙星、磺胺类(总量)、甲氧苄啶、氟苯尼考、多西环素、地塞米松、林可霉素、倍他米松、土霉素/金霉素/四环素(组合含量)、水分、氟尼辛</w:t>
            </w:r>
          </w:p>
        </w:tc>
      </w:tr>
      <w:tr w14:paraId="2B30D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80" w:hRule="atLeast"/>
          <w:jc w:val="center"/>
        </w:trPr>
        <w:tc>
          <w:tcPr>
            <w:tcW w:w="453" w:type="dxa"/>
            <w:vMerge w:val="continue"/>
            <w:vAlign w:val="center"/>
          </w:tcPr>
          <w:p w14:paraId="501254D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0E99794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00E0119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0D226BF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205EC9C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羊肉</w:t>
            </w:r>
          </w:p>
        </w:tc>
        <w:tc>
          <w:tcPr>
            <w:tcW w:w="680" w:type="dxa"/>
            <w:vAlign w:val="center"/>
          </w:tcPr>
          <w:p w14:paraId="67FF617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1E2FFD78">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呋喃唑酮代谢物、呋喃西林代谢物、氯霉素、克伦特罗、莱克多巴胺、沙丁胺醇、恩诺沙星、磺胺类(总量)、氟苯尼考、林可霉素、土霉素/金霉素/四环素(组合含量)、水分</w:t>
            </w:r>
          </w:p>
        </w:tc>
      </w:tr>
      <w:tr w14:paraId="036CC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5D064ED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501D5B9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3B9282D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5D33126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1EB4394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其他畜肉</w:t>
            </w:r>
          </w:p>
        </w:tc>
        <w:tc>
          <w:tcPr>
            <w:tcW w:w="680" w:type="dxa"/>
            <w:vAlign w:val="center"/>
          </w:tcPr>
          <w:p w14:paraId="6837D1D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5830D523">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呋喃唑酮代谢物、氯霉素、克伦特罗、莱克多巴胺、沙丁胺醇、氧氟沙星</w:t>
            </w:r>
          </w:p>
        </w:tc>
      </w:tr>
      <w:tr w14:paraId="56FB0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94" w:hRule="atLeast"/>
          <w:jc w:val="center"/>
        </w:trPr>
        <w:tc>
          <w:tcPr>
            <w:tcW w:w="453" w:type="dxa"/>
            <w:vMerge w:val="continue"/>
            <w:vAlign w:val="center"/>
          </w:tcPr>
          <w:p w14:paraId="0511045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7C34820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5B2AE09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restart"/>
            <w:vAlign w:val="center"/>
          </w:tcPr>
          <w:p w14:paraId="4E98882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禽肉</w:t>
            </w:r>
          </w:p>
        </w:tc>
        <w:tc>
          <w:tcPr>
            <w:tcW w:w="1583" w:type="dxa"/>
            <w:vAlign w:val="center"/>
          </w:tcPr>
          <w:p w14:paraId="58D0C34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鸡肉</w:t>
            </w:r>
          </w:p>
        </w:tc>
        <w:tc>
          <w:tcPr>
            <w:tcW w:w="680" w:type="dxa"/>
            <w:vAlign w:val="center"/>
          </w:tcPr>
          <w:p w14:paraId="56C76FC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2A4D53A0">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挥发性盐基氮、呋喃唑酮代谢物、呋喃西林代谢物、呋喃它酮代谢物、氯霉素、氧氟沙星、培氟沙星、诺氟沙星、恩诺沙星、沙拉沙星、替米考星、磺胺类(总量)、甲氧苄啶、氟苯尼考、多西环素、甲硝唑、尼卡巴嗪、环丙氨嗪、土霉素/金霉素/四环素(组合含量)、水分</w:t>
            </w:r>
          </w:p>
        </w:tc>
      </w:tr>
      <w:tr w14:paraId="139E5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2D250F1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0E112F7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54C6754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0C6F06B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66A2116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鸭肉</w:t>
            </w:r>
          </w:p>
        </w:tc>
        <w:tc>
          <w:tcPr>
            <w:tcW w:w="680" w:type="dxa"/>
            <w:vAlign w:val="center"/>
          </w:tcPr>
          <w:p w14:paraId="6C4D4F7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2C4978BC">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呋喃唑酮代谢物、呋喃妥因代谢物、氯霉素、氧氟沙星、恩诺沙星、磺胺类(总量)、氟苯尼考、多西环素、甲硝唑</w:t>
            </w:r>
          </w:p>
        </w:tc>
      </w:tr>
      <w:tr w14:paraId="57D28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69D4FCE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38D3147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10CDEEC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5BF3651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73006E4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其他禽肉</w:t>
            </w:r>
          </w:p>
        </w:tc>
        <w:tc>
          <w:tcPr>
            <w:tcW w:w="680" w:type="dxa"/>
            <w:vAlign w:val="center"/>
          </w:tcPr>
          <w:p w14:paraId="189E68B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08B3CE91">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呋喃唑酮代谢物、氯霉素、氧氟沙星、恩诺沙星、磺胺类(总量)、多西环素、甲硝唑、环丙氨嗪、培氟沙星、洛美沙星、达氟沙星</w:t>
            </w:r>
          </w:p>
        </w:tc>
      </w:tr>
      <w:tr w14:paraId="039AC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1D96ADA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07343D4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4C9731C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restart"/>
            <w:vAlign w:val="center"/>
          </w:tcPr>
          <w:p w14:paraId="1743B06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畜副产品</w:t>
            </w:r>
          </w:p>
        </w:tc>
        <w:tc>
          <w:tcPr>
            <w:tcW w:w="1583" w:type="dxa"/>
            <w:vAlign w:val="center"/>
          </w:tcPr>
          <w:p w14:paraId="68BFE04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猪肝</w:t>
            </w:r>
          </w:p>
        </w:tc>
        <w:tc>
          <w:tcPr>
            <w:tcW w:w="680" w:type="dxa"/>
            <w:vAlign w:val="center"/>
          </w:tcPr>
          <w:p w14:paraId="3D3D1BC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0AC590EF">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镉(以Cd计)、呋喃唑酮代谢物、呋喃西林代谢物、氯霉素、克伦特罗、莱克多巴胺、沙丁胺醇、恩诺沙星、磺胺类(总量)、甲氧苄啶、氯丙嗪、双氯芬酸</w:t>
            </w:r>
          </w:p>
        </w:tc>
      </w:tr>
      <w:tr w14:paraId="7AD59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453" w:type="dxa"/>
            <w:vMerge w:val="continue"/>
            <w:vAlign w:val="center"/>
          </w:tcPr>
          <w:p w14:paraId="7232291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19596AD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22937C1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6867072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50D8BF5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牛肝</w:t>
            </w:r>
          </w:p>
        </w:tc>
        <w:tc>
          <w:tcPr>
            <w:tcW w:w="680" w:type="dxa"/>
            <w:vAlign w:val="center"/>
          </w:tcPr>
          <w:p w14:paraId="3ED3C3E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2E14707E">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克伦特罗、莱克多巴胺、沙丁胺醇</w:t>
            </w:r>
          </w:p>
        </w:tc>
      </w:tr>
      <w:tr w14:paraId="48FE4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453" w:type="dxa"/>
            <w:vMerge w:val="continue"/>
            <w:vAlign w:val="center"/>
          </w:tcPr>
          <w:p w14:paraId="2BA90AD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1B31BE1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243F20B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42240D3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48E1A71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羊肝</w:t>
            </w:r>
          </w:p>
        </w:tc>
        <w:tc>
          <w:tcPr>
            <w:tcW w:w="680" w:type="dxa"/>
            <w:vAlign w:val="center"/>
          </w:tcPr>
          <w:p w14:paraId="177ABA4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58F56573">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克伦特罗、莱克多巴胺、沙丁胺醇</w:t>
            </w:r>
          </w:p>
        </w:tc>
      </w:tr>
      <w:tr w14:paraId="78B39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453" w:type="dxa"/>
            <w:vMerge w:val="continue"/>
            <w:vAlign w:val="center"/>
          </w:tcPr>
          <w:p w14:paraId="5BC8A92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4A00F8C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6A7F135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1204208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0ACE1BB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猪肾</w:t>
            </w:r>
          </w:p>
        </w:tc>
        <w:tc>
          <w:tcPr>
            <w:tcW w:w="680" w:type="dxa"/>
            <w:vAlign w:val="center"/>
          </w:tcPr>
          <w:p w14:paraId="6D40CF4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6AA2A242">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呋喃西林代谢物、氯霉素、克伦特罗、莱克多巴胺、沙丁胺醇、恩诺沙星、磺胺类(总量)、甲氧苄啶</w:t>
            </w:r>
          </w:p>
        </w:tc>
      </w:tr>
      <w:tr w14:paraId="4E211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83" w:hRule="atLeast"/>
          <w:jc w:val="center"/>
        </w:trPr>
        <w:tc>
          <w:tcPr>
            <w:tcW w:w="453" w:type="dxa"/>
            <w:vMerge w:val="continue"/>
            <w:vAlign w:val="center"/>
          </w:tcPr>
          <w:p w14:paraId="5C9BB45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43E71A7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26E7DAC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267A8A3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1031256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牛肾</w:t>
            </w:r>
          </w:p>
        </w:tc>
        <w:tc>
          <w:tcPr>
            <w:tcW w:w="680" w:type="dxa"/>
            <w:vAlign w:val="center"/>
          </w:tcPr>
          <w:p w14:paraId="384BCCD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31B72166">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克伦特罗、莱克多巴胺、沙丁胺醇、恩诺沙星、磺胺类(总量)</w:t>
            </w:r>
          </w:p>
        </w:tc>
      </w:tr>
      <w:tr w14:paraId="68769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83" w:hRule="atLeast"/>
          <w:jc w:val="center"/>
        </w:trPr>
        <w:tc>
          <w:tcPr>
            <w:tcW w:w="453" w:type="dxa"/>
            <w:vMerge w:val="continue"/>
            <w:vAlign w:val="center"/>
          </w:tcPr>
          <w:p w14:paraId="6116A17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465EFDD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0C66739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16B3470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5608394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羊肾</w:t>
            </w:r>
          </w:p>
        </w:tc>
        <w:tc>
          <w:tcPr>
            <w:tcW w:w="680" w:type="dxa"/>
            <w:vAlign w:val="center"/>
          </w:tcPr>
          <w:p w14:paraId="2FE406A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56DF2AF7">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镉(以Cd计)、克伦特罗、莱克多巴胺、沙丁胺醇、恩诺沙星</w:t>
            </w:r>
          </w:p>
        </w:tc>
      </w:tr>
      <w:tr w14:paraId="7097C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83" w:hRule="atLeast"/>
          <w:jc w:val="center"/>
        </w:trPr>
        <w:tc>
          <w:tcPr>
            <w:tcW w:w="453" w:type="dxa"/>
            <w:vMerge w:val="continue"/>
            <w:vAlign w:val="center"/>
          </w:tcPr>
          <w:p w14:paraId="0FE1541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4C40F43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58C9976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18E8DBB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242DB89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其他畜副产品</w:t>
            </w:r>
          </w:p>
        </w:tc>
        <w:tc>
          <w:tcPr>
            <w:tcW w:w="680" w:type="dxa"/>
            <w:vAlign w:val="center"/>
          </w:tcPr>
          <w:p w14:paraId="1BA7C5F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18D9216B">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呋喃唑酮代谢物、呋喃西林代谢物、氯霉素、克伦特罗、莱克多巴胺、沙丁胺醇</w:t>
            </w:r>
          </w:p>
        </w:tc>
      </w:tr>
      <w:tr w14:paraId="570A6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83" w:hRule="atLeast"/>
          <w:jc w:val="center"/>
        </w:trPr>
        <w:tc>
          <w:tcPr>
            <w:tcW w:w="453" w:type="dxa"/>
            <w:vMerge w:val="continue"/>
            <w:vAlign w:val="center"/>
          </w:tcPr>
          <w:p w14:paraId="6438761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2A7DDDC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35310CA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restart"/>
            <w:vAlign w:val="center"/>
          </w:tcPr>
          <w:p w14:paraId="653627F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禽副产品</w:t>
            </w:r>
          </w:p>
        </w:tc>
        <w:tc>
          <w:tcPr>
            <w:tcW w:w="1583" w:type="dxa"/>
            <w:vAlign w:val="center"/>
          </w:tcPr>
          <w:p w14:paraId="642CF07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鸡肝</w:t>
            </w:r>
          </w:p>
        </w:tc>
        <w:tc>
          <w:tcPr>
            <w:tcW w:w="680" w:type="dxa"/>
            <w:vAlign w:val="center"/>
          </w:tcPr>
          <w:p w14:paraId="0F28398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15D3C4B5">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呋喃唑酮代谢物、呋喃西林代谢物、氯霉素、氧氟沙星、恩诺沙星、环丙氨嗪</w:t>
            </w:r>
          </w:p>
        </w:tc>
      </w:tr>
      <w:tr w14:paraId="7A065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83" w:hRule="atLeast"/>
          <w:jc w:val="center"/>
        </w:trPr>
        <w:tc>
          <w:tcPr>
            <w:tcW w:w="453" w:type="dxa"/>
            <w:vMerge w:val="continue"/>
            <w:vAlign w:val="center"/>
          </w:tcPr>
          <w:p w14:paraId="7359F63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09CF317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765316B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009B21B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4B06F5E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其他禽副产品</w:t>
            </w:r>
          </w:p>
        </w:tc>
        <w:tc>
          <w:tcPr>
            <w:tcW w:w="680" w:type="dxa"/>
            <w:vAlign w:val="center"/>
          </w:tcPr>
          <w:p w14:paraId="3BC6AB6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7BFE7C1B">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呋喃唑酮代谢物、呋喃西林代谢物、氯霉素、诺氟沙星</w:t>
            </w:r>
          </w:p>
        </w:tc>
      </w:tr>
      <w:tr w14:paraId="2B59E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83" w:hRule="atLeast"/>
          <w:jc w:val="center"/>
        </w:trPr>
        <w:tc>
          <w:tcPr>
            <w:tcW w:w="453" w:type="dxa"/>
            <w:vMerge w:val="restart"/>
            <w:vAlign w:val="center"/>
          </w:tcPr>
          <w:p w14:paraId="21F0681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32</w:t>
            </w:r>
          </w:p>
        </w:tc>
        <w:tc>
          <w:tcPr>
            <w:tcW w:w="940" w:type="dxa"/>
            <w:vMerge w:val="restart"/>
            <w:vAlign w:val="center"/>
          </w:tcPr>
          <w:p w14:paraId="49F9197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蔬菜</w:t>
            </w:r>
          </w:p>
        </w:tc>
        <w:tc>
          <w:tcPr>
            <w:tcW w:w="1358" w:type="dxa"/>
            <w:vMerge w:val="restart"/>
            <w:vAlign w:val="center"/>
          </w:tcPr>
          <w:p w14:paraId="3A7A98A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蔬菜</w:t>
            </w:r>
          </w:p>
        </w:tc>
        <w:tc>
          <w:tcPr>
            <w:tcW w:w="1578" w:type="dxa"/>
            <w:vAlign w:val="center"/>
          </w:tcPr>
          <w:p w14:paraId="05BF032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豆芽</w:t>
            </w:r>
          </w:p>
        </w:tc>
        <w:tc>
          <w:tcPr>
            <w:tcW w:w="1583" w:type="dxa"/>
            <w:vAlign w:val="center"/>
          </w:tcPr>
          <w:p w14:paraId="6BA3707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豆芽</w:t>
            </w:r>
          </w:p>
        </w:tc>
        <w:tc>
          <w:tcPr>
            <w:tcW w:w="680" w:type="dxa"/>
            <w:vAlign w:val="center"/>
          </w:tcPr>
          <w:p w14:paraId="2C8185B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317CE397">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铅(以Pb计)、4-氯苯氧乙酸钠(以4-氯苯氧乙酸计)、6-苄基腺嘌呤(6-BA)、亚硫酸盐(以SO</w:t>
            </w:r>
            <w:r>
              <w:rPr>
                <w:rFonts w:hint="eastAsia" w:ascii="仿宋_GB2312" w:hAnsi="仿宋_GB2312" w:eastAsia="仿宋_GB2312" w:cs="仿宋_GB2312"/>
                <w:color w:val="auto"/>
                <w:sz w:val="18"/>
                <w:szCs w:val="18"/>
                <w:vertAlign w:val="subscript"/>
                <w:lang w:eastAsia="zh-CN"/>
              </w:rPr>
              <w:t>2</w:t>
            </w:r>
            <w:r>
              <w:rPr>
                <w:rFonts w:hint="eastAsia" w:ascii="仿宋_GB2312" w:hAnsi="仿宋_GB2312" w:eastAsia="仿宋_GB2312" w:cs="仿宋_GB2312"/>
                <w:color w:val="auto"/>
                <w:sz w:val="18"/>
                <w:szCs w:val="18"/>
                <w:lang w:eastAsia="zh-CN"/>
              </w:rPr>
              <w:t>计)、总汞(以Hg计)</w:t>
            </w:r>
          </w:p>
        </w:tc>
      </w:tr>
      <w:tr w14:paraId="69133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83" w:hRule="atLeast"/>
          <w:jc w:val="center"/>
        </w:trPr>
        <w:tc>
          <w:tcPr>
            <w:tcW w:w="453" w:type="dxa"/>
            <w:vMerge w:val="continue"/>
            <w:vAlign w:val="center"/>
          </w:tcPr>
          <w:p w14:paraId="40FC766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71E4ED1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1FFC4AC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713A29E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鲜食用菌</w:t>
            </w:r>
          </w:p>
        </w:tc>
        <w:tc>
          <w:tcPr>
            <w:tcW w:w="1583" w:type="dxa"/>
            <w:vAlign w:val="center"/>
          </w:tcPr>
          <w:p w14:paraId="27306B1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鲜食用菌</w:t>
            </w:r>
          </w:p>
        </w:tc>
        <w:tc>
          <w:tcPr>
            <w:tcW w:w="680" w:type="dxa"/>
            <w:vAlign w:val="center"/>
          </w:tcPr>
          <w:p w14:paraId="44D2B24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12D26722">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镉(以Cd计)、百菌清、除虫脲、氯氟氰菊酯和高效氯氟氰菊酯、氯氰菊酯和高效氯氰菊酯、铅(以Pb计)</w:t>
            </w:r>
          </w:p>
        </w:tc>
      </w:tr>
      <w:tr w14:paraId="56685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83" w:hRule="atLeast"/>
          <w:jc w:val="center"/>
        </w:trPr>
        <w:tc>
          <w:tcPr>
            <w:tcW w:w="453" w:type="dxa"/>
            <w:vMerge w:val="continue"/>
            <w:vAlign w:val="center"/>
          </w:tcPr>
          <w:p w14:paraId="72CF1A6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7EC2E89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62EC1B0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restart"/>
            <w:vAlign w:val="center"/>
          </w:tcPr>
          <w:p w14:paraId="7226456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鳞茎类蔬菜</w:t>
            </w:r>
          </w:p>
        </w:tc>
        <w:tc>
          <w:tcPr>
            <w:tcW w:w="1583" w:type="dxa"/>
            <w:vAlign w:val="center"/>
          </w:tcPr>
          <w:p w14:paraId="01F8A93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葱</w:t>
            </w:r>
          </w:p>
        </w:tc>
        <w:tc>
          <w:tcPr>
            <w:tcW w:w="680" w:type="dxa"/>
            <w:vAlign w:val="center"/>
          </w:tcPr>
          <w:p w14:paraId="64BC3C6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194315CF">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铅(以Pb计)、镉(以Cd计)、丙环唑、毒死蜱、甲拌磷、甲基异柳磷、克百威、氯氟氰菊酯和高效氯氟氰菊酯、噻虫嗪、三唑磷、水胺硫磷、戊唑醇、氧乐果、乙酰甲胺磷、氟虫腈、乐果</w:t>
            </w:r>
          </w:p>
        </w:tc>
      </w:tr>
      <w:tr w14:paraId="33595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0" w:hRule="atLeast"/>
          <w:jc w:val="center"/>
        </w:trPr>
        <w:tc>
          <w:tcPr>
            <w:tcW w:w="453" w:type="dxa"/>
            <w:vMerge w:val="continue"/>
            <w:vAlign w:val="center"/>
          </w:tcPr>
          <w:p w14:paraId="6EC87F5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2E4BCD0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7E459EF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017CC2B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47C9CD6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韭菜</w:t>
            </w:r>
          </w:p>
        </w:tc>
        <w:tc>
          <w:tcPr>
            <w:tcW w:w="680" w:type="dxa"/>
            <w:vAlign w:val="center"/>
          </w:tcPr>
          <w:p w14:paraId="725940E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51110D53">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镉(以Cd计)、阿维菌素、敌敌畏、毒死蜱、多菌灵、二甲戊灵、腐霉利、甲胺磷、甲拌磷、克百威、乐果、氯氟氰菊酯和高效氯氟氰菊酯、氯氰菊酯和高效氯氰菊酯、三唑磷、辛硫磷、氧乐果、乙酰甲胺磷</w:t>
            </w:r>
          </w:p>
        </w:tc>
      </w:tr>
      <w:tr w14:paraId="191E3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0" w:hRule="atLeast"/>
          <w:jc w:val="center"/>
        </w:trPr>
        <w:tc>
          <w:tcPr>
            <w:tcW w:w="453" w:type="dxa"/>
            <w:vMerge w:val="continue"/>
            <w:vAlign w:val="center"/>
          </w:tcPr>
          <w:p w14:paraId="70CD458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467F240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66D494B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restart"/>
            <w:vAlign w:val="center"/>
          </w:tcPr>
          <w:p w14:paraId="050044C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叶菜类蔬菜</w:t>
            </w:r>
          </w:p>
        </w:tc>
        <w:tc>
          <w:tcPr>
            <w:tcW w:w="1583" w:type="dxa"/>
            <w:vAlign w:val="center"/>
          </w:tcPr>
          <w:p w14:paraId="5BA0B9B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菠菜</w:t>
            </w:r>
          </w:p>
        </w:tc>
        <w:tc>
          <w:tcPr>
            <w:tcW w:w="680" w:type="dxa"/>
            <w:vAlign w:val="center"/>
          </w:tcPr>
          <w:p w14:paraId="35967F9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34D942F1">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铅(以Pb计)、镉(以Cd计)、铬(以Cr计)、阿维菌素、毒死蜱、氟虫腈、腐霉利、甲拌磷、氯氟氰菊酯和高效氯氟氰菊酯、氧乐果、克百威</w:t>
            </w:r>
          </w:p>
        </w:tc>
      </w:tr>
      <w:tr w14:paraId="76B81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0" w:hRule="atLeast"/>
          <w:jc w:val="center"/>
        </w:trPr>
        <w:tc>
          <w:tcPr>
            <w:tcW w:w="453" w:type="dxa"/>
            <w:vMerge w:val="continue"/>
            <w:vAlign w:val="center"/>
          </w:tcPr>
          <w:p w14:paraId="2D5352B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0F1AD82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7D5F60F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355E4A5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03E46B4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大白菜</w:t>
            </w:r>
          </w:p>
        </w:tc>
        <w:tc>
          <w:tcPr>
            <w:tcW w:w="680" w:type="dxa"/>
            <w:vAlign w:val="center"/>
          </w:tcPr>
          <w:p w14:paraId="3ED0F58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4ADD3793">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镉(以Cd计)、阿维菌素、吡虫啉、毒死蜱、氟虫腈、甲拌磷、克百威、乐果、氯氟氰菊酯和高效氯氟氰菊酯、氧乐果、乙酰甲胺磷</w:t>
            </w:r>
          </w:p>
        </w:tc>
      </w:tr>
      <w:tr w14:paraId="2EC53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90" w:hRule="atLeast"/>
          <w:jc w:val="center"/>
        </w:trPr>
        <w:tc>
          <w:tcPr>
            <w:tcW w:w="453" w:type="dxa"/>
            <w:vMerge w:val="continue"/>
            <w:vAlign w:val="center"/>
          </w:tcPr>
          <w:p w14:paraId="6F9F3C0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7755A18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46242E9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668267C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12FBBB9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普通白菜(小白菜、小油菜、青菜)</w:t>
            </w:r>
          </w:p>
        </w:tc>
        <w:tc>
          <w:tcPr>
            <w:tcW w:w="680" w:type="dxa"/>
            <w:vAlign w:val="center"/>
          </w:tcPr>
          <w:p w14:paraId="1352541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5AE6DDD0">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镉(以Cd计)、阿维菌素、吡虫啉、敌敌畏、啶虫脒、毒死蜱、氟虫腈、氟氯氰菊酯和高效氟氯氰菊酯、甲氨基阿维菌素苯甲酸盐、甲拌磷、甲基异柳磷、克百威、氯氟氰菊酯和高效氯氟氰菊酯、氯氰菊酯和高效氯氰菊酯、噻虫胺、氧乐果、乙酰甲胺磷</w:t>
            </w:r>
          </w:p>
        </w:tc>
      </w:tr>
      <w:tr w14:paraId="28F26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0" w:hRule="atLeast"/>
          <w:jc w:val="center"/>
        </w:trPr>
        <w:tc>
          <w:tcPr>
            <w:tcW w:w="453" w:type="dxa"/>
            <w:vMerge w:val="continue"/>
            <w:vAlign w:val="center"/>
          </w:tcPr>
          <w:p w14:paraId="1725384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07E24BC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79E6241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6BED80B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2E654E0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芹菜</w:t>
            </w:r>
          </w:p>
        </w:tc>
        <w:tc>
          <w:tcPr>
            <w:tcW w:w="680" w:type="dxa"/>
            <w:vAlign w:val="center"/>
          </w:tcPr>
          <w:p w14:paraId="6720F10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03C2BE11">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镉(以Cd计)、阿维菌素、百菌清、苯醚甲环唑、敌敌畏、啶虫脒、毒死蜱、二甲戊灵、氟虫腈、甲拌磷、甲基异柳磷、腈菌唑、克百威、乐果、氯氟氰菊酯和高效氯氟氰菊酯、氯氰菊酯和高效氯氰菊酯、噻虫胺、噻虫嗪、三氯杀螨醇、水胺硫磷、辛硫磷、氧乐果、乙酰甲胺磷</w:t>
            </w:r>
          </w:p>
        </w:tc>
      </w:tr>
      <w:tr w14:paraId="5CD90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0" w:hRule="atLeast"/>
          <w:jc w:val="center"/>
        </w:trPr>
        <w:tc>
          <w:tcPr>
            <w:tcW w:w="453" w:type="dxa"/>
            <w:vMerge w:val="continue"/>
            <w:vAlign w:val="center"/>
          </w:tcPr>
          <w:p w14:paraId="065A01B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5D72A31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3B61B76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121B619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5CDF808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油麦菜</w:t>
            </w:r>
          </w:p>
        </w:tc>
        <w:tc>
          <w:tcPr>
            <w:tcW w:w="680" w:type="dxa"/>
            <w:vAlign w:val="center"/>
          </w:tcPr>
          <w:p w14:paraId="262EEB8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70AB5CF3">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阿维菌素、吡虫啉、啶虫脒、毒死蜱、氟虫腈、甲氨基阿维菌素苯甲酸盐、甲拌磷、腈菌唑、氯氟氰菊酯和高效氯氟氰菊酯、灭多威、噻虫嗪、氧乐果、乙酰甲胺磷</w:t>
            </w:r>
          </w:p>
        </w:tc>
      </w:tr>
      <w:tr w14:paraId="579CC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37" w:hRule="atLeast"/>
          <w:jc w:val="center"/>
        </w:trPr>
        <w:tc>
          <w:tcPr>
            <w:tcW w:w="453" w:type="dxa"/>
            <w:vMerge w:val="continue"/>
            <w:vAlign w:val="center"/>
          </w:tcPr>
          <w:p w14:paraId="7278CC5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7D18B97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6AD236E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39B8D9C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茄果类蔬菜</w:t>
            </w:r>
          </w:p>
        </w:tc>
        <w:tc>
          <w:tcPr>
            <w:tcW w:w="1583" w:type="dxa"/>
            <w:vAlign w:val="center"/>
          </w:tcPr>
          <w:p w14:paraId="356276A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辣椒</w:t>
            </w:r>
          </w:p>
        </w:tc>
        <w:tc>
          <w:tcPr>
            <w:tcW w:w="680" w:type="dxa"/>
            <w:vAlign w:val="center"/>
          </w:tcPr>
          <w:p w14:paraId="0A13C21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1A114639">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镉(以Cd计)、倍硫磷、吡虫啉、吡唑醚菌酯、丙溴磷、敌敌畏、啶虫脒、毒死蜱、呋虫胺、氟虫腈、甲氨基阿维菌素苯甲酸盐、甲胺磷、甲拌磷、克百威、乐果、联苯菊酯、氯氟氰菊酯和高效氯氟氰菊酯、噻虫胺、噻虫嗪、三唑磷、杀扑磷、水胺硫磷、氧乐果、乙酰甲胺磷、氟吡菌胺</w:t>
            </w:r>
          </w:p>
        </w:tc>
      </w:tr>
      <w:tr w14:paraId="79E16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37" w:hRule="atLeast"/>
          <w:jc w:val="center"/>
        </w:trPr>
        <w:tc>
          <w:tcPr>
            <w:tcW w:w="453" w:type="dxa"/>
            <w:vMerge w:val="continue"/>
            <w:vAlign w:val="center"/>
          </w:tcPr>
          <w:p w14:paraId="0D23484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2F17A5C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0274D5E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restart"/>
            <w:vAlign w:val="center"/>
          </w:tcPr>
          <w:p w14:paraId="02D17AA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茄果类蔬菜</w:t>
            </w:r>
          </w:p>
        </w:tc>
        <w:tc>
          <w:tcPr>
            <w:tcW w:w="1583" w:type="dxa"/>
            <w:vAlign w:val="center"/>
          </w:tcPr>
          <w:p w14:paraId="54F07F3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茄子</w:t>
            </w:r>
          </w:p>
        </w:tc>
        <w:tc>
          <w:tcPr>
            <w:tcW w:w="680" w:type="dxa"/>
            <w:vAlign w:val="center"/>
          </w:tcPr>
          <w:p w14:paraId="3A2E526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3D7FB5BD">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铅(以Pb计)、镉(以Cd计)、吡唑醚菌酯、毒死蜱、甲氨基阿维菌素苯甲酸盐、甲胺磷、甲拌磷、克百威、噻虫胺、噻虫嗪、霜霉威和霜霉威盐酸盐、水胺硫磷、氧乐果、乙酰甲胺磷</w:t>
            </w:r>
          </w:p>
        </w:tc>
      </w:tr>
      <w:tr w14:paraId="0E625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453" w:type="dxa"/>
            <w:vMerge w:val="continue"/>
            <w:vAlign w:val="center"/>
          </w:tcPr>
          <w:p w14:paraId="43A119C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1435BC8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30FFC8E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737B30E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482D083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甜椒</w:t>
            </w:r>
          </w:p>
        </w:tc>
        <w:tc>
          <w:tcPr>
            <w:tcW w:w="680" w:type="dxa"/>
            <w:vAlign w:val="center"/>
          </w:tcPr>
          <w:p w14:paraId="13D6243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394A8A4E">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镉(以Cd计)、阿维菌素、倍硫磷、吡虫啉、吡唑醚菌酯、毒死蜱、噻虫胺、噻虫嗪、氧乐果、氟啶虫酰胺</w:t>
            </w:r>
          </w:p>
        </w:tc>
      </w:tr>
      <w:tr w14:paraId="57007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1C20ADA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30C9F9D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70A5F6C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3CBF82E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瓜类蔬菜</w:t>
            </w:r>
          </w:p>
        </w:tc>
        <w:tc>
          <w:tcPr>
            <w:tcW w:w="1583" w:type="dxa"/>
            <w:vAlign w:val="center"/>
          </w:tcPr>
          <w:p w14:paraId="0562B92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黄瓜</w:t>
            </w:r>
          </w:p>
        </w:tc>
        <w:tc>
          <w:tcPr>
            <w:tcW w:w="680" w:type="dxa"/>
            <w:vAlign w:val="center"/>
          </w:tcPr>
          <w:p w14:paraId="4F16139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7B4E5DFA">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阿维菌素、哒螨灵、敌敌畏、毒死蜱、腐霉利、甲氨基阿维菌素苯甲酸盐、甲拌磷、克百威、乐果、噻虫嗪、氧乐果、乙螨唑、乙酰甲胺磷、异丙威</w:t>
            </w:r>
          </w:p>
        </w:tc>
      </w:tr>
      <w:tr w14:paraId="1A5CA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37104A1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5AAD87E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09C1069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restart"/>
            <w:vAlign w:val="center"/>
          </w:tcPr>
          <w:p w14:paraId="3869A50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豆类蔬菜</w:t>
            </w:r>
          </w:p>
        </w:tc>
        <w:tc>
          <w:tcPr>
            <w:tcW w:w="1583" w:type="dxa"/>
            <w:vAlign w:val="center"/>
          </w:tcPr>
          <w:p w14:paraId="6216FBD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菜豆</w:t>
            </w:r>
          </w:p>
        </w:tc>
        <w:tc>
          <w:tcPr>
            <w:tcW w:w="680" w:type="dxa"/>
            <w:vAlign w:val="center"/>
          </w:tcPr>
          <w:p w14:paraId="15695A3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53C3E892">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倍硫磷、吡虫啉、毒死蜱、多菌灵、甲氨基阿维菌素苯甲酸盐、甲胺磷、克百威、氯氟氰菊酯和高效氯氟氰菊酯、灭蝇胺、噻虫胺、水胺硫磷、氧乐果、乙酰甲胺磷</w:t>
            </w:r>
          </w:p>
        </w:tc>
      </w:tr>
      <w:tr w14:paraId="39509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80" w:hRule="atLeast"/>
          <w:jc w:val="center"/>
        </w:trPr>
        <w:tc>
          <w:tcPr>
            <w:tcW w:w="453" w:type="dxa"/>
            <w:vMerge w:val="continue"/>
            <w:vAlign w:val="center"/>
          </w:tcPr>
          <w:p w14:paraId="5BCDD07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699EED3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193B075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2239EAF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3E001BF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豇豆</w:t>
            </w:r>
          </w:p>
        </w:tc>
        <w:tc>
          <w:tcPr>
            <w:tcW w:w="680" w:type="dxa"/>
            <w:vAlign w:val="center"/>
          </w:tcPr>
          <w:p w14:paraId="056774C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57D6E95E">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阿维菌素、倍硫磷、啶虫脒、毒死蜱、氟虫腈、甲氨基阿维菌素苯甲酸盐、甲胺磷、甲拌磷、甲基异柳磷、克百威、乐果、氯氟氰菊酯和高效氯氟氰菊酯、灭蝇胺、噻虫胺、噻虫嗪、三唑磷、水胺硫磷、氧乐果、乙酰甲胺磷</w:t>
            </w:r>
          </w:p>
        </w:tc>
      </w:tr>
      <w:tr w14:paraId="3F62D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67" w:hRule="atLeast"/>
          <w:jc w:val="center"/>
        </w:trPr>
        <w:tc>
          <w:tcPr>
            <w:tcW w:w="453" w:type="dxa"/>
            <w:vMerge w:val="continue"/>
            <w:vAlign w:val="center"/>
          </w:tcPr>
          <w:p w14:paraId="30300ED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78CEE5A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2EE9AA2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6A34D08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2EDA8F3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食荚豌豆</w:t>
            </w:r>
          </w:p>
        </w:tc>
        <w:tc>
          <w:tcPr>
            <w:tcW w:w="680" w:type="dxa"/>
            <w:vAlign w:val="center"/>
          </w:tcPr>
          <w:p w14:paraId="75910B5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15584521">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吡唑醚菌酯、毒死蜱、多菌灵、甲氨基阿维菌素苯甲酸盐、灭蝇胺、噻虫胺、烯酰吗啉、氧乐果、乙酰甲胺磷、苯醚甲环唑、甲胺磷、噻虫嗪</w:t>
            </w:r>
          </w:p>
        </w:tc>
      </w:tr>
      <w:tr w14:paraId="6AE56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67" w:hRule="atLeast"/>
          <w:jc w:val="center"/>
        </w:trPr>
        <w:tc>
          <w:tcPr>
            <w:tcW w:w="453" w:type="dxa"/>
            <w:vMerge w:val="continue"/>
            <w:vAlign w:val="center"/>
          </w:tcPr>
          <w:p w14:paraId="2A3A22E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2E50040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474B53E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restart"/>
            <w:vAlign w:val="center"/>
          </w:tcPr>
          <w:p w14:paraId="26524F4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根茎类和薯芋类蔬菜</w:t>
            </w:r>
          </w:p>
        </w:tc>
        <w:tc>
          <w:tcPr>
            <w:tcW w:w="1583" w:type="dxa"/>
            <w:vAlign w:val="center"/>
          </w:tcPr>
          <w:p w14:paraId="1A41AF7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kern w:val="31"/>
                <w:sz w:val="18"/>
                <w:szCs w:val="18"/>
              </w:rPr>
            </w:pPr>
            <w:r>
              <w:rPr>
                <w:rFonts w:hint="eastAsia" w:ascii="仿宋_GB2312" w:hAnsi="仿宋_GB2312" w:eastAsia="仿宋_GB2312" w:cs="仿宋_GB2312"/>
                <w:color w:val="auto"/>
                <w:sz w:val="18"/>
                <w:szCs w:val="18"/>
              </w:rPr>
              <w:t>马铃薯</w:t>
            </w:r>
          </w:p>
        </w:tc>
        <w:tc>
          <w:tcPr>
            <w:tcW w:w="680" w:type="dxa"/>
            <w:vAlign w:val="center"/>
          </w:tcPr>
          <w:p w14:paraId="17AE0927">
            <w:pPr>
              <w:pStyle w:val="66"/>
              <w:keepNext w:val="0"/>
              <w:keepLines w:val="0"/>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kern w:val="31"/>
                <w:sz w:val="18"/>
                <w:szCs w:val="18"/>
              </w:rPr>
            </w:pPr>
            <w:r>
              <w:rPr>
                <w:rFonts w:hint="eastAsia" w:ascii="仿宋_GB2312" w:hAnsi="仿宋_GB2312" w:eastAsia="仿宋_GB2312" w:cs="仿宋_GB2312"/>
                <w:color w:val="auto"/>
                <w:spacing w:val="-2"/>
                <w:sz w:val="18"/>
                <w:szCs w:val="18"/>
              </w:rPr>
              <w:t>较高</w:t>
            </w:r>
          </w:p>
        </w:tc>
        <w:tc>
          <w:tcPr>
            <w:tcW w:w="8546" w:type="dxa"/>
          </w:tcPr>
          <w:p w14:paraId="78DCC9C8">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kern w:val="31"/>
                <w:sz w:val="18"/>
                <w:szCs w:val="18"/>
                <w:lang w:eastAsia="zh-CN"/>
              </w:rPr>
            </w:pPr>
            <w:r>
              <w:rPr>
                <w:rFonts w:hint="eastAsia" w:ascii="仿宋_GB2312" w:hAnsi="仿宋_GB2312" w:eastAsia="仿宋_GB2312" w:cs="仿宋_GB2312"/>
                <w:color w:val="auto"/>
                <w:sz w:val="18"/>
                <w:szCs w:val="18"/>
                <w:lang w:eastAsia="zh-CN"/>
              </w:rPr>
              <w:t>铅(以Pb计)、镉(以Cd计)、毒死蜱、甲拌磷、氯氟氰菊酯和高效氯氟氰菊酯、氯氰菊酯和高效氯氰菊酯、噻虫嗪、乙酰甲胺磷、二氧化硫残留量</w:t>
            </w:r>
          </w:p>
        </w:tc>
      </w:tr>
      <w:tr w14:paraId="163FA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67" w:hRule="atLeast"/>
          <w:jc w:val="center"/>
        </w:trPr>
        <w:tc>
          <w:tcPr>
            <w:tcW w:w="453" w:type="dxa"/>
            <w:vMerge w:val="continue"/>
            <w:vAlign w:val="center"/>
          </w:tcPr>
          <w:p w14:paraId="7B32161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437CF5E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637AE96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1343158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231F9BF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kern w:val="31"/>
                <w:sz w:val="18"/>
                <w:szCs w:val="18"/>
              </w:rPr>
            </w:pPr>
            <w:r>
              <w:rPr>
                <w:rFonts w:hint="eastAsia" w:ascii="仿宋_GB2312" w:hAnsi="仿宋_GB2312" w:eastAsia="仿宋_GB2312" w:cs="仿宋_GB2312"/>
                <w:color w:val="auto"/>
                <w:sz w:val="18"/>
                <w:szCs w:val="18"/>
              </w:rPr>
              <w:t>甘薯</w:t>
            </w:r>
          </w:p>
        </w:tc>
        <w:tc>
          <w:tcPr>
            <w:tcW w:w="680" w:type="dxa"/>
            <w:vAlign w:val="center"/>
          </w:tcPr>
          <w:p w14:paraId="11142409">
            <w:pPr>
              <w:pStyle w:val="66"/>
              <w:keepNext w:val="0"/>
              <w:keepLines w:val="0"/>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kern w:val="31"/>
                <w:sz w:val="18"/>
                <w:szCs w:val="18"/>
              </w:rPr>
            </w:pPr>
            <w:r>
              <w:rPr>
                <w:rFonts w:hint="eastAsia" w:ascii="仿宋_GB2312" w:hAnsi="仿宋_GB2312" w:eastAsia="仿宋_GB2312" w:cs="仿宋_GB2312"/>
                <w:color w:val="auto"/>
                <w:spacing w:val="-2"/>
                <w:sz w:val="18"/>
                <w:szCs w:val="18"/>
              </w:rPr>
              <w:t>较高</w:t>
            </w:r>
          </w:p>
        </w:tc>
        <w:tc>
          <w:tcPr>
            <w:tcW w:w="8546" w:type="dxa"/>
          </w:tcPr>
          <w:p w14:paraId="09A8C283">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kern w:val="31"/>
                <w:sz w:val="18"/>
                <w:szCs w:val="18"/>
                <w:lang w:eastAsia="zh-CN"/>
              </w:rPr>
            </w:pPr>
            <w:r>
              <w:rPr>
                <w:rFonts w:hint="eastAsia" w:ascii="仿宋_GB2312" w:hAnsi="仿宋_GB2312" w:eastAsia="仿宋_GB2312" w:cs="仿宋_GB2312"/>
                <w:color w:val="auto"/>
                <w:sz w:val="18"/>
                <w:szCs w:val="18"/>
                <w:lang w:eastAsia="zh-CN"/>
              </w:rPr>
              <w:t>铅(以Pb计)、毒死蜱、氟虫腈、甲拌磷、氯氟氰菊酯和高效氯氟氰菊酯、氯氰菊酯和高效氯氰菊酯、噻虫嗪、杀扑磷、苯醚甲环唑、联苯菊酯</w:t>
            </w:r>
          </w:p>
        </w:tc>
      </w:tr>
      <w:tr w14:paraId="2820F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67" w:hRule="atLeast"/>
          <w:jc w:val="center"/>
        </w:trPr>
        <w:tc>
          <w:tcPr>
            <w:tcW w:w="453" w:type="dxa"/>
            <w:vMerge w:val="continue"/>
            <w:vAlign w:val="center"/>
          </w:tcPr>
          <w:p w14:paraId="5623101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1233E7E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7B1588A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4AED0A8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0B19D28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胡萝卜</w:t>
            </w:r>
          </w:p>
        </w:tc>
        <w:tc>
          <w:tcPr>
            <w:tcW w:w="680" w:type="dxa"/>
            <w:vAlign w:val="center"/>
          </w:tcPr>
          <w:p w14:paraId="48F6336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49A8053F">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铅(以Pb计)、毒死蜱、氟虫腈、甲拌磷、氯氟氰菊酯和高效氯氟氰菊酯、噻虫胺、腈菌唑、乐果、噻虫嗪、辛硫磷</w:t>
            </w:r>
          </w:p>
        </w:tc>
      </w:tr>
      <w:tr w14:paraId="436F1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0ED434D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0C9C9CB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7E6F053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0B2AE47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4814094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姜</w:t>
            </w:r>
          </w:p>
        </w:tc>
        <w:tc>
          <w:tcPr>
            <w:tcW w:w="680" w:type="dxa"/>
            <w:vAlign w:val="center"/>
          </w:tcPr>
          <w:p w14:paraId="407FA39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76A818A4">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镉(以Cd计)、吡虫啉、吡唑醚菌酯、敌敌畏、毒死蜱、甲拌磷、克百威、六六六、氯氟氰菊酯和高效氯氟氰菊酯、氯氰菊酯和高效氯氰菊酯、氯唑磷、咪鲜胺和咪鲜胺锰盐、噻虫胺、噻虫嗪、二氧化硫残留量</w:t>
            </w:r>
          </w:p>
        </w:tc>
      </w:tr>
      <w:tr w14:paraId="21695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7CB334D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15B4338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3EB29C2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5D61E5E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11E0D02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萝卜</w:t>
            </w:r>
          </w:p>
        </w:tc>
        <w:tc>
          <w:tcPr>
            <w:tcW w:w="680" w:type="dxa"/>
            <w:vAlign w:val="center"/>
          </w:tcPr>
          <w:p w14:paraId="0F12C77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504A306C">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铅(以Pb计)、毒死蜱、甲胺磷、甲拌磷、氯氟氰菊酯和高效氯氟氰菊酯、噻虫嗪、氧乐果、噻虫胺</w:t>
            </w:r>
          </w:p>
        </w:tc>
      </w:tr>
      <w:tr w14:paraId="60958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10" w:hRule="atLeast"/>
          <w:jc w:val="center"/>
        </w:trPr>
        <w:tc>
          <w:tcPr>
            <w:tcW w:w="453" w:type="dxa"/>
            <w:vMerge w:val="continue"/>
            <w:vAlign w:val="center"/>
          </w:tcPr>
          <w:p w14:paraId="61298A7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3C81534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506621D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2C5613B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258997A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山药</w:t>
            </w:r>
          </w:p>
        </w:tc>
        <w:tc>
          <w:tcPr>
            <w:tcW w:w="680" w:type="dxa"/>
            <w:vAlign w:val="center"/>
          </w:tcPr>
          <w:p w14:paraId="49E5F36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4809DA60">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铅(以Pb计)、毒死蜱、氯氟氰菊酯和高效氯氟氰菊酯、咪鲜胺和咪鲜胺锰盐、涕灭威</w:t>
            </w:r>
          </w:p>
        </w:tc>
      </w:tr>
      <w:tr w14:paraId="3AD42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07" w:hRule="atLeast"/>
          <w:jc w:val="center"/>
        </w:trPr>
        <w:tc>
          <w:tcPr>
            <w:tcW w:w="453" w:type="dxa"/>
            <w:vMerge w:val="continue"/>
            <w:vAlign w:val="center"/>
          </w:tcPr>
          <w:p w14:paraId="142C821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2025C4B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21EB30A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5440636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去皮蔬菜</w:t>
            </w:r>
          </w:p>
        </w:tc>
        <w:tc>
          <w:tcPr>
            <w:tcW w:w="1583" w:type="dxa"/>
            <w:vAlign w:val="center"/>
          </w:tcPr>
          <w:p w14:paraId="371CF2F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去皮蔬菜</w:t>
            </w:r>
          </w:p>
        </w:tc>
        <w:tc>
          <w:tcPr>
            <w:tcW w:w="680" w:type="dxa"/>
            <w:vAlign w:val="center"/>
          </w:tcPr>
          <w:p w14:paraId="283F7E2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较高</w:t>
            </w:r>
          </w:p>
        </w:tc>
        <w:tc>
          <w:tcPr>
            <w:tcW w:w="8546" w:type="dxa"/>
            <w:vAlign w:val="center"/>
          </w:tcPr>
          <w:p w14:paraId="6B6ED323">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苯甲酸及其钠盐(以苯甲酸计)、山梨酸及其钾盐(以山梨酸计)、脱氢乙酸及其钠盐(以脱氢乙酸计)、二氧化硫残留量、合成着色剂(柠檬黄、日落黄、胭脂红、苋菜红、亮蓝、诱惑红 )</w:t>
            </w:r>
          </w:p>
        </w:tc>
      </w:tr>
      <w:tr w14:paraId="270FF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453" w:type="dxa"/>
            <w:vMerge w:val="restart"/>
            <w:vAlign w:val="center"/>
          </w:tcPr>
          <w:p w14:paraId="28343E1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33</w:t>
            </w:r>
          </w:p>
        </w:tc>
        <w:tc>
          <w:tcPr>
            <w:tcW w:w="940" w:type="dxa"/>
            <w:vMerge w:val="restart"/>
            <w:vAlign w:val="center"/>
          </w:tcPr>
          <w:p w14:paraId="0D960EE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水产品</w:t>
            </w:r>
          </w:p>
        </w:tc>
        <w:tc>
          <w:tcPr>
            <w:tcW w:w="1358" w:type="dxa"/>
            <w:vMerge w:val="restart"/>
            <w:vAlign w:val="center"/>
          </w:tcPr>
          <w:p w14:paraId="711D2FF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水产品</w:t>
            </w:r>
          </w:p>
        </w:tc>
        <w:tc>
          <w:tcPr>
            <w:tcW w:w="1578" w:type="dxa"/>
            <w:vMerge w:val="restart"/>
            <w:vAlign w:val="center"/>
          </w:tcPr>
          <w:p w14:paraId="0DAF38C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淡水产品</w:t>
            </w:r>
          </w:p>
        </w:tc>
        <w:tc>
          <w:tcPr>
            <w:tcW w:w="1583" w:type="dxa"/>
            <w:vAlign w:val="center"/>
          </w:tcPr>
          <w:p w14:paraId="4F9A3F1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淡水鱼</w:t>
            </w:r>
          </w:p>
        </w:tc>
        <w:tc>
          <w:tcPr>
            <w:tcW w:w="680" w:type="dxa"/>
            <w:vAlign w:val="center"/>
          </w:tcPr>
          <w:p w14:paraId="241EA5D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59D1C68A">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挥发性盐基氮、镉(以Cd计)、孔雀石绿、氯霉素、呋喃唑酮代谢物、呋喃西林代谢物、 呋喃妥因代谢物、五氯酚酸钠(以五氯酚计)、恩诺沙星、沙拉沙星、磺胺类(总量)、甲氧苄啶、氟苯尼考、甲硝唑、地西泮、氧氟沙星、诺氟沙星、培氟沙星</w:t>
            </w:r>
          </w:p>
        </w:tc>
      </w:tr>
      <w:tr w14:paraId="560A1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453" w:type="dxa"/>
            <w:vMerge w:val="continue"/>
            <w:vAlign w:val="center"/>
          </w:tcPr>
          <w:p w14:paraId="41A9068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078189C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481BD71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125DE90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67A6372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淡水虾</w:t>
            </w:r>
          </w:p>
        </w:tc>
        <w:tc>
          <w:tcPr>
            <w:tcW w:w="680" w:type="dxa"/>
            <w:vAlign w:val="center"/>
          </w:tcPr>
          <w:p w14:paraId="74B64D4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kern w:val="31"/>
                <w:sz w:val="18"/>
                <w:szCs w:val="18"/>
              </w:rPr>
            </w:pPr>
            <w:r>
              <w:rPr>
                <w:rFonts w:hint="eastAsia" w:ascii="仿宋_GB2312" w:hAnsi="仿宋_GB2312" w:eastAsia="仿宋_GB2312" w:cs="仿宋_GB2312"/>
                <w:color w:val="auto"/>
                <w:sz w:val="18"/>
                <w:szCs w:val="18"/>
              </w:rPr>
              <w:t>高</w:t>
            </w:r>
          </w:p>
        </w:tc>
        <w:tc>
          <w:tcPr>
            <w:tcW w:w="8546" w:type="dxa"/>
            <w:vAlign w:val="center"/>
          </w:tcPr>
          <w:p w14:paraId="4A07B3A5">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kern w:val="31"/>
                <w:sz w:val="18"/>
                <w:szCs w:val="18"/>
                <w:lang w:eastAsia="zh-CN"/>
              </w:rPr>
            </w:pPr>
            <w:r>
              <w:rPr>
                <w:rFonts w:hint="eastAsia" w:ascii="仿宋_GB2312" w:hAnsi="仿宋_GB2312" w:eastAsia="仿宋_GB2312" w:cs="仿宋_GB2312"/>
                <w:color w:val="auto"/>
                <w:sz w:val="18"/>
                <w:szCs w:val="18"/>
                <w:lang w:eastAsia="zh-CN"/>
              </w:rPr>
              <w:t>镉(以Cd计)、孔雀石绿、氯霉素、呋喃唑酮代谢物、呋喃妥因代谢物、五氯酚酸钠(以五氯酚计)、恩诺沙星、磺胺类(总量)、土霉素/金霉素/四环素(组合含量)、氧氟沙星、诺氟沙星</w:t>
            </w:r>
          </w:p>
        </w:tc>
      </w:tr>
      <w:tr w14:paraId="67A4E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453" w:type="dxa"/>
            <w:vMerge w:val="continue"/>
            <w:vAlign w:val="center"/>
          </w:tcPr>
          <w:p w14:paraId="0A01CFC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4223799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386EB4A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726D9FC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5034206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淡水蟹</w:t>
            </w:r>
          </w:p>
        </w:tc>
        <w:tc>
          <w:tcPr>
            <w:tcW w:w="680" w:type="dxa"/>
            <w:vAlign w:val="center"/>
          </w:tcPr>
          <w:p w14:paraId="24514D6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kern w:val="31"/>
                <w:sz w:val="18"/>
                <w:szCs w:val="18"/>
              </w:rPr>
            </w:pPr>
            <w:r>
              <w:rPr>
                <w:rFonts w:hint="eastAsia" w:ascii="仿宋_GB2312" w:hAnsi="仿宋_GB2312" w:eastAsia="仿宋_GB2312" w:cs="仿宋_GB2312"/>
                <w:color w:val="auto"/>
                <w:sz w:val="18"/>
                <w:szCs w:val="18"/>
              </w:rPr>
              <w:t>高</w:t>
            </w:r>
          </w:p>
        </w:tc>
        <w:tc>
          <w:tcPr>
            <w:tcW w:w="8546" w:type="dxa"/>
            <w:vAlign w:val="center"/>
          </w:tcPr>
          <w:p w14:paraId="3E5E592F">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kern w:val="31"/>
                <w:sz w:val="18"/>
                <w:szCs w:val="18"/>
                <w:lang w:eastAsia="zh-CN"/>
              </w:rPr>
            </w:pPr>
            <w:r>
              <w:rPr>
                <w:rFonts w:hint="eastAsia" w:ascii="仿宋_GB2312" w:hAnsi="仿宋_GB2312" w:eastAsia="仿宋_GB2312" w:cs="仿宋_GB2312"/>
                <w:color w:val="auto"/>
                <w:sz w:val="18"/>
                <w:szCs w:val="18"/>
                <w:lang w:eastAsia="zh-CN"/>
              </w:rPr>
              <w:t>镉(以Cd计)、五氯酚酸钠(以五氯酚计)、呋喃唑酮代谢物</w:t>
            </w:r>
          </w:p>
        </w:tc>
      </w:tr>
      <w:tr w14:paraId="47C96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453" w:type="dxa"/>
            <w:vMerge w:val="continue"/>
            <w:vAlign w:val="center"/>
          </w:tcPr>
          <w:p w14:paraId="2B88DE9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344A0CD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3BB5662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restart"/>
            <w:vAlign w:val="center"/>
          </w:tcPr>
          <w:p w14:paraId="06AD723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海水产品</w:t>
            </w:r>
          </w:p>
        </w:tc>
        <w:tc>
          <w:tcPr>
            <w:tcW w:w="1583" w:type="dxa"/>
            <w:vAlign w:val="center"/>
          </w:tcPr>
          <w:p w14:paraId="66270F3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海水鱼</w:t>
            </w:r>
          </w:p>
        </w:tc>
        <w:tc>
          <w:tcPr>
            <w:tcW w:w="680" w:type="dxa"/>
            <w:vAlign w:val="center"/>
          </w:tcPr>
          <w:p w14:paraId="6C6386F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0744756B">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挥发性盐基氮、组胺、镉(以Cd计)、孔雀石绿、氯霉素、呋喃唑酮代谢物、呋喃它酮代谢物、呋喃西林代谢物、五氯酚酸钠(以五氯酚计)、恩诺沙星、磺胺类(总量)、土霉素/金霉素/四环素(组合含量)、甲氧苄啶、甲硝唑、氧氟沙星、培氟沙星、诺氟沙星、柠檬黄、呋喃妥因代谢物</w:t>
            </w:r>
          </w:p>
        </w:tc>
      </w:tr>
      <w:tr w14:paraId="0E8B2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453" w:type="dxa"/>
            <w:vMerge w:val="continue"/>
            <w:vAlign w:val="center"/>
          </w:tcPr>
          <w:p w14:paraId="06C395D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00D41DA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2941CA9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1DEA8A2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5CA8F6A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海水虾</w:t>
            </w:r>
          </w:p>
        </w:tc>
        <w:tc>
          <w:tcPr>
            <w:tcW w:w="680" w:type="dxa"/>
            <w:vAlign w:val="center"/>
          </w:tcPr>
          <w:p w14:paraId="7319503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097B0D04">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挥发性盐基氮、镉(以Cd计)、二氧化硫残留量、孔雀石绿、氯霉素、呋喃唑酮代谢物、恩诺沙星、土霉素/金霉素/四环素(组合含量)、磺胺类(总量)、诺氟沙星</w:t>
            </w:r>
          </w:p>
        </w:tc>
      </w:tr>
      <w:tr w14:paraId="59673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453" w:type="dxa"/>
            <w:vMerge w:val="continue"/>
            <w:vAlign w:val="center"/>
          </w:tcPr>
          <w:p w14:paraId="28A64AD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7F9E4E8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19ED62A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6406AE2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2F9D9FF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海水蟹</w:t>
            </w:r>
          </w:p>
        </w:tc>
        <w:tc>
          <w:tcPr>
            <w:tcW w:w="680" w:type="dxa"/>
            <w:vAlign w:val="center"/>
          </w:tcPr>
          <w:p w14:paraId="751BC85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312E80AB">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镉(以Cd计)、二氧化硫残留量、氯霉素、呋喃妥因代谢物、孔雀石绿、呋喃唑酮代谢物、氧氟沙星</w:t>
            </w:r>
          </w:p>
        </w:tc>
      </w:tr>
      <w:tr w14:paraId="60189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453" w:type="dxa"/>
            <w:vMerge w:val="continue"/>
            <w:vAlign w:val="center"/>
          </w:tcPr>
          <w:p w14:paraId="47F62A5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1EF0641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7AE794D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29BAF67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贝类</w:t>
            </w:r>
          </w:p>
        </w:tc>
        <w:tc>
          <w:tcPr>
            <w:tcW w:w="1583" w:type="dxa"/>
            <w:vAlign w:val="center"/>
          </w:tcPr>
          <w:p w14:paraId="79E4167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贝类</w:t>
            </w:r>
          </w:p>
        </w:tc>
        <w:tc>
          <w:tcPr>
            <w:tcW w:w="680" w:type="dxa"/>
            <w:vAlign w:val="center"/>
          </w:tcPr>
          <w:p w14:paraId="4095337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5CEEFC0A">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镉(以Cd计)、无机砷(以As计)、孔雀石绿、氯霉素、呋喃唑酮代谢物、呋喃西林代谢物、呋喃妥因代谢物、五氯酚酸钠(以五氯酚计)、恩诺沙星、氟苯尼考、磺胺类(总量)</w:t>
            </w:r>
          </w:p>
        </w:tc>
      </w:tr>
      <w:tr w14:paraId="517B7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74" w:hRule="atLeast"/>
          <w:jc w:val="center"/>
        </w:trPr>
        <w:tc>
          <w:tcPr>
            <w:tcW w:w="453" w:type="dxa"/>
            <w:vMerge w:val="continue"/>
            <w:vAlign w:val="center"/>
          </w:tcPr>
          <w:p w14:paraId="59F38EC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086A6A0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1E2F8F0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Align w:val="center"/>
          </w:tcPr>
          <w:p w14:paraId="489FBB4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其他水产品</w:t>
            </w:r>
          </w:p>
        </w:tc>
        <w:tc>
          <w:tcPr>
            <w:tcW w:w="1583" w:type="dxa"/>
            <w:vAlign w:val="center"/>
          </w:tcPr>
          <w:p w14:paraId="369BE0C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其他水产品</w:t>
            </w:r>
          </w:p>
        </w:tc>
        <w:tc>
          <w:tcPr>
            <w:tcW w:w="680" w:type="dxa"/>
            <w:vAlign w:val="center"/>
          </w:tcPr>
          <w:p w14:paraId="7F1D182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053F9DFF">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镉(以Cd计)、孔雀石绿、氯霉素、呋喃唑酮代谢物、呋喃西林代谢物、呋喃妥因代谢物、五氯酚酸钠(以五氯酚计)、恩诺沙星、磺胺类(总量)、氟苯尼考、甲硝唑、氧氟沙星、诺氟沙星</w:t>
            </w:r>
          </w:p>
        </w:tc>
      </w:tr>
      <w:tr w14:paraId="4409D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453" w:type="dxa"/>
            <w:vMerge w:val="restart"/>
            <w:vAlign w:val="center"/>
          </w:tcPr>
          <w:p w14:paraId="4885035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34</w:t>
            </w:r>
          </w:p>
        </w:tc>
        <w:tc>
          <w:tcPr>
            <w:tcW w:w="940" w:type="dxa"/>
            <w:vMerge w:val="restart"/>
            <w:vAlign w:val="center"/>
          </w:tcPr>
          <w:p w14:paraId="23D1D1F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水果类</w:t>
            </w:r>
          </w:p>
        </w:tc>
        <w:tc>
          <w:tcPr>
            <w:tcW w:w="1358" w:type="dxa"/>
            <w:vMerge w:val="restart"/>
            <w:vAlign w:val="center"/>
          </w:tcPr>
          <w:p w14:paraId="14138B5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水果类</w:t>
            </w:r>
          </w:p>
        </w:tc>
        <w:tc>
          <w:tcPr>
            <w:tcW w:w="1578" w:type="dxa"/>
            <w:vMerge w:val="restart"/>
            <w:vAlign w:val="center"/>
          </w:tcPr>
          <w:p w14:paraId="0051962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仁果类水果</w:t>
            </w:r>
          </w:p>
        </w:tc>
        <w:tc>
          <w:tcPr>
            <w:tcW w:w="1583" w:type="dxa"/>
            <w:vAlign w:val="center"/>
          </w:tcPr>
          <w:p w14:paraId="3ADAB69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苹果</w:t>
            </w:r>
          </w:p>
        </w:tc>
        <w:tc>
          <w:tcPr>
            <w:tcW w:w="680" w:type="dxa"/>
            <w:vAlign w:val="center"/>
          </w:tcPr>
          <w:p w14:paraId="3C6A4E5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较</w:t>
            </w:r>
            <w:r>
              <w:rPr>
                <w:rFonts w:hint="eastAsia" w:ascii="仿宋_GB2312" w:hAnsi="仿宋_GB2312" w:eastAsia="仿宋_GB2312" w:cs="仿宋_GB2312"/>
                <w:color w:val="auto"/>
                <w:sz w:val="18"/>
                <w:szCs w:val="18"/>
              </w:rPr>
              <w:t>高</w:t>
            </w:r>
          </w:p>
        </w:tc>
        <w:tc>
          <w:tcPr>
            <w:tcW w:w="8546" w:type="dxa"/>
            <w:vAlign w:val="center"/>
          </w:tcPr>
          <w:p w14:paraId="77D3D767">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敌敌畏、甲拌磷、克百威、氧乐果、三氯杀螨醇</w:t>
            </w:r>
          </w:p>
        </w:tc>
      </w:tr>
      <w:tr w14:paraId="08FC8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453" w:type="dxa"/>
            <w:vMerge w:val="continue"/>
            <w:vAlign w:val="center"/>
          </w:tcPr>
          <w:p w14:paraId="69FE5E0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7FF923B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475EA82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519DF92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5DE5D27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梨</w:t>
            </w:r>
          </w:p>
        </w:tc>
        <w:tc>
          <w:tcPr>
            <w:tcW w:w="680" w:type="dxa"/>
            <w:vAlign w:val="center"/>
          </w:tcPr>
          <w:p w14:paraId="2AC096E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较</w:t>
            </w:r>
            <w:r>
              <w:rPr>
                <w:rFonts w:hint="eastAsia" w:ascii="仿宋_GB2312" w:hAnsi="仿宋_GB2312" w:eastAsia="仿宋_GB2312" w:cs="仿宋_GB2312"/>
                <w:color w:val="auto"/>
                <w:sz w:val="18"/>
                <w:szCs w:val="18"/>
              </w:rPr>
              <w:t>高</w:t>
            </w:r>
          </w:p>
        </w:tc>
        <w:tc>
          <w:tcPr>
            <w:tcW w:w="8546" w:type="dxa"/>
            <w:vAlign w:val="center"/>
          </w:tcPr>
          <w:p w14:paraId="0D1EE282">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吡虫啉、敌敌畏、毒死蜱、多菌灵、克百威、氯氟氰菊酯和高效氯氟氰菊酯、氧乐果、水胺硫磷、苯醚甲环唑、咪鲜胺和咪鲜胺锰盐、噻虫嗪、乙螨唑、乙酰甲胺磷、阿维菌素</w:t>
            </w:r>
          </w:p>
        </w:tc>
      </w:tr>
      <w:tr w14:paraId="71CBB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453" w:type="dxa"/>
            <w:vMerge w:val="continue"/>
            <w:vAlign w:val="center"/>
          </w:tcPr>
          <w:p w14:paraId="604153C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251556A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7FBD3D0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restart"/>
            <w:vAlign w:val="center"/>
          </w:tcPr>
          <w:p w14:paraId="6109B12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核果类水果</w:t>
            </w:r>
          </w:p>
        </w:tc>
        <w:tc>
          <w:tcPr>
            <w:tcW w:w="1583" w:type="dxa"/>
            <w:vAlign w:val="center"/>
          </w:tcPr>
          <w:p w14:paraId="31CB011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枣</w:t>
            </w:r>
          </w:p>
        </w:tc>
        <w:tc>
          <w:tcPr>
            <w:tcW w:w="680" w:type="dxa"/>
            <w:vAlign w:val="center"/>
          </w:tcPr>
          <w:p w14:paraId="0494AAE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较</w:t>
            </w:r>
            <w:r>
              <w:rPr>
                <w:rFonts w:hint="eastAsia" w:ascii="仿宋_GB2312" w:hAnsi="仿宋_GB2312" w:eastAsia="仿宋_GB2312" w:cs="仿宋_GB2312"/>
                <w:color w:val="auto"/>
                <w:sz w:val="18"/>
                <w:szCs w:val="18"/>
              </w:rPr>
              <w:t>高</w:t>
            </w:r>
          </w:p>
        </w:tc>
        <w:tc>
          <w:tcPr>
            <w:tcW w:w="8546" w:type="dxa"/>
            <w:vAlign w:val="center"/>
          </w:tcPr>
          <w:p w14:paraId="19A288A5">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多菌灵、氟虫腈、氧乐果、糖精钠(以糖精计)</w:t>
            </w:r>
          </w:p>
        </w:tc>
      </w:tr>
      <w:tr w14:paraId="36F6F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453" w:type="dxa"/>
            <w:vMerge w:val="continue"/>
            <w:vAlign w:val="center"/>
          </w:tcPr>
          <w:p w14:paraId="6B2EAD2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4CE05FD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0014E11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55A1C71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7866AF7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桃</w:t>
            </w:r>
          </w:p>
        </w:tc>
        <w:tc>
          <w:tcPr>
            <w:tcW w:w="680" w:type="dxa"/>
            <w:vAlign w:val="center"/>
          </w:tcPr>
          <w:p w14:paraId="692863C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较</w:t>
            </w:r>
            <w:r>
              <w:rPr>
                <w:rFonts w:hint="eastAsia" w:ascii="仿宋_GB2312" w:hAnsi="仿宋_GB2312" w:eastAsia="仿宋_GB2312" w:cs="仿宋_GB2312"/>
                <w:color w:val="auto"/>
                <w:sz w:val="18"/>
                <w:szCs w:val="18"/>
              </w:rPr>
              <w:t>高</w:t>
            </w:r>
          </w:p>
        </w:tc>
        <w:tc>
          <w:tcPr>
            <w:tcW w:w="8546" w:type="dxa"/>
            <w:vAlign w:val="center"/>
          </w:tcPr>
          <w:p w14:paraId="59B49862">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苯醚甲环唑、敌敌畏、多菌灵、氟硅唑、克百威、氧乐果、溴氰菊酯、吡虫啉、氯氟氰菊酯和高效氯氟氰菊酯、噻虫胺、甲氨基阿维菌素苯甲酸盐</w:t>
            </w:r>
          </w:p>
        </w:tc>
      </w:tr>
      <w:tr w14:paraId="097F5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453" w:type="dxa"/>
            <w:vMerge w:val="continue"/>
            <w:vAlign w:val="center"/>
          </w:tcPr>
          <w:p w14:paraId="1CED65A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6B3AF22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72A2CBA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0078497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363E0CA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油桃</w:t>
            </w:r>
          </w:p>
        </w:tc>
        <w:tc>
          <w:tcPr>
            <w:tcW w:w="680" w:type="dxa"/>
            <w:vAlign w:val="center"/>
          </w:tcPr>
          <w:p w14:paraId="74A0CCD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较</w:t>
            </w:r>
            <w:r>
              <w:rPr>
                <w:rFonts w:hint="eastAsia" w:ascii="仿宋_GB2312" w:hAnsi="仿宋_GB2312" w:eastAsia="仿宋_GB2312" w:cs="仿宋_GB2312"/>
                <w:color w:val="auto"/>
                <w:sz w:val="18"/>
                <w:szCs w:val="18"/>
              </w:rPr>
              <w:t>高</w:t>
            </w:r>
          </w:p>
        </w:tc>
        <w:tc>
          <w:tcPr>
            <w:tcW w:w="8546" w:type="dxa"/>
            <w:vAlign w:val="center"/>
          </w:tcPr>
          <w:p w14:paraId="10AC7DE6">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甲胺磷、克百威、氧乐果、敌敌畏、苯醚甲环唑、噻虫胺</w:t>
            </w:r>
          </w:p>
        </w:tc>
      </w:tr>
      <w:tr w14:paraId="7DA80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453" w:type="dxa"/>
            <w:vMerge w:val="continue"/>
            <w:vAlign w:val="center"/>
          </w:tcPr>
          <w:p w14:paraId="0468FF5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184C7AB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779B43D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restart"/>
            <w:vAlign w:val="center"/>
          </w:tcPr>
          <w:p w14:paraId="15E894F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柑橘类水果</w:t>
            </w:r>
          </w:p>
        </w:tc>
        <w:tc>
          <w:tcPr>
            <w:tcW w:w="1583" w:type="dxa"/>
            <w:vAlign w:val="center"/>
          </w:tcPr>
          <w:p w14:paraId="75FF4C9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柑、橘</w:t>
            </w:r>
          </w:p>
        </w:tc>
        <w:tc>
          <w:tcPr>
            <w:tcW w:w="680" w:type="dxa"/>
            <w:vAlign w:val="center"/>
          </w:tcPr>
          <w:p w14:paraId="06D7094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较</w:t>
            </w:r>
            <w:r>
              <w:rPr>
                <w:rFonts w:hint="eastAsia" w:ascii="仿宋_GB2312" w:hAnsi="仿宋_GB2312" w:eastAsia="仿宋_GB2312" w:cs="仿宋_GB2312"/>
                <w:color w:val="auto"/>
                <w:sz w:val="18"/>
                <w:szCs w:val="18"/>
              </w:rPr>
              <w:t>高</w:t>
            </w:r>
          </w:p>
        </w:tc>
        <w:tc>
          <w:tcPr>
            <w:tcW w:w="8546" w:type="dxa"/>
            <w:vAlign w:val="center"/>
          </w:tcPr>
          <w:p w14:paraId="174B0548">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苯醚甲环唑、丙溴磷、克百威、联苯菊酯、氯唑磷、三唑磷、水胺硫磷、氧乐果、氯氟氰菊酯和高效氯氟氰菊酯、甲拌磷、2,4-滴和2,4-滴钠盐、狄氏剂、杀扑磷、敌敌畏、联苯肼酯</w:t>
            </w:r>
          </w:p>
        </w:tc>
      </w:tr>
      <w:tr w14:paraId="3815B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453" w:type="dxa"/>
            <w:vMerge w:val="continue"/>
            <w:vAlign w:val="center"/>
          </w:tcPr>
          <w:p w14:paraId="37545DD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5101AD2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1466957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6619572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5F48A68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柚</w:t>
            </w:r>
          </w:p>
        </w:tc>
        <w:tc>
          <w:tcPr>
            <w:tcW w:w="680" w:type="dxa"/>
            <w:vAlign w:val="center"/>
          </w:tcPr>
          <w:p w14:paraId="7F87702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较</w:t>
            </w:r>
            <w:r>
              <w:rPr>
                <w:rFonts w:hint="eastAsia" w:ascii="仿宋_GB2312" w:hAnsi="仿宋_GB2312" w:eastAsia="仿宋_GB2312" w:cs="仿宋_GB2312"/>
                <w:color w:val="auto"/>
                <w:sz w:val="18"/>
                <w:szCs w:val="18"/>
              </w:rPr>
              <w:t>高</w:t>
            </w:r>
          </w:p>
        </w:tc>
        <w:tc>
          <w:tcPr>
            <w:tcW w:w="8546" w:type="dxa"/>
            <w:vAlign w:val="center"/>
          </w:tcPr>
          <w:p w14:paraId="13568409">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水胺硫磷、联苯菊酯、氯氟氰菊酯和高效氯氟氰菊酯、氯唑磷、多菌灵、克百威、毒死蜱、噻虫胺</w:t>
            </w:r>
          </w:p>
        </w:tc>
      </w:tr>
      <w:tr w14:paraId="4FF37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453" w:type="dxa"/>
            <w:vMerge w:val="continue"/>
            <w:vAlign w:val="center"/>
          </w:tcPr>
          <w:p w14:paraId="23B0842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3BD3681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4A8AF65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6A3F01C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1D3CA94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柠檬</w:t>
            </w:r>
          </w:p>
        </w:tc>
        <w:tc>
          <w:tcPr>
            <w:tcW w:w="680" w:type="dxa"/>
            <w:vAlign w:val="center"/>
          </w:tcPr>
          <w:p w14:paraId="37BBC02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较</w:t>
            </w:r>
            <w:r>
              <w:rPr>
                <w:rFonts w:hint="eastAsia" w:ascii="仿宋_GB2312" w:hAnsi="仿宋_GB2312" w:eastAsia="仿宋_GB2312" w:cs="仿宋_GB2312"/>
                <w:color w:val="auto"/>
                <w:sz w:val="18"/>
                <w:szCs w:val="18"/>
              </w:rPr>
              <w:t>高</w:t>
            </w:r>
          </w:p>
        </w:tc>
        <w:tc>
          <w:tcPr>
            <w:tcW w:w="8546" w:type="dxa"/>
            <w:vAlign w:val="center"/>
          </w:tcPr>
          <w:p w14:paraId="67DD505D">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多菌灵、克百威、联苯菊酯、水胺硫磷、乙螨唑、氯唑磷、毒死蜱</w:t>
            </w:r>
          </w:p>
        </w:tc>
      </w:tr>
      <w:tr w14:paraId="60453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453" w:type="dxa"/>
            <w:vMerge w:val="continue"/>
            <w:vAlign w:val="center"/>
          </w:tcPr>
          <w:p w14:paraId="51DDD2A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49A7C0F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0A986D3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2360453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1DF646A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橙</w:t>
            </w:r>
          </w:p>
        </w:tc>
        <w:tc>
          <w:tcPr>
            <w:tcW w:w="680" w:type="dxa"/>
            <w:vAlign w:val="center"/>
          </w:tcPr>
          <w:p w14:paraId="3EEB562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较</w:t>
            </w:r>
            <w:r>
              <w:rPr>
                <w:rFonts w:hint="eastAsia" w:ascii="仿宋_GB2312" w:hAnsi="仿宋_GB2312" w:eastAsia="仿宋_GB2312" w:cs="仿宋_GB2312"/>
                <w:color w:val="auto"/>
                <w:sz w:val="18"/>
                <w:szCs w:val="18"/>
              </w:rPr>
              <w:t>高</w:t>
            </w:r>
          </w:p>
        </w:tc>
        <w:tc>
          <w:tcPr>
            <w:tcW w:w="8546" w:type="dxa"/>
            <w:vAlign w:val="center"/>
          </w:tcPr>
          <w:p w14:paraId="68460743">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丙溴磷、克百威、联苯菊酯、三唑磷、杀扑磷、水胺硫磷、氧乐果、2,4-滴和2,4-滴钠盐、苯醚甲环唑、氯唑磷、敌敌畏、氯氟氰菊酯和高效氯氟氰菊酯、乙酰甲胺磷</w:t>
            </w:r>
          </w:p>
        </w:tc>
      </w:tr>
      <w:tr w14:paraId="625E2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453" w:type="dxa"/>
            <w:vMerge w:val="continue"/>
            <w:vAlign w:val="center"/>
          </w:tcPr>
          <w:p w14:paraId="2CED27B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555417F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6043C71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restart"/>
            <w:vAlign w:val="center"/>
          </w:tcPr>
          <w:p w14:paraId="3F3814D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浆果和其他小型水果</w:t>
            </w:r>
          </w:p>
        </w:tc>
        <w:tc>
          <w:tcPr>
            <w:tcW w:w="1583" w:type="dxa"/>
            <w:vAlign w:val="center"/>
          </w:tcPr>
          <w:p w14:paraId="4809227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葡萄</w:t>
            </w:r>
          </w:p>
        </w:tc>
        <w:tc>
          <w:tcPr>
            <w:tcW w:w="680" w:type="dxa"/>
            <w:vAlign w:val="center"/>
          </w:tcPr>
          <w:p w14:paraId="356A312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较</w:t>
            </w:r>
            <w:r>
              <w:rPr>
                <w:rFonts w:hint="eastAsia" w:ascii="仿宋_GB2312" w:hAnsi="仿宋_GB2312" w:eastAsia="仿宋_GB2312" w:cs="仿宋_GB2312"/>
                <w:color w:val="auto"/>
                <w:sz w:val="18"/>
                <w:szCs w:val="18"/>
              </w:rPr>
              <w:t>高</w:t>
            </w:r>
          </w:p>
        </w:tc>
        <w:tc>
          <w:tcPr>
            <w:tcW w:w="8546" w:type="dxa"/>
            <w:vAlign w:val="center"/>
          </w:tcPr>
          <w:p w14:paraId="74E22098">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苯醚甲环唑、己唑醇、氯氰菊酯和高效氯氰菊酯、霜霉威和霜霉威盐酸盐、氧乐果、氯氟氰菊酯和高效氯氟氰菊酯、氟虫腈、氯吡脲、联苯菊酯、氟唑菌酰胺、戊唑醇、腈苯唑</w:t>
            </w:r>
          </w:p>
        </w:tc>
      </w:tr>
      <w:tr w14:paraId="52861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453" w:type="dxa"/>
            <w:vMerge w:val="continue"/>
            <w:vAlign w:val="center"/>
          </w:tcPr>
          <w:p w14:paraId="2388544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1E0EE91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5353569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16C6F7B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454EF79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草莓</w:t>
            </w:r>
          </w:p>
        </w:tc>
        <w:tc>
          <w:tcPr>
            <w:tcW w:w="680" w:type="dxa"/>
            <w:vAlign w:val="center"/>
          </w:tcPr>
          <w:p w14:paraId="44A8F20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较</w:t>
            </w:r>
            <w:r>
              <w:rPr>
                <w:rFonts w:hint="eastAsia" w:ascii="仿宋_GB2312" w:hAnsi="仿宋_GB2312" w:eastAsia="仿宋_GB2312" w:cs="仿宋_GB2312"/>
                <w:color w:val="auto"/>
                <w:sz w:val="18"/>
                <w:szCs w:val="18"/>
              </w:rPr>
              <w:t>高</w:t>
            </w:r>
          </w:p>
        </w:tc>
        <w:tc>
          <w:tcPr>
            <w:tcW w:w="8546" w:type="dxa"/>
            <w:vAlign w:val="center"/>
          </w:tcPr>
          <w:p w14:paraId="5EB21444">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阿维菌素、多菌灵、克百威、烯酰吗啉、氧乐果、戊菌唑、吡虫啉、乙酰甲胺磷</w:t>
            </w:r>
          </w:p>
        </w:tc>
      </w:tr>
      <w:tr w14:paraId="17616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453" w:type="dxa"/>
            <w:vMerge w:val="continue"/>
            <w:vAlign w:val="center"/>
          </w:tcPr>
          <w:p w14:paraId="0639055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724A3C8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11ACA54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1BB73FE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4F7FD92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猕猴桃</w:t>
            </w:r>
          </w:p>
        </w:tc>
        <w:tc>
          <w:tcPr>
            <w:tcW w:w="680" w:type="dxa"/>
            <w:vAlign w:val="center"/>
          </w:tcPr>
          <w:p w14:paraId="7BB0D88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较</w:t>
            </w:r>
            <w:r>
              <w:rPr>
                <w:rFonts w:hint="eastAsia" w:ascii="仿宋_GB2312" w:hAnsi="仿宋_GB2312" w:eastAsia="仿宋_GB2312" w:cs="仿宋_GB2312"/>
                <w:color w:val="auto"/>
                <w:sz w:val="18"/>
                <w:szCs w:val="18"/>
              </w:rPr>
              <w:t>高</w:t>
            </w:r>
          </w:p>
        </w:tc>
        <w:tc>
          <w:tcPr>
            <w:tcW w:w="8546" w:type="dxa"/>
            <w:vAlign w:val="center"/>
          </w:tcPr>
          <w:p w14:paraId="0656E035">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敌敌畏、多菌灵、氯吡脲、氧乐果、吡唑醚菌酯</w:t>
            </w:r>
          </w:p>
        </w:tc>
      </w:tr>
      <w:tr w14:paraId="2CC2D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453" w:type="dxa"/>
            <w:vMerge w:val="continue"/>
            <w:vAlign w:val="center"/>
          </w:tcPr>
          <w:p w14:paraId="09189B5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50EDC4B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5B376C0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3EFE2EE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tcPr>
          <w:p w14:paraId="5778BE3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西番莲(百香果)</w:t>
            </w:r>
          </w:p>
        </w:tc>
        <w:tc>
          <w:tcPr>
            <w:tcW w:w="680" w:type="dxa"/>
            <w:vAlign w:val="center"/>
          </w:tcPr>
          <w:p w14:paraId="5F255AD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较高</w:t>
            </w:r>
          </w:p>
        </w:tc>
        <w:tc>
          <w:tcPr>
            <w:tcW w:w="8546" w:type="dxa"/>
            <w:vAlign w:val="center"/>
          </w:tcPr>
          <w:p w14:paraId="1AE48B66">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镉(以Cd计)、苯醚甲环唑、噻虫胺、戊唑醇、氧乐果、乙酰甲胺磷</w:t>
            </w:r>
          </w:p>
        </w:tc>
      </w:tr>
      <w:tr w14:paraId="5E705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453" w:type="dxa"/>
            <w:vMerge w:val="continue"/>
            <w:vAlign w:val="center"/>
          </w:tcPr>
          <w:p w14:paraId="05CBDF5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3FB104B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63B62D3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0375E74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69D431B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桑葚</w:t>
            </w:r>
          </w:p>
        </w:tc>
        <w:tc>
          <w:tcPr>
            <w:tcW w:w="680" w:type="dxa"/>
            <w:vAlign w:val="center"/>
          </w:tcPr>
          <w:p w14:paraId="57B84E5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较</w:t>
            </w:r>
            <w:r>
              <w:rPr>
                <w:rFonts w:hint="eastAsia" w:ascii="仿宋_GB2312" w:hAnsi="仿宋_GB2312" w:eastAsia="仿宋_GB2312" w:cs="仿宋_GB2312"/>
                <w:color w:val="auto"/>
                <w:sz w:val="18"/>
                <w:szCs w:val="18"/>
              </w:rPr>
              <w:t>高</w:t>
            </w:r>
          </w:p>
        </w:tc>
        <w:tc>
          <w:tcPr>
            <w:tcW w:w="8546" w:type="dxa"/>
            <w:vAlign w:val="center"/>
          </w:tcPr>
          <w:p w14:paraId="2941D18C">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脱氢乙酸及其钠盐(以脱氢乙酸计)、苯甲酸及其钠盐(以苯甲酸计)、山梨酸及其钾盐(以山梨酸计)、糖精钠(以糖精计)、三氯蔗糖、甜蜜素(以环己基氨基磺酸计)、多菌灵、氯氟氰菊酯和高效氯氟氰菊酯、纽甜</w:t>
            </w:r>
          </w:p>
        </w:tc>
      </w:tr>
      <w:tr w14:paraId="66FA5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453" w:type="dxa"/>
            <w:vMerge w:val="continue"/>
            <w:vAlign w:val="center"/>
          </w:tcPr>
          <w:p w14:paraId="25E734E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1DBF281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0864E12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restart"/>
            <w:vAlign w:val="center"/>
          </w:tcPr>
          <w:p w14:paraId="20C023C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热带和亚热带水果</w:t>
            </w:r>
          </w:p>
        </w:tc>
        <w:tc>
          <w:tcPr>
            <w:tcW w:w="1583" w:type="dxa"/>
            <w:vAlign w:val="center"/>
          </w:tcPr>
          <w:p w14:paraId="5DB6F56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香蕉</w:t>
            </w:r>
          </w:p>
        </w:tc>
        <w:tc>
          <w:tcPr>
            <w:tcW w:w="680" w:type="dxa"/>
            <w:vAlign w:val="center"/>
          </w:tcPr>
          <w:p w14:paraId="5EFFB7C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较</w:t>
            </w:r>
            <w:r>
              <w:rPr>
                <w:rFonts w:hint="eastAsia" w:ascii="仿宋_GB2312" w:hAnsi="仿宋_GB2312" w:eastAsia="仿宋_GB2312" w:cs="仿宋_GB2312"/>
                <w:color w:val="auto"/>
                <w:sz w:val="18"/>
                <w:szCs w:val="18"/>
              </w:rPr>
              <w:t>高</w:t>
            </w:r>
          </w:p>
        </w:tc>
        <w:tc>
          <w:tcPr>
            <w:tcW w:w="8546" w:type="dxa"/>
            <w:vAlign w:val="center"/>
          </w:tcPr>
          <w:p w14:paraId="10FD44D5">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苯醚甲环唑、吡唑醚菌酯、氟虫腈、腈苯唑、吡虫啉、噻虫胺、噻虫嗪、联苯菊酯、百菌清、氟唑菌酰胺、氧乐果、氯氟氰菊酯和高效氯氟氰菊酯</w:t>
            </w:r>
          </w:p>
        </w:tc>
      </w:tr>
      <w:tr w14:paraId="55A5E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453" w:type="dxa"/>
            <w:vMerge w:val="continue"/>
            <w:vAlign w:val="center"/>
          </w:tcPr>
          <w:p w14:paraId="70A1502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202989C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554A287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16D9C7C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4DE043E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芒果</w:t>
            </w:r>
          </w:p>
        </w:tc>
        <w:tc>
          <w:tcPr>
            <w:tcW w:w="680" w:type="dxa"/>
            <w:vAlign w:val="center"/>
          </w:tcPr>
          <w:p w14:paraId="204429A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较</w:t>
            </w:r>
            <w:r>
              <w:rPr>
                <w:rFonts w:hint="eastAsia" w:ascii="仿宋_GB2312" w:hAnsi="仿宋_GB2312" w:eastAsia="仿宋_GB2312" w:cs="仿宋_GB2312"/>
                <w:color w:val="auto"/>
                <w:sz w:val="18"/>
                <w:szCs w:val="18"/>
              </w:rPr>
              <w:t>高</w:t>
            </w:r>
          </w:p>
        </w:tc>
        <w:tc>
          <w:tcPr>
            <w:tcW w:w="8546" w:type="dxa"/>
          </w:tcPr>
          <w:p w14:paraId="2EBE898B">
            <w:pPr>
              <w:pStyle w:val="66"/>
              <w:keepNext w:val="0"/>
              <w:keepLines w:val="0"/>
              <w:widowControl w:val="0"/>
              <w:suppressLineNumbers w:val="0"/>
              <w:kinsoku/>
              <w:spacing w:before="0" w:beforeAutospacing="0" w:after="0" w:afterAutospacing="0" w:line="300" w:lineRule="exact"/>
              <w:ind w:left="0" w:right="0" w:firstLine="11"/>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苯醚甲环唑、戊唑醇、氧乐果、吡唑醚菌酯、噻虫胺、乙酰甲胺磷、吡虫啉、噻虫嗪、噻嗪酮、氯氟氰菊酯和高效氯氟氰菊酯</w:t>
            </w:r>
          </w:p>
        </w:tc>
      </w:tr>
      <w:tr w14:paraId="5588F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453" w:type="dxa"/>
            <w:vMerge w:val="continue"/>
            <w:vAlign w:val="center"/>
          </w:tcPr>
          <w:p w14:paraId="40B6CE0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654C6A1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6B28893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30A19D6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4084049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火龙果</w:t>
            </w:r>
          </w:p>
        </w:tc>
        <w:tc>
          <w:tcPr>
            <w:tcW w:w="680" w:type="dxa"/>
            <w:vAlign w:val="center"/>
          </w:tcPr>
          <w:p w14:paraId="1A8FB19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较</w:t>
            </w:r>
            <w:r>
              <w:rPr>
                <w:rFonts w:hint="eastAsia" w:ascii="仿宋_GB2312" w:hAnsi="仿宋_GB2312" w:eastAsia="仿宋_GB2312" w:cs="仿宋_GB2312"/>
                <w:color w:val="auto"/>
                <w:sz w:val="18"/>
                <w:szCs w:val="18"/>
              </w:rPr>
              <w:t>高</w:t>
            </w:r>
          </w:p>
        </w:tc>
        <w:tc>
          <w:tcPr>
            <w:tcW w:w="8546" w:type="dxa"/>
          </w:tcPr>
          <w:p w14:paraId="410971C4">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甲胺磷、克百威、氧乐果、乙酰甲胺磷、噻虫嗪、咪鲜胺和咪鲜胺锰盐</w:t>
            </w:r>
          </w:p>
        </w:tc>
      </w:tr>
      <w:tr w14:paraId="1C181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453" w:type="dxa"/>
            <w:vMerge w:val="continue"/>
            <w:vAlign w:val="center"/>
          </w:tcPr>
          <w:p w14:paraId="601E08C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3276AF9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048DCFC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54B2B34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590B59D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荔枝</w:t>
            </w:r>
          </w:p>
        </w:tc>
        <w:tc>
          <w:tcPr>
            <w:tcW w:w="680" w:type="dxa"/>
            <w:vAlign w:val="center"/>
          </w:tcPr>
          <w:p w14:paraId="6CC4473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较</w:t>
            </w:r>
            <w:r>
              <w:rPr>
                <w:rFonts w:hint="eastAsia" w:ascii="仿宋_GB2312" w:hAnsi="仿宋_GB2312" w:eastAsia="仿宋_GB2312" w:cs="仿宋_GB2312"/>
                <w:color w:val="auto"/>
                <w:sz w:val="18"/>
                <w:szCs w:val="18"/>
              </w:rPr>
              <w:t>高</w:t>
            </w:r>
          </w:p>
        </w:tc>
        <w:tc>
          <w:tcPr>
            <w:tcW w:w="8546" w:type="dxa"/>
          </w:tcPr>
          <w:p w14:paraId="618CDA6F">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多菌灵、氧乐果、毒死蜱、苯醚甲环唑、氯氰菊酯和高效氯氰菊酯、氯氟氰菊酯和高效氯氟氰菊酯、吡唑醚菌酯、除虫脲、氰霜唑、氟吗啉、咪鲜胺和咪鲜胺锰盐、乐果、溴氰菊酯</w:t>
            </w:r>
          </w:p>
        </w:tc>
      </w:tr>
      <w:tr w14:paraId="6F78F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453" w:type="dxa"/>
            <w:vMerge w:val="continue"/>
            <w:vAlign w:val="center"/>
          </w:tcPr>
          <w:p w14:paraId="565B3DF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47ACFCC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48F7B68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7D04FA4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28A86B9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杨梅</w:t>
            </w:r>
          </w:p>
        </w:tc>
        <w:tc>
          <w:tcPr>
            <w:tcW w:w="680" w:type="dxa"/>
            <w:vAlign w:val="center"/>
          </w:tcPr>
          <w:p w14:paraId="506C3D1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较</w:t>
            </w:r>
            <w:r>
              <w:rPr>
                <w:rFonts w:hint="eastAsia" w:ascii="仿宋_GB2312" w:hAnsi="仿宋_GB2312" w:eastAsia="仿宋_GB2312" w:cs="仿宋_GB2312"/>
                <w:color w:val="auto"/>
                <w:sz w:val="18"/>
                <w:szCs w:val="18"/>
              </w:rPr>
              <w:t>高</w:t>
            </w:r>
          </w:p>
        </w:tc>
        <w:tc>
          <w:tcPr>
            <w:tcW w:w="8546" w:type="dxa"/>
          </w:tcPr>
          <w:p w14:paraId="6C287946">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脱氢乙酸及其钠盐(以脱氢乙酸计)、山梨酸及其钾盐(以山梨酸计)、糖精钠(以糖精计)、三氯蔗糖、甜蜜素(以环己基氨基磺酸计)、氧乐果、啶虫脒、阿维菌素、纽甜</w:t>
            </w:r>
          </w:p>
        </w:tc>
      </w:tr>
      <w:tr w14:paraId="390F3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453" w:type="dxa"/>
            <w:vMerge w:val="continue"/>
            <w:vAlign w:val="center"/>
          </w:tcPr>
          <w:p w14:paraId="135CD858">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7AA5D30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2A8D57D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0C8D6FD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17D9239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龙眼</w:t>
            </w:r>
          </w:p>
        </w:tc>
        <w:tc>
          <w:tcPr>
            <w:tcW w:w="680" w:type="dxa"/>
            <w:vAlign w:val="center"/>
          </w:tcPr>
          <w:p w14:paraId="79EC939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较</w:t>
            </w:r>
            <w:r>
              <w:rPr>
                <w:rFonts w:hint="eastAsia" w:ascii="仿宋_GB2312" w:hAnsi="仿宋_GB2312" w:eastAsia="仿宋_GB2312" w:cs="仿宋_GB2312"/>
                <w:color w:val="auto"/>
                <w:sz w:val="18"/>
                <w:szCs w:val="18"/>
              </w:rPr>
              <w:t>高</w:t>
            </w:r>
          </w:p>
        </w:tc>
        <w:tc>
          <w:tcPr>
            <w:tcW w:w="8546" w:type="dxa"/>
          </w:tcPr>
          <w:p w14:paraId="159BD9B6">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二氧化硫残留量、克百威、氯氰菊酯和高效氯氰菊酯、氧乐果、氟虫腈</w:t>
            </w:r>
          </w:p>
        </w:tc>
      </w:tr>
      <w:tr w14:paraId="3E06A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453" w:type="dxa"/>
            <w:vMerge w:val="continue"/>
            <w:vAlign w:val="center"/>
          </w:tcPr>
          <w:p w14:paraId="5621F74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21C5B51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0A1F813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4B6151C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3332DCD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橄榄</w:t>
            </w:r>
          </w:p>
        </w:tc>
        <w:tc>
          <w:tcPr>
            <w:tcW w:w="680" w:type="dxa"/>
            <w:vAlign w:val="center"/>
          </w:tcPr>
          <w:p w14:paraId="40F241D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较</w:t>
            </w:r>
            <w:r>
              <w:rPr>
                <w:rFonts w:hint="eastAsia" w:ascii="仿宋_GB2312" w:hAnsi="仿宋_GB2312" w:eastAsia="仿宋_GB2312" w:cs="仿宋_GB2312"/>
                <w:color w:val="auto"/>
                <w:sz w:val="18"/>
                <w:szCs w:val="18"/>
              </w:rPr>
              <w:t>高</w:t>
            </w:r>
          </w:p>
        </w:tc>
        <w:tc>
          <w:tcPr>
            <w:tcW w:w="8546" w:type="dxa"/>
          </w:tcPr>
          <w:p w14:paraId="5E2AB5FE">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三氯蔗糖、多菌灵、甲胺磷、戊唑醇、乙酰甲胺磷</w:t>
            </w:r>
          </w:p>
        </w:tc>
      </w:tr>
      <w:tr w14:paraId="7F87E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453" w:type="dxa"/>
            <w:vMerge w:val="continue"/>
            <w:vAlign w:val="center"/>
          </w:tcPr>
          <w:p w14:paraId="3CE587C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0D73817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59A2CF6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1FDB268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68B8BCD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番木瓜</w:t>
            </w:r>
          </w:p>
        </w:tc>
        <w:tc>
          <w:tcPr>
            <w:tcW w:w="680" w:type="dxa"/>
            <w:vAlign w:val="center"/>
          </w:tcPr>
          <w:p w14:paraId="50F0A7AF">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较</w:t>
            </w:r>
            <w:r>
              <w:rPr>
                <w:rFonts w:hint="eastAsia" w:ascii="仿宋_GB2312" w:hAnsi="仿宋_GB2312" w:eastAsia="仿宋_GB2312" w:cs="仿宋_GB2312"/>
                <w:color w:val="auto"/>
                <w:sz w:val="18"/>
                <w:szCs w:val="18"/>
              </w:rPr>
              <w:t>高</w:t>
            </w:r>
          </w:p>
        </w:tc>
        <w:tc>
          <w:tcPr>
            <w:tcW w:w="8546" w:type="dxa"/>
            <w:vAlign w:val="center"/>
          </w:tcPr>
          <w:p w14:paraId="3E0A1B6D">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噻虫胺、噻虫嗪、乙酰甲胺磷、克百威、氧乐果</w:t>
            </w:r>
          </w:p>
        </w:tc>
      </w:tr>
      <w:tr w14:paraId="3AA89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453" w:type="dxa"/>
            <w:vMerge w:val="continue"/>
            <w:vAlign w:val="center"/>
          </w:tcPr>
          <w:p w14:paraId="3C6904A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75335FC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7CB25ED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restart"/>
            <w:vAlign w:val="center"/>
          </w:tcPr>
          <w:p w14:paraId="18A61E8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瓜果类水果</w:t>
            </w:r>
          </w:p>
        </w:tc>
        <w:tc>
          <w:tcPr>
            <w:tcW w:w="1583" w:type="dxa"/>
            <w:vAlign w:val="center"/>
          </w:tcPr>
          <w:p w14:paraId="078FF20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西瓜</w:t>
            </w:r>
          </w:p>
        </w:tc>
        <w:tc>
          <w:tcPr>
            <w:tcW w:w="680" w:type="dxa"/>
            <w:vAlign w:val="center"/>
          </w:tcPr>
          <w:p w14:paraId="48151AD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较</w:t>
            </w:r>
            <w:r>
              <w:rPr>
                <w:rFonts w:hint="eastAsia" w:ascii="仿宋_GB2312" w:hAnsi="仿宋_GB2312" w:eastAsia="仿宋_GB2312" w:cs="仿宋_GB2312"/>
                <w:color w:val="auto"/>
                <w:sz w:val="18"/>
                <w:szCs w:val="18"/>
              </w:rPr>
              <w:t>高</w:t>
            </w:r>
          </w:p>
        </w:tc>
        <w:tc>
          <w:tcPr>
            <w:tcW w:w="8546" w:type="dxa"/>
            <w:vAlign w:val="center"/>
          </w:tcPr>
          <w:p w14:paraId="2AF611B0">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克百威、噻虫嗪、氧乐果、乙酰甲胺磷、苯醚甲环唑、氯氟氰菊酯和高效氯氟氰菊酯</w:t>
            </w:r>
          </w:p>
        </w:tc>
      </w:tr>
      <w:tr w14:paraId="5582A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453" w:type="dxa"/>
            <w:vMerge w:val="continue"/>
            <w:vAlign w:val="center"/>
          </w:tcPr>
          <w:p w14:paraId="1278E82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6282286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08280B5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1AF2140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6670A16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甜瓜类</w:t>
            </w:r>
          </w:p>
        </w:tc>
        <w:tc>
          <w:tcPr>
            <w:tcW w:w="680" w:type="dxa"/>
            <w:vAlign w:val="center"/>
          </w:tcPr>
          <w:p w14:paraId="2C92252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较</w:t>
            </w:r>
            <w:r>
              <w:rPr>
                <w:rFonts w:hint="eastAsia" w:ascii="仿宋_GB2312" w:hAnsi="仿宋_GB2312" w:eastAsia="仿宋_GB2312" w:cs="仿宋_GB2312"/>
                <w:color w:val="auto"/>
                <w:sz w:val="18"/>
                <w:szCs w:val="18"/>
              </w:rPr>
              <w:t>高</w:t>
            </w:r>
          </w:p>
        </w:tc>
        <w:tc>
          <w:tcPr>
            <w:tcW w:w="8546" w:type="dxa"/>
            <w:vAlign w:val="center"/>
          </w:tcPr>
          <w:p w14:paraId="53B35C58">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克百威、烯酰吗啉、氧乐果、乙酰甲胺磷</w:t>
            </w:r>
          </w:p>
        </w:tc>
      </w:tr>
      <w:tr w14:paraId="37738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453" w:type="dxa"/>
            <w:vMerge w:val="restart"/>
            <w:vAlign w:val="center"/>
          </w:tcPr>
          <w:p w14:paraId="16C8DE4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35</w:t>
            </w:r>
          </w:p>
        </w:tc>
        <w:tc>
          <w:tcPr>
            <w:tcW w:w="940" w:type="dxa"/>
            <w:vMerge w:val="restart"/>
            <w:vAlign w:val="center"/>
          </w:tcPr>
          <w:p w14:paraId="23671A5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鲜蛋</w:t>
            </w:r>
          </w:p>
        </w:tc>
        <w:tc>
          <w:tcPr>
            <w:tcW w:w="1358" w:type="dxa"/>
            <w:vMerge w:val="restart"/>
            <w:vAlign w:val="center"/>
          </w:tcPr>
          <w:p w14:paraId="675DBF4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鲜蛋</w:t>
            </w:r>
          </w:p>
        </w:tc>
        <w:tc>
          <w:tcPr>
            <w:tcW w:w="1578" w:type="dxa"/>
            <w:vMerge w:val="restart"/>
            <w:vAlign w:val="center"/>
          </w:tcPr>
          <w:p w14:paraId="3E0EB85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鲜蛋</w:t>
            </w:r>
          </w:p>
        </w:tc>
        <w:tc>
          <w:tcPr>
            <w:tcW w:w="1583" w:type="dxa"/>
            <w:vAlign w:val="center"/>
          </w:tcPr>
          <w:p w14:paraId="4367E71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鸡蛋</w:t>
            </w:r>
          </w:p>
        </w:tc>
        <w:tc>
          <w:tcPr>
            <w:tcW w:w="680" w:type="dxa"/>
            <w:vAlign w:val="center"/>
          </w:tcPr>
          <w:p w14:paraId="58FCBC1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0773DB37">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甲硝唑、地美硝唑、呋喃唑酮代谢物、氟虫腈、氯霉素、氟苯尼考、甲砜霉素、恩诺沙星、氧氟沙星、沙拉沙星、甲氧苄啶、磺胺类(总量)、多西环素、地克珠利、托曲珠利、呋喃西林代谢物</w:t>
            </w:r>
          </w:p>
        </w:tc>
      </w:tr>
      <w:tr w14:paraId="258B4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453" w:type="dxa"/>
            <w:vMerge w:val="continue"/>
            <w:vAlign w:val="center"/>
          </w:tcPr>
          <w:p w14:paraId="3FDCE64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175CBE7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74FCFED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71BE91B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0420266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其他禽蛋</w:t>
            </w:r>
          </w:p>
        </w:tc>
        <w:tc>
          <w:tcPr>
            <w:tcW w:w="680" w:type="dxa"/>
            <w:vAlign w:val="center"/>
          </w:tcPr>
          <w:p w14:paraId="11DCA1D7">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高</w:t>
            </w:r>
          </w:p>
        </w:tc>
        <w:tc>
          <w:tcPr>
            <w:tcW w:w="8546" w:type="dxa"/>
            <w:vAlign w:val="center"/>
          </w:tcPr>
          <w:p w14:paraId="7119BE62">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呋喃唑酮代谢物、磺胺类(总量)、多西环素、氯霉素</w:t>
            </w:r>
          </w:p>
        </w:tc>
      </w:tr>
      <w:tr w14:paraId="0CC55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453" w:type="dxa"/>
            <w:vAlign w:val="center"/>
          </w:tcPr>
          <w:p w14:paraId="39B07115">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36</w:t>
            </w:r>
          </w:p>
        </w:tc>
        <w:tc>
          <w:tcPr>
            <w:tcW w:w="940" w:type="dxa"/>
            <w:vAlign w:val="center"/>
          </w:tcPr>
          <w:p w14:paraId="7761065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豆类</w:t>
            </w:r>
          </w:p>
        </w:tc>
        <w:tc>
          <w:tcPr>
            <w:tcW w:w="1358" w:type="dxa"/>
            <w:vAlign w:val="center"/>
          </w:tcPr>
          <w:p w14:paraId="35ED687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豆类</w:t>
            </w:r>
          </w:p>
        </w:tc>
        <w:tc>
          <w:tcPr>
            <w:tcW w:w="1578" w:type="dxa"/>
            <w:vAlign w:val="center"/>
          </w:tcPr>
          <w:p w14:paraId="7702403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豆类</w:t>
            </w:r>
          </w:p>
        </w:tc>
        <w:tc>
          <w:tcPr>
            <w:tcW w:w="1583" w:type="dxa"/>
            <w:vAlign w:val="center"/>
          </w:tcPr>
          <w:p w14:paraId="0F7238D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豆类</w:t>
            </w:r>
          </w:p>
        </w:tc>
        <w:tc>
          <w:tcPr>
            <w:tcW w:w="680" w:type="dxa"/>
            <w:vAlign w:val="center"/>
          </w:tcPr>
          <w:p w14:paraId="1423111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7E4A5CA3">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铅(以Pb计)、铬(以Cr计)、赭曲霉毒素A、吡虫啉、环丙唑醇、噻虫胺、噻虫嗪</w:t>
            </w:r>
          </w:p>
        </w:tc>
      </w:tr>
      <w:tr w14:paraId="14C75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453" w:type="dxa"/>
            <w:vMerge w:val="restart"/>
            <w:vAlign w:val="center"/>
          </w:tcPr>
          <w:p w14:paraId="5144D67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37</w:t>
            </w:r>
          </w:p>
        </w:tc>
        <w:tc>
          <w:tcPr>
            <w:tcW w:w="940" w:type="dxa"/>
            <w:vMerge w:val="restart"/>
            <w:vAlign w:val="center"/>
          </w:tcPr>
          <w:p w14:paraId="4AEF1B4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生干坚果与籽类食品</w:t>
            </w:r>
          </w:p>
        </w:tc>
        <w:tc>
          <w:tcPr>
            <w:tcW w:w="1358" w:type="dxa"/>
            <w:vMerge w:val="restart"/>
            <w:vAlign w:val="center"/>
          </w:tcPr>
          <w:p w14:paraId="3D1D1D5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生干坚果与籽类食品</w:t>
            </w:r>
          </w:p>
        </w:tc>
        <w:tc>
          <w:tcPr>
            <w:tcW w:w="1578" w:type="dxa"/>
            <w:vMerge w:val="restart"/>
            <w:vAlign w:val="center"/>
          </w:tcPr>
          <w:p w14:paraId="36A3C0AD">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生干坚果与籽类食品</w:t>
            </w:r>
          </w:p>
        </w:tc>
        <w:tc>
          <w:tcPr>
            <w:tcW w:w="1583" w:type="dxa"/>
            <w:vAlign w:val="center"/>
          </w:tcPr>
          <w:p w14:paraId="533A79F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生干坚果</w:t>
            </w:r>
          </w:p>
        </w:tc>
        <w:tc>
          <w:tcPr>
            <w:tcW w:w="680" w:type="dxa"/>
            <w:vAlign w:val="center"/>
          </w:tcPr>
          <w:p w14:paraId="72A288B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一般</w:t>
            </w:r>
          </w:p>
        </w:tc>
        <w:tc>
          <w:tcPr>
            <w:tcW w:w="8546" w:type="dxa"/>
            <w:vAlign w:val="center"/>
          </w:tcPr>
          <w:p w14:paraId="1DAC4831">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酸价(以脂肪计)(KOH)、过氧化值(以脂肪计)、二氧化硫残留量、吡虫啉</w:t>
            </w:r>
          </w:p>
        </w:tc>
      </w:tr>
      <w:tr w14:paraId="50F02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453" w:type="dxa"/>
            <w:vMerge w:val="continue"/>
            <w:vAlign w:val="center"/>
          </w:tcPr>
          <w:p w14:paraId="52F53E13">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318A3574">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7F317F4E">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4CF78946">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7AB8C642">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花生</w:t>
            </w:r>
          </w:p>
        </w:tc>
        <w:tc>
          <w:tcPr>
            <w:tcW w:w="680" w:type="dxa"/>
            <w:vAlign w:val="center"/>
          </w:tcPr>
          <w:p w14:paraId="0C2C6D4B">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一般</w:t>
            </w:r>
          </w:p>
        </w:tc>
        <w:tc>
          <w:tcPr>
            <w:tcW w:w="8546" w:type="dxa"/>
            <w:vAlign w:val="center"/>
          </w:tcPr>
          <w:p w14:paraId="15B88C10">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酸价(以脂肪计)(KOH)、过氧化值(以脂肪计)、铅(以Pb计)、镉(以Cd计)、黄曲霉毒素B</w:t>
            </w:r>
            <w:r>
              <w:rPr>
                <w:rFonts w:hint="eastAsia" w:ascii="仿宋_GB2312" w:hAnsi="仿宋_GB2312" w:eastAsia="仿宋_GB2312" w:cs="仿宋_GB2312"/>
                <w:color w:val="auto"/>
                <w:sz w:val="18"/>
                <w:szCs w:val="18"/>
                <w:vertAlign w:val="subscript"/>
                <w:lang w:eastAsia="zh-CN"/>
              </w:rPr>
              <w:t>1</w:t>
            </w:r>
            <w:r>
              <w:rPr>
                <w:rFonts w:hint="eastAsia" w:ascii="仿宋_GB2312" w:hAnsi="仿宋_GB2312" w:eastAsia="仿宋_GB2312" w:cs="仿宋_GB2312"/>
                <w:color w:val="auto"/>
                <w:sz w:val="18"/>
                <w:szCs w:val="18"/>
                <w:lang w:eastAsia="zh-CN"/>
              </w:rPr>
              <w:t>、噻虫嗪、噻虫胺</w:t>
            </w:r>
          </w:p>
        </w:tc>
      </w:tr>
      <w:tr w14:paraId="16E12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453" w:type="dxa"/>
            <w:vMerge w:val="continue"/>
            <w:vAlign w:val="center"/>
          </w:tcPr>
          <w:p w14:paraId="583414D0">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940" w:type="dxa"/>
            <w:vMerge w:val="continue"/>
            <w:vAlign w:val="center"/>
          </w:tcPr>
          <w:p w14:paraId="3EBD369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358" w:type="dxa"/>
            <w:vMerge w:val="continue"/>
            <w:vAlign w:val="center"/>
          </w:tcPr>
          <w:p w14:paraId="4B5A4A41">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78" w:type="dxa"/>
            <w:vMerge w:val="continue"/>
            <w:vAlign w:val="center"/>
          </w:tcPr>
          <w:p w14:paraId="75B67AEC">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p>
        </w:tc>
        <w:tc>
          <w:tcPr>
            <w:tcW w:w="1583" w:type="dxa"/>
            <w:vAlign w:val="center"/>
          </w:tcPr>
          <w:p w14:paraId="6A42750A">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其他籽类</w:t>
            </w:r>
          </w:p>
        </w:tc>
        <w:tc>
          <w:tcPr>
            <w:tcW w:w="680" w:type="dxa"/>
            <w:vAlign w:val="center"/>
          </w:tcPr>
          <w:p w14:paraId="010CD049">
            <w:pPr>
              <w:keepNext w:val="0"/>
              <w:keepLines/>
              <w:widowControl w:val="0"/>
              <w:suppressLineNumbers w:val="0"/>
              <w:kinsoku/>
              <w:spacing w:before="0" w:beforeAutospacing="0" w:after="0" w:afterAutospacing="0" w:line="300" w:lineRule="exact"/>
              <w:ind w:left="0" w:right="0"/>
              <w:jc w:val="center"/>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一般</w:t>
            </w:r>
          </w:p>
        </w:tc>
        <w:tc>
          <w:tcPr>
            <w:tcW w:w="8546" w:type="dxa"/>
            <w:vAlign w:val="center"/>
          </w:tcPr>
          <w:p w14:paraId="10A75FD2">
            <w:pPr>
              <w:keepNext w:val="0"/>
              <w:keepLines/>
              <w:widowControl w:val="0"/>
              <w:suppressLineNumbers w:val="0"/>
              <w:kinsoku/>
              <w:spacing w:before="0" w:beforeAutospacing="0" w:after="0" w:afterAutospacing="0" w:line="300" w:lineRule="exact"/>
              <w:ind w:left="0" w:right="0"/>
              <w:jc w:val="both"/>
              <w:rPr>
                <w:rFonts w:hint="default"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lang w:eastAsia="zh-CN"/>
              </w:rPr>
              <w:t>酸价(以脂肪计)(KOH)、过氧化值(以脂肪计)、铅(以Pb计)、噻虫嗪、噻虫胺</w:t>
            </w:r>
          </w:p>
        </w:tc>
      </w:tr>
    </w:tbl>
    <w:p w14:paraId="48A6E248">
      <w:pPr>
        <w:rPr>
          <w:rFonts w:hint="eastAsia"/>
          <w:lang w:val="en-US" w:eastAsia="zh-CN"/>
        </w:rPr>
        <w:sectPr>
          <w:pgSz w:w="16838" w:h="11906" w:orient="landscape"/>
          <w:pgMar w:top="1757" w:right="1440" w:bottom="1757" w:left="1440" w:header="851" w:footer="992" w:gutter="0"/>
          <w:cols w:space="0" w:num="1"/>
          <w:titlePg/>
          <w:rtlGutter w:val="0"/>
          <w:docGrid w:type="lines" w:linePitch="312" w:charSpace="0"/>
        </w:sectPr>
      </w:pPr>
    </w:p>
    <w:p w14:paraId="3F8B0AF0">
      <w:pPr>
        <w:widowControl/>
        <w:snapToGrid w:val="0"/>
        <w:spacing w:before="156" w:after="156" w:line="360" w:lineRule="auto"/>
        <w:jc w:val="left"/>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四、商务要求</w:t>
      </w:r>
    </w:p>
    <w:tbl>
      <w:tblPr>
        <w:tblStyle w:val="24"/>
        <w:tblW w:w="887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97"/>
        <w:gridCol w:w="6982"/>
      </w:tblGrid>
      <w:tr w14:paraId="609284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4" w:hRule="atLeast"/>
          <w:jc w:val="center"/>
        </w:trPr>
        <w:tc>
          <w:tcPr>
            <w:tcW w:w="1897" w:type="dxa"/>
            <w:tcBorders>
              <w:top w:val="single" w:color="auto" w:sz="4" w:space="0"/>
              <w:bottom w:val="single" w:color="auto" w:sz="4" w:space="0"/>
              <w:right w:val="single" w:color="auto" w:sz="4" w:space="0"/>
            </w:tcBorders>
            <w:vAlign w:val="center"/>
          </w:tcPr>
          <w:p w14:paraId="6C58D402">
            <w:pPr>
              <w:keepNext w:val="0"/>
              <w:keepLines w:val="0"/>
              <w:widowControl/>
              <w:suppressLineNumbers w:val="0"/>
              <w:snapToGrid w:val="0"/>
              <w:spacing w:before="0" w:beforeAutospacing="0" w:after="0" w:afterAutospacing="0" w:line="360" w:lineRule="auto"/>
              <w:ind w:left="0" w:right="0"/>
              <w:jc w:val="center"/>
              <w:rPr>
                <w:rFonts w:hint="eastAsia" w:ascii="宋体" w:hAnsi="宋体" w:eastAsia="宋体" w:cs="宋体"/>
                <w:color w:val="auto"/>
                <w:kern w:val="0"/>
                <w:sz w:val="24"/>
                <w:lang w:eastAsia="zh-CN"/>
              </w:rPr>
            </w:pPr>
            <w:r>
              <w:rPr>
                <w:rFonts w:hint="eastAsia" w:ascii="宋体" w:hAnsi="宋体" w:cs="宋体"/>
                <w:color w:val="auto"/>
                <w:kern w:val="0"/>
                <w:sz w:val="24"/>
                <w:lang w:eastAsia="zh-CN"/>
              </w:rPr>
              <w:t>服务期限</w:t>
            </w:r>
          </w:p>
        </w:tc>
        <w:tc>
          <w:tcPr>
            <w:tcW w:w="6982" w:type="dxa"/>
            <w:tcBorders>
              <w:top w:val="single" w:color="auto" w:sz="4" w:space="0"/>
              <w:left w:val="single" w:color="auto" w:sz="4" w:space="0"/>
              <w:bottom w:val="single" w:color="auto" w:sz="4" w:space="0"/>
            </w:tcBorders>
            <w:vAlign w:val="center"/>
          </w:tcPr>
          <w:p w14:paraId="32E43CEA">
            <w:pPr>
              <w:keepNext w:val="0"/>
              <w:keepLines w:val="0"/>
              <w:widowControl/>
              <w:suppressLineNumbers w:val="0"/>
              <w:snapToGrid w:val="0"/>
              <w:spacing w:before="0" w:beforeAutospacing="0" w:after="0" w:afterAutospacing="0" w:line="360" w:lineRule="auto"/>
              <w:ind w:left="0" w:right="0"/>
              <w:jc w:val="left"/>
              <w:rPr>
                <w:rFonts w:hint="eastAsia" w:ascii="宋体" w:hAnsi="宋体" w:eastAsia="宋体" w:cs="宋体"/>
                <w:color w:val="auto"/>
                <w:kern w:val="0"/>
                <w:sz w:val="24"/>
              </w:rPr>
            </w:pPr>
            <w:r>
              <w:rPr>
                <w:rFonts w:hint="eastAsia" w:ascii="宋体" w:hAnsi="宋体" w:cs="宋体"/>
                <w:color w:val="auto"/>
                <w:kern w:val="0"/>
                <w:sz w:val="24"/>
                <w:lang w:eastAsia="zh-CN"/>
              </w:rPr>
              <w:t>一年</w:t>
            </w:r>
            <w:r>
              <w:rPr>
                <w:rFonts w:hint="eastAsia" w:ascii="宋体" w:hAnsi="宋体" w:eastAsia="宋体" w:cs="宋体"/>
                <w:color w:val="auto"/>
                <w:kern w:val="0"/>
                <w:sz w:val="24"/>
              </w:rPr>
              <w:t>。</w:t>
            </w:r>
          </w:p>
        </w:tc>
      </w:tr>
      <w:tr w14:paraId="71405B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4" w:hRule="atLeast"/>
          <w:jc w:val="center"/>
        </w:trPr>
        <w:tc>
          <w:tcPr>
            <w:tcW w:w="1897" w:type="dxa"/>
            <w:tcBorders>
              <w:top w:val="single" w:color="auto" w:sz="4" w:space="0"/>
              <w:bottom w:val="single" w:color="auto" w:sz="4" w:space="0"/>
              <w:right w:val="single" w:color="auto" w:sz="4" w:space="0"/>
            </w:tcBorders>
            <w:vAlign w:val="center"/>
          </w:tcPr>
          <w:p w14:paraId="7557E53F">
            <w:pPr>
              <w:keepNext w:val="0"/>
              <w:keepLines w:val="0"/>
              <w:widowControl/>
              <w:suppressLineNumbers w:val="0"/>
              <w:snapToGrid w:val="0"/>
              <w:spacing w:before="0" w:beforeAutospacing="0" w:after="0" w:afterAutospacing="0" w:line="360" w:lineRule="auto"/>
              <w:ind w:left="0" w:right="0"/>
              <w:jc w:val="center"/>
              <w:rPr>
                <w:rFonts w:hint="eastAsia" w:ascii="宋体" w:hAnsi="宋体" w:eastAsia="宋体" w:cs="宋体"/>
                <w:color w:val="auto"/>
                <w:kern w:val="0"/>
                <w:sz w:val="24"/>
              </w:rPr>
            </w:pPr>
            <w:r>
              <w:rPr>
                <w:rFonts w:hint="eastAsia" w:ascii="宋体" w:hAnsi="宋体" w:eastAsia="宋体" w:cs="宋体"/>
                <w:color w:val="auto"/>
                <w:kern w:val="0"/>
                <w:sz w:val="24"/>
              </w:rPr>
              <w:t>服务标准</w:t>
            </w:r>
          </w:p>
        </w:tc>
        <w:tc>
          <w:tcPr>
            <w:tcW w:w="6982" w:type="dxa"/>
            <w:tcBorders>
              <w:top w:val="single" w:color="auto" w:sz="4" w:space="0"/>
              <w:left w:val="single" w:color="auto" w:sz="4" w:space="0"/>
              <w:bottom w:val="single" w:color="auto" w:sz="4" w:space="0"/>
            </w:tcBorders>
            <w:vAlign w:val="center"/>
          </w:tcPr>
          <w:p w14:paraId="1452D85B">
            <w:pPr>
              <w:keepNext w:val="0"/>
              <w:keepLines w:val="0"/>
              <w:widowControl/>
              <w:suppressLineNumbers w:val="0"/>
              <w:snapToGrid w:val="0"/>
              <w:spacing w:before="0" w:beforeAutospacing="0" w:after="0" w:afterAutospacing="0" w:line="360" w:lineRule="auto"/>
              <w:ind w:left="0" w:right="0"/>
              <w:jc w:val="left"/>
              <w:rPr>
                <w:rFonts w:hint="eastAsia" w:ascii="宋体" w:hAnsi="宋体" w:eastAsia="宋体" w:cs="宋体"/>
                <w:color w:val="auto"/>
                <w:kern w:val="0"/>
                <w:sz w:val="24"/>
              </w:rPr>
            </w:pPr>
            <w:r>
              <w:rPr>
                <w:rFonts w:hint="eastAsia" w:ascii="宋体" w:hAnsi="宋体" w:cs="宋体"/>
                <w:color w:val="auto"/>
                <w:kern w:val="0"/>
                <w:sz w:val="24"/>
                <w:lang w:eastAsia="zh-CN"/>
              </w:rPr>
              <w:t>符合国家标准、行业标准、地区标准</w:t>
            </w:r>
            <w:r>
              <w:rPr>
                <w:rFonts w:hint="eastAsia" w:ascii="宋体" w:hAnsi="宋体" w:eastAsia="宋体" w:cs="宋体"/>
                <w:color w:val="auto"/>
                <w:kern w:val="0"/>
                <w:sz w:val="24"/>
              </w:rPr>
              <w:t>。</w:t>
            </w:r>
          </w:p>
        </w:tc>
      </w:tr>
      <w:tr w14:paraId="473C8B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4" w:hRule="atLeast"/>
          <w:jc w:val="center"/>
        </w:trPr>
        <w:tc>
          <w:tcPr>
            <w:tcW w:w="1897" w:type="dxa"/>
            <w:tcBorders>
              <w:top w:val="single" w:color="auto" w:sz="4" w:space="0"/>
              <w:bottom w:val="single" w:color="auto" w:sz="4" w:space="0"/>
              <w:right w:val="single" w:color="auto" w:sz="4" w:space="0"/>
            </w:tcBorders>
            <w:vAlign w:val="center"/>
          </w:tcPr>
          <w:p w14:paraId="746CFD1D">
            <w:pPr>
              <w:keepNext w:val="0"/>
              <w:keepLines w:val="0"/>
              <w:widowControl/>
              <w:suppressLineNumbers w:val="0"/>
              <w:snapToGrid w:val="0"/>
              <w:spacing w:before="0" w:beforeAutospacing="0" w:after="0" w:afterAutospacing="0" w:line="360" w:lineRule="auto"/>
              <w:ind w:left="0" w:right="0"/>
              <w:jc w:val="center"/>
              <w:rPr>
                <w:rFonts w:hint="eastAsia" w:ascii="宋体" w:hAnsi="宋体" w:eastAsia="宋体" w:cs="宋体"/>
                <w:color w:val="auto"/>
                <w:kern w:val="0"/>
                <w:sz w:val="24"/>
              </w:rPr>
            </w:pPr>
            <w:r>
              <w:rPr>
                <w:rFonts w:hint="eastAsia" w:ascii="宋体" w:hAnsi="宋体" w:eastAsia="宋体" w:cs="宋体"/>
                <w:color w:val="auto"/>
                <w:kern w:val="0"/>
                <w:sz w:val="24"/>
              </w:rPr>
              <w:t>服务地点</w:t>
            </w:r>
          </w:p>
        </w:tc>
        <w:tc>
          <w:tcPr>
            <w:tcW w:w="6982" w:type="dxa"/>
            <w:tcBorders>
              <w:top w:val="single" w:color="auto" w:sz="4" w:space="0"/>
              <w:left w:val="single" w:color="auto" w:sz="4" w:space="0"/>
              <w:bottom w:val="single" w:color="auto" w:sz="4" w:space="0"/>
            </w:tcBorders>
            <w:vAlign w:val="center"/>
          </w:tcPr>
          <w:p w14:paraId="5FFD8B07">
            <w:pPr>
              <w:keepNext w:val="0"/>
              <w:keepLines w:val="0"/>
              <w:widowControl/>
              <w:suppressLineNumbers w:val="0"/>
              <w:snapToGrid w:val="0"/>
              <w:spacing w:before="0" w:beforeAutospacing="0" w:after="0" w:afterAutospacing="0" w:line="360" w:lineRule="auto"/>
              <w:ind w:left="0" w:right="0"/>
              <w:jc w:val="left"/>
              <w:rPr>
                <w:rFonts w:hint="eastAsia" w:ascii="宋体" w:hAnsi="宋体" w:eastAsia="宋体" w:cs="宋体"/>
                <w:color w:val="auto"/>
                <w:kern w:val="0"/>
                <w:sz w:val="24"/>
                <w:lang w:eastAsia="zh-CN"/>
              </w:rPr>
            </w:pPr>
            <w:r>
              <w:rPr>
                <w:rFonts w:hint="eastAsia" w:ascii="宋体" w:hAnsi="宋体" w:cs="宋体"/>
                <w:color w:val="auto"/>
                <w:kern w:val="0"/>
                <w:sz w:val="24"/>
                <w:lang w:eastAsia="zh-CN"/>
              </w:rPr>
              <w:t>采购人指定地点</w:t>
            </w:r>
            <w:r>
              <w:rPr>
                <w:rFonts w:hint="eastAsia" w:ascii="宋体" w:hAnsi="宋体" w:eastAsia="宋体" w:cs="宋体"/>
                <w:color w:val="auto"/>
                <w:kern w:val="0"/>
                <w:sz w:val="24"/>
              </w:rPr>
              <w:t>。</w:t>
            </w:r>
          </w:p>
        </w:tc>
      </w:tr>
      <w:tr w14:paraId="3206C5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4" w:hRule="atLeast"/>
          <w:jc w:val="center"/>
        </w:trPr>
        <w:tc>
          <w:tcPr>
            <w:tcW w:w="1897" w:type="dxa"/>
            <w:tcBorders>
              <w:top w:val="single" w:color="auto" w:sz="4" w:space="0"/>
              <w:bottom w:val="single" w:color="auto" w:sz="4" w:space="0"/>
              <w:right w:val="single" w:color="auto" w:sz="4" w:space="0"/>
            </w:tcBorders>
            <w:vAlign w:val="center"/>
          </w:tcPr>
          <w:p w14:paraId="4FAD00A8">
            <w:pPr>
              <w:keepNext w:val="0"/>
              <w:keepLines w:val="0"/>
              <w:widowControl/>
              <w:suppressLineNumbers w:val="0"/>
              <w:snapToGrid w:val="0"/>
              <w:spacing w:before="0" w:beforeAutospacing="0" w:after="0" w:afterAutospacing="0" w:line="360" w:lineRule="auto"/>
              <w:ind w:left="0" w:right="0"/>
              <w:jc w:val="center"/>
              <w:rPr>
                <w:rFonts w:hint="eastAsia" w:ascii="宋体" w:hAnsi="宋体" w:eastAsia="宋体" w:cs="宋体"/>
                <w:color w:val="auto"/>
                <w:kern w:val="0"/>
                <w:sz w:val="24"/>
              </w:rPr>
            </w:pPr>
            <w:r>
              <w:rPr>
                <w:rFonts w:hint="eastAsia" w:ascii="宋体" w:hAnsi="宋体" w:eastAsia="宋体" w:cs="宋体"/>
                <w:color w:val="auto"/>
                <w:kern w:val="0"/>
                <w:sz w:val="24"/>
              </w:rPr>
              <w:t>合同签订</w:t>
            </w:r>
          </w:p>
        </w:tc>
        <w:tc>
          <w:tcPr>
            <w:tcW w:w="6982" w:type="dxa"/>
            <w:tcBorders>
              <w:top w:val="single" w:color="auto" w:sz="4" w:space="0"/>
              <w:left w:val="single" w:color="auto" w:sz="4" w:space="0"/>
              <w:bottom w:val="single" w:color="auto" w:sz="4" w:space="0"/>
            </w:tcBorders>
            <w:vAlign w:val="center"/>
          </w:tcPr>
          <w:p w14:paraId="74B0F9F6">
            <w:pPr>
              <w:keepNext w:val="0"/>
              <w:keepLines w:val="0"/>
              <w:widowControl/>
              <w:suppressLineNumbers w:val="0"/>
              <w:snapToGrid w:val="0"/>
              <w:spacing w:before="0" w:beforeAutospacing="0" w:after="0" w:afterAutospacing="0" w:line="360" w:lineRule="auto"/>
              <w:ind w:left="0" w:right="0"/>
              <w:jc w:val="left"/>
              <w:rPr>
                <w:rFonts w:hint="eastAsia" w:ascii="宋体" w:hAnsi="宋体" w:eastAsia="宋体" w:cs="宋体"/>
                <w:color w:val="auto"/>
                <w:kern w:val="0"/>
                <w:sz w:val="24"/>
              </w:rPr>
            </w:pPr>
            <w:r>
              <w:rPr>
                <w:rFonts w:hint="eastAsia" w:ascii="宋体" w:hAnsi="宋体" w:eastAsia="宋体" w:cs="宋体"/>
                <w:color w:val="auto"/>
                <w:kern w:val="0"/>
                <w:sz w:val="24"/>
              </w:rPr>
              <w:t>自成交通知书发出之日起1个工作日内。</w:t>
            </w:r>
          </w:p>
        </w:tc>
      </w:tr>
      <w:tr w14:paraId="4067A2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5" w:hRule="atLeast"/>
          <w:jc w:val="center"/>
        </w:trPr>
        <w:tc>
          <w:tcPr>
            <w:tcW w:w="1897" w:type="dxa"/>
            <w:tcBorders>
              <w:top w:val="single" w:color="auto" w:sz="4" w:space="0"/>
              <w:bottom w:val="single" w:color="auto" w:sz="4" w:space="0"/>
              <w:right w:val="single" w:color="auto" w:sz="4" w:space="0"/>
            </w:tcBorders>
            <w:vAlign w:val="center"/>
          </w:tcPr>
          <w:p w14:paraId="0D153A45">
            <w:pPr>
              <w:keepNext w:val="0"/>
              <w:keepLines w:val="0"/>
              <w:widowControl/>
              <w:suppressLineNumbers w:val="0"/>
              <w:snapToGrid w:val="0"/>
              <w:spacing w:before="0" w:beforeAutospacing="0" w:after="0" w:afterAutospacing="0" w:line="360" w:lineRule="auto"/>
              <w:ind w:left="0" w:leftChars="0" w:right="0" w:rightChars="0"/>
              <w:jc w:val="center"/>
              <w:rPr>
                <w:rFonts w:hint="eastAsia" w:ascii="宋体" w:hAnsi="宋体" w:eastAsia="宋体" w:cs="宋体"/>
                <w:color w:val="auto"/>
                <w:kern w:val="0"/>
                <w:sz w:val="24"/>
              </w:rPr>
            </w:pPr>
            <w:r>
              <w:rPr>
                <w:rFonts w:hint="eastAsia" w:ascii="宋体" w:hAnsi="宋体" w:eastAsia="宋体" w:cs="宋体"/>
                <w:color w:val="auto"/>
                <w:kern w:val="0"/>
                <w:sz w:val="24"/>
              </w:rPr>
              <w:t>付款方式</w:t>
            </w:r>
          </w:p>
        </w:tc>
        <w:tc>
          <w:tcPr>
            <w:tcW w:w="6982" w:type="dxa"/>
            <w:tcBorders>
              <w:top w:val="single" w:color="auto" w:sz="4" w:space="0"/>
              <w:left w:val="single" w:color="auto" w:sz="4" w:space="0"/>
              <w:bottom w:val="single" w:color="auto" w:sz="4" w:space="0"/>
            </w:tcBorders>
            <w:vAlign w:val="center"/>
          </w:tcPr>
          <w:p w14:paraId="34D19A5F">
            <w:pPr>
              <w:keepNext w:val="0"/>
              <w:keepLines w:val="0"/>
              <w:widowControl/>
              <w:suppressLineNumbers w:val="0"/>
              <w:snapToGrid w:val="0"/>
              <w:spacing w:before="0" w:beforeAutospacing="0" w:after="0" w:afterAutospacing="0" w:line="360" w:lineRule="auto"/>
              <w:ind w:left="0" w:leftChars="0" w:right="0" w:rightChars="0"/>
              <w:jc w:val="left"/>
              <w:rPr>
                <w:rFonts w:hint="eastAsia" w:ascii="宋体" w:hAnsi="宋体" w:eastAsia="宋体" w:cs="宋体"/>
                <w:color w:val="auto"/>
                <w:kern w:val="0"/>
                <w:sz w:val="24"/>
              </w:rPr>
            </w:pPr>
            <w:r>
              <w:rPr>
                <w:rFonts w:hint="eastAsia" w:ascii="宋体" w:hAnsi="宋体" w:cs="宋体"/>
                <w:color w:val="auto"/>
                <w:kern w:val="0"/>
                <w:sz w:val="24"/>
                <w:lang w:val="en-US" w:eastAsia="zh-CN"/>
              </w:rPr>
              <w:t>采购人可根据项目特点，提前支付30%预付款，如有预付款保函，最高可支付40%，对于中小微企业，首付款比例原则上不低于合同金额的50%。（具体付款方式合同另行约定，具体到账时间以财政部门拨付时间为准）。</w:t>
            </w:r>
          </w:p>
        </w:tc>
      </w:tr>
      <w:tr w14:paraId="095E3A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88" w:hRule="atLeast"/>
          <w:jc w:val="center"/>
        </w:trPr>
        <w:tc>
          <w:tcPr>
            <w:tcW w:w="1897" w:type="dxa"/>
            <w:tcBorders>
              <w:top w:val="single" w:color="auto" w:sz="4" w:space="0"/>
              <w:bottom w:val="single" w:color="auto" w:sz="4" w:space="0"/>
              <w:right w:val="single" w:color="auto" w:sz="4" w:space="0"/>
            </w:tcBorders>
            <w:vAlign w:val="center"/>
          </w:tcPr>
          <w:p w14:paraId="64404FD6">
            <w:pPr>
              <w:keepNext w:val="0"/>
              <w:keepLines w:val="0"/>
              <w:widowControl/>
              <w:suppressLineNumbers w:val="0"/>
              <w:snapToGrid w:val="0"/>
              <w:spacing w:before="0" w:beforeAutospacing="0" w:after="0" w:afterAutospacing="0" w:line="360" w:lineRule="auto"/>
              <w:ind w:left="0" w:leftChars="0" w:right="0" w:rightChars="0"/>
              <w:jc w:val="center"/>
              <w:rPr>
                <w:rFonts w:hint="eastAsia" w:ascii="宋体" w:hAnsi="宋体" w:eastAsia="宋体" w:cs="宋体"/>
                <w:color w:val="auto"/>
                <w:kern w:val="0"/>
                <w:sz w:val="24"/>
                <w:lang w:eastAsia="zh-CN"/>
              </w:rPr>
            </w:pPr>
            <w:r>
              <w:rPr>
                <w:rFonts w:hint="eastAsia" w:ascii="宋体" w:hAnsi="宋体" w:eastAsia="宋体" w:cs="宋体"/>
                <w:color w:val="auto"/>
                <w:kern w:val="0"/>
                <w:sz w:val="24"/>
                <w:lang w:eastAsia="zh-CN"/>
              </w:rPr>
              <w:t>技术服务方案</w:t>
            </w:r>
          </w:p>
        </w:tc>
        <w:tc>
          <w:tcPr>
            <w:tcW w:w="6982" w:type="dxa"/>
            <w:tcBorders>
              <w:top w:val="single" w:color="auto" w:sz="4" w:space="0"/>
              <w:left w:val="single" w:color="auto" w:sz="4" w:space="0"/>
              <w:bottom w:val="single" w:color="auto" w:sz="4" w:space="0"/>
            </w:tcBorders>
            <w:vAlign w:val="center"/>
          </w:tcPr>
          <w:p w14:paraId="13EDE077">
            <w:pPr>
              <w:keepNext w:val="0"/>
              <w:keepLines w:val="0"/>
              <w:widowControl/>
              <w:suppressLineNumbers w:val="0"/>
              <w:snapToGrid w:val="0"/>
              <w:spacing w:before="0" w:beforeAutospacing="0" w:after="0" w:afterAutospacing="0" w:line="360" w:lineRule="auto"/>
              <w:ind w:left="0" w:leftChars="0" w:right="0" w:rightChars="0"/>
              <w:jc w:val="left"/>
              <w:rPr>
                <w:rFonts w:hint="eastAsia" w:ascii="宋体" w:hAnsi="宋体" w:eastAsia="宋体" w:cs="宋体"/>
                <w:color w:val="auto"/>
                <w:kern w:val="0"/>
                <w:sz w:val="24"/>
              </w:rPr>
            </w:pPr>
            <w:r>
              <w:rPr>
                <w:rFonts w:hint="eastAsia" w:ascii="宋体" w:hAnsi="宋体" w:eastAsia="宋体" w:cs="宋体"/>
                <w:color w:val="auto"/>
                <w:kern w:val="0"/>
                <w:sz w:val="24"/>
              </w:rPr>
              <w:t>供应商应提供完整的技术服务方案，方案应结合实际</w:t>
            </w:r>
            <w:r>
              <w:rPr>
                <w:rFonts w:hint="eastAsia" w:ascii="宋体" w:hAnsi="宋体" w:eastAsia="宋体" w:cs="宋体"/>
                <w:color w:val="auto"/>
                <w:kern w:val="0"/>
                <w:sz w:val="24"/>
                <w:lang w:eastAsia="zh-CN"/>
              </w:rPr>
              <w:t>编制</w:t>
            </w:r>
            <w:r>
              <w:rPr>
                <w:rFonts w:hint="eastAsia" w:ascii="宋体" w:hAnsi="宋体" w:eastAsia="宋体" w:cs="宋体"/>
                <w:color w:val="auto"/>
                <w:kern w:val="0"/>
                <w:sz w:val="24"/>
                <w:lang w:val="en-US" w:eastAsia="zh-CN"/>
              </w:rPr>
              <w:t>，否则将影响成交资格。</w:t>
            </w:r>
          </w:p>
        </w:tc>
      </w:tr>
      <w:tr w14:paraId="5913E6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88" w:hRule="atLeast"/>
          <w:jc w:val="center"/>
        </w:trPr>
        <w:tc>
          <w:tcPr>
            <w:tcW w:w="1897" w:type="dxa"/>
            <w:tcBorders>
              <w:top w:val="single" w:color="auto" w:sz="4" w:space="0"/>
              <w:bottom w:val="single" w:color="auto" w:sz="4" w:space="0"/>
              <w:right w:val="single" w:color="auto" w:sz="4" w:space="0"/>
            </w:tcBorders>
            <w:vAlign w:val="center"/>
          </w:tcPr>
          <w:p w14:paraId="55761E8D">
            <w:pPr>
              <w:keepNext w:val="0"/>
              <w:keepLines w:val="0"/>
              <w:widowControl/>
              <w:suppressLineNumbers w:val="0"/>
              <w:snapToGrid w:val="0"/>
              <w:spacing w:before="0" w:beforeAutospacing="0" w:after="0" w:afterAutospacing="0" w:line="360" w:lineRule="auto"/>
              <w:ind w:left="0" w:leftChars="0" w:right="0" w:rightChars="0"/>
              <w:jc w:val="center"/>
              <w:rPr>
                <w:rFonts w:hint="eastAsia" w:ascii="宋体" w:hAnsi="宋体" w:eastAsia="宋体" w:cs="宋体"/>
                <w:color w:val="auto"/>
                <w:kern w:val="0"/>
                <w:sz w:val="24"/>
                <w:lang w:eastAsia="zh-CN"/>
              </w:rPr>
            </w:pPr>
            <w:r>
              <w:rPr>
                <w:rFonts w:hint="eastAsia" w:ascii="宋体" w:hAnsi="宋体" w:eastAsia="宋体" w:cs="宋体"/>
                <w:color w:val="auto"/>
                <w:kern w:val="0"/>
                <w:sz w:val="24"/>
                <w:lang w:eastAsia="zh-CN"/>
              </w:rPr>
              <w:t>验收条件和标准</w:t>
            </w:r>
          </w:p>
        </w:tc>
        <w:tc>
          <w:tcPr>
            <w:tcW w:w="6982" w:type="dxa"/>
            <w:tcBorders>
              <w:top w:val="single" w:color="auto" w:sz="4" w:space="0"/>
              <w:left w:val="single" w:color="auto" w:sz="4" w:space="0"/>
              <w:bottom w:val="single" w:color="auto" w:sz="4" w:space="0"/>
            </w:tcBorders>
            <w:vAlign w:val="center"/>
          </w:tcPr>
          <w:p w14:paraId="0813B945">
            <w:pPr>
              <w:keepNext w:val="0"/>
              <w:keepLines w:val="0"/>
              <w:widowControl/>
              <w:suppressLineNumbers w:val="0"/>
              <w:snapToGrid w:val="0"/>
              <w:spacing w:before="0" w:beforeAutospacing="0" w:after="0" w:afterAutospacing="0" w:line="360" w:lineRule="auto"/>
              <w:ind w:left="0" w:leftChars="0" w:right="0" w:rightChars="0"/>
              <w:jc w:val="left"/>
              <w:rPr>
                <w:rFonts w:hint="eastAsia" w:ascii="宋体" w:hAnsi="宋体" w:eastAsia="宋体" w:cs="宋体"/>
                <w:color w:val="auto"/>
                <w:kern w:val="0"/>
                <w:sz w:val="24"/>
              </w:rPr>
            </w:pPr>
            <w:r>
              <w:rPr>
                <w:rFonts w:hint="eastAsia" w:ascii="宋体" w:hAnsi="宋体" w:eastAsia="宋体" w:cs="宋体"/>
                <w:color w:val="auto"/>
                <w:kern w:val="0"/>
                <w:sz w:val="24"/>
              </w:rPr>
              <w:t>依照</w:t>
            </w:r>
            <w:r>
              <w:rPr>
                <w:rFonts w:hint="eastAsia" w:ascii="宋体" w:hAnsi="宋体" w:eastAsia="宋体" w:cs="宋体"/>
                <w:color w:val="auto"/>
                <w:kern w:val="0"/>
                <w:sz w:val="24"/>
                <w:lang w:val="en-US" w:eastAsia="zh-CN"/>
              </w:rPr>
              <w:t>采购</w:t>
            </w:r>
            <w:r>
              <w:rPr>
                <w:rFonts w:hint="eastAsia" w:ascii="宋体" w:hAnsi="宋体" w:eastAsia="宋体" w:cs="宋体"/>
                <w:color w:val="auto"/>
                <w:kern w:val="0"/>
                <w:sz w:val="24"/>
              </w:rPr>
              <w:t>文件、</w:t>
            </w:r>
            <w:r>
              <w:rPr>
                <w:rFonts w:hint="eastAsia" w:ascii="宋体" w:hAnsi="宋体" w:eastAsia="宋体" w:cs="宋体"/>
                <w:color w:val="auto"/>
                <w:kern w:val="0"/>
                <w:sz w:val="24"/>
                <w:lang w:val="en-US" w:eastAsia="zh-CN"/>
              </w:rPr>
              <w:t>响应</w:t>
            </w:r>
            <w:r>
              <w:rPr>
                <w:rFonts w:hint="eastAsia" w:ascii="宋体" w:hAnsi="宋体" w:eastAsia="宋体" w:cs="宋体"/>
                <w:color w:val="auto"/>
                <w:kern w:val="0"/>
                <w:sz w:val="24"/>
              </w:rPr>
              <w:t>文件及合同等。</w:t>
            </w:r>
          </w:p>
        </w:tc>
      </w:tr>
      <w:tr w14:paraId="2F734B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1" w:hRule="atLeast"/>
          <w:jc w:val="center"/>
        </w:trPr>
        <w:tc>
          <w:tcPr>
            <w:tcW w:w="1897" w:type="dxa"/>
            <w:tcBorders>
              <w:top w:val="single" w:color="auto" w:sz="4" w:space="0"/>
              <w:bottom w:val="single" w:color="auto" w:sz="4" w:space="0"/>
              <w:right w:val="single" w:color="auto" w:sz="4" w:space="0"/>
            </w:tcBorders>
            <w:vAlign w:val="center"/>
          </w:tcPr>
          <w:p w14:paraId="7085B04F">
            <w:pPr>
              <w:keepNext w:val="0"/>
              <w:keepLines w:val="0"/>
              <w:widowControl/>
              <w:suppressLineNumbers w:val="0"/>
              <w:snapToGrid w:val="0"/>
              <w:spacing w:before="0" w:beforeAutospacing="0" w:after="0" w:afterAutospacing="0" w:line="360" w:lineRule="auto"/>
              <w:ind w:left="0" w:leftChars="0" w:right="0" w:rightChars="0"/>
              <w:jc w:val="center"/>
              <w:rPr>
                <w:rFonts w:hint="eastAsia" w:ascii="宋体" w:hAnsi="宋体" w:eastAsia="宋体" w:cs="宋体"/>
                <w:color w:val="auto"/>
                <w:kern w:val="0"/>
                <w:sz w:val="24"/>
                <w:lang w:eastAsia="zh-CN"/>
              </w:rPr>
            </w:pPr>
            <w:r>
              <w:rPr>
                <w:rFonts w:hint="eastAsia" w:ascii="宋体" w:hAnsi="宋体" w:eastAsia="宋体" w:cs="宋体"/>
                <w:color w:val="auto"/>
                <w:kern w:val="0"/>
                <w:sz w:val="24"/>
                <w:lang w:eastAsia="zh-CN"/>
              </w:rPr>
              <w:t>验收方法及方案</w:t>
            </w:r>
          </w:p>
        </w:tc>
        <w:tc>
          <w:tcPr>
            <w:tcW w:w="6982" w:type="dxa"/>
            <w:tcBorders>
              <w:top w:val="single" w:color="auto" w:sz="4" w:space="0"/>
              <w:left w:val="single" w:color="auto" w:sz="4" w:space="0"/>
              <w:bottom w:val="single" w:color="auto" w:sz="4" w:space="0"/>
            </w:tcBorders>
            <w:vAlign w:val="center"/>
          </w:tcPr>
          <w:p w14:paraId="42EC9736">
            <w:pPr>
              <w:keepNext w:val="0"/>
              <w:keepLines w:val="0"/>
              <w:widowControl/>
              <w:suppressLineNumbers w:val="0"/>
              <w:snapToGrid w:val="0"/>
              <w:spacing w:before="0" w:beforeAutospacing="0" w:after="0" w:afterAutospacing="0" w:line="360" w:lineRule="auto"/>
              <w:ind w:left="0" w:leftChars="0" w:right="0" w:rightChars="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rPr>
              <w:t>由采购人按照相关规定组织验收。</w:t>
            </w:r>
          </w:p>
        </w:tc>
      </w:tr>
      <w:tr w14:paraId="4128CC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jc w:val="center"/>
        </w:trPr>
        <w:tc>
          <w:tcPr>
            <w:tcW w:w="1897" w:type="dxa"/>
            <w:tcBorders>
              <w:top w:val="single" w:color="auto" w:sz="4" w:space="0"/>
              <w:bottom w:val="single" w:color="auto" w:sz="4" w:space="0"/>
              <w:right w:val="single" w:color="auto" w:sz="4" w:space="0"/>
            </w:tcBorders>
            <w:vAlign w:val="center"/>
          </w:tcPr>
          <w:p w14:paraId="2377DDEB">
            <w:pPr>
              <w:keepNext w:val="0"/>
              <w:keepLines w:val="0"/>
              <w:widowControl/>
              <w:suppressLineNumbers w:val="0"/>
              <w:snapToGrid w:val="0"/>
              <w:spacing w:before="0" w:beforeAutospacing="0" w:after="0" w:afterAutospacing="0" w:line="360" w:lineRule="auto"/>
              <w:ind w:left="0" w:leftChars="0" w:right="0" w:rightChars="0"/>
              <w:jc w:val="center"/>
              <w:rPr>
                <w:rFonts w:hint="eastAsia" w:ascii="宋体" w:hAnsi="宋体" w:eastAsia="宋体" w:cs="宋体"/>
                <w:color w:val="auto"/>
                <w:kern w:val="0"/>
                <w:sz w:val="24"/>
                <w:lang w:eastAsia="zh-CN"/>
              </w:rPr>
            </w:pPr>
            <w:r>
              <w:rPr>
                <w:rFonts w:hint="eastAsia" w:ascii="宋体" w:hAnsi="宋体" w:eastAsia="宋体" w:cs="宋体"/>
                <w:color w:val="auto"/>
                <w:kern w:val="0"/>
                <w:sz w:val="24"/>
                <w:lang w:eastAsia="zh-CN"/>
              </w:rPr>
              <w:t>履约保证金</w:t>
            </w:r>
          </w:p>
        </w:tc>
        <w:tc>
          <w:tcPr>
            <w:tcW w:w="6982" w:type="dxa"/>
            <w:tcBorders>
              <w:top w:val="single" w:color="auto" w:sz="4" w:space="0"/>
              <w:left w:val="single" w:color="auto" w:sz="4" w:space="0"/>
              <w:bottom w:val="single" w:color="auto" w:sz="4" w:space="0"/>
            </w:tcBorders>
            <w:vAlign w:val="center"/>
          </w:tcPr>
          <w:p w14:paraId="3A511C9C">
            <w:pPr>
              <w:keepNext w:val="0"/>
              <w:keepLines w:val="0"/>
              <w:widowControl/>
              <w:suppressLineNumbers w:val="0"/>
              <w:snapToGrid w:val="0"/>
              <w:spacing w:before="0" w:beforeAutospacing="0" w:after="0" w:afterAutospacing="0" w:line="360" w:lineRule="auto"/>
              <w:ind w:left="0" w:leftChars="0" w:right="0" w:rightChars="0"/>
              <w:jc w:val="left"/>
              <w:rPr>
                <w:rFonts w:hint="eastAsia" w:ascii="宋体" w:hAnsi="宋体" w:eastAsia="宋体" w:cs="宋体"/>
                <w:color w:val="auto"/>
                <w:kern w:val="0"/>
                <w:sz w:val="24"/>
              </w:rPr>
            </w:pPr>
            <w:r>
              <w:rPr>
                <w:rFonts w:hint="eastAsia" w:ascii="宋体" w:hAnsi="宋体" w:eastAsia="宋体" w:cs="宋体"/>
                <w:color w:val="auto"/>
                <w:kern w:val="0"/>
                <w:sz w:val="24"/>
              </w:rPr>
              <w:t>本项目不收取履约保证金。</w:t>
            </w:r>
          </w:p>
        </w:tc>
      </w:tr>
    </w:tbl>
    <w:p w14:paraId="5D8467F9">
      <w:pPr>
        <w:widowControl/>
        <w:snapToGrid w:val="0"/>
        <w:spacing w:before="156" w:after="156" w:line="360" w:lineRule="auto"/>
        <w:jc w:val="left"/>
        <w:outlineLvl w:val="0"/>
        <w:rPr>
          <w:rFonts w:hint="eastAsia" w:ascii="仿宋" w:hAnsi="仿宋" w:eastAsia="仿宋" w:cs="仿宋"/>
          <w:sz w:val="32"/>
          <w:szCs w:val="32"/>
          <w:lang w:val="en-US" w:eastAsia="zh-CN"/>
        </w:rPr>
      </w:pPr>
      <w:r>
        <w:rPr>
          <w:rFonts w:hint="eastAsia" w:ascii="宋体" w:hAnsi="宋体" w:eastAsia="宋体" w:cs="宋体"/>
          <w:b/>
          <w:color w:val="auto"/>
          <w:kern w:val="0"/>
          <w:sz w:val="24"/>
          <w:lang w:val="en-US" w:eastAsia="zh-CN"/>
        </w:rPr>
        <w:t>五、采购人对项目的特殊要求及说明</w:t>
      </w:r>
    </w:p>
    <w:tbl>
      <w:tblPr>
        <w:tblStyle w:val="24"/>
        <w:tblpPr w:leftFromText="180" w:rightFromText="180" w:vertAnchor="text" w:tblpXSpec="center" w:tblpY="128"/>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00"/>
        <w:gridCol w:w="6319"/>
      </w:tblGrid>
      <w:tr w14:paraId="552FC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2500" w:type="dxa"/>
            <w:noWrap w:val="0"/>
            <w:vAlign w:val="center"/>
          </w:tcPr>
          <w:p w14:paraId="4F254F85">
            <w:pPr>
              <w:keepNext w:val="0"/>
              <w:keepLines w:val="0"/>
              <w:widowControl/>
              <w:suppressLineNumbers w:val="0"/>
              <w:snapToGrid w:val="0"/>
              <w:spacing w:before="0" w:beforeAutospacing="0" w:after="0" w:afterAutospacing="0" w:line="360" w:lineRule="auto"/>
              <w:ind w:left="0" w:leftChars="0" w:right="0" w:rightChars="0"/>
              <w:jc w:val="center"/>
              <w:rPr>
                <w:rFonts w:hint="eastAsia" w:ascii="仿宋" w:hAnsi="仿宋" w:eastAsia="仿宋" w:cs="仿宋"/>
                <w:b/>
                <w:color w:val="auto"/>
                <w:sz w:val="32"/>
                <w:szCs w:val="32"/>
              </w:rPr>
            </w:pPr>
            <w:r>
              <w:rPr>
                <w:rFonts w:hint="eastAsia" w:ascii="宋体" w:hAnsi="宋体" w:eastAsia="宋体" w:cs="宋体"/>
                <w:b/>
                <w:bCs/>
                <w:color w:val="auto"/>
                <w:kern w:val="0"/>
                <w:sz w:val="24"/>
                <w:lang w:eastAsia="zh-CN"/>
              </w:rPr>
              <w:t>采购人的特殊要求及说明理由</w:t>
            </w:r>
          </w:p>
        </w:tc>
        <w:tc>
          <w:tcPr>
            <w:tcW w:w="6319" w:type="dxa"/>
            <w:noWrap w:val="0"/>
            <w:vAlign w:val="top"/>
          </w:tcPr>
          <w:p w14:paraId="12B578BD">
            <w:pPr>
              <w:keepNext w:val="0"/>
              <w:keepLines w:val="0"/>
              <w:widowControl/>
              <w:suppressLineNumbers w:val="0"/>
              <w:snapToGrid w:val="0"/>
              <w:spacing w:before="0" w:beforeAutospacing="0" w:after="0" w:afterAutospacing="0" w:line="360" w:lineRule="auto"/>
              <w:ind w:left="0" w:leftChars="0" w:right="0" w:rightChars="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1、投标报价应为含税价，投标报价包括管理服务人员的工资、社会保险和按规定提取的福利费、企业办公费用、企业固定资产折旧费、企业共用部位、共用设施设备及公众责任保险费用、其他费用及税金等所有一切费用。</w:t>
            </w:r>
            <w:r>
              <w:rPr>
                <w:rFonts w:hint="eastAsia" w:ascii="宋体" w:hAnsi="宋体" w:eastAsia="宋体" w:cs="宋体"/>
                <w:color w:val="auto"/>
                <w:kern w:val="0"/>
                <w:sz w:val="24"/>
                <w:lang w:val="en-US" w:eastAsia="zh-CN"/>
              </w:rPr>
              <w:br w:type="textWrapping"/>
            </w:r>
            <w:r>
              <w:rPr>
                <w:rFonts w:hint="eastAsia" w:ascii="宋体" w:hAnsi="宋体" w:eastAsia="宋体" w:cs="宋体"/>
                <w:color w:val="auto"/>
                <w:kern w:val="0"/>
                <w:sz w:val="24"/>
                <w:lang w:val="en-US" w:eastAsia="zh-CN"/>
              </w:rPr>
              <w:t>2、在食品流通环节抽检的食用农产品和其他食品，问题发现率不低于3.5%。问题发现率（以年度为单位计算）每降低0.1%，则扣除检测费用的1%。食品问题发现率（以年度为单位计算）每降低0.1%，则扣除其他食品检测费用的1%；食品生产环节问题发现率应不低于3.0%，食品问题发现率每降低0.1%，则扣除整体检测费用的1%；食品餐饮环节问题发现率应不低于3.2%，食品问题发现率每降低0.1%，则扣除整体检测费用的1%。</w:t>
            </w:r>
          </w:p>
          <w:p w14:paraId="16CD825E">
            <w:pPr>
              <w:keepNext w:val="0"/>
              <w:keepLines w:val="0"/>
              <w:widowControl/>
              <w:suppressLineNumbers w:val="0"/>
              <w:snapToGrid w:val="0"/>
              <w:spacing w:before="0" w:beforeAutospacing="0" w:after="0" w:afterAutospacing="0" w:line="360" w:lineRule="auto"/>
              <w:ind w:left="0" w:leftChars="0" w:right="0" w:rightChars="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3、如因抽样过程不规范或不按规定要求抽样，造成检验报告不被认可的，每出现1次，扣除检验费用3万元。</w:t>
            </w:r>
          </w:p>
          <w:p w14:paraId="5B68B8D5">
            <w:pPr>
              <w:keepNext w:val="0"/>
              <w:keepLines w:val="0"/>
              <w:widowControl/>
              <w:suppressLineNumbers w:val="0"/>
              <w:snapToGrid w:val="0"/>
              <w:spacing w:before="0" w:beforeAutospacing="0" w:after="0" w:afterAutospacing="0" w:line="360" w:lineRule="auto"/>
              <w:ind w:left="0" w:leftChars="0" w:right="0" w:rightChars="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4、在发生复检活动时，乙方（检验机构）应积极配合甲方（县局）。检验报告被复检机构推翻的，每出现1次，扣除检验费用5万元，2次检验报告被复检推翻的，取消检验资格，终止检验合同。</w:t>
            </w:r>
          </w:p>
          <w:p w14:paraId="1E988F8E">
            <w:pPr>
              <w:keepNext w:val="0"/>
              <w:keepLines w:val="0"/>
              <w:widowControl/>
              <w:suppressLineNumbers w:val="0"/>
              <w:snapToGrid w:val="0"/>
              <w:spacing w:before="0" w:beforeAutospacing="0" w:after="0" w:afterAutospacing="0" w:line="360" w:lineRule="auto"/>
              <w:ind w:left="0" w:leftChars="0" w:right="0" w:rightChars="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5、流通环节抽检产品类别、检测项目由甲方每月对乙方下达抽检任务时一并通知乙方。费用结算按照乙方投标报价表中的单批次报价及实际完成任务量予以结算。</w:t>
            </w:r>
          </w:p>
          <w:p w14:paraId="1A3571F2">
            <w:pPr>
              <w:keepNext w:val="0"/>
              <w:keepLines w:val="0"/>
              <w:widowControl/>
              <w:suppressLineNumbers w:val="0"/>
              <w:snapToGrid w:val="0"/>
              <w:spacing w:before="0" w:beforeAutospacing="0" w:after="0" w:afterAutospacing="0" w:line="360" w:lineRule="auto"/>
              <w:ind w:left="0" w:leftChars="0" w:right="0" w:rightChars="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6、承担抽检任务的单位和个人，不得事前通知被抽检单位和接受被抽检单位的馈赠，不得利用抽检结果开展有偿活动、牟取不正当利益并作出声明。同时，抽检监测结果公众敏感度高，一件问题样品可能涉及多个地区，关联多个环节，尤其是对于高风险食品品种或者是检出高敏感项目指标，不得随意发布和传播检验结果信息。</w:t>
            </w:r>
          </w:p>
          <w:p w14:paraId="26D44963">
            <w:pPr>
              <w:keepNext w:val="0"/>
              <w:keepLines w:val="0"/>
              <w:widowControl/>
              <w:suppressLineNumbers w:val="0"/>
              <w:snapToGrid w:val="0"/>
              <w:spacing w:before="0" w:beforeAutospacing="0" w:after="0" w:afterAutospacing="0" w:line="360" w:lineRule="auto"/>
              <w:ind w:left="0" w:leftChars="0" w:right="0" w:rightChars="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7、采购标的对应的中小企业划分标准所属行业为：</w:t>
            </w:r>
            <w:r>
              <w:rPr>
                <w:rFonts w:hint="eastAsia" w:ascii="宋体" w:hAnsi="宋体" w:eastAsia="宋体" w:cs="宋体"/>
                <w:color w:val="auto"/>
                <w:kern w:val="0"/>
                <w:sz w:val="24"/>
                <w:u w:val="single"/>
                <w:lang w:val="en-US" w:eastAsia="zh-CN"/>
              </w:rPr>
              <w:t>其他未列明行业</w:t>
            </w:r>
            <w:r>
              <w:rPr>
                <w:rFonts w:hint="eastAsia" w:ascii="宋体" w:hAnsi="宋体" w:eastAsia="宋体" w:cs="宋体"/>
                <w:color w:val="auto"/>
                <w:kern w:val="0"/>
                <w:sz w:val="24"/>
                <w:lang w:val="en-US" w:eastAsia="zh-CN"/>
              </w:rPr>
              <w:t>。</w:t>
            </w:r>
          </w:p>
          <w:p w14:paraId="3FAB464A">
            <w:pPr>
              <w:keepNext w:val="0"/>
              <w:keepLines w:val="0"/>
              <w:widowControl/>
              <w:suppressLineNumbers w:val="0"/>
              <w:snapToGrid w:val="0"/>
              <w:spacing w:before="0" w:beforeAutospacing="0" w:after="0" w:afterAutospacing="0" w:line="360" w:lineRule="auto"/>
              <w:ind w:left="0" w:leftChars="0" w:right="0" w:rightChars="0" w:firstLine="240" w:firstLineChars="100"/>
              <w:jc w:val="left"/>
              <w:rPr>
                <w:rFonts w:hint="eastAsia"/>
              </w:rPr>
            </w:pPr>
            <w:r>
              <w:rPr>
                <w:rFonts w:hint="eastAsia" w:ascii="宋体" w:hAnsi="宋体" w:eastAsia="宋体" w:cs="宋体"/>
                <w:color w:val="auto"/>
                <w:kern w:val="0"/>
                <w:sz w:val="24"/>
                <w:lang w:val="en-US" w:eastAsia="zh-CN"/>
              </w:rPr>
              <w:t>参照“关于印发中小企业划型标准规定的通知-工信部联企业[2011]300号”进行划型。</w:t>
            </w:r>
          </w:p>
        </w:tc>
      </w:tr>
    </w:tbl>
    <w:p w14:paraId="5036B96D">
      <w:pPr>
        <w:rPr>
          <w:rFonts w:hint="eastAsia" w:ascii="宋体" w:hAnsi="宋体" w:eastAsia="宋体" w:cs="宋体"/>
          <w:b/>
          <w:bCs/>
          <w:color w:val="auto"/>
          <w:kern w:val="0"/>
          <w:sz w:val="32"/>
          <w:szCs w:val="32"/>
        </w:rPr>
      </w:pPr>
    </w:p>
    <w:p w14:paraId="0178DC5F">
      <w:pPr>
        <w:rPr>
          <w:rFonts w:hint="eastAsia" w:ascii="宋体" w:hAnsi="宋体" w:eastAsia="宋体" w:cs="宋体"/>
          <w:b/>
          <w:bCs/>
          <w:color w:val="auto"/>
          <w:kern w:val="0"/>
          <w:sz w:val="32"/>
          <w:szCs w:val="32"/>
        </w:rPr>
      </w:pPr>
      <w:r>
        <w:rPr>
          <w:rFonts w:hint="eastAsia" w:ascii="宋体" w:hAnsi="宋体" w:eastAsia="宋体" w:cs="宋体"/>
          <w:b/>
          <w:bCs/>
          <w:color w:val="auto"/>
          <w:kern w:val="0"/>
          <w:sz w:val="32"/>
          <w:szCs w:val="32"/>
        </w:rPr>
        <w:br w:type="page"/>
      </w:r>
    </w:p>
    <w:p w14:paraId="65D2F4EE">
      <w:pPr>
        <w:widowControl/>
        <w:shd w:val="clear" w:color="auto" w:fill="FFFFFF"/>
        <w:spacing w:line="460" w:lineRule="atLeast"/>
        <w:jc w:val="center"/>
        <w:rPr>
          <w:rFonts w:hint="eastAsia" w:ascii="宋体" w:hAnsi="宋体" w:eastAsia="宋体" w:cs="宋体"/>
          <w:b/>
          <w:bCs/>
          <w:color w:val="auto"/>
          <w:kern w:val="0"/>
          <w:sz w:val="32"/>
          <w:szCs w:val="32"/>
        </w:rPr>
      </w:pPr>
      <w:r>
        <w:rPr>
          <w:rFonts w:hint="eastAsia" w:ascii="宋体" w:hAnsi="宋体" w:eastAsia="宋体" w:cs="宋体"/>
          <w:b/>
          <w:bCs/>
          <w:color w:val="auto"/>
          <w:kern w:val="0"/>
          <w:sz w:val="32"/>
          <w:szCs w:val="32"/>
        </w:rPr>
        <w:t>第三章 </w:t>
      </w:r>
      <w:r>
        <w:rPr>
          <w:rFonts w:hint="eastAsia" w:ascii="宋体" w:hAnsi="宋体" w:eastAsia="宋体" w:cs="宋体"/>
          <w:b/>
          <w:bCs/>
          <w:color w:val="auto"/>
          <w:kern w:val="0"/>
          <w:sz w:val="32"/>
        </w:rPr>
        <w:t> </w:t>
      </w:r>
      <w:r>
        <w:rPr>
          <w:rFonts w:hint="eastAsia" w:ascii="宋体" w:hAnsi="宋体" w:eastAsia="宋体" w:cs="宋体"/>
          <w:b/>
          <w:bCs/>
          <w:color w:val="auto"/>
          <w:kern w:val="0"/>
          <w:sz w:val="32"/>
          <w:szCs w:val="32"/>
        </w:rPr>
        <w:t>供应商须知</w:t>
      </w:r>
    </w:p>
    <w:p w14:paraId="20BAE865">
      <w:pPr>
        <w:pStyle w:val="41"/>
        <w:jc w:val="center"/>
        <w:rPr>
          <w:rFonts w:hint="eastAsia" w:ascii="宋体" w:hAnsi="宋体" w:eastAsia="宋体" w:cs="宋体"/>
          <w:color w:val="auto"/>
          <w:sz w:val="22"/>
          <w:szCs w:val="22"/>
        </w:rPr>
      </w:pPr>
      <w:r>
        <w:rPr>
          <w:rFonts w:hint="eastAsia" w:ascii="宋体" w:hAnsi="宋体" w:eastAsia="宋体" w:cs="宋体"/>
          <w:color w:val="auto"/>
          <w:sz w:val="28"/>
          <w:szCs w:val="28"/>
        </w:rPr>
        <w:t>供应商须知前附表</w:t>
      </w:r>
    </w:p>
    <w:tbl>
      <w:tblPr>
        <w:tblStyle w:val="24"/>
        <w:tblW w:w="9240" w:type="dxa"/>
        <w:tblInd w:w="0" w:type="dxa"/>
        <w:shd w:val="clear" w:color="auto" w:fill="FFFFFF"/>
        <w:tblLayout w:type="fixed"/>
        <w:tblCellMar>
          <w:top w:w="0" w:type="dxa"/>
          <w:left w:w="0" w:type="dxa"/>
          <w:bottom w:w="0" w:type="dxa"/>
          <w:right w:w="0" w:type="dxa"/>
        </w:tblCellMar>
      </w:tblPr>
      <w:tblGrid>
        <w:gridCol w:w="869"/>
        <w:gridCol w:w="8371"/>
      </w:tblGrid>
      <w:tr w14:paraId="7937027A">
        <w:tblPrEx>
          <w:shd w:val="clear" w:color="auto" w:fill="FFFFFF"/>
          <w:tblCellMar>
            <w:top w:w="0" w:type="dxa"/>
            <w:left w:w="0" w:type="dxa"/>
            <w:bottom w:w="0" w:type="dxa"/>
            <w:right w:w="0" w:type="dxa"/>
          </w:tblCellMar>
        </w:tblPrEx>
        <w:trPr>
          <w:trHeight w:val="409" w:hRule="atLeast"/>
        </w:trPr>
        <w:tc>
          <w:tcPr>
            <w:tcW w:w="869"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28F55B43">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8"/>
                <w:szCs w:val="28"/>
              </w:rPr>
            </w:pPr>
            <w:r>
              <w:rPr>
                <w:rFonts w:hint="eastAsia" w:ascii="宋体" w:hAnsi="宋体" w:eastAsia="宋体" w:cs="宋体"/>
                <w:color w:val="auto"/>
                <w:kern w:val="0"/>
                <w:sz w:val="24"/>
              </w:rPr>
              <w:t>序号</w:t>
            </w:r>
          </w:p>
        </w:tc>
        <w:tc>
          <w:tcPr>
            <w:tcW w:w="8371"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04929F6A">
            <w:pPr>
              <w:keepNext w:val="0"/>
              <w:keepLines w:val="0"/>
              <w:widowControl/>
              <w:suppressLineNumbers w:val="0"/>
              <w:spacing w:before="0" w:beforeAutospacing="0" w:after="0" w:afterAutospacing="0" w:line="360" w:lineRule="auto"/>
              <w:ind w:left="0" w:right="0" w:firstLine="3240"/>
              <w:rPr>
                <w:rFonts w:hint="eastAsia" w:ascii="宋体" w:hAnsi="宋体" w:eastAsia="宋体" w:cs="宋体"/>
                <w:color w:val="auto"/>
                <w:kern w:val="0"/>
                <w:sz w:val="28"/>
                <w:szCs w:val="28"/>
              </w:rPr>
            </w:pPr>
            <w:r>
              <w:rPr>
                <w:rFonts w:hint="eastAsia" w:ascii="宋体" w:hAnsi="宋体" w:eastAsia="宋体" w:cs="宋体"/>
                <w:color w:val="auto"/>
                <w:kern w:val="0"/>
                <w:sz w:val="24"/>
              </w:rPr>
              <w:t>内容、要求</w:t>
            </w:r>
          </w:p>
        </w:tc>
      </w:tr>
      <w:tr w14:paraId="36183A03">
        <w:tblPrEx>
          <w:shd w:val="clear" w:color="auto" w:fill="FFFFFF"/>
          <w:tblCellMar>
            <w:top w:w="0" w:type="dxa"/>
            <w:left w:w="0" w:type="dxa"/>
            <w:bottom w:w="0" w:type="dxa"/>
            <w:right w:w="0" w:type="dxa"/>
          </w:tblCellMar>
        </w:tblPrEx>
        <w:trPr>
          <w:trHeight w:val="490"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6B448D63">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8"/>
                <w:szCs w:val="28"/>
              </w:rPr>
            </w:pPr>
            <w:r>
              <w:rPr>
                <w:rFonts w:hint="eastAsia" w:ascii="宋体" w:hAnsi="宋体" w:eastAsia="宋体" w:cs="宋体"/>
                <w:color w:val="auto"/>
                <w:kern w:val="0"/>
                <w:sz w:val="24"/>
              </w:rPr>
              <w:t>1</w:t>
            </w:r>
          </w:p>
        </w:tc>
        <w:tc>
          <w:tcPr>
            <w:tcW w:w="837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7A2956F2">
            <w:pPr>
              <w:keepNext w:val="0"/>
              <w:keepLines w:val="0"/>
              <w:suppressLineNumbers w:val="0"/>
              <w:spacing w:before="0" w:beforeAutospacing="0" w:after="0" w:afterAutospacing="0" w:line="360" w:lineRule="auto"/>
              <w:ind w:left="0" w:right="0"/>
              <w:rPr>
                <w:rFonts w:hint="eastAsia" w:ascii="宋体" w:hAnsi="宋体" w:eastAsia="宋体" w:cs="宋体"/>
                <w:b/>
                <w:bCs/>
                <w:color w:val="auto"/>
                <w:sz w:val="24"/>
                <w:lang w:eastAsia="zh-CN"/>
              </w:rPr>
            </w:pPr>
            <w:r>
              <w:rPr>
                <w:rFonts w:hint="eastAsia" w:ascii="宋体" w:hAnsi="宋体" w:eastAsia="宋体" w:cs="宋体"/>
                <w:b/>
                <w:bCs/>
                <w:color w:val="auto"/>
                <w:sz w:val="24"/>
              </w:rPr>
              <w:t>1.1 项目名称：</w:t>
            </w:r>
            <w:r>
              <w:rPr>
                <w:rFonts w:hint="eastAsia" w:ascii="宋体" w:hAnsi="宋体" w:cs="宋体"/>
                <w:color w:val="auto"/>
                <w:sz w:val="24"/>
                <w:lang w:eastAsia="zh-CN"/>
              </w:rPr>
              <w:t>汝南县市场监督管理局2026年度食品监督抽检第三方服务单位政府采购项目</w:t>
            </w:r>
          </w:p>
          <w:p w14:paraId="4C66BEDE">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rPr>
            </w:pPr>
            <w:r>
              <w:rPr>
                <w:rFonts w:hint="eastAsia" w:ascii="宋体" w:hAnsi="宋体" w:eastAsia="宋体" w:cs="宋体"/>
                <w:b/>
                <w:bCs/>
                <w:color w:val="auto"/>
                <w:sz w:val="24"/>
              </w:rPr>
              <w:t>1.2 采购人名称：</w:t>
            </w:r>
            <w:r>
              <w:rPr>
                <w:rFonts w:hint="eastAsia" w:ascii="宋体" w:hAnsi="宋体" w:cs="宋体"/>
                <w:color w:val="auto"/>
                <w:sz w:val="24"/>
                <w:lang w:eastAsia="zh-CN"/>
              </w:rPr>
              <w:t>汝南县市场监督管理局</w:t>
            </w:r>
            <w:r>
              <w:rPr>
                <w:rFonts w:hint="eastAsia" w:ascii="宋体" w:hAnsi="宋体" w:eastAsia="宋体" w:cs="宋体"/>
                <w:color w:val="auto"/>
                <w:sz w:val="24"/>
              </w:rPr>
              <w:t xml:space="preserve"> </w:t>
            </w:r>
          </w:p>
          <w:p w14:paraId="136EDBD0">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rPr>
            </w:pPr>
            <w:r>
              <w:rPr>
                <w:rFonts w:hint="eastAsia" w:ascii="宋体" w:hAnsi="宋体" w:eastAsia="宋体" w:cs="宋体"/>
                <w:b/>
                <w:bCs/>
                <w:color w:val="auto"/>
                <w:sz w:val="24"/>
              </w:rPr>
              <w:t>1.3 项目内容：</w:t>
            </w:r>
            <w:r>
              <w:rPr>
                <w:rFonts w:hint="eastAsia" w:ascii="宋体" w:hAnsi="宋体" w:eastAsia="宋体" w:cs="宋体"/>
                <w:color w:val="auto"/>
                <w:sz w:val="24"/>
              </w:rPr>
              <w:t>详见采购需求</w:t>
            </w:r>
          </w:p>
          <w:p w14:paraId="1337840B">
            <w:pPr>
              <w:keepNext w:val="0"/>
              <w:keepLines w:val="0"/>
              <w:suppressLineNumbers w:val="0"/>
              <w:spacing w:before="0" w:beforeAutospacing="0" w:after="0" w:afterAutospacing="0" w:line="360" w:lineRule="auto"/>
              <w:ind w:left="0" w:right="0"/>
              <w:rPr>
                <w:rFonts w:hint="eastAsia" w:ascii="宋体" w:hAnsi="宋体" w:eastAsia="宋体" w:cs="宋体"/>
                <w:color w:val="auto"/>
                <w:kern w:val="0"/>
                <w:sz w:val="28"/>
                <w:szCs w:val="28"/>
              </w:rPr>
            </w:pPr>
            <w:r>
              <w:rPr>
                <w:rFonts w:hint="eastAsia" w:ascii="宋体" w:hAnsi="宋体" w:eastAsia="宋体" w:cs="宋体"/>
                <w:b/>
                <w:bCs/>
                <w:color w:val="auto"/>
                <w:sz w:val="24"/>
              </w:rPr>
              <w:t>1.4 项目编号：</w:t>
            </w:r>
            <w:r>
              <w:rPr>
                <w:rFonts w:hint="eastAsia" w:ascii="宋体" w:hAnsi="宋体" w:cs="宋体"/>
                <w:b/>
                <w:bCs/>
                <w:color w:val="auto"/>
                <w:sz w:val="24"/>
                <w:lang w:eastAsia="zh-CN"/>
              </w:rPr>
              <w:t>汝竞谈[2026]49号</w:t>
            </w:r>
            <w:r>
              <w:rPr>
                <w:rFonts w:hint="eastAsia" w:ascii="宋体" w:hAnsi="宋体" w:eastAsia="宋体" w:cs="宋体"/>
                <w:color w:val="auto"/>
                <w:sz w:val="24"/>
              </w:rPr>
              <w:t xml:space="preserve">       </w:t>
            </w:r>
          </w:p>
        </w:tc>
      </w:tr>
      <w:tr w14:paraId="4F9057C7">
        <w:tblPrEx>
          <w:shd w:val="clear" w:color="auto" w:fill="FFFFFF"/>
          <w:tblCellMar>
            <w:top w:w="0" w:type="dxa"/>
            <w:left w:w="0" w:type="dxa"/>
            <w:bottom w:w="0" w:type="dxa"/>
            <w:right w:w="0" w:type="dxa"/>
          </w:tblCellMar>
        </w:tblPrEx>
        <w:trPr>
          <w:trHeight w:val="603"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1D6A0970">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8"/>
                <w:szCs w:val="28"/>
              </w:rPr>
            </w:pPr>
            <w:r>
              <w:rPr>
                <w:rFonts w:hint="eastAsia" w:ascii="宋体" w:hAnsi="宋体" w:eastAsia="宋体" w:cs="宋体"/>
                <w:color w:val="auto"/>
                <w:kern w:val="0"/>
                <w:sz w:val="24"/>
              </w:rPr>
              <w:t>2</w:t>
            </w:r>
          </w:p>
        </w:tc>
        <w:tc>
          <w:tcPr>
            <w:tcW w:w="837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56AE61C1">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kern w:val="0"/>
                <w:sz w:val="28"/>
                <w:szCs w:val="28"/>
              </w:rPr>
            </w:pPr>
            <w:r>
              <w:rPr>
                <w:rFonts w:hint="eastAsia" w:ascii="宋体" w:hAnsi="宋体" w:eastAsia="宋体" w:cs="宋体"/>
                <w:b/>
                <w:bCs/>
                <w:color w:val="auto"/>
                <w:sz w:val="24"/>
              </w:rPr>
              <w:t>合格供应商：</w:t>
            </w:r>
            <w:r>
              <w:rPr>
                <w:rFonts w:hint="eastAsia" w:ascii="宋体" w:hAnsi="宋体" w:eastAsia="宋体" w:cs="宋体"/>
                <w:color w:val="auto"/>
                <w:sz w:val="24"/>
              </w:rPr>
              <w:t>具备竞争性谈判公告第二项规定的条件。</w:t>
            </w:r>
          </w:p>
        </w:tc>
      </w:tr>
      <w:tr w14:paraId="39A0A143">
        <w:tblPrEx>
          <w:shd w:val="clear" w:color="auto" w:fill="FFFFFF"/>
          <w:tblCellMar>
            <w:top w:w="0" w:type="dxa"/>
            <w:left w:w="0" w:type="dxa"/>
            <w:bottom w:w="0" w:type="dxa"/>
            <w:right w:w="0" w:type="dxa"/>
          </w:tblCellMar>
        </w:tblPrEx>
        <w:trPr>
          <w:trHeight w:val="2361"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4F0FF11F">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8"/>
                <w:szCs w:val="28"/>
              </w:rPr>
            </w:pPr>
            <w:r>
              <w:rPr>
                <w:rFonts w:hint="eastAsia" w:ascii="宋体" w:hAnsi="宋体" w:eastAsia="宋体" w:cs="宋体"/>
                <w:color w:val="auto"/>
                <w:kern w:val="0"/>
                <w:sz w:val="24"/>
              </w:rPr>
              <w:t>3</w:t>
            </w:r>
          </w:p>
        </w:tc>
        <w:tc>
          <w:tcPr>
            <w:tcW w:w="837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7119A14">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rPr>
            </w:pPr>
            <w:r>
              <w:rPr>
                <w:rFonts w:hint="eastAsia" w:ascii="宋体" w:hAnsi="宋体" w:eastAsia="宋体" w:cs="宋体"/>
                <w:color w:val="auto"/>
                <w:sz w:val="24"/>
              </w:rPr>
              <w:t>投标报价及费用：</w:t>
            </w:r>
          </w:p>
          <w:p w14:paraId="64EADD9E">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rPr>
            </w:pPr>
            <w:r>
              <w:rPr>
                <w:rFonts w:hint="eastAsia" w:ascii="宋体" w:hAnsi="宋体" w:eastAsia="宋体" w:cs="宋体"/>
                <w:color w:val="auto"/>
                <w:sz w:val="24"/>
              </w:rPr>
              <w:t>3.1 本项目投标以人民币报价。</w:t>
            </w:r>
          </w:p>
          <w:p w14:paraId="4777B3BF">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rPr>
            </w:pPr>
            <w:r>
              <w:rPr>
                <w:rFonts w:hint="eastAsia" w:ascii="宋体" w:hAnsi="宋体" w:eastAsia="宋体" w:cs="宋体"/>
                <w:color w:val="auto"/>
                <w:sz w:val="24"/>
              </w:rPr>
              <w:t>3.2 供应商的最后一轮报价均超过采购预算，采购人不能支付的，本项目谈判废止。</w:t>
            </w:r>
          </w:p>
          <w:p w14:paraId="13E6B037">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rPr>
            </w:pPr>
            <w:r>
              <w:rPr>
                <w:rFonts w:hint="eastAsia" w:ascii="宋体" w:hAnsi="宋体" w:eastAsia="宋体" w:cs="宋体"/>
                <w:color w:val="auto"/>
                <w:sz w:val="24"/>
              </w:rPr>
              <w:t xml:space="preserve">3.3 </w:t>
            </w:r>
            <w:r>
              <w:rPr>
                <w:rFonts w:hint="eastAsia" w:ascii="宋体" w:hAnsi="宋体" w:eastAsia="宋体" w:cs="宋体"/>
                <w:color w:val="auto"/>
                <w:kern w:val="0"/>
                <w:sz w:val="24"/>
              </w:rPr>
              <w:t>代理服务费：参照《河南省招标代理服务收费指导意见》豫招协</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rPr>
              <w:t>2023】002号文件规定计取，由</w:t>
            </w:r>
            <w:r>
              <w:rPr>
                <w:rFonts w:hint="eastAsia" w:ascii="宋体" w:hAnsi="宋体" w:eastAsia="宋体" w:cs="宋体"/>
                <w:color w:val="auto"/>
                <w:kern w:val="0"/>
                <w:sz w:val="24"/>
                <w:lang w:val="en-US" w:eastAsia="zh-CN"/>
              </w:rPr>
              <w:t>成交供应商在领取成交通知书前一次性足额</w:t>
            </w:r>
            <w:r>
              <w:rPr>
                <w:rFonts w:hint="eastAsia" w:ascii="宋体" w:hAnsi="宋体" w:eastAsia="宋体" w:cs="宋体"/>
                <w:color w:val="auto"/>
                <w:kern w:val="0"/>
                <w:sz w:val="24"/>
              </w:rPr>
              <w:t>支付。</w:t>
            </w:r>
          </w:p>
        </w:tc>
      </w:tr>
      <w:tr w14:paraId="53B25FDE">
        <w:tblPrEx>
          <w:shd w:val="clear" w:color="auto" w:fill="FFFFFF"/>
          <w:tblCellMar>
            <w:top w:w="0" w:type="dxa"/>
            <w:left w:w="0" w:type="dxa"/>
            <w:bottom w:w="0" w:type="dxa"/>
            <w:right w:w="0" w:type="dxa"/>
          </w:tblCellMar>
        </w:tblPrEx>
        <w:trPr>
          <w:trHeight w:val="554"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06279C7F">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8"/>
                <w:szCs w:val="28"/>
              </w:rPr>
            </w:pPr>
            <w:r>
              <w:rPr>
                <w:rFonts w:hint="eastAsia" w:ascii="宋体" w:hAnsi="宋体" w:eastAsia="宋体" w:cs="宋体"/>
                <w:color w:val="auto"/>
                <w:kern w:val="0"/>
                <w:sz w:val="24"/>
              </w:rPr>
              <w:t>4</w:t>
            </w:r>
          </w:p>
        </w:tc>
        <w:tc>
          <w:tcPr>
            <w:tcW w:w="837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778F81D6">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kern w:val="0"/>
                <w:sz w:val="28"/>
                <w:szCs w:val="28"/>
              </w:rPr>
            </w:pPr>
            <w:r>
              <w:rPr>
                <w:rFonts w:hint="eastAsia" w:ascii="宋体" w:hAnsi="宋体" w:eastAsia="宋体" w:cs="宋体"/>
                <w:b/>
                <w:bCs/>
                <w:color w:val="auto"/>
                <w:sz w:val="24"/>
              </w:rPr>
              <w:t>现场踏勘或标前答疑：</w:t>
            </w:r>
            <w:r>
              <w:rPr>
                <w:rFonts w:hint="eastAsia" w:ascii="宋体" w:hAnsi="宋体" w:eastAsia="宋体" w:cs="宋体"/>
                <w:color w:val="auto"/>
                <w:sz w:val="24"/>
              </w:rPr>
              <w:t>本项目不组织现场踏勘或标前答疑会，供应商根据需要可以自行现场踏勘。</w:t>
            </w:r>
          </w:p>
        </w:tc>
      </w:tr>
      <w:tr w14:paraId="75BE5369">
        <w:tblPrEx>
          <w:shd w:val="clear" w:color="auto" w:fill="FFFFFF"/>
          <w:tblCellMar>
            <w:top w:w="0" w:type="dxa"/>
            <w:left w:w="0" w:type="dxa"/>
            <w:bottom w:w="0" w:type="dxa"/>
            <w:right w:w="0" w:type="dxa"/>
          </w:tblCellMar>
        </w:tblPrEx>
        <w:trPr>
          <w:trHeight w:val="737"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48DA1CC4">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8"/>
                <w:szCs w:val="28"/>
              </w:rPr>
            </w:pPr>
            <w:r>
              <w:rPr>
                <w:rFonts w:hint="eastAsia" w:ascii="宋体" w:hAnsi="宋体" w:eastAsia="宋体" w:cs="宋体"/>
                <w:color w:val="auto"/>
                <w:kern w:val="0"/>
                <w:sz w:val="24"/>
              </w:rPr>
              <w:t>5</w:t>
            </w:r>
          </w:p>
        </w:tc>
        <w:tc>
          <w:tcPr>
            <w:tcW w:w="837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7B5C5ED">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kern w:val="0"/>
                <w:sz w:val="28"/>
                <w:szCs w:val="28"/>
              </w:rPr>
            </w:pPr>
            <w:r>
              <w:rPr>
                <w:rFonts w:hint="eastAsia" w:ascii="宋体" w:hAnsi="宋体" w:eastAsia="宋体" w:cs="宋体"/>
                <w:b w:val="0"/>
                <w:bCs w:val="0"/>
                <w:color w:val="auto"/>
                <w:sz w:val="24"/>
              </w:rPr>
              <w:t>样品要求：本项目不要求提供样品。</w:t>
            </w:r>
          </w:p>
        </w:tc>
      </w:tr>
      <w:tr w14:paraId="21DA1416">
        <w:tblPrEx>
          <w:shd w:val="clear" w:color="auto" w:fill="FFFFFF"/>
          <w:tblCellMar>
            <w:top w:w="0" w:type="dxa"/>
            <w:left w:w="0" w:type="dxa"/>
            <w:bottom w:w="0" w:type="dxa"/>
            <w:right w:w="0" w:type="dxa"/>
          </w:tblCellMar>
        </w:tblPrEx>
        <w:trPr>
          <w:trHeight w:val="620"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46DBB63B">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8"/>
                <w:szCs w:val="28"/>
              </w:rPr>
            </w:pPr>
            <w:r>
              <w:rPr>
                <w:rFonts w:hint="eastAsia" w:ascii="宋体" w:hAnsi="宋体" w:eastAsia="宋体" w:cs="宋体"/>
                <w:color w:val="auto"/>
                <w:kern w:val="0"/>
                <w:sz w:val="24"/>
              </w:rPr>
              <w:t>6</w:t>
            </w:r>
          </w:p>
        </w:tc>
        <w:tc>
          <w:tcPr>
            <w:tcW w:w="837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5D90DD56">
            <w:pPr>
              <w:keepNext w:val="0"/>
              <w:keepLines w:val="0"/>
              <w:widowControl/>
              <w:suppressLineNumbers w:val="0"/>
              <w:spacing w:before="0" w:beforeAutospacing="0" w:after="0" w:afterAutospacing="0" w:line="360" w:lineRule="auto"/>
              <w:ind w:left="0" w:right="0"/>
              <w:textAlignment w:val="bottom"/>
              <w:rPr>
                <w:rFonts w:hint="eastAsia" w:ascii="宋体" w:hAnsi="宋体" w:eastAsia="宋体" w:cs="宋体"/>
                <w:color w:val="auto"/>
                <w:kern w:val="0"/>
                <w:sz w:val="28"/>
                <w:szCs w:val="28"/>
              </w:rPr>
            </w:pPr>
            <w:r>
              <w:rPr>
                <w:rFonts w:hint="eastAsia" w:ascii="宋体" w:hAnsi="宋体" w:cs="宋体"/>
                <w:b/>
                <w:bCs/>
                <w:color w:val="auto"/>
                <w:sz w:val="24"/>
                <w:lang w:eastAsia="zh-CN"/>
              </w:rPr>
              <w:t>响应文件</w:t>
            </w:r>
            <w:r>
              <w:rPr>
                <w:rFonts w:hint="eastAsia" w:ascii="宋体" w:hAnsi="宋体" w:eastAsia="宋体" w:cs="宋体"/>
                <w:b/>
                <w:bCs/>
                <w:color w:val="auto"/>
                <w:sz w:val="24"/>
              </w:rPr>
              <w:t>组成：</w:t>
            </w:r>
            <w:r>
              <w:rPr>
                <w:rFonts w:hint="eastAsia" w:ascii="宋体" w:hAnsi="宋体" w:eastAsia="宋体" w:cs="宋体"/>
                <w:color w:val="auto"/>
                <w:sz w:val="24"/>
              </w:rPr>
              <w:t>加密版电子</w:t>
            </w:r>
            <w:r>
              <w:rPr>
                <w:rFonts w:hint="eastAsia" w:ascii="宋体" w:hAnsi="宋体" w:cs="宋体"/>
                <w:color w:val="auto"/>
                <w:sz w:val="24"/>
                <w:lang w:eastAsia="zh-CN"/>
              </w:rPr>
              <w:t>响应文件</w:t>
            </w:r>
            <w:r>
              <w:rPr>
                <w:rFonts w:hint="eastAsia" w:ascii="宋体" w:hAnsi="宋体" w:eastAsia="宋体" w:cs="宋体"/>
                <w:color w:val="auto"/>
                <w:sz w:val="24"/>
              </w:rPr>
              <w:t>。</w:t>
            </w:r>
          </w:p>
        </w:tc>
      </w:tr>
      <w:tr w14:paraId="7E18A7E4">
        <w:tblPrEx>
          <w:shd w:val="clear" w:color="auto" w:fill="FFFFFF"/>
          <w:tblCellMar>
            <w:top w:w="0" w:type="dxa"/>
            <w:left w:w="0" w:type="dxa"/>
            <w:bottom w:w="0" w:type="dxa"/>
            <w:right w:w="0" w:type="dxa"/>
          </w:tblCellMar>
        </w:tblPrEx>
        <w:trPr>
          <w:trHeight w:val="620"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2C23291C">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8"/>
                <w:szCs w:val="28"/>
              </w:rPr>
            </w:pPr>
            <w:r>
              <w:rPr>
                <w:rFonts w:hint="eastAsia" w:ascii="宋体" w:hAnsi="宋体" w:eastAsia="宋体" w:cs="宋体"/>
                <w:color w:val="auto"/>
                <w:kern w:val="0"/>
                <w:sz w:val="24"/>
              </w:rPr>
              <w:t>7</w:t>
            </w:r>
          </w:p>
        </w:tc>
        <w:tc>
          <w:tcPr>
            <w:tcW w:w="837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0BB0B3E0">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kern w:val="0"/>
                <w:sz w:val="28"/>
                <w:szCs w:val="28"/>
              </w:rPr>
            </w:pPr>
            <w:r>
              <w:rPr>
                <w:rFonts w:hint="eastAsia" w:ascii="宋体" w:hAnsi="宋体" w:eastAsia="宋体" w:cs="宋体"/>
                <w:b/>
                <w:bCs/>
                <w:color w:val="auto"/>
                <w:sz w:val="24"/>
              </w:rPr>
              <w:t>递交</w:t>
            </w:r>
            <w:r>
              <w:rPr>
                <w:rFonts w:hint="eastAsia" w:ascii="宋体" w:hAnsi="宋体" w:cs="宋体"/>
                <w:b/>
                <w:bCs/>
                <w:color w:val="auto"/>
                <w:sz w:val="24"/>
                <w:lang w:eastAsia="zh-CN"/>
              </w:rPr>
              <w:t>响应文件</w:t>
            </w:r>
            <w:r>
              <w:rPr>
                <w:rFonts w:hint="eastAsia" w:ascii="宋体" w:hAnsi="宋体" w:eastAsia="宋体" w:cs="宋体"/>
                <w:b/>
                <w:bCs/>
                <w:color w:val="auto"/>
                <w:sz w:val="24"/>
              </w:rPr>
              <w:t>截止时间及地点：</w:t>
            </w:r>
            <w:r>
              <w:rPr>
                <w:rFonts w:hint="eastAsia" w:ascii="宋体" w:hAnsi="宋体" w:eastAsia="宋体" w:cs="宋体"/>
                <w:color w:val="auto"/>
                <w:sz w:val="24"/>
              </w:rPr>
              <w:t>详见竞争性谈判公告。</w:t>
            </w:r>
          </w:p>
        </w:tc>
      </w:tr>
      <w:tr w14:paraId="304D73C1">
        <w:tblPrEx>
          <w:shd w:val="clear" w:color="auto" w:fill="FFFFFF"/>
          <w:tblCellMar>
            <w:top w:w="0" w:type="dxa"/>
            <w:left w:w="0" w:type="dxa"/>
            <w:bottom w:w="0" w:type="dxa"/>
            <w:right w:w="0" w:type="dxa"/>
          </w:tblCellMar>
        </w:tblPrEx>
        <w:trPr>
          <w:trHeight w:val="620"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170A4FD5">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8"/>
                <w:szCs w:val="28"/>
              </w:rPr>
            </w:pPr>
            <w:r>
              <w:rPr>
                <w:rFonts w:hint="eastAsia" w:ascii="宋体" w:hAnsi="宋体" w:eastAsia="宋体" w:cs="宋体"/>
                <w:color w:val="auto"/>
                <w:kern w:val="0"/>
                <w:sz w:val="24"/>
              </w:rPr>
              <w:t>8</w:t>
            </w:r>
          </w:p>
        </w:tc>
        <w:tc>
          <w:tcPr>
            <w:tcW w:w="837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4608B1A">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sz w:val="24"/>
              </w:rPr>
            </w:pPr>
            <w:r>
              <w:rPr>
                <w:rFonts w:hint="eastAsia" w:ascii="宋体" w:hAnsi="宋体" w:eastAsia="宋体" w:cs="宋体"/>
                <w:b/>
                <w:bCs/>
                <w:color w:val="auto"/>
                <w:sz w:val="24"/>
              </w:rPr>
              <w:t>谈判时间及地点：</w:t>
            </w:r>
            <w:r>
              <w:rPr>
                <w:rFonts w:hint="eastAsia" w:ascii="宋体" w:hAnsi="宋体" w:eastAsia="宋体" w:cs="宋体"/>
                <w:color w:val="auto"/>
                <w:sz w:val="24"/>
              </w:rPr>
              <w:t>详见竞争性谈判公告。</w:t>
            </w:r>
          </w:p>
          <w:p w14:paraId="7831E8FE">
            <w:pPr>
              <w:pStyle w:val="42"/>
              <w:keepNext w:val="0"/>
              <w:keepLines w:val="0"/>
              <w:widowControl/>
              <w:suppressLineNumbers w:val="0"/>
              <w:spacing w:before="0" w:beforeAutospacing="0" w:after="0" w:afterAutospacing="0" w:line="360" w:lineRule="auto"/>
              <w:ind w:left="0" w:right="0" w:firstLine="0" w:firstLineChars="0"/>
              <w:rPr>
                <w:rFonts w:hint="eastAsia" w:ascii="宋体" w:hAnsi="宋体" w:eastAsia="宋体" w:cs="宋体"/>
                <w:color w:val="auto"/>
              </w:rPr>
            </w:pPr>
            <w:r>
              <w:rPr>
                <w:rFonts w:hint="eastAsia" w:ascii="宋体" w:hAnsi="宋体" w:eastAsia="宋体" w:cs="宋体"/>
                <w:color w:val="auto"/>
                <w:sz w:val="24"/>
                <w:szCs w:val="24"/>
              </w:rPr>
              <w:t>（电子</w:t>
            </w:r>
            <w:r>
              <w:rPr>
                <w:rFonts w:hint="eastAsia" w:cs="宋体"/>
                <w:color w:val="auto"/>
                <w:sz w:val="24"/>
                <w:szCs w:val="24"/>
                <w:lang w:eastAsia="zh-CN"/>
              </w:rPr>
              <w:t>响应文件</w:t>
            </w:r>
            <w:r>
              <w:rPr>
                <w:rFonts w:hint="eastAsia" w:ascii="宋体" w:hAnsi="宋体" w:eastAsia="宋体" w:cs="宋体"/>
                <w:color w:val="auto"/>
                <w:sz w:val="24"/>
                <w:szCs w:val="24"/>
              </w:rPr>
              <w:t>必须凭制作</w:t>
            </w:r>
            <w:r>
              <w:rPr>
                <w:rFonts w:hint="eastAsia" w:cs="宋体"/>
                <w:color w:val="auto"/>
                <w:sz w:val="24"/>
                <w:szCs w:val="24"/>
                <w:lang w:eastAsia="zh-CN"/>
              </w:rPr>
              <w:t>响应文件</w:t>
            </w:r>
            <w:r>
              <w:rPr>
                <w:rFonts w:hint="eastAsia" w:ascii="宋体" w:hAnsi="宋体" w:eastAsia="宋体" w:cs="宋体"/>
                <w:color w:val="auto"/>
                <w:sz w:val="24"/>
                <w:szCs w:val="24"/>
              </w:rPr>
              <w:t>所用的 CA 密匙在</w:t>
            </w:r>
            <w:r>
              <w:rPr>
                <w:rFonts w:hint="eastAsia" w:cs="宋体"/>
                <w:color w:val="auto"/>
                <w:sz w:val="24"/>
                <w:szCs w:val="24"/>
                <w:lang w:val="en-US" w:eastAsia="zh-CN"/>
              </w:rPr>
              <w:t>10</w:t>
            </w:r>
            <w:r>
              <w:rPr>
                <w:rFonts w:hint="eastAsia" w:ascii="宋体" w:hAnsi="宋体" w:eastAsia="宋体" w:cs="宋体"/>
                <w:color w:val="auto"/>
                <w:sz w:val="24"/>
                <w:szCs w:val="24"/>
              </w:rPr>
              <w:t>分钟内完成解密）。</w:t>
            </w:r>
          </w:p>
        </w:tc>
      </w:tr>
      <w:tr w14:paraId="59FA46CC">
        <w:tblPrEx>
          <w:shd w:val="clear" w:color="auto" w:fill="FFFFFF"/>
          <w:tblCellMar>
            <w:top w:w="0" w:type="dxa"/>
            <w:left w:w="0" w:type="dxa"/>
            <w:bottom w:w="0" w:type="dxa"/>
            <w:right w:w="0" w:type="dxa"/>
          </w:tblCellMar>
        </w:tblPrEx>
        <w:trPr>
          <w:trHeight w:val="645"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74FB086F">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8"/>
                <w:szCs w:val="28"/>
              </w:rPr>
            </w:pPr>
            <w:r>
              <w:rPr>
                <w:rFonts w:hint="eastAsia" w:ascii="宋体" w:hAnsi="宋体" w:eastAsia="宋体" w:cs="宋体"/>
                <w:color w:val="auto"/>
                <w:kern w:val="0"/>
                <w:sz w:val="24"/>
              </w:rPr>
              <w:t>9</w:t>
            </w:r>
          </w:p>
        </w:tc>
        <w:tc>
          <w:tcPr>
            <w:tcW w:w="837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E1CE9DD">
            <w:pPr>
              <w:keepNext w:val="0"/>
              <w:keepLines w:val="0"/>
              <w:widowControl/>
              <w:suppressLineNumbers w:val="0"/>
              <w:spacing w:before="0" w:beforeAutospacing="0" w:after="0" w:afterAutospacing="0" w:line="360" w:lineRule="auto"/>
              <w:ind w:left="0" w:right="0"/>
              <w:textAlignment w:val="bottom"/>
              <w:rPr>
                <w:rFonts w:hint="eastAsia" w:ascii="宋体" w:hAnsi="宋体" w:eastAsia="宋体" w:cs="宋体"/>
                <w:color w:val="auto"/>
                <w:kern w:val="0"/>
                <w:sz w:val="28"/>
                <w:szCs w:val="28"/>
              </w:rPr>
            </w:pPr>
            <w:r>
              <w:rPr>
                <w:rFonts w:hint="eastAsia" w:ascii="宋体" w:hAnsi="宋体" w:eastAsia="宋体" w:cs="宋体"/>
                <w:b/>
                <w:bCs/>
                <w:color w:val="auto"/>
                <w:sz w:val="24"/>
              </w:rPr>
              <w:t>评定办法：</w:t>
            </w:r>
            <w:r>
              <w:rPr>
                <w:rFonts w:hint="eastAsia" w:ascii="宋体" w:hAnsi="宋体" w:eastAsia="宋体" w:cs="宋体"/>
                <w:color w:val="auto"/>
                <w:sz w:val="24"/>
              </w:rPr>
              <w:t>(含成交供应商和成交候选供应商数量，不超过3个。按最后一轮报价由低到高的顺序，排在后面的报价明显高于排在前面的报价，且明显不合理，可以不推荐或确定为成交候选供应商)：本次谈判将按照最低评标价法，即在符合采购需求、质量和服务相等的前提下，以供应商最后一轮的报价按最终评定价最低的供应商作为成交供应商。</w:t>
            </w:r>
          </w:p>
        </w:tc>
      </w:tr>
      <w:tr w14:paraId="0DA51502">
        <w:tblPrEx>
          <w:shd w:val="clear" w:color="auto" w:fill="FFFFFF"/>
          <w:tblCellMar>
            <w:top w:w="0" w:type="dxa"/>
            <w:left w:w="0" w:type="dxa"/>
            <w:bottom w:w="0" w:type="dxa"/>
            <w:right w:w="0" w:type="dxa"/>
          </w:tblCellMar>
        </w:tblPrEx>
        <w:trPr>
          <w:trHeight w:val="630"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71684137">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8"/>
                <w:szCs w:val="28"/>
              </w:rPr>
            </w:pPr>
            <w:r>
              <w:rPr>
                <w:rFonts w:hint="eastAsia" w:ascii="宋体" w:hAnsi="宋体" w:eastAsia="宋体" w:cs="宋体"/>
                <w:color w:val="auto"/>
                <w:kern w:val="0"/>
                <w:sz w:val="24"/>
              </w:rPr>
              <w:t>10</w:t>
            </w:r>
          </w:p>
        </w:tc>
        <w:tc>
          <w:tcPr>
            <w:tcW w:w="837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E162408">
            <w:pPr>
              <w:keepNext w:val="0"/>
              <w:keepLines w:val="0"/>
              <w:widowControl/>
              <w:suppressLineNumbers w:val="0"/>
              <w:spacing w:before="0" w:beforeAutospacing="0" w:after="0" w:afterAutospacing="0" w:line="360" w:lineRule="auto"/>
              <w:ind w:left="0" w:right="0"/>
              <w:textAlignment w:val="bottom"/>
              <w:rPr>
                <w:rFonts w:hint="eastAsia" w:ascii="宋体" w:hAnsi="宋体" w:eastAsia="宋体" w:cs="宋体"/>
                <w:color w:val="auto"/>
                <w:kern w:val="0"/>
                <w:sz w:val="28"/>
                <w:szCs w:val="28"/>
              </w:rPr>
            </w:pPr>
            <w:r>
              <w:rPr>
                <w:rFonts w:hint="eastAsia" w:ascii="宋体" w:hAnsi="宋体" w:eastAsia="宋体" w:cs="宋体"/>
                <w:b/>
                <w:bCs/>
                <w:color w:val="auto"/>
                <w:sz w:val="24"/>
              </w:rPr>
              <w:t>成交公告及成交通知书：</w:t>
            </w:r>
            <w:r>
              <w:rPr>
                <w:rFonts w:hint="eastAsia" w:ascii="宋体" w:hAnsi="宋体" w:eastAsia="宋体" w:cs="宋体"/>
                <w:color w:val="auto"/>
                <w:sz w:val="24"/>
                <w:lang w:eastAsia="zh-CN"/>
              </w:rPr>
              <w:t>评审委员会根据全体评审成员签字的原始评审记录和评审结果编写评审报告，采购代理机构应当履行核对评审结果职责，并在评审评标结束后2个工作日内将评审报告通过公共资源电子交易系统提交采购人，采购人应当在收到评审报告1个工作日内通过公共资源电子交易系统线上确定成交供应商</w:t>
            </w:r>
            <w:r>
              <w:rPr>
                <w:rFonts w:hint="eastAsia" w:ascii="宋体" w:hAnsi="宋体" w:eastAsia="宋体" w:cs="宋体"/>
                <w:color w:val="auto"/>
                <w:sz w:val="24"/>
              </w:rPr>
              <w:t>。</w:t>
            </w:r>
            <w:r>
              <w:rPr>
                <w:rFonts w:hint="eastAsia" w:ascii="宋体" w:hAnsi="宋体" w:eastAsia="宋体" w:cs="宋体"/>
                <w:color w:val="auto"/>
                <w:kern w:val="0"/>
                <w:sz w:val="24"/>
                <w:lang w:eastAsia="zh-CN"/>
              </w:rPr>
              <w:t>采购人确定成交供应商后，采购代理机构第一时间在</w:t>
            </w:r>
            <w:r>
              <w:rPr>
                <w:rFonts w:hint="eastAsia" w:ascii="宋体" w:hAnsi="宋体" w:eastAsia="宋体" w:cs="宋体"/>
                <w:color w:val="auto"/>
                <w:kern w:val="0"/>
                <w:sz w:val="24"/>
              </w:rPr>
              <w:t>河南省政府采购网</w:t>
            </w:r>
            <w:r>
              <w:rPr>
                <w:rFonts w:hint="eastAsia" w:ascii="宋体" w:hAnsi="宋体" w:eastAsia="宋体" w:cs="宋体"/>
                <w:color w:val="auto"/>
                <w:kern w:val="0"/>
                <w:sz w:val="24"/>
              </w:rPr>
              <w:fldChar w:fldCharType="begin"/>
            </w:r>
            <w:r>
              <w:rPr>
                <w:rFonts w:hint="eastAsia" w:ascii="宋体" w:hAnsi="宋体" w:eastAsia="宋体" w:cs="宋体"/>
                <w:color w:val="auto"/>
                <w:kern w:val="0"/>
                <w:sz w:val="24"/>
              </w:rPr>
              <w:instrText xml:space="preserve"> HYPERLINK "http://zhumadian.hngp.gov.cn/prx/000/http/www.sxztb.gov.cn/" </w:instrText>
            </w:r>
            <w:r>
              <w:rPr>
                <w:rFonts w:hint="eastAsia" w:ascii="宋体" w:hAnsi="宋体" w:eastAsia="宋体" w:cs="宋体"/>
                <w:color w:val="auto"/>
                <w:kern w:val="0"/>
                <w:sz w:val="24"/>
              </w:rPr>
              <w:fldChar w:fldCharType="separate"/>
            </w:r>
            <w:r>
              <w:rPr>
                <w:rFonts w:hint="eastAsia" w:ascii="宋体" w:hAnsi="宋体" w:eastAsia="宋体" w:cs="宋体"/>
                <w:color w:val="auto"/>
                <w:kern w:val="0"/>
                <w:sz w:val="24"/>
              </w:rPr>
              <w:fldChar w:fldCharType="end"/>
            </w:r>
            <w:r>
              <w:rPr>
                <w:rFonts w:hint="eastAsia" w:ascii="宋体" w:hAnsi="宋体" w:eastAsia="宋体" w:cs="宋体"/>
                <w:color w:val="auto"/>
                <w:kern w:val="0"/>
                <w:sz w:val="24"/>
              </w:rPr>
              <w:t>等相关媒体上发布成交公告，同时向成交供应商发出成交通知书</w:t>
            </w:r>
            <w:r>
              <w:rPr>
                <w:rFonts w:hint="eastAsia" w:ascii="宋体" w:hAnsi="宋体" w:eastAsia="宋体" w:cs="宋体"/>
                <w:color w:val="auto"/>
                <w:sz w:val="24"/>
              </w:rPr>
              <w:t>。</w:t>
            </w:r>
          </w:p>
        </w:tc>
      </w:tr>
      <w:tr w14:paraId="5360BD8A">
        <w:tblPrEx>
          <w:shd w:val="clear" w:color="auto" w:fill="FFFFFF"/>
          <w:tblCellMar>
            <w:top w:w="0" w:type="dxa"/>
            <w:left w:w="0" w:type="dxa"/>
            <w:bottom w:w="0" w:type="dxa"/>
            <w:right w:w="0" w:type="dxa"/>
          </w:tblCellMar>
        </w:tblPrEx>
        <w:trPr>
          <w:trHeight w:val="285"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6AA64B3B">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8"/>
                <w:szCs w:val="28"/>
              </w:rPr>
            </w:pPr>
            <w:r>
              <w:rPr>
                <w:rFonts w:hint="eastAsia" w:ascii="宋体" w:hAnsi="宋体" w:eastAsia="宋体" w:cs="宋体"/>
                <w:color w:val="auto"/>
                <w:kern w:val="0"/>
                <w:sz w:val="24"/>
              </w:rPr>
              <w:t>11</w:t>
            </w:r>
          </w:p>
        </w:tc>
        <w:tc>
          <w:tcPr>
            <w:tcW w:w="837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62B53F6">
            <w:pPr>
              <w:keepNext w:val="0"/>
              <w:keepLines w:val="0"/>
              <w:widowControl/>
              <w:suppressLineNumbers w:val="0"/>
              <w:spacing w:before="0" w:beforeAutospacing="0" w:after="0" w:afterAutospacing="0" w:line="360" w:lineRule="auto"/>
              <w:ind w:left="0" w:right="0"/>
              <w:textAlignment w:val="bottom"/>
              <w:rPr>
                <w:rFonts w:hint="eastAsia" w:ascii="宋体" w:hAnsi="宋体" w:eastAsia="宋体" w:cs="宋体"/>
                <w:color w:val="auto"/>
              </w:rPr>
            </w:pPr>
            <w:r>
              <w:rPr>
                <w:rFonts w:hint="eastAsia" w:ascii="宋体" w:hAnsi="宋体" w:eastAsia="宋体" w:cs="宋体"/>
                <w:b/>
                <w:bCs/>
                <w:color w:val="auto"/>
                <w:sz w:val="24"/>
              </w:rPr>
              <w:t>谈判保证金交纳与退还：</w:t>
            </w:r>
            <w:r>
              <w:rPr>
                <w:rFonts w:hint="eastAsia" w:ascii="宋体" w:hAnsi="宋体" w:eastAsia="宋体" w:cs="宋体"/>
                <w:color w:val="auto"/>
                <w:sz w:val="24"/>
              </w:rPr>
              <w:t>本项目不收取履约保证金。</w:t>
            </w:r>
          </w:p>
        </w:tc>
      </w:tr>
      <w:tr w14:paraId="3445BF7A">
        <w:tblPrEx>
          <w:shd w:val="clear" w:color="auto" w:fill="FFFFFF"/>
          <w:tblCellMar>
            <w:top w:w="0" w:type="dxa"/>
            <w:left w:w="0" w:type="dxa"/>
            <w:bottom w:w="0" w:type="dxa"/>
            <w:right w:w="0" w:type="dxa"/>
          </w:tblCellMar>
        </w:tblPrEx>
        <w:trPr>
          <w:trHeight w:val="615"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2601BF33">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8"/>
                <w:szCs w:val="28"/>
              </w:rPr>
            </w:pPr>
            <w:r>
              <w:rPr>
                <w:rFonts w:hint="eastAsia" w:ascii="宋体" w:hAnsi="宋体" w:eastAsia="宋体" w:cs="宋体"/>
                <w:color w:val="auto"/>
                <w:kern w:val="0"/>
                <w:sz w:val="24"/>
              </w:rPr>
              <w:t>12</w:t>
            </w:r>
          </w:p>
        </w:tc>
        <w:tc>
          <w:tcPr>
            <w:tcW w:w="837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B0CDDBA">
            <w:pPr>
              <w:keepNext w:val="0"/>
              <w:keepLines w:val="0"/>
              <w:widowControl/>
              <w:suppressLineNumbers w:val="0"/>
              <w:spacing w:before="0" w:beforeAutospacing="0" w:after="0" w:afterAutospacing="0" w:line="360" w:lineRule="auto"/>
              <w:ind w:left="0" w:right="0"/>
              <w:textAlignment w:val="bottom"/>
              <w:rPr>
                <w:rFonts w:hint="eastAsia" w:ascii="宋体" w:hAnsi="宋体" w:eastAsia="宋体" w:cs="宋体"/>
                <w:color w:val="auto"/>
                <w:kern w:val="0"/>
                <w:sz w:val="28"/>
                <w:szCs w:val="28"/>
              </w:rPr>
            </w:pPr>
            <w:r>
              <w:rPr>
                <w:rFonts w:hint="eastAsia" w:ascii="宋体" w:hAnsi="宋体" w:eastAsia="宋体" w:cs="宋体"/>
                <w:b/>
                <w:bCs/>
                <w:color w:val="auto"/>
                <w:sz w:val="24"/>
              </w:rPr>
              <w:t>签订合同：</w:t>
            </w:r>
            <w:r>
              <w:rPr>
                <w:rFonts w:hint="eastAsia" w:ascii="宋体" w:hAnsi="宋体" w:eastAsia="宋体" w:cs="宋体"/>
                <w:color w:val="auto"/>
                <w:sz w:val="24"/>
              </w:rPr>
              <w:t>成交通知书发出后1个工作日内。</w:t>
            </w:r>
          </w:p>
        </w:tc>
      </w:tr>
      <w:tr w14:paraId="3481BB66">
        <w:tblPrEx>
          <w:shd w:val="clear" w:color="auto" w:fill="FFFFFF"/>
          <w:tblCellMar>
            <w:top w:w="0" w:type="dxa"/>
            <w:left w:w="0" w:type="dxa"/>
            <w:bottom w:w="0" w:type="dxa"/>
            <w:right w:w="0" w:type="dxa"/>
          </w:tblCellMar>
        </w:tblPrEx>
        <w:trPr>
          <w:trHeight w:val="669"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250B2DF0">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8"/>
                <w:szCs w:val="28"/>
              </w:rPr>
            </w:pPr>
            <w:r>
              <w:rPr>
                <w:rFonts w:hint="eastAsia" w:ascii="宋体" w:hAnsi="宋体" w:eastAsia="宋体" w:cs="宋体"/>
                <w:color w:val="auto"/>
                <w:kern w:val="0"/>
                <w:sz w:val="24"/>
              </w:rPr>
              <w:t>13</w:t>
            </w:r>
          </w:p>
        </w:tc>
        <w:tc>
          <w:tcPr>
            <w:tcW w:w="837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5409C3C">
            <w:pPr>
              <w:keepNext w:val="0"/>
              <w:keepLines w:val="0"/>
              <w:widowControl/>
              <w:suppressLineNumbers w:val="0"/>
              <w:spacing w:before="0" w:beforeAutospacing="0" w:after="0" w:afterAutospacing="0" w:line="360" w:lineRule="auto"/>
              <w:ind w:left="0" w:right="0"/>
              <w:textAlignment w:val="bottom"/>
              <w:rPr>
                <w:rFonts w:hint="eastAsia" w:ascii="宋体" w:hAnsi="宋体" w:eastAsia="宋体" w:cs="宋体"/>
                <w:color w:val="auto"/>
                <w:kern w:val="0"/>
                <w:sz w:val="28"/>
                <w:szCs w:val="28"/>
              </w:rPr>
            </w:pPr>
            <w:r>
              <w:rPr>
                <w:rFonts w:hint="eastAsia" w:ascii="宋体" w:hAnsi="宋体" w:eastAsia="宋体" w:cs="宋体"/>
                <w:color w:val="auto"/>
                <w:kern w:val="0"/>
                <w:sz w:val="24"/>
              </w:rPr>
              <w:t>履约保证金的收取及退还</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rPr>
              <w:t>本项目不收取履约保证金。</w:t>
            </w:r>
          </w:p>
        </w:tc>
      </w:tr>
      <w:tr w14:paraId="33E7D160">
        <w:tblPrEx>
          <w:shd w:val="clear" w:color="auto" w:fill="FFFFFF"/>
          <w:tblCellMar>
            <w:top w:w="0" w:type="dxa"/>
            <w:left w:w="0" w:type="dxa"/>
            <w:bottom w:w="0" w:type="dxa"/>
            <w:right w:w="0" w:type="dxa"/>
          </w:tblCellMar>
        </w:tblPrEx>
        <w:trPr>
          <w:trHeight w:val="420"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0F444745">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8"/>
                <w:szCs w:val="28"/>
              </w:rPr>
            </w:pPr>
            <w:r>
              <w:rPr>
                <w:rFonts w:hint="eastAsia" w:ascii="宋体" w:hAnsi="宋体" w:eastAsia="宋体" w:cs="宋体"/>
                <w:color w:val="auto"/>
                <w:kern w:val="0"/>
                <w:sz w:val="24"/>
              </w:rPr>
              <w:t>14</w:t>
            </w:r>
          </w:p>
        </w:tc>
        <w:tc>
          <w:tcPr>
            <w:tcW w:w="837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15A543E">
            <w:pPr>
              <w:keepNext w:val="0"/>
              <w:keepLines w:val="0"/>
              <w:widowControl/>
              <w:suppressLineNumbers w:val="0"/>
              <w:spacing w:before="0" w:beforeAutospacing="0" w:after="0" w:afterAutospacing="0" w:line="360" w:lineRule="auto"/>
              <w:ind w:left="0" w:right="0"/>
              <w:textAlignment w:val="bottom"/>
              <w:rPr>
                <w:rFonts w:hint="eastAsia" w:ascii="宋体" w:hAnsi="宋体" w:eastAsia="宋体" w:cs="宋体"/>
                <w:color w:val="auto"/>
                <w:kern w:val="0"/>
                <w:sz w:val="28"/>
                <w:szCs w:val="28"/>
                <w:lang w:eastAsia="zh-CN"/>
              </w:rPr>
            </w:pPr>
            <w:r>
              <w:rPr>
                <w:rFonts w:hint="eastAsia" w:ascii="宋体" w:hAnsi="宋体" w:eastAsia="宋体" w:cs="宋体"/>
                <w:b/>
                <w:bCs/>
                <w:color w:val="auto"/>
                <w:sz w:val="24"/>
              </w:rPr>
              <w:t>采购资金来源：</w:t>
            </w:r>
            <w:r>
              <w:rPr>
                <w:rFonts w:hint="eastAsia" w:ascii="宋体" w:hAnsi="宋体" w:eastAsia="宋体" w:cs="宋体"/>
                <w:color w:val="auto"/>
                <w:sz w:val="24"/>
                <w:lang w:eastAsia="zh-CN"/>
              </w:rPr>
              <w:t>财政资金</w:t>
            </w:r>
          </w:p>
        </w:tc>
      </w:tr>
      <w:tr w14:paraId="0431198F">
        <w:tblPrEx>
          <w:shd w:val="clear" w:color="auto" w:fill="FFFFFF"/>
          <w:tblCellMar>
            <w:top w:w="0" w:type="dxa"/>
            <w:left w:w="0" w:type="dxa"/>
            <w:bottom w:w="0" w:type="dxa"/>
            <w:right w:w="0" w:type="dxa"/>
          </w:tblCellMar>
        </w:tblPrEx>
        <w:trPr>
          <w:trHeight w:val="511"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0D2F2042">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8"/>
                <w:szCs w:val="28"/>
              </w:rPr>
            </w:pPr>
            <w:r>
              <w:rPr>
                <w:rFonts w:hint="eastAsia" w:ascii="宋体" w:hAnsi="宋体" w:eastAsia="宋体" w:cs="宋体"/>
                <w:color w:val="auto"/>
                <w:kern w:val="0"/>
                <w:sz w:val="24"/>
              </w:rPr>
              <w:t>15</w:t>
            </w:r>
          </w:p>
        </w:tc>
        <w:tc>
          <w:tcPr>
            <w:tcW w:w="837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0B016B09">
            <w:pPr>
              <w:keepNext w:val="0"/>
              <w:keepLines w:val="0"/>
              <w:widowControl/>
              <w:suppressLineNumbers w:val="0"/>
              <w:spacing w:before="0" w:beforeAutospacing="0" w:after="0" w:afterAutospacing="0" w:line="360" w:lineRule="auto"/>
              <w:ind w:left="0" w:right="0"/>
              <w:textAlignment w:val="bottom"/>
              <w:rPr>
                <w:rFonts w:hint="eastAsia" w:ascii="宋体" w:hAnsi="宋体" w:eastAsia="宋体" w:cs="宋体"/>
                <w:color w:val="auto"/>
                <w:kern w:val="0"/>
                <w:sz w:val="28"/>
                <w:szCs w:val="28"/>
              </w:rPr>
            </w:pPr>
            <w:r>
              <w:rPr>
                <w:rFonts w:hint="eastAsia" w:ascii="宋体" w:hAnsi="宋体" w:eastAsia="宋体" w:cs="宋体"/>
                <w:b/>
                <w:bCs/>
                <w:color w:val="auto"/>
                <w:sz w:val="24"/>
              </w:rPr>
              <w:t>付款方式：</w:t>
            </w:r>
            <w:r>
              <w:rPr>
                <w:rFonts w:hint="eastAsia" w:ascii="宋体" w:hAnsi="宋体" w:eastAsia="宋体" w:cs="宋体"/>
                <w:color w:val="auto"/>
                <w:sz w:val="24"/>
                <w:szCs w:val="24"/>
                <w:highlight w:val="none"/>
                <w:lang w:val="en-US" w:eastAsia="zh-CN"/>
              </w:rPr>
              <w:t>采购人可根据项目特点，提前支付30%预付款，如有预付款保函，最高可支付40%，对于中小微企业，首付款比例原则上不低于合同金额的50%。（具体付款方式合同另行约定，具体到账时间以财政部门拨付时间为准）。</w:t>
            </w:r>
          </w:p>
        </w:tc>
      </w:tr>
      <w:tr w14:paraId="7ACE2B19">
        <w:tblPrEx>
          <w:shd w:val="clear" w:color="auto" w:fill="FFFFFF"/>
          <w:tblCellMar>
            <w:top w:w="0" w:type="dxa"/>
            <w:left w:w="0" w:type="dxa"/>
            <w:bottom w:w="0" w:type="dxa"/>
            <w:right w:w="0" w:type="dxa"/>
          </w:tblCellMar>
        </w:tblPrEx>
        <w:trPr>
          <w:trHeight w:val="688" w:hRule="atLeast"/>
        </w:trPr>
        <w:tc>
          <w:tcPr>
            <w:tcW w:w="869" w:type="dxa"/>
            <w:tcBorders>
              <w:top w:val="nil"/>
              <w:left w:val="single" w:color="auto" w:sz="8" w:space="0"/>
              <w:bottom w:val="single" w:color="auto" w:sz="4" w:space="0"/>
              <w:right w:val="single" w:color="auto" w:sz="8" w:space="0"/>
            </w:tcBorders>
            <w:shd w:val="clear" w:color="auto" w:fill="FFFFFF"/>
            <w:tcMar>
              <w:top w:w="0" w:type="dxa"/>
              <w:left w:w="108" w:type="dxa"/>
              <w:bottom w:w="0" w:type="dxa"/>
              <w:right w:w="108" w:type="dxa"/>
            </w:tcMar>
            <w:vAlign w:val="center"/>
          </w:tcPr>
          <w:p w14:paraId="11BD470E">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8"/>
                <w:szCs w:val="28"/>
              </w:rPr>
            </w:pPr>
            <w:r>
              <w:rPr>
                <w:rFonts w:hint="eastAsia" w:ascii="宋体" w:hAnsi="宋体" w:eastAsia="宋体" w:cs="宋体"/>
                <w:color w:val="auto"/>
                <w:kern w:val="0"/>
                <w:sz w:val="24"/>
              </w:rPr>
              <w:t>16</w:t>
            </w:r>
          </w:p>
        </w:tc>
        <w:tc>
          <w:tcPr>
            <w:tcW w:w="8371" w:type="dxa"/>
            <w:tcBorders>
              <w:top w:val="nil"/>
              <w:left w:val="nil"/>
              <w:bottom w:val="single" w:color="auto" w:sz="4" w:space="0"/>
              <w:right w:val="single" w:color="auto" w:sz="8" w:space="0"/>
            </w:tcBorders>
            <w:shd w:val="clear" w:color="auto" w:fill="FFFFFF"/>
            <w:tcMar>
              <w:top w:w="0" w:type="dxa"/>
              <w:left w:w="108" w:type="dxa"/>
              <w:bottom w:w="0" w:type="dxa"/>
              <w:right w:w="108" w:type="dxa"/>
            </w:tcMar>
            <w:vAlign w:val="center"/>
          </w:tcPr>
          <w:p w14:paraId="2BD44910">
            <w:pPr>
              <w:keepNext w:val="0"/>
              <w:keepLines w:val="0"/>
              <w:suppressLineNumbers w:val="0"/>
              <w:spacing w:before="0" w:beforeAutospacing="0" w:after="0" w:afterAutospacing="0" w:line="360" w:lineRule="auto"/>
              <w:ind w:left="0" w:right="0"/>
              <w:textAlignment w:val="bottom"/>
              <w:rPr>
                <w:rFonts w:hint="eastAsia" w:ascii="宋体" w:hAnsi="宋体" w:eastAsia="宋体" w:cs="宋体"/>
                <w:color w:val="auto"/>
                <w:kern w:val="0"/>
                <w:sz w:val="28"/>
                <w:szCs w:val="28"/>
              </w:rPr>
            </w:pPr>
            <w:r>
              <w:rPr>
                <w:rFonts w:hint="eastAsia" w:ascii="宋体" w:hAnsi="宋体" w:eastAsia="宋体" w:cs="宋体"/>
                <w:color w:val="auto"/>
                <w:sz w:val="24"/>
              </w:rPr>
              <w:t>成交供应商可以以政府采购合同为担保向金融机构进行贷款融资。</w:t>
            </w:r>
          </w:p>
        </w:tc>
      </w:tr>
      <w:tr w14:paraId="3E3420EC">
        <w:tblPrEx>
          <w:shd w:val="clear" w:color="auto" w:fill="FFFFFF"/>
          <w:tblCellMar>
            <w:top w:w="0" w:type="dxa"/>
            <w:left w:w="0" w:type="dxa"/>
            <w:bottom w:w="0" w:type="dxa"/>
            <w:right w:w="0" w:type="dxa"/>
          </w:tblCellMar>
        </w:tblPrEx>
        <w:trPr>
          <w:trHeight w:val="585" w:hRule="atLeast"/>
        </w:trPr>
        <w:tc>
          <w:tcPr>
            <w:tcW w:w="869" w:type="dxa"/>
            <w:tcBorders>
              <w:top w:val="single" w:color="auto" w:sz="4" w:space="0"/>
              <w:left w:val="single" w:color="auto" w:sz="8" w:space="0"/>
              <w:bottom w:val="single" w:color="auto" w:sz="4" w:space="0"/>
              <w:right w:val="single" w:color="auto" w:sz="8" w:space="0"/>
            </w:tcBorders>
            <w:shd w:val="clear" w:color="auto" w:fill="FFFFFF"/>
            <w:tcMar>
              <w:top w:w="0" w:type="dxa"/>
              <w:left w:w="108" w:type="dxa"/>
              <w:bottom w:w="0" w:type="dxa"/>
              <w:right w:w="108" w:type="dxa"/>
            </w:tcMar>
            <w:vAlign w:val="center"/>
          </w:tcPr>
          <w:p w14:paraId="00C39AF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0"/>
                <w:sz w:val="24"/>
              </w:rPr>
            </w:pPr>
            <w:r>
              <w:rPr>
                <w:rFonts w:hint="eastAsia" w:ascii="宋体" w:hAnsi="宋体" w:eastAsia="宋体" w:cs="宋体"/>
                <w:color w:val="auto"/>
                <w:kern w:val="0"/>
                <w:sz w:val="24"/>
              </w:rPr>
              <w:t>17</w:t>
            </w:r>
          </w:p>
        </w:tc>
        <w:tc>
          <w:tcPr>
            <w:tcW w:w="8371" w:type="dxa"/>
            <w:tcBorders>
              <w:top w:val="single" w:color="auto" w:sz="4" w:space="0"/>
              <w:left w:val="nil"/>
              <w:bottom w:val="single" w:color="auto" w:sz="4" w:space="0"/>
              <w:right w:val="single" w:color="auto" w:sz="8" w:space="0"/>
            </w:tcBorders>
            <w:shd w:val="clear" w:color="auto" w:fill="FFFFFF"/>
            <w:tcMar>
              <w:top w:w="0" w:type="dxa"/>
              <w:left w:w="108" w:type="dxa"/>
              <w:bottom w:w="0" w:type="dxa"/>
              <w:right w:w="108" w:type="dxa"/>
            </w:tcMar>
            <w:vAlign w:val="center"/>
          </w:tcPr>
          <w:p w14:paraId="2DC4D565">
            <w:pPr>
              <w:keepNext w:val="0"/>
              <w:keepLines w:val="0"/>
              <w:suppressLineNumbers w:val="0"/>
              <w:spacing w:before="0" w:beforeAutospacing="0" w:after="0" w:afterAutospacing="0" w:line="360" w:lineRule="auto"/>
              <w:ind w:left="0" w:right="0"/>
              <w:textAlignment w:val="bottom"/>
              <w:rPr>
                <w:rFonts w:hint="eastAsia" w:ascii="宋体" w:hAnsi="宋体" w:eastAsia="宋体" w:cs="宋体"/>
                <w:color w:val="auto"/>
                <w:kern w:val="0"/>
                <w:sz w:val="24"/>
              </w:rPr>
            </w:pPr>
            <w:r>
              <w:rPr>
                <w:rFonts w:hint="eastAsia" w:ascii="宋体" w:hAnsi="宋体" w:cs="宋体"/>
                <w:b/>
                <w:bCs/>
                <w:color w:val="auto"/>
                <w:sz w:val="24"/>
                <w:lang w:eastAsia="zh-CN"/>
              </w:rPr>
              <w:t>响应文件</w:t>
            </w:r>
            <w:r>
              <w:rPr>
                <w:rFonts w:hint="eastAsia" w:ascii="宋体" w:hAnsi="宋体" w:eastAsia="宋体" w:cs="宋体"/>
                <w:b/>
                <w:bCs/>
                <w:color w:val="auto"/>
                <w:sz w:val="24"/>
              </w:rPr>
              <w:t>有效期：</w:t>
            </w:r>
            <w:r>
              <w:rPr>
                <w:rFonts w:hint="eastAsia" w:ascii="宋体" w:hAnsi="宋体" w:eastAsia="宋体" w:cs="宋体"/>
                <w:color w:val="auto"/>
                <w:kern w:val="0"/>
                <w:sz w:val="24"/>
              </w:rPr>
              <w:t>递交</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截止期结束后60日。成交供应商的</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是合同的组成部分,有效期至合同完全履行止。</w:t>
            </w:r>
          </w:p>
        </w:tc>
      </w:tr>
      <w:tr w14:paraId="35B72799">
        <w:tblPrEx>
          <w:tblCellMar>
            <w:top w:w="0" w:type="dxa"/>
            <w:left w:w="0" w:type="dxa"/>
            <w:bottom w:w="0" w:type="dxa"/>
            <w:right w:w="0" w:type="dxa"/>
          </w:tblCellMar>
        </w:tblPrEx>
        <w:trPr>
          <w:trHeight w:val="665" w:hRule="atLeast"/>
        </w:trPr>
        <w:tc>
          <w:tcPr>
            <w:tcW w:w="869" w:type="dxa"/>
            <w:tcBorders>
              <w:top w:val="single" w:color="auto" w:sz="4" w:space="0"/>
              <w:left w:val="single" w:color="auto" w:sz="8" w:space="0"/>
              <w:bottom w:val="single" w:color="auto" w:sz="4" w:space="0"/>
              <w:right w:val="single" w:color="auto" w:sz="8" w:space="0"/>
            </w:tcBorders>
            <w:shd w:val="clear" w:color="auto" w:fill="FFFFFF"/>
            <w:tcMar>
              <w:top w:w="0" w:type="dxa"/>
              <w:left w:w="108" w:type="dxa"/>
              <w:bottom w:w="0" w:type="dxa"/>
              <w:right w:w="108" w:type="dxa"/>
            </w:tcMar>
            <w:vAlign w:val="center"/>
          </w:tcPr>
          <w:p w14:paraId="5B33113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0"/>
                <w:sz w:val="24"/>
              </w:rPr>
            </w:pPr>
            <w:r>
              <w:rPr>
                <w:rFonts w:hint="eastAsia" w:ascii="宋体" w:hAnsi="宋体" w:eastAsia="宋体" w:cs="宋体"/>
                <w:color w:val="auto"/>
                <w:kern w:val="0"/>
                <w:sz w:val="24"/>
              </w:rPr>
              <w:t>18</w:t>
            </w:r>
          </w:p>
        </w:tc>
        <w:tc>
          <w:tcPr>
            <w:tcW w:w="8371" w:type="dxa"/>
            <w:tcBorders>
              <w:top w:val="single" w:color="auto" w:sz="4" w:space="0"/>
              <w:left w:val="nil"/>
              <w:bottom w:val="single" w:color="auto" w:sz="4" w:space="0"/>
              <w:right w:val="single" w:color="auto" w:sz="8" w:space="0"/>
            </w:tcBorders>
            <w:shd w:val="clear" w:color="auto" w:fill="FFFFFF"/>
            <w:tcMar>
              <w:top w:w="0" w:type="dxa"/>
              <w:left w:w="108" w:type="dxa"/>
              <w:bottom w:w="0" w:type="dxa"/>
              <w:right w:w="108" w:type="dxa"/>
            </w:tcMar>
            <w:vAlign w:val="center"/>
          </w:tcPr>
          <w:p w14:paraId="056174A4">
            <w:pPr>
              <w:keepNext w:val="0"/>
              <w:keepLines w:val="0"/>
              <w:suppressLineNumbers w:val="0"/>
              <w:spacing w:before="0" w:beforeAutospacing="0" w:after="0" w:afterAutospacing="0" w:line="360" w:lineRule="auto"/>
              <w:ind w:left="0" w:right="0"/>
              <w:textAlignment w:val="bottom"/>
              <w:rPr>
                <w:rFonts w:hint="eastAsia" w:ascii="宋体" w:hAnsi="宋体" w:eastAsia="宋体" w:cs="宋体"/>
                <w:color w:val="auto"/>
                <w:sz w:val="24"/>
              </w:rPr>
            </w:pPr>
            <w:r>
              <w:rPr>
                <w:rFonts w:hint="eastAsia" w:ascii="宋体" w:hAnsi="宋体" w:eastAsia="宋体" w:cs="宋体"/>
                <w:color w:val="auto"/>
                <w:sz w:val="24"/>
              </w:rPr>
              <w:t>其他要求：</w:t>
            </w:r>
          </w:p>
          <w:p w14:paraId="65A9AE43">
            <w:pPr>
              <w:keepNext w:val="0"/>
              <w:keepLines w:val="0"/>
              <w:numPr>
                <w:ilvl w:val="0"/>
                <w:numId w:val="0"/>
              </w:numPr>
              <w:suppressLineNumbers w:val="0"/>
              <w:spacing w:before="0" w:beforeAutospacing="0" w:after="0" w:afterAutospacing="0" w:line="360" w:lineRule="auto"/>
              <w:ind w:left="0" w:right="0" w:rightChars="0"/>
              <w:textAlignment w:val="bottom"/>
              <w:rPr>
                <w:rFonts w:hint="eastAsia" w:ascii="宋体" w:hAnsi="宋体" w:eastAsia="宋体" w:cs="宋体"/>
                <w:color w:val="auto"/>
                <w:sz w:val="24"/>
              </w:rPr>
            </w:pPr>
            <w:r>
              <w:rPr>
                <w:rFonts w:hint="eastAsia" w:ascii="宋体" w:hAnsi="宋体" w:cs="宋体"/>
                <w:color w:val="auto"/>
                <w:sz w:val="24"/>
                <w:lang w:val="en-US" w:eastAsia="zh-CN"/>
              </w:rPr>
              <w:t>(1)</w:t>
            </w:r>
            <w:r>
              <w:rPr>
                <w:rFonts w:hint="eastAsia" w:ascii="宋体" w:hAnsi="宋体" w:eastAsia="宋体" w:cs="宋体"/>
                <w:color w:val="auto"/>
                <w:sz w:val="24"/>
              </w:rPr>
              <w:t>竞争性谈判文件中凡涉及到资格审查，全部以响应单位诚信库中证件原件的扫描件为准，并且</w:t>
            </w:r>
            <w:r>
              <w:rPr>
                <w:rFonts w:hint="eastAsia" w:ascii="宋体" w:hAnsi="宋体" w:cs="宋体"/>
                <w:color w:val="auto"/>
                <w:sz w:val="24"/>
                <w:lang w:eastAsia="zh-CN"/>
              </w:rPr>
              <w:t>响应文件</w:t>
            </w:r>
            <w:r>
              <w:rPr>
                <w:rFonts w:hint="eastAsia" w:ascii="宋体" w:hAnsi="宋体" w:eastAsia="宋体" w:cs="宋体"/>
                <w:color w:val="auto"/>
                <w:sz w:val="24"/>
              </w:rPr>
              <w:t xml:space="preserve">中所附扫描件必须和企业诚信库中证件原件的扫描件一致。 </w:t>
            </w:r>
          </w:p>
          <w:p w14:paraId="1E0582A6">
            <w:pPr>
              <w:keepNext w:val="0"/>
              <w:keepLines w:val="0"/>
              <w:numPr>
                <w:ilvl w:val="0"/>
                <w:numId w:val="0"/>
              </w:numPr>
              <w:suppressLineNumbers w:val="0"/>
              <w:spacing w:before="0" w:beforeAutospacing="0" w:after="0" w:afterAutospacing="0" w:line="360" w:lineRule="auto"/>
              <w:ind w:left="0" w:right="0" w:rightChars="0"/>
              <w:textAlignment w:val="bottom"/>
              <w:rPr>
                <w:rFonts w:hint="eastAsia" w:ascii="宋体" w:hAnsi="宋体" w:eastAsia="宋体" w:cs="宋体"/>
                <w:color w:val="auto"/>
                <w:sz w:val="24"/>
              </w:rPr>
            </w:pPr>
            <w:r>
              <w:rPr>
                <w:rFonts w:hint="eastAsia" w:ascii="宋体" w:hAnsi="宋体" w:eastAsia="宋体" w:cs="宋体"/>
                <w:color w:val="auto"/>
                <w:sz w:val="24"/>
                <w:lang w:val="en-US" w:eastAsia="zh-CN"/>
              </w:rPr>
              <w:t>(2)</w:t>
            </w:r>
            <w:r>
              <w:rPr>
                <w:rFonts w:hint="eastAsia" w:ascii="宋体" w:hAnsi="宋体" w:eastAsia="宋体" w:cs="宋体"/>
                <w:color w:val="auto"/>
                <w:sz w:val="24"/>
              </w:rPr>
              <w:t>采购人有权在发放成交通知书前要求中标(成交)供应商提供证明材料，以备核实供应商承诺事项的真实性。</w:t>
            </w:r>
          </w:p>
          <w:p w14:paraId="3A5642B4">
            <w:pPr>
              <w:keepNext w:val="0"/>
              <w:keepLines w:val="0"/>
              <w:numPr>
                <w:ilvl w:val="0"/>
                <w:numId w:val="0"/>
              </w:numPr>
              <w:suppressLineNumbers w:val="0"/>
              <w:spacing w:before="0" w:beforeAutospacing="0" w:after="0" w:afterAutospacing="0" w:line="360" w:lineRule="auto"/>
              <w:ind w:left="0" w:right="0" w:rightChars="0"/>
              <w:textAlignment w:val="bottom"/>
              <w:rPr>
                <w:rFonts w:hint="eastAsia"/>
              </w:rPr>
            </w:pPr>
            <w:r>
              <w:rPr>
                <w:rFonts w:hint="eastAsia" w:ascii="宋体" w:hAnsi="宋体" w:eastAsia="宋体" w:cs="宋体"/>
                <w:color w:val="auto"/>
                <w:sz w:val="24"/>
                <w:lang w:val="en-US" w:eastAsia="zh-CN"/>
              </w:rPr>
              <w:t>(3)谈判</w:t>
            </w:r>
            <w:r>
              <w:rPr>
                <w:rFonts w:hint="eastAsia" w:ascii="宋体" w:hAnsi="宋体" w:eastAsia="宋体" w:cs="宋体"/>
                <w:color w:val="auto"/>
                <w:sz w:val="24"/>
              </w:rPr>
              <w:t>开始后,</w:t>
            </w:r>
            <w:r>
              <w:rPr>
                <w:rFonts w:hint="eastAsia" w:ascii="宋体" w:hAnsi="宋体" w:eastAsia="宋体" w:cs="宋体"/>
                <w:color w:val="auto"/>
                <w:sz w:val="24"/>
                <w:lang w:val="en-US" w:eastAsia="zh-CN"/>
              </w:rPr>
              <w:t>采购人</w:t>
            </w:r>
            <w:r>
              <w:rPr>
                <w:rFonts w:hint="eastAsia" w:ascii="宋体" w:hAnsi="宋体" w:eastAsia="宋体" w:cs="宋体"/>
                <w:color w:val="auto"/>
                <w:sz w:val="24"/>
              </w:rPr>
              <w:t>将通过信用中国网站（www.creditchina.gov.cn）、中国政府采购网网站（www.ccgp.gov.cn）查询供应商是否被列入失信被执行人、重大税收违法失信主体和政府采购严重违法失信行为记录名单，并将查询结果存档。</w:t>
            </w:r>
            <w:r>
              <w:rPr>
                <w:rFonts w:hint="eastAsia" w:ascii="宋体" w:hAnsi="宋体" w:eastAsia="宋体" w:cs="宋体"/>
                <w:color w:val="auto"/>
                <w:sz w:val="24"/>
                <w:lang w:val="en-US" w:eastAsia="zh-CN"/>
              </w:rPr>
              <w:t>采购人</w:t>
            </w:r>
            <w:r>
              <w:rPr>
                <w:rFonts w:hint="eastAsia" w:ascii="宋体" w:hAnsi="宋体" w:eastAsia="宋体" w:cs="宋体"/>
                <w:color w:val="auto"/>
                <w:sz w:val="24"/>
              </w:rPr>
              <w:t>查询之后，网站信息发生的任何变化不再作为评审依据；供应商自行提供的与网站信息不一致的其他证明材料不作为评审依据。</w:t>
            </w:r>
          </w:p>
        </w:tc>
      </w:tr>
      <w:tr w14:paraId="54A53CD0">
        <w:tblPrEx>
          <w:shd w:val="clear" w:color="auto" w:fill="FFFFFF"/>
          <w:tblCellMar>
            <w:top w:w="0" w:type="dxa"/>
            <w:left w:w="0" w:type="dxa"/>
            <w:bottom w:w="0" w:type="dxa"/>
            <w:right w:w="0" w:type="dxa"/>
          </w:tblCellMar>
        </w:tblPrEx>
        <w:trPr>
          <w:trHeight w:val="1037" w:hRule="atLeast"/>
        </w:trPr>
        <w:tc>
          <w:tcPr>
            <w:tcW w:w="869" w:type="dxa"/>
            <w:tcBorders>
              <w:top w:val="single" w:color="auto" w:sz="4" w:space="0"/>
              <w:left w:val="single" w:color="auto" w:sz="4" w:space="0"/>
              <w:bottom w:val="single" w:color="auto" w:sz="4" w:space="0"/>
              <w:right w:val="single" w:color="auto" w:sz="8" w:space="0"/>
            </w:tcBorders>
            <w:shd w:val="clear" w:color="auto" w:fill="FFFFFF"/>
            <w:tcMar>
              <w:top w:w="0" w:type="dxa"/>
              <w:left w:w="108" w:type="dxa"/>
              <w:bottom w:w="0" w:type="dxa"/>
              <w:right w:w="108" w:type="dxa"/>
            </w:tcMar>
            <w:vAlign w:val="center"/>
          </w:tcPr>
          <w:p w14:paraId="383C348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4"/>
              </w:rPr>
            </w:pPr>
            <w:r>
              <w:rPr>
                <w:rFonts w:hint="eastAsia" w:ascii="宋体" w:hAnsi="宋体" w:eastAsia="宋体" w:cs="宋体"/>
                <w:color w:val="auto"/>
                <w:kern w:val="0"/>
                <w:sz w:val="24"/>
              </w:rPr>
              <w:t>19</w:t>
            </w:r>
          </w:p>
        </w:tc>
        <w:tc>
          <w:tcPr>
            <w:tcW w:w="8371" w:type="dxa"/>
            <w:tcBorders>
              <w:top w:val="single" w:color="auto" w:sz="4" w:space="0"/>
              <w:left w:val="nil"/>
              <w:bottom w:val="single" w:color="auto" w:sz="4" w:space="0"/>
              <w:right w:val="single" w:color="auto" w:sz="4" w:space="0"/>
            </w:tcBorders>
            <w:shd w:val="clear" w:color="auto" w:fill="FFFFFF"/>
            <w:tcMar>
              <w:top w:w="0" w:type="dxa"/>
              <w:left w:w="108" w:type="dxa"/>
              <w:bottom w:w="0" w:type="dxa"/>
              <w:right w:w="108" w:type="dxa"/>
            </w:tcMar>
            <w:vAlign w:val="center"/>
          </w:tcPr>
          <w:p w14:paraId="6E17063E">
            <w:pPr>
              <w:keepNext w:val="0"/>
              <w:keepLines w:val="0"/>
              <w:widowControl/>
              <w:suppressLineNumbers w:val="0"/>
              <w:spacing w:before="0" w:beforeAutospacing="0" w:after="0" w:afterAutospacing="0" w:line="360" w:lineRule="auto"/>
              <w:ind w:left="0" w:right="0"/>
              <w:textAlignment w:val="bottom"/>
              <w:rPr>
                <w:rFonts w:hint="eastAsia" w:ascii="宋体" w:hAnsi="宋体" w:eastAsia="宋体" w:cs="宋体"/>
                <w:color w:val="auto"/>
                <w:kern w:val="0"/>
                <w:sz w:val="24"/>
              </w:rPr>
            </w:pPr>
            <w:r>
              <w:rPr>
                <w:rFonts w:hint="eastAsia" w:ascii="宋体" w:hAnsi="宋体" w:eastAsia="宋体" w:cs="宋体"/>
                <w:b/>
                <w:bCs/>
                <w:color w:val="auto"/>
                <w:sz w:val="24"/>
              </w:rPr>
              <w:t>质疑和投诉：</w:t>
            </w:r>
            <w:r>
              <w:rPr>
                <w:rFonts w:hint="eastAsia" w:ascii="宋体" w:hAnsi="宋体" w:eastAsia="宋体" w:cs="宋体"/>
                <w:color w:val="auto"/>
                <w:kern w:val="0"/>
                <w:sz w:val="24"/>
              </w:rPr>
              <w:t>供应商认为招标文件使自己的合法权益受到损害的，应当在竞争性谈判公告期限届满之日(或收到招标文件之日)起7个工作日之内向采购人或采购代理机构提出质疑；供应商认为招标过程和成交结果使自己的合法权益受到损害的，应当在知道或者应知其权益受到损害之日起7个工作日内提出质疑。逾期不再受理,供应商在法定质疑期内应一次性提出针对同一采购环节的质疑。关于对采购程序、竞争性谈判文件格式性条款、评审结果的询问和质疑,请向采购代理机构提出；关于对供应商特殊资质要求、技术参数和技术标准、商务要求的询问和质疑，请向采购人提出。供应商对采购人或采购代理机构的质疑答复不满意,或采购人或采购代理机构未在规定时间内作出答复的，可以在答复期满后15个工作日内向汝南县政府采购管理办公室投诉。</w:t>
            </w:r>
          </w:p>
          <w:p w14:paraId="299B9618">
            <w:pPr>
              <w:keepNext w:val="0"/>
              <w:keepLines w:val="0"/>
              <w:widowControl/>
              <w:suppressLineNumbers w:val="0"/>
              <w:spacing w:before="0" w:beforeAutospacing="0" w:after="0" w:afterAutospacing="0" w:line="360" w:lineRule="auto"/>
              <w:ind w:left="0" w:right="0"/>
              <w:textAlignment w:val="bottom"/>
              <w:rPr>
                <w:rFonts w:hint="eastAsia" w:ascii="宋体" w:hAnsi="宋体" w:eastAsia="宋体" w:cs="宋体"/>
                <w:color w:val="auto"/>
                <w:kern w:val="0"/>
                <w:sz w:val="24"/>
              </w:rPr>
            </w:pPr>
            <w:r>
              <w:rPr>
                <w:rFonts w:hint="eastAsia" w:ascii="宋体" w:hAnsi="宋体" w:eastAsia="宋体" w:cs="宋体"/>
                <w:color w:val="auto"/>
                <w:kern w:val="0"/>
                <w:sz w:val="24"/>
              </w:rPr>
              <w:t>汝南县政府采购管理办公室：0396-8025558。</w:t>
            </w:r>
          </w:p>
        </w:tc>
      </w:tr>
      <w:tr w14:paraId="526E9B3D">
        <w:tblPrEx>
          <w:shd w:val="clear" w:color="auto" w:fill="FFFFFF"/>
          <w:tblCellMar>
            <w:top w:w="0" w:type="dxa"/>
            <w:left w:w="0" w:type="dxa"/>
            <w:bottom w:w="0" w:type="dxa"/>
            <w:right w:w="0" w:type="dxa"/>
          </w:tblCellMar>
        </w:tblPrEx>
        <w:trPr>
          <w:trHeight w:val="1037" w:hRule="atLeast"/>
        </w:trPr>
        <w:tc>
          <w:tcPr>
            <w:tcW w:w="869" w:type="dxa"/>
            <w:tcBorders>
              <w:top w:val="single" w:color="auto" w:sz="4"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BA06F30">
            <w:pPr>
              <w:keepNext w:val="0"/>
              <w:keepLines w:val="0"/>
              <w:widowControl/>
              <w:suppressLineNumbers w:val="0"/>
              <w:snapToGrid w:val="0"/>
              <w:spacing w:before="0" w:beforeAutospacing="0" w:after="0" w:afterAutospacing="0" w:line="360" w:lineRule="auto"/>
              <w:ind w:left="0" w:right="0"/>
              <w:contextualSpacing/>
              <w:jc w:val="center"/>
              <w:rPr>
                <w:rFonts w:hint="eastAsia" w:ascii="宋体" w:hAnsi="宋体" w:eastAsia="宋体" w:cs="宋体"/>
                <w:color w:val="auto"/>
                <w:kern w:val="0"/>
                <w:sz w:val="24"/>
              </w:rPr>
            </w:pPr>
            <w:r>
              <w:rPr>
                <w:rFonts w:hint="eastAsia" w:ascii="宋体" w:hAnsi="宋体" w:eastAsia="宋体" w:cs="宋体"/>
                <w:color w:val="auto"/>
                <w:kern w:val="0"/>
                <w:sz w:val="24"/>
              </w:rPr>
              <w:t>20</w:t>
            </w:r>
          </w:p>
        </w:tc>
        <w:tc>
          <w:tcPr>
            <w:tcW w:w="8371" w:type="dxa"/>
            <w:tcBorders>
              <w:top w:val="single" w:color="auto" w:sz="4"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EA63028">
            <w:pPr>
              <w:keepNext w:val="0"/>
              <w:keepLines w:val="0"/>
              <w:suppressLineNumbers w:val="0"/>
              <w:spacing w:before="0" w:beforeAutospacing="0" w:after="0" w:afterAutospacing="0" w:line="360" w:lineRule="auto"/>
              <w:ind w:left="0" w:right="0"/>
              <w:contextualSpacing/>
              <w:rPr>
                <w:rFonts w:hint="eastAsia" w:ascii="宋体" w:hAnsi="宋体" w:eastAsia="宋体" w:cs="宋体"/>
                <w:color w:val="auto"/>
                <w:kern w:val="0"/>
                <w:sz w:val="24"/>
              </w:rPr>
            </w:pPr>
            <w:r>
              <w:rPr>
                <w:rFonts w:hint="eastAsia" w:ascii="宋体" w:hAnsi="宋体" w:eastAsia="宋体" w:cs="宋体"/>
                <w:b/>
                <w:bCs/>
                <w:color w:val="auto"/>
                <w:sz w:val="24"/>
              </w:rPr>
              <w:t>本项目使用远程不见面交易的模式。供应商应于投标截止时间前将加密电子</w:t>
            </w:r>
            <w:r>
              <w:rPr>
                <w:rFonts w:hint="eastAsia" w:ascii="宋体" w:hAnsi="宋体" w:cs="宋体"/>
                <w:b/>
                <w:bCs/>
                <w:color w:val="auto"/>
                <w:sz w:val="24"/>
                <w:lang w:eastAsia="zh-CN"/>
              </w:rPr>
              <w:t>响应文件</w:t>
            </w:r>
            <w:r>
              <w:rPr>
                <w:rFonts w:hint="eastAsia" w:ascii="宋体" w:hAnsi="宋体" w:eastAsia="宋体" w:cs="宋体"/>
                <w:b/>
                <w:bCs/>
                <w:color w:val="auto"/>
                <w:sz w:val="24"/>
              </w:rPr>
              <w:t>(.zmdtf格式)在驻马店市公共资源交易中心电子交易平台加密上传，逾期上传投标将被拒绝。</w:t>
            </w:r>
          </w:p>
        </w:tc>
      </w:tr>
      <w:tr w14:paraId="006AC2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14:paraId="7EEBA354">
            <w:pPr>
              <w:keepNext w:val="0"/>
              <w:keepLines w:val="0"/>
              <w:widowControl/>
              <w:suppressLineNumbers w:val="0"/>
              <w:snapToGrid w:val="0"/>
              <w:spacing w:before="0" w:beforeAutospacing="0" w:after="0" w:afterAutospacing="0" w:line="360" w:lineRule="auto"/>
              <w:ind w:left="0" w:right="0"/>
              <w:contextualSpacing/>
              <w:jc w:val="center"/>
              <w:rPr>
                <w:rFonts w:hint="eastAsia" w:ascii="宋体" w:hAnsi="宋体" w:eastAsia="宋体" w:cs="宋体"/>
                <w:color w:val="auto"/>
                <w:kern w:val="0"/>
                <w:sz w:val="24"/>
              </w:rPr>
            </w:pPr>
            <w:r>
              <w:rPr>
                <w:rFonts w:hint="eastAsia" w:ascii="宋体" w:hAnsi="宋体" w:eastAsia="宋体" w:cs="宋体"/>
                <w:color w:val="auto"/>
                <w:kern w:val="0"/>
                <w:sz w:val="24"/>
              </w:rPr>
              <w:t>21</w:t>
            </w:r>
          </w:p>
        </w:tc>
        <w:tc>
          <w:tcPr>
            <w:tcW w:w="8371" w:type="dxa"/>
            <w:tcBorders>
              <w:top w:val="single" w:color="auto" w:sz="4" w:space="0"/>
              <w:left w:val="single" w:color="auto" w:sz="4" w:space="0"/>
              <w:bottom w:val="single" w:color="auto" w:sz="4" w:space="0"/>
              <w:right w:val="single" w:color="auto" w:sz="4" w:space="0"/>
            </w:tcBorders>
            <w:shd w:val="clear" w:color="auto" w:fill="auto"/>
            <w:vAlign w:val="center"/>
          </w:tcPr>
          <w:p w14:paraId="35199CF8">
            <w:pPr>
              <w:keepNext w:val="0"/>
              <w:keepLines w:val="0"/>
              <w:suppressLineNumbers w:val="0"/>
              <w:spacing w:before="0" w:beforeAutospacing="0" w:after="0" w:afterAutospacing="0" w:line="360" w:lineRule="auto"/>
              <w:ind w:left="0" w:right="0"/>
              <w:textAlignment w:val="bottom"/>
              <w:rPr>
                <w:rFonts w:hint="eastAsia" w:ascii="宋体" w:hAnsi="宋体" w:eastAsia="宋体" w:cs="宋体"/>
                <w:b/>
                <w:bCs/>
                <w:color w:val="auto"/>
                <w:sz w:val="24"/>
              </w:rPr>
            </w:pPr>
            <w:r>
              <w:rPr>
                <w:rFonts w:hint="eastAsia" w:ascii="宋体" w:hAnsi="宋体" w:eastAsia="宋体" w:cs="宋体"/>
                <w:b/>
                <w:bCs/>
                <w:color w:val="auto"/>
                <w:sz w:val="24"/>
              </w:rPr>
              <w:t>供应商注册:</w:t>
            </w:r>
          </w:p>
          <w:p w14:paraId="4ED603CF">
            <w:pPr>
              <w:keepNext w:val="0"/>
              <w:keepLines w:val="0"/>
              <w:suppressLineNumbers w:val="0"/>
              <w:spacing w:before="0" w:beforeAutospacing="0" w:after="0" w:afterAutospacing="0" w:line="360" w:lineRule="auto"/>
              <w:ind w:left="0" w:right="0"/>
              <w:contextualSpacing/>
              <w:rPr>
                <w:rFonts w:hint="eastAsia" w:ascii="宋体" w:hAnsi="宋体" w:eastAsia="宋体" w:cs="宋体"/>
                <w:b/>
                <w:bCs/>
                <w:color w:val="auto"/>
                <w:kern w:val="0"/>
                <w:sz w:val="24"/>
              </w:rPr>
            </w:pPr>
            <w:r>
              <w:rPr>
                <w:rFonts w:hint="eastAsia" w:ascii="宋体" w:hAnsi="宋体" w:eastAsia="宋体" w:cs="宋体"/>
                <w:color w:val="auto"/>
                <w:sz w:val="24"/>
              </w:rPr>
              <w:t xml:space="preserve"> 供应商首先通过“驻马店市公共资源交易中心（http://ggzy.zhumadian.gov.cn/）”网站“供应商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最后到驻马店市公共资源交易中心（驻马店市文明路1196号公共资源交易中心1F大厅）办理 CA 密钥，完成注册。</w:t>
            </w:r>
          </w:p>
        </w:tc>
      </w:tr>
      <w:tr w14:paraId="71DA2C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14:paraId="74FB1FF3">
            <w:pPr>
              <w:keepNext w:val="0"/>
              <w:keepLines w:val="0"/>
              <w:widowControl/>
              <w:suppressLineNumbers w:val="0"/>
              <w:snapToGrid w:val="0"/>
              <w:spacing w:before="0" w:beforeAutospacing="0" w:after="0" w:afterAutospacing="0" w:line="360" w:lineRule="auto"/>
              <w:ind w:left="0" w:right="0"/>
              <w:contextualSpacing/>
              <w:jc w:val="center"/>
              <w:rPr>
                <w:rFonts w:hint="eastAsia" w:ascii="宋体" w:hAnsi="宋体" w:eastAsia="宋体" w:cs="宋体"/>
                <w:color w:val="auto"/>
                <w:kern w:val="0"/>
                <w:sz w:val="24"/>
              </w:rPr>
            </w:pPr>
            <w:r>
              <w:rPr>
                <w:rFonts w:hint="eastAsia" w:ascii="宋体" w:hAnsi="宋体" w:eastAsia="宋体" w:cs="宋体"/>
                <w:color w:val="auto"/>
                <w:kern w:val="0"/>
                <w:sz w:val="24"/>
              </w:rPr>
              <w:t>22</w:t>
            </w:r>
          </w:p>
        </w:tc>
        <w:tc>
          <w:tcPr>
            <w:tcW w:w="8371" w:type="dxa"/>
            <w:tcBorders>
              <w:top w:val="single" w:color="auto" w:sz="4" w:space="0"/>
              <w:left w:val="single" w:color="auto" w:sz="4" w:space="0"/>
              <w:bottom w:val="single" w:color="auto" w:sz="4" w:space="0"/>
              <w:right w:val="single" w:color="auto" w:sz="4" w:space="0"/>
            </w:tcBorders>
            <w:shd w:val="clear" w:color="auto" w:fill="auto"/>
            <w:vAlign w:val="center"/>
          </w:tcPr>
          <w:p w14:paraId="7003FCC8">
            <w:pPr>
              <w:keepNext w:val="0"/>
              <w:keepLines w:val="0"/>
              <w:suppressLineNumbers w:val="0"/>
              <w:spacing w:before="0" w:beforeAutospacing="0" w:after="0" w:afterAutospacing="0" w:line="360" w:lineRule="auto"/>
              <w:ind w:left="0" w:right="0"/>
              <w:textAlignment w:val="bottom"/>
              <w:rPr>
                <w:rFonts w:hint="eastAsia" w:ascii="宋体" w:hAnsi="宋体" w:eastAsia="宋体" w:cs="宋体"/>
                <w:b/>
                <w:bCs/>
                <w:color w:val="auto"/>
                <w:sz w:val="24"/>
              </w:rPr>
            </w:pPr>
            <w:r>
              <w:rPr>
                <w:rFonts w:hint="eastAsia" w:ascii="宋体" w:hAnsi="宋体" w:eastAsia="宋体" w:cs="宋体"/>
                <w:b/>
                <w:bCs/>
                <w:color w:val="auto"/>
                <w:sz w:val="24"/>
              </w:rPr>
              <w:t xml:space="preserve">谈判文件下载: </w:t>
            </w:r>
          </w:p>
          <w:p w14:paraId="06765ED5">
            <w:pPr>
              <w:keepNext w:val="0"/>
              <w:keepLines w:val="0"/>
              <w:suppressLineNumbers w:val="0"/>
              <w:spacing w:before="0" w:beforeAutospacing="0" w:after="0" w:afterAutospacing="0" w:line="360" w:lineRule="auto"/>
              <w:ind w:left="0" w:right="0"/>
              <w:contextualSpacing/>
              <w:rPr>
                <w:rFonts w:hint="eastAsia" w:ascii="宋体" w:hAnsi="宋体" w:eastAsia="宋体" w:cs="宋体"/>
                <w:bCs/>
                <w:color w:val="auto"/>
                <w:kern w:val="0"/>
                <w:sz w:val="24"/>
              </w:rPr>
            </w:pPr>
            <w:r>
              <w:rPr>
                <w:rFonts w:hint="eastAsia" w:ascii="宋体" w:hAnsi="宋体" w:eastAsia="宋体" w:cs="宋体"/>
                <w:color w:val="auto"/>
                <w:sz w:val="24"/>
              </w:rPr>
              <w:t>凡有意参加投标者，登录“驻马店市公共资源交易中心（http://ggzy.zhumadian.gov.cn/）”网站，凭领取的企业身份认证锁（CA密钥）登录系统进行网上免费下载谈判文件。供应商未按规定在网上下载谈判文件的，其投标将被拒绝。</w:t>
            </w:r>
          </w:p>
        </w:tc>
      </w:tr>
      <w:tr w14:paraId="1BC31E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14:paraId="0B212AE0">
            <w:pPr>
              <w:keepNext w:val="0"/>
              <w:keepLines w:val="0"/>
              <w:widowControl/>
              <w:suppressLineNumbers w:val="0"/>
              <w:snapToGrid w:val="0"/>
              <w:spacing w:before="0" w:beforeAutospacing="0" w:after="0" w:afterAutospacing="0" w:line="360" w:lineRule="auto"/>
              <w:ind w:left="0" w:right="0"/>
              <w:contextualSpacing/>
              <w:jc w:val="center"/>
              <w:rPr>
                <w:rFonts w:hint="eastAsia" w:ascii="宋体" w:hAnsi="宋体" w:eastAsia="宋体" w:cs="宋体"/>
                <w:color w:val="auto"/>
                <w:kern w:val="0"/>
                <w:sz w:val="24"/>
              </w:rPr>
            </w:pPr>
            <w:r>
              <w:rPr>
                <w:rFonts w:hint="eastAsia" w:ascii="宋体" w:hAnsi="宋体" w:eastAsia="宋体" w:cs="宋体"/>
                <w:color w:val="auto"/>
                <w:kern w:val="0"/>
                <w:sz w:val="24"/>
              </w:rPr>
              <w:t>23</w:t>
            </w:r>
          </w:p>
        </w:tc>
        <w:tc>
          <w:tcPr>
            <w:tcW w:w="8371" w:type="dxa"/>
            <w:tcBorders>
              <w:top w:val="single" w:color="auto" w:sz="4" w:space="0"/>
              <w:left w:val="single" w:color="auto" w:sz="4" w:space="0"/>
              <w:bottom w:val="single" w:color="auto" w:sz="4" w:space="0"/>
              <w:right w:val="single" w:color="auto" w:sz="4" w:space="0"/>
            </w:tcBorders>
            <w:shd w:val="clear" w:color="auto" w:fill="auto"/>
            <w:vAlign w:val="center"/>
          </w:tcPr>
          <w:p w14:paraId="60E83B10">
            <w:pPr>
              <w:keepNext w:val="0"/>
              <w:keepLines w:val="0"/>
              <w:suppressLineNumbers w:val="0"/>
              <w:spacing w:before="0" w:beforeAutospacing="0" w:after="0" w:afterAutospacing="0" w:line="360" w:lineRule="auto"/>
              <w:ind w:left="0" w:right="0"/>
              <w:textAlignment w:val="bottom"/>
              <w:rPr>
                <w:rFonts w:hint="eastAsia" w:ascii="宋体" w:hAnsi="宋体" w:eastAsia="宋体" w:cs="宋体"/>
                <w:b/>
                <w:bCs/>
                <w:color w:val="auto"/>
                <w:sz w:val="24"/>
              </w:rPr>
            </w:pPr>
            <w:r>
              <w:rPr>
                <w:rFonts w:hint="eastAsia" w:ascii="宋体" w:hAnsi="宋体" w:cs="宋体"/>
                <w:b/>
                <w:bCs/>
                <w:color w:val="auto"/>
                <w:sz w:val="24"/>
                <w:lang w:eastAsia="zh-CN"/>
              </w:rPr>
              <w:t>响应文件</w:t>
            </w:r>
            <w:r>
              <w:rPr>
                <w:rFonts w:hint="eastAsia" w:ascii="宋体" w:hAnsi="宋体" w:eastAsia="宋体" w:cs="宋体"/>
                <w:b/>
                <w:bCs/>
                <w:color w:val="auto"/>
                <w:sz w:val="24"/>
              </w:rPr>
              <w:t xml:space="preserve">制作: </w:t>
            </w:r>
          </w:p>
          <w:p w14:paraId="5D1B6959">
            <w:pPr>
              <w:keepNext w:val="0"/>
              <w:keepLines w:val="0"/>
              <w:suppressLineNumbers w:val="0"/>
              <w:spacing w:before="0" w:beforeAutospacing="0" w:after="0" w:afterAutospacing="0" w:line="360" w:lineRule="auto"/>
              <w:ind w:left="0" w:right="0"/>
              <w:contextualSpacing/>
              <w:rPr>
                <w:rFonts w:hint="eastAsia" w:ascii="宋体" w:hAnsi="宋体" w:eastAsia="宋体" w:cs="宋体"/>
                <w:color w:val="auto"/>
                <w:sz w:val="24"/>
              </w:rPr>
            </w:pPr>
            <w:r>
              <w:rPr>
                <w:rFonts w:hint="eastAsia" w:ascii="宋体" w:hAnsi="宋体" w:eastAsia="宋体" w:cs="宋体"/>
                <w:color w:val="auto"/>
                <w:sz w:val="24"/>
              </w:rPr>
              <w:t>1、供应商通过“驻马店市公共资源交易中心（https://ggzy.zhumadian.gov.cn）”网站下载中心（政府采购类）：下载“</w:t>
            </w:r>
            <w:r>
              <w:rPr>
                <w:rFonts w:hint="eastAsia" w:ascii="宋体" w:hAnsi="宋体" w:eastAsia="宋体" w:cs="宋体"/>
                <w:color w:val="auto"/>
                <w:sz w:val="24"/>
                <w:lang w:eastAsia="zh-CN"/>
              </w:rPr>
              <w:t>新点投标文件制作软件</w:t>
            </w:r>
            <w:r>
              <w:rPr>
                <w:rFonts w:hint="eastAsia" w:ascii="宋体" w:hAnsi="宋体" w:eastAsia="宋体" w:cs="宋体"/>
                <w:color w:val="auto"/>
                <w:sz w:val="24"/>
              </w:rPr>
              <w:t>（驻马店）”。</w:t>
            </w:r>
          </w:p>
          <w:p w14:paraId="3A5FF50C">
            <w:pPr>
              <w:keepNext w:val="0"/>
              <w:keepLines w:val="0"/>
              <w:suppressLineNumbers w:val="0"/>
              <w:spacing w:before="0" w:beforeAutospacing="0" w:after="0" w:afterAutospacing="0" w:line="360" w:lineRule="auto"/>
              <w:ind w:left="0" w:right="0"/>
              <w:contextualSpacing/>
              <w:rPr>
                <w:rFonts w:hint="eastAsia" w:ascii="宋体" w:hAnsi="宋体" w:eastAsia="宋体" w:cs="宋体"/>
                <w:color w:val="auto"/>
                <w:sz w:val="24"/>
              </w:rPr>
            </w:pPr>
            <w:r>
              <w:rPr>
                <w:rFonts w:hint="eastAsia" w:ascii="宋体" w:hAnsi="宋体" w:eastAsia="宋体" w:cs="宋体"/>
                <w:color w:val="auto"/>
                <w:sz w:val="24"/>
              </w:rPr>
              <w:t>2、供应商凭 CA 密钥登陆交易系统下载谈判文件(.zmdzf 格 式)。</w:t>
            </w:r>
          </w:p>
          <w:p w14:paraId="55844D50">
            <w:pPr>
              <w:keepNext w:val="0"/>
              <w:keepLines w:val="0"/>
              <w:suppressLineNumbers w:val="0"/>
              <w:spacing w:before="0" w:beforeAutospacing="0" w:after="0" w:afterAutospacing="0" w:line="360" w:lineRule="auto"/>
              <w:ind w:left="0" w:right="0"/>
              <w:contextualSpacing/>
              <w:rPr>
                <w:rFonts w:hint="eastAsia" w:ascii="宋体" w:hAnsi="宋体" w:eastAsia="宋体" w:cs="宋体"/>
                <w:color w:val="auto"/>
                <w:sz w:val="24"/>
              </w:rPr>
            </w:pPr>
            <w:r>
              <w:rPr>
                <w:rFonts w:hint="eastAsia" w:ascii="宋体" w:hAnsi="宋体" w:eastAsia="宋体" w:cs="宋体"/>
                <w:color w:val="auto"/>
                <w:sz w:val="24"/>
              </w:rPr>
              <w:t>3、供应商须在</w:t>
            </w:r>
            <w:r>
              <w:rPr>
                <w:rFonts w:hint="eastAsia" w:ascii="宋体" w:hAnsi="宋体" w:cs="宋体"/>
                <w:color w:val="auto"/>
                <w:sz w:val="24"/>
                <w:lang w:eastAsia="zh-CN"/>
              </w:rPr>
              <w:t>响应文件</w:t>
            </w:r>
            <w:r>
              <w:rPr>
                <w:rFonts w:hint="eastAsia" w:ascii="宋体" w:hAnsi="宋体" w:eastAsia="宋体" w:cs="宋体"/>
                <w:color w:val="auto"/>
                <w:sz w:val="24"/>
              </w:rPr>
              <w:t>递交截止时间前制作并提交：</w:t>
            </w:r>
          </w:p>
          <w:p w14:paraId="4C5CFF27">
            <w:pPr>
              <w:keepNext w:val="0"/>
              <w:keepLines w:val="0"/>
              <w:suppressLineNumbers w:val="0"/>
              <w:spacing w:before="0" w:beforeAutospacing="0" w:after="0" w:afterAutospacing="0" w:line="360" w:lineRule="auto"/>
              <w:ind w:left="0" w:right="0"/>
              <w:contextualSpacing/>
              <w:rPr>
                <w:rFonts w:hint="eastAsia" w:ascii="宋体" w:hAnsi="宋体" w:eastAsia="宋体" w:cs="宋体"/>
                <w:color w:val="auto"/>
                <w:sz w:val="24"/>
              </w:rPr>
            </w:pPr>
            <w:r>
              <w:rPr>
                <w:rFonts w:hint="eastAsia" w:ascii="宋体" w:hAnsi="宋体" w:eastAsia="宋体" w:cs="宋体"/>
                <w:color w:val="auto"/>
                <w:sz w:val="24"/>
              </w:rPr>
              <w:t>加密的电子</w:t>
            </w:r>
            <w:r>
              <w:rPr>
                <w:rFonts w:hint="eastAsia" w:ascii="宋体" w:hAnsi="宋体" w:cs="宋体"/>
                <w:color w:val="auto"/>
                <w:sz w:val="24"/>
                <w:lang w:eastAsia="zh-CN"/>
              </w:rPr>
              <w:t>响应文件</w:t>
            </w:r>
            <w:r>
              <w:rPr>
                <w:rFonts w:hint="eastAsia" w:ascii="宋体" w:hAnsi="宋体" w:eastAsia="宋体" w:cs="宋体"/>
                <w:color w:val="auto"/>
                <w:sz w:val="24"/>
              </w:rPr>
              <w:t>（.zmdtf 格式）,应在</w:t>
            </w:r>
            <w:r>
              <w:rPr>
                <w:rFonts w:hint="eastAsia" w:ascii="宋体" w:hAnsi="宋体" w:cs="宋体"/>
                <w:color w:val="auto"/>
                <w:sz w:val="24"/>
                <w:lang w:eastAsia="zh-CN"/>
              </w:rPr>
              <w:t>响应文件</w:t>
            </w:r>
            <w:r>
              <w:rPr>
                <w:rFonts w:hint="eastAsia" w:ascii="宋体" w:hAnsi="宋体" w:eastAsia="宋体" w:cs="宋体"/>
                <w:color w:val="auto"/>
                <w:sz w:val="24"/>
              </w:rPr>
              <w:t>截止时间前通过“驻马店市公共资源交易中心（https://ggzy.zhumadian.gov.cn）”电子交易平台内上传；</w:t>
            </w:r>
          </w:p>
          <w:p w14:paraId="5F3A0630">
            <w:pPr>
              <w:keepNext w:val="0"/>
              <w:keepLines w:val="0"/>
              <w:suppressLineNumbers w:val="0"/>
              <w:spacing w:before="0" w:beforeAutospacing="0" w:after="0" w:afterAutospacing="0" w:line="360" w:lineRule="auto"/>
              <w:ind w:left="0" w:right="0"/>
              <w:contextualSpacing/>
              <w:rPr>
                <w:rFonts w:hint="eastAsia" w:ascii="宋体" w:hAnsi="宋体" w:eastAsia="宋体" w:cs="宋体"/>
                <w:color w:val="auto"/>
                <w:sz w:val="24"/>
              </w:rPr>
            </w:pPr>
            <w:r>
              <w:rPr>
                <w:rFonts w:hint="eastAsia" w:ascii="宋体" w:hAnsi="宋体" w:eastAsia="宋体" w:cs="宋体"/>
                <w:color w:val="auto"/>
                <w:sz w:val="24"/>
              </w:rPr>
              <w:t>4、加密的电子</w:t>
            </w:r>
            <w:r>
              <w:rPr>
                <w:rFonts w:hint="eastAsia" w:ascii="宋体" w:hAnsi="宋体" w:cs="宋体"/>
                <w:color w:val="auto"/>
                <w:sz w:val="24"/>
                <w:lang w:eastAsia="zh-CN"/>
              </w:rPr>
              <w:t>响应文件</w:t>
            </w:r>
            <w:r>
              <w:rPr>
                <w:rFonts w:hint="eastAsia" w:ascii="宋体" w:hAnsi="宋体" w:eastAsia="宋体" w:cs="宋体"/>
                <w:color w:val="auto"/>
                <w:sz w:val="24"/>
              </w:rPr>
              <w:t>为“驻马店市公共资源交易中心（https://ggzy.zhumadian.gov.cn）”网站提供的“</w:t>
            </w:r>
            <w:r>
              <w:rPr>
                <w:rFonts w:hint="eastAsia" w:ascii="宋体" w:hAnsi="宋体" w:eastAsia="宋体" w:cs="宋体"/>
                <w:color w:val="auto"/>
                <w:sz w:val="24"/>
                <w:lang w:eastAsia="zh-CN"/>
              </w:rPr>
              <w:t>新点投标文件制作软件</w:t>
            </w:r>
            <w:r>
              <w:rPr>
                <w:rFonts w:hint="eastAsia" w:ascii="宋体" w:hAnsi="宋体" w:eastAsia="宋体" w:cs="宋体"/>
                <w:color w:val="auto"/>
                <w:sz w:val="24"/>
              </w:rPr>
              <w:t>（驻马店）”制作生成的加密版</w:t>
            </w:r>
            <w:r>
              <w:rPr>
                <w:rFonts w:hint="eastAsia" w:ascii="宋体" w:hAnsi="宋体" w:cs="宋体"/>
                <w:color w:val="auto"/>
                <w:sz w:val="24"/>
                <w:lang w:eastAsia="zh-CN"/>
              </w:rPr>
              <w:t>响应文件</w:t>
            </w:r>
            <w:r>
              <w:rPr>
                <w:rFonts w:hint="eastAsia" w:ascii="宋体" w:hAnsi="宋体" w:eastAsia="宋体" w:cs="宋体"/>
                <w:color w:val="auto"/>
                <w:sz w:val="24"/>
              </w:rPr>
              <w:t>。</w:t>
            </w:r>
          </w:p>
          <w:p w14:paraId="1A23E431">
            <w:pPr>
              <w:keepNext w:val="0"/>
              <w:keepLines w:val="0"/>
              <w:suppressLineNumbers w:val="0"/>
              <w:spacing w:before="0" w:beforeAutospacing="0" w:after="0" w:afterAutospacing="0" w:line="360" w:lineRule="auto"/>
              <w:ind w:left="0" w:right="0"/>
              <w:contextualSpacing/>
              <w:rPr>
                <w:rFonts w:hint="eastAsia" w:ascii="宋体" w:hAnsi="宋体" w:eastAsia="宋体" w:cs="宋体"/>
                <w:color w:val="auto"/>
                <w:sz w:val="24"/>
              </w:rPr>
            </w:pPr>
            <w:r>
              <w:rPr>
                <w:rFonts w:hint="eastAsia" w:ascii="宋体" w:hAnsi="宋体" w:eastAsia="宋体" w:cs="宋体"/>
                <w:color w:val="auto"/>
                <w:sz w:val="24"/>
              </w:rPr>
              <w:t>5、供应商在编制电子</w:t>
            </w:r>
            <w:r>
              <w:rPr>
                <w:rFonts w:hint="eastAsia" w:ascii="宋体" w:hAnsi="宋体" w:cs="宋体"/>
                <w:color w:val="auto"/>
                <w:sz w:val="24"/>
                <w:lang w:eastAsia="zh-CN"/>
              </w:rPr>
              <w:t>响应文件</w:t>
            </w:r>
            <w:r>
              <w:rPr>
                <w:rFonts w:hint="eastAsia" w:ascii="宋体" w:hAnsi="宋体" w:eastAsia="宋体" w:cs="宋体"/>
                <w:color w:val="auto"/>
                <w:sz w:val="24"/>
              </w:rPr>
              <w:t>时，生成后的电子</w:t>
            </w:r>
            <w:r>
              <w:rPr>
                <w:rFonts w:hint="eastAsia" w:ascii="宋体" w:hAnsi="宋体" w:cs="宋体"/>
                <w:color w:val="auto"/>
                <w:sz w:val="24"/>
                <w:lang w:eastAsia="zh-CN"/>
              </w:rPr>
              <w:t>响应文件</w:t>
            </w:r>
            <w:r>
              <w:rPr>
                <w:rFonts w:hint="eastAsia" w:ascii="宋体" w:hAnsi="宋体" w:eastAsia="宋体" w:cs="宋体"/>
                <w:color w:val="auto"/>
                <w:sz w:val="24"/>
              </w:rPr>
              <w:t>须按谈判文件的格式要求完成电子签字或盖章。“开标一览表”报价将作为电子开标的唱标依据。其他要求签字盖章的谈判文件格式内容，供应商须将盖章签字后的扫描图片替换到相应格式中。</w:t>
            </w:r>
          </w:p>
          <w:p w14:paraId="64FBBE75">
            <w:pPr>
              <w:keepNext w:val="0"/>
              <w:keepLines w:val="0"/>
              <w:suppressLineNumbers w:val="0"/>
              <w:spacing w:before="0" w:beforeAutospacing="0" w:after="0" w:afterAutospacing="0" w:line="360" w:lineRule="auto"/>
              <w:ind w:left="0" w:right="0"/>
              <w:contextualSpacing/>
              <w:rPr>
                <w:rFonts w:hint="eastAsia" w:ascii="宋体" w:hAnsi="宋体" w:eastAsia="宋体" w:cs="宋体"/>
                <w:color w:val="auto"/>
                <w:sz w:val="24"/>
              </w:rPr>
            </w:pPr>
            <w:r>
              <w:rPr>
                <w:rFonts w:hint="eastAsia" w:ascii="宋体" w:hAnsi="宋体" w:eastAsia="宋体" w:cs="宋体"/>
                <w:color w:val="auto"/>
                <w:sz w:val="24"/>
              </w:rPr>
              <w:t>6、谈判文件格式所要求包含的全部资料应全部制作在</w:t>
            </w:r>
            <w:r>
              <w:rPr>
                <w:rFonts w:hint="eastAsia" w:ascii="宋体" w:hAnsi="宋体" w:cs="宋体"/>
                <w:color w:val="auto"/>
                <w:sz w:val="24"/>
                <w:lang w:eastAsia="zh-CN"/>
              </w:rPr>
              <w:t>响应文件</w:t>
            </w:r>
            <w:r>
              <w:rPr>
                <w:rFonts w:hint="eastAsia" w:ascii="宋体" w:hAnsi="宋体" w:eastAsia="宋体" w:cs="宋体"/>
                <w:color w:val="auto"/>
                <w:sz w:val="24"/>
              </w:rPr>
              <w:t>内，严格按照本项目谈判文件所有格式如实填写（不涉及的内容除外），不应存在漏项或缺项，否则将存在</w:t>
            </w:r>
            <w:r>
              <w:rPr>
                <w:rFonts w:hint="eastAsia" w:ascii="宋体" w:hAnsi="宋体" w:cs="宋体"/>
                <w:color w:val="auto"/>
                <w:sz w:val="24"/>
                <w:lang w:eastAsia="zh-CN"/>
              </w:rPr>
              <w:t>响应文件</w:t>
            </w:r>
            <w:r>
              <w:rPr>
                <w:rFonts w:hint="eastAsia" w:ascii="宋体" w:hAnsi="宋体" w:eastAsia="宋体" w:cs="宋体"/>
                <w:color w:val="auto"/>
                <w:sz w:val="24"/>
              </w:rPr>
              <w:t>被拒绝的风险。</w:t>
            </w:r>
          </w:p>
          <w:p w14:paraId="6A782E27">
            <w:pPr>
              <w:keepNext w:val="0"/>
              <w:keepLines w:val="0"/>
              <w:suppressLineNumbers w:val="0"/>
              <w:spacing w:before="0" w:beforeAutospacing="0" w:after="0" w:afterAutospacing="0" w:line="360" w:lineRule="auto"/>
              <w:ind w:left="0" w:right="0"/>
              <w:contextualSpacing/>
              <w:rPr>
                <w:rFonts w:hint="eastAsia" w:ascii="宋体" w:hAnsi="宋体" w:eastAsia="宋体" w:cs="宋体"/>
                <w:color w:val="auto"/>
                <w:sz w:val="24"/>
              </w:rPr>
            </w:pPr>
            <w:r>
              <w:rPr>
                <w:rFonts w:hint="eastAsia" w:ascii="宋体" w:hAnsi="宋体" w:eastAsia="宋体" w:cs="宋体"/>
                <w:color w:val="auto"/>
                <w:sz w:val="24"/>
              </w:rPr>
              <w:t>7、</w:t>
            </w:r>
            <w:r>
              <w:rPr>
                <w:rFonts w:hint="eastAsia" w:ascii="宋体" w:hAnsi="宋体" w:cs="宋体"/>
                <w:color w:val="auto"/>
                <w:sz w:val="24"/>
                <w:lang w:eastAsia="zh-CN"/>
              </w:rPr>
              <w:t>响应文件</w:t>
            </w:r>
            <w:r>
              <w:rPr>
                <w:rFonts w:hint="eastAsia" w:ascii="宋体" w:hAnsi="宋体" w:eastAsia="宋体" w:cs="宋体"/>
                <w:color w:val="auto"/>
                <w:sz w:val="24"/>
              </w:rPr>
              <w:t>以外的任何资料采购人和采购代理机构将拒收。</w:t>
            </w:r>
          </w:p>
          <w:p w14:paraId="6C291EFB">
            <w:pPr>
              <w:keepNext w:val="0"/>
              <w:keepLines w:val="0"/>
              <w:suppressLineNumbers w:val="0"/>
              <w:spacing w:before="0" w:beforeAutospacing="0" w:after="0" w:afterAutospacing="0" w:line="360" w:lineRule="auto"/>
              <w:ind w:left="0" w:right="0"/>
              <w:contextualSpacing/>
              <w:rPr>
                <w:rFonts w:hint="eastAsia" w:ascii="宋体" w:hAnsi="宋体" w:eastAsia="宋体" w:cs="宋体"/>
                <w:color w:val="auto"/>
                <w:sz w:val="24"/>
              </w:rPr>
            </w:pPr>
            <w:r>
              <w:rPr>
                <w:rFonts w:hint="eastAsia" w:ascii="宋体" w:hAnsi="宋体" w:eastAsia="宋体" w:cs="宋体"/>
                <w:color w:val="auto"/>
                <w:sz w:val="24"/>
              </w:rPr>
              <w:t>8、供应商编辑电子</w:t>
            </w:r>
            <w:r>
              <w:rPr>
                <w:rFonts w:hint="eastAsia" w:ascii="宋体" w:hAnsi="宋体" w:cs="宋体"/>
                <w:color w:val="auto"/>
                <w:sz w:val="24"/>
                <w:lang w:eastAsia="zh-CN"/>
              </w:rPr>
              <w:t>响应文件</w:t>
            </w:r>
            <w:r>
              <w:rPr>
                <w:rFonts w:hint="eastAsia" w:ascii="宋体" w:hAnsi="宋体" w:eastAsia="宋体" w:cs="宋体"/>
                <w:color w:val="auto"/>
                <w:sz w:val="24"/>
              </w:rPr>
              <w:t>时，根据谈判文件要求用法人 CA 密钥和企业CA 密钥进行签章制作；最后一步生成电子</w:t>
            </w:r>
            <w:r>
              <w:rPr>
                <w:rFonts w:hint="eastAsia" w:ascii="宋体" w:hAnsi="宋体" w:cs="宋体"/>
                <w:color w:val="auto"/>
                <w:sz w:val="24"/>
                <w:lang w:eastAsia="zh-CN"/>
              </w:rPr>
              <w:t>响应文件</w:t>
            </w:r>
            <w:r>
              <w:rPr>
                <w:rFonts w:hint="eastAsia" w:ascii="宋体" w:hAnsi="宋体" w:eastAsia="宋体" w:cs="宋体"/>
                <w:color w:val="auto"/>
                <w:sz w:val="24"/>
              </w:rPr>
              <w:t>（.zmdtf 格式和.nzmdtf 格式）时，只能用本单位的企业 CA 密钥。</w:t>
            </w:r>
          </w:p>
          <w:p w14:paraId="0B726E7A">
            <w:pPr>
              <w:keepNext w:val="0"/>
              <w:keepLines w:val="0"/>
              <w:suppressLineNumbers w:val="0"/>
              <w:spacing w:before="0" w:beforeAutospacing="0" w:after="0" w:afterAutospacing="0" w:line="360" w:lineRule="auto"/>
              <w:ind w:left="0" w:right="0"/>
              <w:contextualSpacing/>
              <w:jc w:val="left"/>
              <w:rPr>
                <w:rFonts w:hint="eastAsia" w:ascii="宋体" w:hAnsi="宋体" w:eastAsia="宋体" w:cs="宋体"/>
                <w:b/>
                <w:bCs/>
                <w:color w:val="auto"/>
                <w:kern w:val="0"/>
                <w:sz w:val="24"/>
              </w:rPr>
            </w:pPr>
            <w:r>
              <w:rPr>
                <w:rFonts w:hint="eastAsia" w:ascii="宋体" w:hAnsi="宋体" w:eastAsia="宋体" w:cs="宋体"/>
                <w:color w:val="auto"/>
                <w:sz w:val="24"/>
              </w:rPr>
              <w:t>9、电子</w:t>
            </w:r>
            <w:r>
              <w:rPr>
                <w:rFonts w:hint="eastAsia" w:ascii="宋体" w:hAnsi="宋体" w:cs="宋体"/>
                <w:color w:val="auto"/>
                <w:sz w:val="24"/>
                <w:lang w:eastAsia="zh-CN"/>
              </w:rPr>
              <w:t>响应文件</w:t>
            </w:r>
            <w:r>
              <w:rPr>
                <w:rFonts w:hint="eastAsia" w:ascii="宋体" w:hAnsi="宋体" w:eastAsia="宋体" w:cs="宋体"/>
                <w:color w:val="auto"/>
                <w:sz w:val="24"/>
              </w:rPr>
              <w:t>制作流程，可参考驻马店市公共资源交易中心官方网站的，下载中心板块的视频（http://ggzy.zhumadian.gov.cn/TPFront/InfoDetail/?InfoID=844e0ea7-2b6c-425d-99f6-91bd5b500e5e&amp;CategoryNum=026002）</w:t>
            </w:r>
          </w:p>
        </w:tc>
      </w:tr>
      <w:tr w14:paraId="1D24CC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14:paraId="7B2F4D47">
            <w:pPr>
              <w:keepNext w:val="0"/>
              <w:keepLines w:val="0"/>
              <w:widowControl/>
              <w:suppressLineNumbers w:val="0"/>
              <w:snapToGrid w:val="0"/>
              <w:spacing w:before="0" w:beforeAutospacing="0" w:after="0" w:afterAutospacing="0" w:line="360" w:lineRule="auto"/>
              <w:ind w:left="0" w:right="0"/>
              <w:contextualSpacing/>
              <w:jc w:val="center"/>
              <w:rPr>
                <w:rFonts w:hint="eastAsia" w:ascii="宋体" w:hAnsi="宋体" w:eastAsia="宋体" w:cs="宋体"/>
                <w:color w:val="auto"/>
                <w:kern w:val="0"/>
                <w:sz w:val="24"/>
              </w:rPr>
            </w:pPr>
            <w:r>
              <w:rPr>
                <w:rFonts w:hint="eastAsia" w:ascii="宋体" w:hAnsi="宋体" w:eastAsia="宋体" w:cs="宋体"/>
                <w:color w:val="auto"/>
                <w:kern w:val="0"/>
                <w:sz w:val="24"/>
              </w:rPr>
              <w:t>24</w:t>
            </w:r>
          </w:p>
        </w:tc>
        <w:tc>
          <w:tcPr>
            <w:tcW w:w="8371" w:type="dxa"/>
            <w:tcBorders>
              <w:top w:val="single" w:color="auto" w:sz="4" w:space="0"/>
              <w:left w:val="single" w:color="auto" w:sz="4" w:space="0"/>
              <w:bottom w:val="single" w:color="auto" w:sz="4" w:space="0"/>
              <w:right w:val="single" w:color="auto" w:sz="4" w:space="0"/>
            </w:tcBorders>
            <w:shd w:val="clear" w:color="auto" w:fill="auto"/>
            <w:vAlign w:val="center"/>
          </w:tcPr>
          <w:p w14:paraId="53398036">
            <w:pPr>
              <w:keepNext w:val="0"/>
              <w:keepLines w:val="0"/>
              <w:suppressLineNumbers w:val="0"/>
              <w:spacing w:before="0" w:beforeAutospacing="0" w:after="0" w:afterAutospacing="0" w:line="360" w:lineRule="auto"/>
              <w:ind w:left="0" w:right="0"/>
              <w:contextualSpacing/>
              <w:rPr>
                <w:rFonts w:hint="eastAsia" w:ascii="宋体" w:hAnsi="宋体" w:eastAsia="宋体" w:cs="宋体"/>
                <w:b/>
                <w:bCs/>
                <w:color w:val="auto"/>
                <w:kern w:val="0"/>
                <w:sz w:val="24"/>
              </w:rPr>
            </w:pPr>
            <w:r>
              <w:rPr>
                <w:rFonts w:hint="eastAsia" w:ascii="宋体" w:hAnsi="宋体" w:cs="宋体"/>
                <w:b/>
                <w:bCs/>
                <w:color w:val="auto"/>
                <w:sz w:val="24"/>
                <w:lang w:eastAsia="zh-CN"/>
              </w:rPr>
              <w:t>响应文件</w:t>
            </w:r>
            <w:r>
              <w:rPr>
                <w:rFonts w:hint="eastAsia" w:ascii="宋体" w:hAnsi="宋体" w:eastAsia="宋体" w:cs="宋体"/>
                <w:b/>
                <w:bCs/>
                <w:color w:val="auto"/>
                <w:sz w:val="24"/>
              </w:rPr>
              <w:t>上传:</w:t>
            </w:r>
            <w:r>
              <w:rPr>
                <w:rFonts w:hint="eastAsia" w:ascii="宋体" w:hAnsi="宋体" w:eastAsia="宋体" w:cs="宋体"/>
                <w:color w:val="auto"/>
                <w:sz w:val="24"/>
              </w:rPr>
              <w:t>详见第三章供应商须知第21条</w:t>
            </w:r>
          </w:p>
        </w:tc>
      </w:tr>
      <w:tr w14:paraId="665569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14:paraId="695751B1">
            <w:pPr>
              <w:keepNext w:val="0"/>
              <w:keepLines w:val="0"/>
              <w:widowControl/>
              <w:suppressLineNumbers w:val="0"/>
              <w:snapToGrid w:val="0"/>
              <w:spacing w:before="0" w:beforeAutospacing="0" w:after="0" w:afterAutospacing="0" w:line="360" w:lineRule="auto"/>
              <w:ind w:left="0" w:right="0"/>
              <w:contextualSpacing/>
              <w:jc w:val="center"/>
              <w:rPr>
                <w:rFonts w:hint="eastAsia" w:ascii="宋体" w:hAnsi="宋体" w:eastAsia="宋体" w:cs="宋体"/>
                <w:color w:val="auto"/>
                <w:kern w:val="0"/>
                <w:sz w:val="24"/>
              </w:rPr>
            </w:pPr>
            <w:r>
              <w:rPr>
                <w:rFonts w:hint="eastAsia" w:ascii="宋体" w:hAnsi="宋体" w:eastAsia="宋体" w:cs="宋体"/>
                <w:color w:val="auto"/>
                <w:kern w:val="0"/>
                <w:sz w:val="24"/>
              </w:rPr>
              <w:t>25</w:t>
            </w:r>
          </w:p>
        </w:tc>
        <w:tc>
          <w:tcPr>
            <w:tcW w:w="8371" w:type="dxa"/>
            <w:tcBorders>
              <w:top w:val="single" w:color="auto" w:sz="4" w:space="0"/>
              <w:left w:val="single" w:color="auto" w:sz="4" w:space="0"/>
              <w:bottom w:val="single" w:color="auto" w:sz="4" w:space="0"/>
              <w:right w:val="single" w:color="auto" w:sz="4" w:space="0"/>
            </w:tcBorders>
            <w:shd w:val="clear" w:color="auto" w:fill="auto"/>
            <w:vAlign w:val="center"/>
          </w:tcPr>
          <w:p w14:paraId="309CA52C">
            <w:pPr>
              <w:keepNext w:val="0"/>
              <w:keepLines w:val="0"/>
              <w:suppressLineNumbers w:val="0"/>
              <w:spacing w:before="0" w:beforeAutospacing="0" w:after="0" w:afterAutospacing="0" w:line="360" w:lineRule="auto"/>
              <w:ind w:left="0" w:right="0"/>
              <w:contextualSpacing/>
              <w:rPr>
                <w:rFonts w:hint="eastAsia" w:ascii="宋体" w:hAnsi="宋体" w:eastAsia="宋体" w:cs="宋体"/>
                <w:b/>
                <w:bCs/>
                <w:color w:val="auto"/>
                <w:sz w:val="24"/>
              </w:rPr>
            </w:pPr>
            <w:r>
              <w:rPr>
                <w:rFonts w:hint="eastAsia" w:ascii="宋体" w:hAnsi="宋体" w:eastAsia="宋体" w:cs="宋体"/>
                <w:b/>
                <w:bCs/>
                <w:color w:val="auto"/>
                <w:sz w:val="24"/>
              </w:rPr>
              <w:t xml:space="preserve">谈判文件的澄清与变更: </w:t>
            </w:r>
          </w:p>
          <w:p w14:paraId="1E159F16">
            <w:pPr>
              <w:keepNext w:val="0"/>
              <w:keepLines w:val="0"/>
              <w:suppressLineNumbers w:val="0"/>
              <w:spacing w:before="0" w:beforeAutospacing="0" w:after="0" w:afterAutospacing="0" w:line="360" w:lineRule="auto"/>
              <w:ind w:left="0" w:right="0"/>
              <w:contextualSpacing/>
              <w:rPr>
                <w:rFonts w:hint="eastAsia" w:ascii="宋体" w:hAnsi="宋体" w:eastAsia="宋体" w:cs="宋体"/>
                <w:color w:val="auto"/>
                <w:sz w:val="24"/>
              </w:rPr>
            </w:pPr>
            <w:r>
              <w:rPr>
                <w:rFonts w:hint="eastAsia" w:ascii="宋体" w:hAnsi="宋体" w:eastAsia="宋体" w:cs="宋体"/>
                <w:color w:val="auto"/>
                <w:sz w:val="24"/>
              </w:rPr>
              <w:t>1、采购人、采购代理机构对已发出的谈判文件进行的澄清、更正或更改，澄清、更正或更改的内容将作为谈判文件的组成部分。采购代理机构将通过网站“变更公告”和“答疑文件”告知供应商。各供应商须下载谈判文件和最新的答疑文件，以此编制</w:t>
            </w:r>
            <w:r>
              <w:rPr>
                <w:rFonts w:hint="eastAsia" w:ascii="宋体" w:hAnsi="宋体" w:cs="宋体"/>
                <w:color w:val="auto"/>
                <w:sz w:val="24"/>
                <w:lang w:eastAsia="zh-CN"/>
              </w:rPr>
              <w:t>响应文件</w:t>
            </w:r>
            <w:r>
              <w:rPr>
                <w:rFonts w:hint="eastAsia" w:ascii="宋体" w:hAnsi="宋体" w:eastAsia="宋体" w:cs="宋体"/>
                <w:color w:val="auto"/>
                <w:sz w:val="24"/>
              </w:rPr>
              <w:t>。</w:t>
            </w:r>
          </w:p>
          <w:p w14:paraId="5EB34139">
            <w:pPr>
              <w:keepNext w:val="0"/>
              <w:keepLines w:val="0"/>
              <w:suppressLineNumbers w:val="0"/>
              <w:spacing w:before="0" w:beforeAutospacing="0" w:after="0" w:afterAutospacing="0" w:line="360" w:lineRule="auto"/>
              <w:ind w:left="0" w:right="0"/>
              <w:contextualSpacing/>
              <w:rPr>
                <w:rFonts w:hint="eastAsia" w:ascii="宋体" w:hAnsi="宋体" w:eastAsia="宋体" w:cs="宋体"/>
                <w:bCs/>
                <w:color w:val="auto"/>
                <w:kern w:val="0"/>
                <w:sz w:val="24"/>
              </w:rPr>
            </w:pPr>
            <w:r>
              <w:rPr>
                <w:rFonts w:hint="eastAsia" w:ascii="宋体" w:hAnsi="宋体" w:eastAsia="宋体" w:cs="宋体"/>
                <w:color w:val="auto"/>
                <w:sz w:val="24"/>
              </w:rPr>
              <w:t>2、因驻马店市公共资源交易中心平台在开标前具有保密性，供应商在</w:t>
            </w:r>
            <w:r>
              <w:rPr>
                <w:rFonts w:hint="eastAsia" w:ascii="宋体" w:hAnsi="宋体" w:cs="宋体"/>
                <w:color w:val="auto"/>
                <w:sz w:val="24"/>
                <w:lang w:eastAsia="zh-CN"/>
              </w:rPr>
              <w:t>响应文件</w:t>
            </w:r>
            <w:r>
              <w:rPr>
                <w:rFonts w:hint="eastAsia" w:ascii="宋体" w:hAnsi="宋体" w:eastAsia="宋体" w:cs="宋体"/>
                <w:color w:val="auto"/>
                <w:sz w:val="24"/>
              </w:rPr>
              <w:t>递交截止时间前须自行查看项目进展、变更通知、澄清及回复，因供应商未及时查看而造成的后果自负。</w:t>
            </w:r>
          </w:p>
        </w:tc>
      </w:tr>
      <w:tr w14:paraId="0E2224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14:paraId="1794DC90">
            <w:pPr>
              <w:keepNext w:val="0"/>
              <w:keepLines w:val="0"/>
              <w:widowControl/>
              <w:suppressLineNumbers w:val="0"/>
              <w:snapToGrid w:val="0"/>
              <w:spacing w:before="0" w:beforeAutospacing="0" w:after="0" w:afterAutospacing="0" w:line="360" w:lineRule="auto"/>
              <w:ind w:left="0" w:right="0"/>
              <w:contextualSpacing/>
              <w:jc w:val="center"/>
              <w:rPr>
                <w:rFonts w:hint="eastAsia" w:ascii="宋体" w:hAnsi="宋体" w:eastAsia="宋体" w:cs="宋体"/>
                <w:color w:val="auto"/>
                <w:kern w:val="0"/>
                <w:sz w:val="24"/>
              </w:rPr>
            </w:pPr>
            <w:r>
              <w:rPr>
                <w:rFonts w:hint="eastAsia" w:ascii="宋体" w:hAnsi="宋体" w:eastAsia="宋体" w:cs="宋体"/>
                <w:color w:val="auto"/>
                <w:kern w:val="0"/>
                <w:sz w:val="24"/>
              </w:rPr>
              <w:t>26</w:t>
            </w:r>
          </w:p>
        </w:tc>
        <w:tc>
          <w:tcPr>
            <w:tcW w:w="8371" w:type="dxa"/>
            <w:tcBorders>
              <w:top w:val="single" w:color="auto" w:sz="4" w:space="0"/>
              <w:left w:val="single" w:color="auto" w:sz="4" w:space="0"/>
              <w:bottom w:val="single" w:color="auto" w:sz="4" w:space="0"/>
              <w:right w:val="single" w:color="auto" w:sz="4" w:space="0"/>
            </w:tcBorders>
            <w:shd w:val="clear" w:color="auto" w:fill="auto"/>
            <w:vAlign w:val="center"/>
          </w:tcPr>
          <w:p w14:paraId="4BC41810">
            <w:pPr>
              <w:keepNext w:val="0"/>
              <w:keepLines w:val="0"/>
              <w:suppressLineNumbers w:val="0"/>
              <w:spacing w:before="0" w:beforeAutospacing="0" w:after="0" w:afterAutospacing="0" w:line="360" w:lineRule="auto"/>
              <w:ind w:left="0" w:right="0"/>
              <w:contextualSpacing/>
              <w:rPr>
                <w:rFonts w:hint="eastAsia" w:ascii="宋体" w:hAnsi="宋体" w:eastAsia="宋体" w:cs="宋体"/>
                <w:b/>
                <w:bCs/>
                <w:color w:val="auto"/>
                <w:sz w:val="24"/>
              </w:rPr>
            </w:pPr>
            <w:r>
              <w:rPr>
                <w:rFonts w:hint="eastAsia" w:ascii="宋体" w:hAnsi="宋体" w:eastAsia="宋体" w:cs="宋体"/>
                <w:b/>
                <w:bCs/>
                <w:color w:val="auto"/>
                <w:sz w:val="24"/>
              </w:rPr>
              <w:t>开标：</w:t>
            </w:r>
          </w:p>
          <w:p w14:paraId="454BAA93">
            <w:pPr>
              <w:keepNext w:val="0"/>
              <w:keepLines w:val="0"/>
              <w:suppressLineNumbers w:val="0"/>
              <w:spacing w:before="0" w:beforeAutospacing="0" w:after="0" w:afterAutospacing="0" w:line="360" w:lineRule="auto"/>
              <w:ind w:left="0" w:right="0"/>
              <w:contextualSpacing/>
              <w:rPr>
                <w:rFonts w:hint="eastAsia" w:ascii="宋体" w:hAnsi="宋体" w:eastAsia="宋体" w:cs="宋体"/>
                <w:color w:val="auto"/>
                <w:sz w:val="24"/>
              </w:rPr>
            </w:pPr>
            <w:r>
              <w:rPr>
                <w:rFonts w:hint="eastAsia" w:ascii="宋体" w:hAnsi="宋体" w:eastAsia="宋体" w:cs="宋体"/>
                <w:b/>
                <w:bCs/>
                <w:color w:val="auto"/>
                <w:kern w:val="0"/>
                <w:sz w:val="24"/>
              </w:rPr>
              <w:t>1</w:t>
            </w:r>
            <w:r>
              <w:rPr>
                <w:rFonts w:hint="eastAsia" w:ascii="宋体" w:hAnsi="宋体" w:eastAsia="宋体" w:cs="宋体"/>
                <w:color w:val="auto"/>
                <w:sz w:val="24"/>
              </w:rPr>
              <w:t>、开标当日，供应商无需到达开标现场，仅需在任意地点使用企业CA 密钥登入驻马店市公共资源交易中心不见面开标大厅（http://ggzy.zhumadian.</w:t>
            </w:r>
          </w:p>
          <w:p w14:paraId="451935F8">
            <w:pPr>
              <w:keepNext w:val="0"/>
              <w:keepLines w:val="0"/>
              <w:suppressLineNumbers w:val="0"/>
              <w:spacing w:before="0" w:beforeAutospacing="0" w:after="0" w:afterAutospacing="0" w:line="360" w:lineRule="auto"/>
              <w:ind w:left="0" w:right="0"/>
              <w:contextualSpacing/>
              <w:rPr>
                <w:rFonts w:hint="eastAsia" w:ascii="宋体" w:hAnsi="宋体" w:eastAsia="宋体" w:cs="宋体"/>
                <w:color w:val="auto"/>
                <w:sz w:val="24"/>
              </w:rPr>
            </w:pPr>
            <w:r>
              <w:rPr>
                <w:rFonts w:hint="eastAsia" w:ascii="宋体" w:hAnsi="宋体" w:eastAsia="宋体" w:cs="宋体"/>
                <w:color w:val="auto"/>
                <w:sz w:val="24"/>
              </w:rPr>
              <w:t>gov.cn:9190/BidOpening/bidopeninghallaction/hall/login）及相应的配套硬件设备（摄像头、话筒、麦克风等）参加开标会议。</w:t>
            </w:r>
          </w:p>
          <w:p w14:paraId="3D806A62">
            <w:pPr>
              <w:keepNext w:val="0"/>
              <w:keepLines w:val="0"/>
              <w:suppressLineNumbers w:val="0"/>
              <w:spacing w:before="0" w:beforeAutospacing="0" w:after="0" w:afterAutospacing="0" w:line="360" w:lineRule="auto"/>
              <w:ind w:left="0" w:right="0"/>
              <w:contextualSpacing/>
              <w:rPr>
                <w:rFonts w:hint="eastAsia" w:ascii="宋体" w:hAnsi="宋体" w:eastAsia="宋体" w:cs="宋体"/>
                <w:color w:val="auto"/>
                <w:sz w:val="24"/>
              </w:rPr>
            </w:pPr>
            <w:r>
              <w:rPr>
                <w:rFonts w:hint="eastAsia" w:ascii="宋体" w:hAnsi="宋体" w:eastAsia="宋体" w:cs="宋体"/>
                <w:color w:val="auto"/>
                <w:sz w:val="24"/>
              </w:rPr>
              <w:t>2、开标时，供应商必须使用能正确解密</w:t>
            </w:r>
            <w:r>
              <w:rPr>
                <w:rFonts w:hint="eastAsia" w:ascii="宋体" w:hAnsi="宋体" w:cs="宋体"/>
                <w:color w:val="auto"/>
                <w:sz w:val="24"/>
                <w:lang w:eastAsia="zh-CN"/>
              </w:rPr>
              <w:t>响应文件</w:t>
            </w:r>
            <w:r>
              <w:rPr>
                <w:rFonts w:hint="eastAsia" w:ascii="宋体" w:hAnsi="宋体" w:eastAsia="宋体" w:cs="宋体"/>
                <w:color w:val="auto"/>
                <w:sz w:val="24"/>
              </w:rPr>
              <w:t>的CA 密钥在规定的时间内完成远程解密，因供应商原因未能解密、解密失败或解密超时，视为供应商撤销其</w:t>
            </w:r>
            <w:r>
              <w:rPr>
                <w:rFonts w:hint="eastAsia" w:ascii="宋体" w:hAnsi="宋体" w:cs="宋体"/>
                <w:color w:val="auto"/>
                <w:sz w:val="24"/>
                <w:lang w:eastAsia="zh-CN"/>
              </w:rPr>
              <w:t>响应文件</w:t>
            </w:r>
            <w:r>
              <w:rPr>
                <w:rFonts w:hint="eastAsia" w:ascii="宋体" w:hAnsi="宋体" w:eastAsia="宋体" w:cs="宋体"/>
                <w:color w:val="auto"/>
                <w:sz w:val="24"/>
              </w:rPr>
              <w:t>，系统内</w:t>
            </w:r>
            <w:r>
              <w:rPr>
                <w:rFonts w:hint="eastAsia" w:ascii="宋体" w:hAnsi="宋体" w:cs="宋体"/>
                <w:color w:val="auto"/>
                <w:sz w:val="24"/>
                <w:lang w:eastAsia="zh-CN"/>
              </w:rPr>
              <w:t>响应文件</w:t>
            </w:r>
            <w:r>
              <w:rPr>
                <w:rFonts w:hint="eastAsia" w:ascii="宋体" w:hAnsi="宋体" w:eastAsia="宋体" w:cs="宋体"/>
                <w:color w:val="auto"/>
                <w:sz w:val="24"/>
              </w:rPr>
              <w:t>将被退回；因招标人原因或网上招投标平台发生故障，导致供应商无法按时完成</w:t>
            </w:r>
            <w:r>
              <w:rPr>
                <w:rFonts w:hint="eastAsia" w:ascii="宋体" w:hAnsi="宋体" w:cs="宋体"/>
                <w:color w:val="auto"/>
                <w:sz w:val="24"/>
                <w:lang w:eastAsia="zh-CN"/>
              </w:rPr>
              <w:t>响应文件</w:t>
            </w:r>
            <w:r>
              <w:rPr>
                <w:rFonts w:hint="eastAsia" w:ascii="宋体" w:hAnsi="宋体" w:eastAsia="宋体" w:cs="宋体"/>
                <w:color w:val="auto"/>
                <w:sz w:val="24"/>
              </w:rPr>
              <w:t>解密或开、评标工作无法进行的，可根据实际情况报请批准后相应延迟解密时间或调整开、评标时间（友情提示：若供应商已领取副锁（含多把副锁）请注意正副锁的使用差别）。</w:t>
            </w:r>
          </w:p>
          <w:p w14:paraId="422CDB51">
            <w:pPr>
              <w:keepNext w:val="0"/>
              <w:keepLines w:val="0"/>
              <w:suppressLineNumbers w:val="0"/>
              <w:spacing w:before="0" w:beforeAutospacing="0" w:after="0" w:afterAutospacing="0" w:line="360" w:lineRule="auto"/>
              <w:ind w:left="0" w:right="0"/>
              <w:contextualSpacing/>
              <w:rPr>
                <w:rFonts w:hint="eastAsia" w:ascii="宋体" w:hAnsi="宋体" w:eastAsia="宋体" w:cs="宋体"/>
                <w:color w:val="auto"/>
                <w:sz w:val="24"/>
              </w:rPr>
            </w:pPr>
            <w:r>
              <w:rPr>
                <w:rFonts w:hint="eastAsia" w:ascii="宋体" w:hAnsi="宋体" w:eastAsia="宋体" w:cs="宋体"/>
                <w:color w:val="auto"/>
                <w:sz w:val="24"/>
              </w:rPr>
              <w:t>3、远程开标前，供应商务必在驻马店市公共资源交易电子交易平台（http://ggzy.zhumadian.gov.cn:8820/TPBidder）</w:t>
            </w:r>
            <w:r>
              <w:rPr>
                <w:rFonts w:hint="eastAsia" w:ascii="宋体" w:hAnsi="宋体" w:cs="宋体"/>
                <w:color w:val="auto"/>
                <w:sz w:val="24"/>
                <w:lang w:eastAsia="zh-CN"/>
              </w:rPr>
              <w:t>响应文件</w:t>
            </w:r>
            <w:r>
              <w:rPr>
                <w:rFonts w:hint="eastAsia" w:ascii="宋体" w:hAnsi="宋体" w:eastAsia="宋体" w:cs="宋体"/>
                <w:color w:val="auto"/>
                <w:sz w:val="24"/>
              </w:rPr>
              <w:t>上传模块中使用“模拟解密”功能，验证本机远程自助解密环境。</w:t>
            </w:r>
          </w:p>
          <w:p w14:paraId="4FC848DA">
            <w:pPr>
              <w:keepNext w:val="0"/>
              <w:keepLines w:val="0"/>
              <w:suppressLineNumbers w:val="0"/>
              <w:spacing w:before="0" w:beforeAutospacing="0" w:after="0" w:afterAutospacing="0" w:line="360" w:lineRule="auto"/>
              <w:ind w:left="0" w:right="0"/>
              <w:textAlignment w:val="bottom"/>
              <w:rPr>
                <w:rFonts w:hint="eastAsia" w:ascii="宋体" w:hAnsi="宋体" w:eastAsia="宋体" w:cs="宋体"/>
                <w:b/>
                <w:bCs/>
                <w:color w:val="auto"/>
                <w:sz w:val="24"/>
              </w:rPr>
            </w:pPr>
            <w:r>
              <w:rPr>
                <w:rFonts w:hint="eastAsia" w:ascii="宋体" w:hAnsi="宋体" w:eastAsia="宋体" w:cs="宋体"/>
                <w:b/>
                <w:bCs/>
                <w:color w:val="auto"/>
                <w:sz w:val="24"/>
              </w:rPr>
              <w:t>4、特别提醒：</w:t>
            </w:r>
          </w:p>
          <w:p w14:paraId="015108A1">
            <w:pPr>
              <w:keepNext w:val="0"/>
              <w:keepLines w:val="0"/>
              <w:suppressLineNumbers w:val="0"/>
              <w:spacing w:before="0" w:beforeAutospacing="0" w:after="0" w:afterAutospacing="0" w:line="360" w:lineRule="auto"/>
              <w:ind w:left="0" w:right="0"/>
              <w:contextualSpacing/>
              <w:rPr>
                <w:rFonts w:hint="eastAsia" w:ascii="宋体" w:hAnsi="宋体" w:eastAsia="宋体" w:cs="宋体"/>
                <w:color w:val="auto"/>
                <w:sz w:val="24"/>
              </w:rPr>
            </w:pPr>
            <w:r>
              <w:rPr>
                <w:rFonts w:hint="eastAsia" w:ascii="宋体" w:hAnsi="宋体" w:eastAsia="宋体" w:cs="宋体"/>
                <w:bCs/>
                <w:color w:val="auto"/>
                <w:kern w:val="0"/>
                <w:sz w:val="24"/>
              </w:rPr>
              <w:t xml:space="preserve">  </w:t>
            </w:r>
            <w:r>
              <w:rPr>
                <w:rFonts w:hint="eastAsia" w:ascii="宋体" w:hAnsi="宋体" w:eastAsia="宋体" w:cs="宋体"/>
                <w:color w:val="auto"/>
                <w:sz w:val="24"/>
              </w:rPr>
              <w:t xml:space="preserve">  因驻马店市公共资源不见面交易系统具备视频直播、语音通话等，对网络带宽及硬件要求相对较高的功能，故供应商在参与使用不见面交易系统开标的项目时，需确认是否满足如下要求：</w:t>
            </w:r>
          </w:p>
          <w:p w14:paraId="5D7856E8">
            <w:pPr>
              <w:keepNext w:val="0"/>
              <w:keepLines w:val="0"/>
              <w:suppressLineNumbers w:val="0"/>
              <w:spacing w:before="0" w:beforeAutospacing="0" w:after="0" w:afterAutospacing="0" w:line="360" w:lineRule="auto"/>
              <w:ind w:left="0" w:right="0"/>
              <w:contextualSpacing/>
              <w:rPr>
                <w:rFonts w:hint="eastAsia" w:ascii="宋体" w:hAnsi="宋体" w:eastAsia="宋体" w:cs="宋体"/>
                <w:color w:val="auto"/>
                <w:sz w:val="24"/>
              </w:rPr>
            </w:pPr>
            <w:r>
              <w:rPr>
                <w:rFonts w:hint="eastAsia" w:ascii="宋体" w:hAnsi="宋体" w:eastAsia="宋体" w:cs="宋体"/>
                <w:color w:val="auto"/>
                <w:sz w:val="24"/>
              </w:rPr>
              <w:t>（1）网络要求：网络带宽4M以上。</w:t>
            </w:r>
          </w:p>
          <w:p w14:paraId="49807C2C">
            <w:pPr>
              <w:keepNext w:val="0"/>
              <w:keepLines w:val="0"/>
              <w:suppressLineNumbers w:val="0"/>
              <w:spacing w:before="0" w:beforeAutospacing="0" w:after="0" w:afterAutospacing="0" w:line="360" w:lineRule="auto"/>
              <w:ind w:left="0" w:right="0"/>
              <w:contextualSpacing/>
              <w:rPr>
                <w:rFonts w:hint="eastAsia" w:ascii="宋体" w:hAnsi="宋体" w:eastAsia="宋体" w:cs="宋体"/>
                <w:color w:val="auto"/>
                <w:sz w:val="24"/>
              </w:rPr>
            </w:pPr>
            <w:r>
              <w:rPr>
                <w:rFonts w:hint="eastAsia" w:ascii="宋体" w:hAnsi="宋体" w:eastAsia="宋体" w:cs="宋体"/>
                <w:color w:val="auto"/>
                <w:sz w:val="24"/>
              </w:rPr>
              <w:t>（2）硬件要求：电脑要求内存4G及以上，且需配套网络摄像头、麦克风、音箱等，并确保其均能正常运转。操作系统要求Windows7及以上，IE浏览器IE11及以上。</w:t>
            </w:r>
          </w:p>
          <w:p w14:paraId="23E7CFC4">
            <w:pPr>
              <w:keepNext w:val="0"/>
              <w:keepLines w:val="0"/>
              <w:suppressLineNumbers w:val="0"/>
              <w:spacing w:before="0" w:beforeAutospacing="0" w:after="0" w:afterAutospacing="0" w:line="360" w:lineRule="auto"/>
              <w:ind w:left="0" w:right="0"/>
              <w:contextualSpacing/>
              <w:rPr>
                <w:rFonts w:hint="eastAsia" w:ascii="宋体" w:hAnsi="宋体" w:eastAsia="宋体" w:cs="宋体"/>
                <w:color w:val="auto"/>
                <w:sz w:val="24"/>
              </w:rPr>
            </w:pPr>
            <w:r>
              <w:rPr>
                <w:rFonts w:hint="eastAsia" w:ascii="宋体" w:hAnsi="宋体" w:eastAsia="宋体" w:cs="宋体"/>
                <w:color w:val="auto"/>
                <w:sz w:val="24"/>
              </w:rPr>
              <w:t>（3）人员要求：对于参与驻马店不见面交易系统开标的供应商，要求能熟练掌握电脑基础操作。不见面开标操作手册下载地址：</w:t>
            </w:r>
          </w:p>
          <w:p w14:paraId="327FC383">
            <w:pPr>
              <w:keepNext w:val="0"/>
              <w:keepLines w:val="0"/>
              <w:suppressLineNumbers w:val="0"/>
              <w:spacing w:before="0" w:beforeAutospacing="0" w:after="0" w:afterAutospacing="0" w:line="360" w:lineRule="auto"/>
              <w:ind w:left="0" w:right="0"/>
              <w:contextualSpacing/>
              <w:rPr>
                <w:rFonts w:hint="eastAsia" w:ascii="宋体" w:hAnsi="宋体" w:eastAsia="宋体" w:cs="宋体"/>
                <w:bCs/>
                <w:color w:val="auto"/>
                <w:kern w:val="0"/>
                <w:sz w:val="24"/>
              </w:rPr>
            </w:pPr>
            <w:r>
              <w:rPr>
                <w:rFonts w:hint="eastAsia" w:ascii="宋体" w:hAnsi="宋体" w:eastAsia="宋体" w:cs="宋体"/>
                <w:color w:val="auto"/>
                <w:sz w:val="24"/>
              </w:rPr>
              <w:t>（http://ggzy.zhumadian.gov.cn/TPFront/InfoDetail/?InfoID=6e085538-6be5-4d25-80b2-12f5fc669ba1&amp;CategoryNum=026005）</w:t>
            </w:r>
          </w:p>
        </w:tc>
      </w:tr>
      <w:tr w14:paraId="6F1B9A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14:paraId="46013B26">
            <w:pPr>
              <w:keepNext w:val="0"/>
              <w:keepLines w:val="0"/>
              <w:widowControl/>
              <w:suppressLineNumbers w:val="0"/>
              <w:snapToGrid w:val="0"/>
              <w:spacing w:before="0" w:beforeAutospacing="0" w:after="0" w:afterAutospacing="0" w:line="360" w:lineRule="auto"/>
              <w:ind w:left="0" w:right="0"/>
              <w:contextualSpacing/>
              <w:jc w:val="center"/>
              <w:rPr>
                <w:rFonts w:hint="eastAsia" w:ascii="宋体" w:hAnsi="宋体" w:eastAsia="宋体" w:cs="宋体"/>
                <w:color w:val="auto"/>
                <w:kern w:val="0"/>
                <w:sz w:val="24"/>
              </w:rPr>
            </w:pPr>
            <w:r>
              <w:rPr>
                <w:rFonts w:hint="eastAsia" w:ascii="宋体" w:hAnsi="宋体" w:eastAsia="宋体" w:cs="宋体"/>
                <w:color w:val="auto"/>
                <w:kern w:val="0"/>
                <w:sz w:val="24"/>
              </w:rPr>
              <w:t>27</w:t>
            </w:r>
          </w:p>
        </w:tc>
        <w:tc>
          <w:tcPr>
            <w:tcW w:w="8371" w:type="dxa"/>
            <w:tcBorders>
              <w:top w:val="single" w:color="auto" w:sz="4" w:space="0"/>
              <w:left w:val="single" w:color="auto" w:sz="4" w:space="0"/>
              <w:bottom w:val="single" w:color="auto" w:sz="4" w:space="0"/>
              <w:right w:val="single" w:color="auto" w:sz="4" w:space="0"/>
            </w:tcBorders>
            <w:shd w:val="clear" w:color="auto" w:fill="auto"/>
            <w:vAlign w:val="center"/>
          </w:tcPr>
          <w:p w14:paraId="78705507">
            <w:pPr>
              <w:keepNext w:val="0"/>
              <w:keepLines w:val="0"/>
              <w:suppressLineNumbers w:val="0"/>
              <w:spacing w:before="0" w:beforeAutospacing="0" w:after="0" w:afterAutospacing="0" w:line="360" w:lineRule="auto"/>
              <w:ind w:left="0" w:right="0"/>
              <w:contextualSpacing/>
              <w:rPr>
                <w:rFonts w:hint="eastAsia" w:ascii="宋体" w:hAnsi="宋体" w:eastAsia="宋体" w:cs="宋体"/>
                <w:b/>
                <w:bCs/>
                <w:color w:val="auto"/>
                <w:kern w:val="0"/>
                <w:sz w:val="24"/>
              </w:rPr>
            </w:pPr>
            <w:r>
              <w:rPr>
                <w:rFonts w:hint="eastAsia" w:ascii="宋体" w:hAnsi="宋体" w:eastAsia="宋体" w:cs="宋体"/>
                <w:b/>
                <w:bCs/>
                <w:color w:val="auto"/>
                <w:sz w:val="24"/>
              </w:rPr>
              <w:t>评标：</w:t>
            </w:r>
            <w:r>
              <w:rPr>
                <w:rFonts w:hint="eastAsia" w:ascii="宋体" w:hAnsi="宋体" w:eastAsia="宋体" w:cs="宋体"/>
                <w:color w:val="auto"/>
                <w:sz w:val="24"/>
              </w:rPr>
              <w:t>详见第三章供应商须知第23、24、25、26、27、28、29、30条</w:t>
            </w:r>
          </w:p>
        </w:tc>
      </w:tr>
      <w:tr w14:paraId="07B6FD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14:paraId="06128B2A">
            <w:pPr>
              <w:keepNext w:val="0"/>
              <w:keepLines w:val="0"/>
              <w:widowControl/>
              <w:suppressLineNumbers w:val="0"/>
              <w:snapToGrid w:val="0"/>
              <w:spacing w:before="0" w:beforeAutospacing="0" w:after="0" w:afterAutospacing="0" w:line="360" w:lineRule="auto"/>
              <w:ind w:left="0" w:right="0"/>
              <w:contextualSpacing/>
              <w:jc w:val="center"/>
              <w:rPr>
                <w:rFonts w:hint="eastAsia" w:ascii="宋体" w:hAnsi="宋体" w:eastAsia="宋体" w:cs="宋体"/>
                <w:color w:val="auto"/>
                <w:kern w:val="0"/>
                <w:sz w:val="24"/>
              </w:rPr>
            </w:pPr>
            <w:r>
              <w:rPr>
                <w:rFonts w:hint="eastAsia" w:ascii="宋体" w:hAnsi="宋体" w:eastAsia="宋体" w:cs="宋体"/>
                <w:color w:val="auto"/>
                <w:kern w:val="0"/>
                <w:sz w:val="24"/>
              </w:rPr>
              <w:t>28</w:t>
            </w:r>
          </w:p>
        </w:tc>
        <w:tc>
          <w:tcPr>
            <w:tcW w:w="8371" w:type="dxa"/>
            <w:tcBorders>
              <w:top w:val="single" w:color="auto" w:sz="4" w:space="0"/>
              <w:left w:val="single" w:color="auto" w:sz="4" w:space="0"/>
              <w:bottom w:val="single" w:color="auto" w:sz="4" w:space="0"/>
              <w:right w:val="single" w:color="auto" w:sz="4" w:space="0"/>
            </w:tcBorders>
            <w:shd w:val="clear" w:color="auto" w:fill="auto"/>
            <w:vAlign w:val="center"/>
          </w:tcPr>
          <w:p w14:paraId="37DE7A48">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rPr>
            </w:pPr>
            <w:r>
              <w:rPr>
                <w:rFonts w:hint="eastAsia" w:ascii="宋体" w:hAnsi="宋体" w:eastAsia="宋体" w:cs="宋体"/>
                <w:color w:val="auto"/>
                <w:sz w:val="24"/>
              </w:rPr>
              <w:t>解释：构成本谈判文件的各个组成文件应互为解释，互为说明；如有不明确或不一致，构成合同文件组成内容的，以合同文件约定内容为准；除谈判文件中有特殊规定外，仅适用于招标投标阶段的规定，按竞争性谈判公告、供应商须知、评标办法、</w:t>
            </w:r>
            <w:r>
              <w:rPr>
                <w:rFonts w:hint="eastAsia" w:ascii="宋体" w:hAnsi="宋体" w:cs="宋体"/>
                <w:color w:val="auto"/>
                <w:sz w:val="24"/>
                <w:lang w:eastAsia="zh-CN"/>
              </w:rPr>
              <w:t>响应文件</w:t>
            </w:r>
            <w:r>
              <w:rPr>
                <w:rFonts w:hint="eastAsia" w:ascii="宋体" w:hAnsi="宋体" w:eastAsia="宋体" w:cs="宋体"/>
                <w:color w:val="auto"/>
                <w:sz w:val="24"/>
              </w:rPr>
              <w:t>格式的先后顺序解释；同一组成文件中就同一事项的规定或约定不一致的，以编排顺序在后者为准；当谈判文件与谈判文件的澄清、修改或补充通知就同一内容的表述不一致时，以最后发出的书面文件为准。合同文件约定或后者明显错误的除外。</w:t>
            </w:r>
          </w:p>
          <w:p w14:paraId="100E943D">
            <w:pPr>
              <w:keepNext w:val="0"/>
              <w:keepLines w:val="0"/>
              <w:suppressLineNumbers w:val="0"/>
              <w:spacing w:before="0" w:beforeAutospacing="0" w:after="0" w:afterAutospacing="0" w:line="360" w:lineRule="auto"/>
              <w:ind w:left="0" w:right="0"/>
              <w:contextualSpacing/>
              <w:rPr>
                <w:rFonts w:hint="eastAsia" w:ascii="宋体" w:hAnsi="宋体" w:eastAsia="宋体" w:cs="宋体"/>
                <w:color w:val="auto"/>
                <w:sz w:val="24"/>
              </w:rPr>
            </w:pPr>
            <w:r>
              <w:rPr>
                <w:rFonts w:hint="eastAsia" w:ascii="宋体" w:hAnsi="宋体" w:eastAsia="宋体" w:cs="宋体"/>
                <w:color w:val="auto"/>
                <w:sz w:val="24"/>
              </w:rPr>
              <w:t>按本款前述规定仍不能形成结论的，由采购人（或采购代理机构）负责解释。</w:t>
            </w:r>
          </w:p>
        </w:tc>
      </w:tr>
    </w:tbl>
    <w:p w14:paraId="6E417CCB">
      <w:pPr>
        <w:widowControl/>
        <w:shd w:val="clear" w:color="auto" w:fill="FFFFFF"/>
        <w:spacing w:line="460" w:lineRule="atLeast"/>
        <w:jc w:val="center"/>
        <w:rPr>
          <w:rFonts w:hint="eastAsia" w:ascii="宋体" w:hAnsi="宋体" w:eastAsia="宋体" w:cs="宋体"/>
          <w:b/>
          <w:bCs/>
          <w:color w:val="auto"/>
          <w:kern w:val="0"/>
          <w:sz w:val="32"/>
          <w:szCs w:val="32"/>
        </w:rPr>
      </w:pPr>
    </w:p>
    <w:p w14:paraId="66909EB4">
      <w:pPr>
        <w:widowControl/>
        <w:shd w:val="clear" w:color="auto" w:fill="FFFFFF"/>
        <w:spacing w:line="460" w:lineRule="atLeast"/>
        <w:jc w:val="center"/>
        <w:rPr>
          <w:rFonts w:hint="eastAsia" w:ascii="宋体" w:hAnsi="宋体" w:eastAsia="宋体" w:cs="宋体"/>
          <w:color w:val="auto"/>
          <w:kern w:val="0"/>
          <w:sz w:val="24"/>
        </w:rPr>
      </w:pPr>
      <w:r>
        <w:rPr>
          <w:rFonts w:hint="eastAsia" w:ascii="宋体" w:hAnsi="宋体" w:eastAsia="宋体" w:cs="宋体"/>
          <w:b/>
          <w:bCs/>
          <w:color w:val="auto"/>
          <w:kern w:val="0"/>
          <w:sz w:val="32"/>
          <w:szCs w:val="32"/>
        </w:rPr>
        <w:t>一</w:t>
      </w:r>
      <w:r>
        <w:rPr>
          <w:rFonts w:hint="eastAsia" w:ascii="宋体" w:hAnsi="宋体" w:eastAsia="宋体" w:cs="宋体"/>
          <w:b/>
          <w:bCs/>
          <w:color w:val="auto"/>
          <w:kern w:val="0"/>
          <w:sz w:val="32"/>
        </w:rPr>
        <w:t> </w:t>
      </w:r>
      <w:r>
        <w:rPr>
          <w:rFonts w:hint="eastAsia" w:ascii="宋体" w:hAnsi="宋体" w:eastAsia="宋体" w:cs="宋体"/>
          <w:b/>
          <w:bCs/>
          <w:color w:val="auto"/>
          <w:kern w:val="0"/>
          <w:sz w:val="32"/>
          <w:szCs w:val="32"/>
        </w:rPr>
        <w:t> 说   </w:t>
      </w:r>
      <w:r>
        <w:rPr>
          <w:rFonts w:hint="eastAsia" w:ascii="宋体" w:hAnsi="宋体" w:eastAsia="宋体" w:cs="宋体"/>
          <w:b/>
          <w:bCs/>
          <w:color w:val="auto"/>
          <w:kern w:val="0"/>
          <w:sz w:val="32"/>
        </w:rPr>
        <w:t> </w:t>
      </w:r>
      <w:r>
        <w:rPr>
          <w:rFonts w:hint="eastAsia" w:ascii="宋体" w:hAnsi="宋体" w:eastAsia="宋体" w:cs="宋体"/>
          <w:b/>
          <w:bCs/>
          <w:color w:val="auto"/>
          <w:kern w:val="0"/>
          <w:sz w:val="32"/>
          <w:szCs w:val="32"/>
        </w:rPr>
        <w:t>明</w:t>
      </w:r>
    </w:p>
    <w:p w14:paraId="606061A4">
      <w:pPr>
        <w:widowControl/>
        <w:shd w:val="clear" w:color="auto" w:fill="FFFFFF"/>
        <w:spacing w:line="360" w:lineRule="auto"/>
        <w:ind w:firstLine="482"/>
        <w:jc w:val="left"/>
        <w:rPr>
          <w:rFonts w:hint="eastAsia" w:ascii="宋体" w:hAnsi="宋体" w:eastAsia="宋体" w:cs="宋体"/>
          <w:color w:val="auto"/>
          <w:kern w:val="0"/>
          <w:sz w:val="24"/>
        </w:rPr>
      </w:pPr>
      <w:r>
        <w:rPr>
          <w:rFonts w:hint="eastAsia" w:ascii="宋体" w:hAnsi="宋体" w:eastAsia="宋体" w:cs="宋体"/>
          <w:b/>
          <w:bCs/>
          <w:color w:val="auto"/>
          <w:kern w:val="0"/>
          <w:sz w:val="24"/>
        </w:rPr>
        <w:t>1.适用范围</w:t>
      </w:r>
    </w:p>
    <w:p w14:paraId="5D5E75C6">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本竞争性谈判文件仅适用于竞争性谈判公告中所叙述项目的服务采购。</w:t>
      </w:r>
    </w:p>
    <w:p w14:paraId="68650A7D">
      <w:pPr>
        <w:widowControl/>
        <w:shd w:val="clear" w:color="auto" w:fill="FFFFFF"/>
        <w:spacing w:line="360" w:lineRule="auto"/>
        <w:ind w:firstLine="482"/>
        <w:jc w:val="left"/>
        <w:rPr>
          <w:rFonts w:hint="eastAsia" w:ascii="宋体" w:hAnsi="宋体" w:eastAsia="宋体" w:cs="宋体"/>
          <w:color w:val="auto"/>
          <w:kern w:val="0"/>
          <w:sz w:val="24"/>
        </w:rPr>
      </w:pPr>
      <w:r>
        <w:rPr>
          <w:rFonts w:hint="eastAsia" w:ascii="宋体" w:hAnsi="宋体" w:eastAsia="宋体" w:cs="宋体"/>
          <w:b/>
          <w:bCs/>
          <w:color w:val="auto"/>
          <w:kern w:val="0"/>
          <w:sz w:val="24"/>
        </w:rPr>
        <w:t>2.定义</w:t>
      </w:r>
    </w:p>
    <w:p w14:paraId="59A68664">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2.1 “采购人”系指本次采购项目的业主方。</w:t>
      </w:r>
    </w:p>
    <w:p w14:paraId="37AF5DF2">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2.2 “采购代理机构”系指本次采购项目活动组织方。</w:t>
      </w:r>
    </w:p>
    <w:p w14:paraId="74B4FE9C">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2.3 “供应商”系指购买了本竞争性谈判文件，且已经提交本次</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的制造商或经销商。</w:t>
      </w:r>
    </w:p>
    <w:p w14:paraId="076FB285">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2.4 “供应商代表”系指代表供应商参加本次谈判活动的供应商的法定代表人或其委托代理人。</w:t>
      </w:r>
    </w:p>
    <w:p w14:paraId="7687BF70">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2.5 </w:t>
      </w:r>
      <w:r>
        <w:rPr>
          <w:rFonts w:hint="eastAsia" w:ascii="宋体" w:hAnsi="宋体" w:cs="宋体"/>
          <w:color w:val="auto"/>
          <w:kern w:val="0"/>
          <w:sz w:val="24"/>
        </w:rPr>
        <w:t>“服务”系指供应商按竞争性谈判文件规定向采购人提供的一切工作内容</w:t>
      </w:r>
      <w:r>
        <w:rPr>
          <w:rFonts w:hint="eastAsia" w:ascii="宋体" w:hAnsi="宋体" w:eastAsia="宋体" w:cs="宋体"/>
          <w:color w:val="auto"/>
          <w:kern w:val="0"/>
          <w:sz w:val="24"/>
        </w:rPr>
        <w:t>。</w:t>
      </w:r>
    </w:p>
    <w:p w14:paraId="40C4A76A">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2.</w:t>
      </w:r>
      <w:r>
        <w:rPr>
          <w:rFonts w:hint="eastAsia" w:ascii="宋体" w:hAnsi="宋体" w:cs="宋体"/>
          <w:color w:val="auto"/>
          <w:kern w:val="0"/>
          <w:sz w:val="24"/>
          <w:lang w:val="en-US" w:eastAsia="zh-CN"/>
        </w:rPr>
        <w:t>6</w:t>
      </w:r>
      <w:r>
        <w:rPr>
          <w:rFonts w:hint="eastAsia" w:ascii="宋体" w:hAnsi="宋体" w:eastAsia="宋体" w:cs="宋体"/>
          <w:color w:val="auto"/>
          <w:kern w:val="0"/>
          <w:sz w:val="24"/>
        </w:rPr>
        <w:t> “竞争性谈判文件有效期” 系指本次采购项目递交</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截止之日起至合同签订之日止的期限。成交供应商的竞争性谈判文件有效期至合同完全履行止。</w:t>
      </w:r>
    </w:p>
    <w:p w14:paraId="7704A806">
      <w:pPr>
        <w:widowControl/>
        <w:numPr>
          <w:ilvl w:val="0"/>
          <w:numId w:val="2"/>
        </w:numPr>
        <w:shd w:val="clear" w:color="auto" w:fill="FFFFFF"/>
        <w:spacing w:line="360" w:lineRule="auto"/>
        <w:ind w:firstLine="482"/>
        <w:jc w:val="left"/>
        <w:rPr>
          <w:rFonts w:hint="eastAsia" w:ascii="宋体" w:hAnsi="宋体" w:eastAsia="宋体" w:cs="宋体"/>
          <w:b/>
          <w:bCs/>
          <w:color w:val="auto"/>
          <w:kern w:val="0"/>
          <w:sz w:val="24"/>
        </w:rPr>
      </w:pPr>
      <w:r>
        <w:rPr>
          <w:rFonts w:hint="eastAsia" w:ascii="宋体" w:hAnsi="宋体" w:eastAsia="宋体" w:cs="宋体"/>
          <w:b/>
          <w:bCs/>
          <w:color w:val="auto"/>
          <w:kern w:val="0"/>
          <w:sz w:val="24"/>
        </w:rPr>
        <w:t>采购来源及</w:t>
      </w:r>
      <w:r>
        <w:rPr>
          <w:rFonts w:hint="eastAsia" w:ascii="宋体" w:hAnsi="宋体" w:cs="宋体"/>
          <w:b/>
          <w:bCs/>
          <w:color w:val="auto"/>
          <w:kern w:val="0"/>
          <w:sz w:val="24"/>
          <w:lang w:val="en-US" w:eastAsia="zh-CN"/>
        </w:rPr>
        <w:t>最高限价</w:t>
      </w:r>
      <w:r>
        <w:rPr>
          <w:rFonts w:hint="eastAsia" w:ascii="宋体" w:hAnsi="宋体" w:eastAsia="宋体" w:cs="宋体"/>
          <w:b/>
          <w:bCs/>
          <w:color w:val="auto"/>
          <w:kern w:val="0"/>
          <w:sz w:val="24"/>
        </w:rPr>
        <w:t xml:space="preserve"> </w:t>
      </w:r>
    </w:p>
    <w:p w14:paraId="46734956">
      <w:pPr>
        <w:widowControl/>
        <w:numPr>
          <w:ilvl w:val="0"/>
          <w:numId w:val="0"/>
        </w:numPr>
        <w:shd w:val="clear" w:color="auto" w:fill="FFFFFF"/>
        <w:spacing w:line="360" w:lineRule="auto"/>
        <w:ind w:firstLine="482" w:firstLineChars="200"/>
        <w:jc w:val="left"/>
        <w:rPr>
          <w:rFonts w:hint="eastAsia" w:ascii="宋体" w:hAnsi="宋体" w:eastAsia="宋体" w:cs="宋体"/>
          <w:color w:val="auto"/>
          <w:kern w:val="0"/>
          <w:sz w:val="24"/>
        </w:rPr>
      </w:pPr>
      <w:r>
        <w:rPr>
          <w:rFonts w:hint="eastAsia" w:ascii="宋体" w:hAnsi="宋体" w:cs="宋体"/>
          <w:b/>
          <w:bCs/>
          <w:color w:val="auto"/>
          <w:kern w:val="0"/>
          <w:sz w:val="24"/>
          <w:lang w:eastAsia="zh-CN"/>
        </w:rPr>
        <w:t>财政资金，</w:t>
      </w:r>
      <w:r>
        <w:rPr>
          <w:rFonts w:hint="eastAsia" w:ascii="宋体" w:hAnsi="宋体" w:cs="宋体"/>
          <w:b/>
          <w:bCs/>
          <w:color w:val="auto"/>
          <w:kern w:val="0"/>
          <w:sz w:val="24"/>
          <w:lang w:val="en-US" w:eastAsia="zh-CN"/>
        </w:rPr>
        <w:t>每标包最高限价为399000.00元（费用结算按照投标报价表中的单批次报价及实际完成任务量予以结算）。</w:t>
      </w:r>
    </w:p>
    <w:p w14:paraId="34201831">
      <w:pPr>
        <w:widowControl/>
        <w:shd w:val="clear" w:color="auto" w:fill="FFFFFF"/>
        <w:spacing w:line="360" w:lineRule="auto"/>
        <w:ind w:firstLine="482"/>
        <w:rPr>
          <w:rFonts w:hint="eastAsia" w:ascii="宋体" w:hAnsi="宋体" w:eastAsia="宋体" w:cs="宋体"/>
          <w:color w:val="auto"/>
          <w:kern w:val="0"/>
          <w:sz w:val="24"/>
        </w:rPr>
      </w:pPr>
      <w:r>
        <w:rPr>
          <w:rFonts w:hint="eastAsia" w:ascii="宋体" w:hAnsi="宋体" w:eastAsia="宋体" w:cs="宋体"/>
          <w:b/>
          <w:bCs/>
          <w:color w:val="auto"/>
          <w:kern w:val="0"/>
          <w:sz w:val="24"/>
        </w:rPr>
        <w:t>4.供应商应提交的证明文件</w:t>
      </w:r>
    </w:p>
    <w:p w14:paraId="6FCCBE31">
      <w:pPr>
        <w:widowControl/>
        <w:shd w:val="clear" w:color="auto" w:fill="FFFFFF"/>
        <w:spacing w:line="360" w:lineRule="auto"/>
        <w:ind w:firstLine="472"/>
        <w:rPr>
          <w:rFonts w:hint="eastAsia" w:ascii="宋体" w:hAnsi="宋体" w:eastAsia="宋体" w:cs="宋体"/>
          <w:color w:val="auto"/>
          <w:kern w:val="0"/>
          <w:sz w:val="24"/>
        </w:rPr>
      </w:pPr>
      <w:r>
        <w:rPr>
          <w:rFonts w:hint="eastAsia" w:ascii="宋体" w:hAnsi="宋体" w:eastAsia="宋体" w:cs="宋体"/>
          <w:color w:val="auto"/>
          <w:kern w:val="0"/>
          <w:sz w:val="24"/>
        </w:rPr>
        <w:t>4.1.满足《中华人民共和国政府采购法》第二十二条规定：</w:t>
      </w:r>
    </w:p>
    <w:p w14:paraId="77322B36">
      <w:pPr>
        <w:widowControl/>
        <w:wordWrap w:val="0"/>
        <w:snapToGrid w:val="0"/>
        <w:spacing w:line="360" w:lineRule="auto"/>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根据《驻马店市财政局关于推行政府采购资格审查环节信用承诺制的通知》(驻财购〔2022〕15号)和《汝南县财政局关于推行政府采购资格审查环节信用承诺制的通知》 (汝财购〔2022〕13号)的规定，供应商只需在资格审查环节提供满足相应条件的书面承诺书，无需提交以下证明材料。（格式见第五章附件）</w:t>
      </w:r>
    </w:p>
    <w:p w14:paraId="45017C0B">
      <w:pPr>
        <w:widowControl/>
        <w:wordWrap w:val="0"/>
        <w:snapToGrid w:val="0"/>
        <w:spacing w:line="360" w:lineRule="auto"/>
        <w:ind w:firstLine="480" w:firstLineChars="200"/>
        <w:jc w:val="left"/>
        <w:rPr>
          <w:rFonts w:hint="eastAsia" w:ascii="宋体" w:hAnsi="宋体" w:eastAsia="宋体" w:cs="宋体"/>
          <w:color w:val="auto"/>
          <w:kern w:val="0"/>
          <w:sz w:val="24"/>
          <w:lang w:eastAsia="zh-CN"/>
        </w:rPr>
      </w:pPr>
      <w:r>
        <w:rPr>
          <w:rFonts w:hint="eastAsia" w:ascii="宋体" w:hAnsi="宋体" w:eastAsia="宋体" w:cs="宋体"/>
          <w:color w:val="auto"/>
          <w:kern w:val="0"/>
          <w:sz w:val="24"/>
        </w:rPr>
        <w:t>(一)具有独立承担民事责任的能力</w:t>
      </w:r>
      <w:r>
        <w:rPr>
          <w:rFonts w:hint="eastAsia" w:ascii="宋体" w:hAnsi="宋体" w:eastAsia="宋体" w:cs="宋体"/>
          <w:color w:val="auto"/>
          <w:kern w:val="0"/>
          <w:sz w:val="24"/>
          <w:lang w:eastAsia="zh-CN"/>
        </w:rPr>
        <w:t>；</w:t>
      </w:r>
    </w:p>
    <w:p w14:paraId="07AAE430">
      <w:pPr>
        <w:widowControl/>
        <w:wordWrap w:val="0"/>
        <w:snapToGrid w:val="0"/>
        <w:spacing w:line="360" w:lineRule="auto"/>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(二)具有良好的商业信誉和健全的财务会计制度；</w:t>
      </w:r>
    </w:p>
    <w:p w14:paraId="5CC53051">
      <w:pPr>
        <w:widowControl/>
        <w:wordWrap w:val="0"/>
        <w:snapToGrid w:val="0"/>
        <w:spacing w:line="360" w:lineRule="auto"/>
        <w:ind w:firstLine="480" w:firstLineChars="200"/>
        <w:jc w:val="left"/>
        <w:rPr>
          <w:rFonts w:hint="eastAsia" w:ascii="宋体" w:hAnsi="宋体" w:eastAsia="宋体" w:cs="宋体"/>
          <w:color w:val="auto"/>
          <w:kern w:val="0"/>
          <w:sz w:val="24"/>
          <w:lang w:eastAsia="zh-CN"/>
        </w:rPr>
      </w:pPr>
      <w:r>
        <w:rPr>
          <w:rFonts w:hint="eastAsia" w:ascii="宋体" w:hAnsi="宋体" w:eastAsia="宋体" w:cs="宋体"/>
          <w:color w:val="auto"/>
          <w:kern w:val="0"/>
          <w:sz w:val="24"/>
        </w:rPr>
        <w:t>(三)具有履行合同所必需的设备和专业技术能力</w:t>
      </w:r>
      <w:r>
        <w:rPr>
          <w:rFonts w:hint="eastAsia" w:ascii="宋体" w:hAnsi="宋体" w:eastAsia="宋体" w:cs="宋体"/>
          <w:color w:val="auto"/>
          <w:kern w:val="0"/>
          <w:sz w:val="24"/>
          <w:lang w:eastAsia="zh-CN"/>
        </w:rPr>
        <w:t>；</w:t>
      </w:r>
    </w:p>
    <w:p w14:paraId="695A0888">
      <w:pPr>
        <w:widowControl/>
        <w:wordWrap w:val="0"/>
        <w:snapToGrid w:val="0"/>
        <w:spacing w:line="360" w:lineRule="auto"/>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(四)有依法缴纳税收和社会保障资金的良好记录；</w:t>
      </w:r>
    </w:p>
    <w:p w14:paraId="15060164">
      <w:pPr>
        <w:widowControl/>
        <w:wordWrap w:val="0"/>
        <w:snapToGrid w:val="0"/>
        <w:spacing w:line="360" w:lineRule="auto"/>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(五)参加政府采购活动前三年内，在经营活动中没有重大违法记录；</w:t>
      </w:r>
    </w:p>
    <w:p w14:paraId="2D977DFC">
      <w:pPr>
        <w:widowControl/>
        <w:wordWrap w:val="0"/>
        <w:snapToGrid w:val="0"/>
        <w:spacing w:line="360" w:lineRule="auto"/>
        <w:ind w:firstLine="480" w:firstLineChars="200"/>
        <w:jc w:val="left"/>
        <w:rPr>
          <w:rFonts w:hint="eastAsia" w:ascii="宋体" w:hAnsi="宋体" w:eastAsia="宋体" w:cs="宋体"/>
          <w:color w:val="auto"/>
          <w:kern w:val="0"/>
          <w:sz w:val="24"/>
          <w:lang w:eastAsia="zh-CN"/>
        </w:rPr>
      </w:pPr>
      <w:r>
        <w:rPr>
          <w:rFonts w:hint="eastAsia" w:ascii="宋体" w:hAnsi="宋体" w:eastAsia="宋体" w:cs="宋体"/>
          <w:color w:val="auto"/>
          <w:kern w:val="0"/>
          <w:sz w:val="24"/>
        </w:rPr>
        <w:t>(六)未被列入严重失信主体名单、失信被执行人、税收违法失信主体、政府采购严重违法失信行为记录名单，未曾作出虚假承诺</w:t>
      </w:r>
      <w:r>
        <w:rPr>
          <w:rFonts w:hint="eastAsia" w:ascii="宋体" w:hAnsi="宋体" w:eastAsia="宋体" w:cs="宋体"/>
          <w:color w:val="auto"/>
          <w:kern w:val="0"/>
          <w:sz w:val="24"/>
          <w:lang w:eastAsia="zh-CN"/>
        </w:rPr>
        <w:t>；</w:t>
      </w:r>
    </w:p>
    <w:p w14:paraId="7A4A7E05">
      <w:pPr>
        <w:widowControl/>
        <w:wordWrap w:val="0"/>
        <w:snapToGrid w:val="0"/>
        <w:spacing w:line="360" w:lineRule="auto"/>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(七)符合法律、行政法规规定的其他条件。</w:t>
      </w:r>
    </w:p>
    <w:p w14:paraId="03E33873">
      <w:pPr>
        <w:widowControl/>
        <w:snapToGrid w:val="0"/>
        <w:spacing w:line="360" w:lineRule="auto"/>
        <w:ind w:firstLine="480" w:firstLineChars="20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4.2</w:t>
      </w:r>
      <w:r>
        <w:rPr>
          <w:rFonts w:hint="eastAsia" w:ascii="宋体" w:hAnsi="宋体" w:cs="宋体"/>
          <w:color w:val="auto"/>
          <w:kern w:val="0"/>
          <w:sz w:val="24"/>
          <w:lang w:val="en-US" w:eastAsia="zh-CN"/>
        </w:rPr>
        <w:t>.</w:t>
      </w:r>
      <w:r>
        <w:rPr>
          <w:rFonts w:hint="eastAsia" w:ascii="宋体" w:hAnsi="宋体" w:eastAsia="宋体" w:cs="宋体"/>
          <w:color w:val="auto"/>
          <w:kern w:val="0"/>
          <w:sz w:val="24"/>
          <w:lang w:val="en-US" w:eastAsia="zh-CN"/>
        </w:rPr>
        <w:t>法定代表人本人参加投标的，</w:t>
      </w:r>
      <w:r>
        <w:rPr>
          <w:rFonts w:hint="eastAsia" w:ascii="宋体" w:hAnsi="宋体" w:cs="宋体"/>
          <w:color w:val="auto"/>
          <w:kern w:val="0"/>
          <w:sz w:val="24"/>
          <w:lang w:val="en-US" w:eastAsia="zh-CN"/>
        </w:rPr>
        <w:t>提供法定代表人身份证（原件的扫描件）；法定代表人委托代理人参加投标的，提供法人授权委托书（原件的扫描件）、委托代理人的身份证、劳动合同</w:t>
      </w:r>
      <w:r>
        <w:rPr>
          <w:rFonts w:hint="eastAsia" w:ascii="宋体" w:hAnsi="宋体" w:eastAsia="宋体" w:cs="宋体"/>
          <w:color w:val="auto"/>
          <w:kern w:val="0"/>
          <w:sz w:val="24"/>
          <w:lang w:val="en-US" w:eastAsia="zh-CN"/>
        </w:rPr>
        <w:t>（原件的扫描件）。</w:t>
      </w:r>
    </w:p>
    <w:p w14:paraId="168E256A">
      <w:pPr>
        <w:widowControl/>
        <w:wordWrap w:val="0"/>
        <w:snapToGrid w:val="0"/>
        <w:spacing w:line="360" w:lineRule="auto"/>
        <w:ind w:firstLine="480" w:firstLineChars="200"/>
        <w:jc w:val="left"/>
        <w:rPr>
          <w:rFonts w:hint="eastAsia" w:ascii="宋体" w:hAnsi="宋体" w:eastAsia="宋体" w:cs="宋体"/>
          <w:color w:val="auto"/>
        </w:rPr>
      </w:pPr>
      <w:r>
        <w:rPr>
          <w:rFonts w:hint="eastAsia" w:ascii="宋体" w:hAnsi="宋体" w:cs="宋体"/>
          <w:color w:val="auto"/>
          <w:kern w:val="0"/>
          <w:sz w:val="24"/>
          <w:lang w:val="en-US" w:eastAsia="zh-CN"/>
        </w:rPr>
        <w:t>4.3</w:t>
      </w:r>
      <w:r>
        <w:rPr>
          <w:rFonts w:hint="eastAsia" w:ascii="宋体" w:hAnsi="宋体" w:eastAsia="宋体" w:cs="宋体"/>
          <w:color w:val="auto"/>
          <w:kern w:val="0"/>
          <w:sz w:val="24"/>
          <w:lang w:val="en-US" w:eastAsia="zh-CN"/>
        </w:rPr>
        <w:t>.</w:t>
      </w:r>
      <w:r>
        <w:rPr>
          <w:rFonts w:hint="eastAsia" w:ascii="宋体" w:hAnsi="宋体" w:cs="宋体"/>
          <w:color w:val="auto"/>
          <w:kern w:val="0"/>
          <w:sz w:val="24"/>
          <w:lang w:val="en-US" w:eastAsia="zh-CN"/>
        </w:rPr>
        <w:t>供应商须具有有效的检验检测机构资质认定证书(CMA)（原件的扫描件）；具有保证检验检测质量、按照规定时限完成检验检测任务、提供良好的检验检测相关服务的能力，确保其通过认证的参数必须全部覆盖投标的品种，出具承诺并加盖供应商公章（原件的扫描件）。</w:t>
      </w:r>
      <w:r>
        <w:rPr>
          <w:rFonts w:hint="eastAsia" w:ascii="宋体" w:hAnsi="宋体" w:eastAsia="宋体" w:cs="宋体"/>
          <w:color w:val="auto"/>
          <w:kern w:val="0"/>
          <w:sz w:val="24"/>
          <w:lang w:val="en-US" w:eastAsia="zh-CN"/>
        </w:rPr>
        <w:br w:type="textWrapping"/>
      </w:r>
      <w:r>
        <w:rPr>
          <w:rFonts w:hint="eastAsia" w:ascii="宋体" w:hAnsi="宋体" w:eastAsia="宋体" w:cs="宋体"/>
          <w:color w:val="auto"/>
          <w:kern w:val="0"/>
          <w:sz w:val="24"/>
          <w:lang w:val="en-US" w:eastAsia="zh-CN"/>
        </w:rPr>
        <w:t xml:space="preserve">  </w:t>
      </w:r>
      <w:r>
        <w:rPr>
          <w:rFonts w:hint="eastAsia" w:ascii="宋体" w:hAnsi="宋体" w:cs="宋体"/>
          <w:color w:val="auto"/>
          <w:kern w:val="0"/>
          <w:sz w:val="24"/>
          <w:lang w:val="en-US" w:eastAsia="zh-CN"/>
        </w:rPr>
        <w:t xml:space="preserve"> </w:t>
      </w:r>
      <w:r>
        <w:rPr>
          <w:rFonts w:hint="eastAsia" w:ascii="宋体" w:hAnsi="宋体" w:eastAsia="宋体" w:cs="宋体"/>
          <w:color w:val="auto"/>
          <w:kern w:val="0"/>
          <w:sz w:val="24"/>
          <w:lang w:val="en-US" w:eastAsia="zh-CN"/>
        </w:rPr>
        <w:t xml:space="preserve"> </w:t>
      </w:r>
      <w:r>
        <w:rPr>
          <w:rFonts w:hint="eastAsia" w:ascii="宋体" w:hAnsi="宋体" w:eastAsia="宋体" w:cs="宋体"/>
          <w:color w:val="auto"/>
          <w:kern w:val="0"/>
          <w:sz w:val="24"/>
        </w:rPr>
        <w:t>4.</w:t>
      </w:r>
      <w:r>
        <w:rPr>
          <w:rFonts w:hint="eastAsia" w:ascii="宋体" w:hAnsi="宋体" w:cs="宋体"/>
          <w:color w:val="auto"/>
          <w:kern w:val="0"/>
          <w:sz w:val="24"/>
          <w:lang w:val="en-US" w:eastAsia="zh-CN"/>
        </w:rPr>
        <w:t>4</w:t>
      </w:r>
      <w:r>
        <w:rPr>
          <w:rFonts w:hint="eastAsia" w:ascii="宋体" w:hAnsi="宋体" w:eastAsia="宋体" w:cs="宋体"/>
          <w:color w:val="auto"/>
          <w:kern w:val="0"/>
          <w:sz w:val="24"/>
          <w:lang w:val="en-US" w:eastAsia="zh-CN"/>
        </w:rPr>
        <w:t>.</w:t>
      </w:r>
      <w:r>
        <w:rPr>
          <w:rFonts w:hint="eastAsia" w:ascii="宋体" w:hAnsi="宋体" w:eastAsia="宋体" w:cs="宋体"/>
          <w:color w:val="auto"/>
          <w:kern w:val="0"/>
          <w:sz w:val="24"/>
        </w:rPr>
        <w:t>其他证明文件（采购人根据项目需要提出且为本次采购所必要的）。</w:t>
      </w:r>
    </w:p>
    <w:p w14:paraId="5FBF5E40">
      <w:pPr>
        <w:widowControl/>
        <w:spacing w:line="360" w:lineRule="auto"/>
        <w:ind w:firstLine="482" w:firstLineChars="200"/>
        <w:jc w:val="left"/>
        <w:rPr>
          <w:rFonts w:hint="eastAsia" w:ascii="宋体" w:hAnsi="宋体" w:eastAsia="宋体" w:cs="宋体"/>
          <w:b/>
          <w:bCs/>
          <w:color w:val="auto"/>
          <w:kern w:val="0"/>
          <w:sz w:val="24"/>
        </w:rPr>
      </w:pPr>
      <w:r>
        <w:rPr>
          <w:rFonts w:hint="eastAsia" w:ascii="宋体" w:hAnsi="宋体" w:eastAsia="宋体" w:cs="宋体"/>
          <w:b/>
          <w:bCs/>
          <w:color w:val="auto"/>
          <w:kern w:val="0"/>
          <w:sz w:val="24"/>
        </w:rPr>
        <w:t>注：以上为必须提供的材料。本项目采用不见面开评标，供应商在响应文件提交截止时间前应及时完善主体诚信库中企业信息及扫描件（4.1、4.2</w:t>
      </w:r>
      <w:r>
        <w:rPr>
          <w:rFonts w:hint="eastAsia" w:ascii="宋体" w:hAnsi="宋体" w:eastAsia="宋体" w:cs="宋体"/>
          <w:b/>
          <w:bCs/>
          <w:color w:val="auto"/>
          <w:kern w:val="0"/>
          <w:sz w:val="24"/>
          <w:lang w:eastAsia="zh-CN"/>
        </w:rPr>
        <w:t>、</w:t>
      </w:r>
      <w:r>
        <w:rPr>
          <w:rFonts w:hint="eastAsia" w:ascii="宋体" w:hAnsi="宋体" w:eastAsia="宋体" w:cs="宋体"/>
          <w:b/>
          <w:bCs/>
          <w:color w:val="auto"/>
          <w:kern w:val="0"/>
          <w:sz w:val="24"/>
          <w:lang w:val="en-US" w:eastAsia="zh-CN"/>
        </w:rPr>
        <w:t>4.3</w:t>
      </w:r>
      <w:r>
        <w:rPr>
          <w:rFonts w:hint="eastAsia" w:ascii="宋体" w:hAnsi="宋体" w:cs="宋体"/>
          <w:b/>
          <w:bCs/>
          <w:color w:val="auto"/>
          <w:kern w:val="0"/>
          <w:sz w:val="24"/>
          <w:lang w:val="en-US" w:eastAsia="zh-CN"/>
        </w:rPr>
        <w:t>、4.4</w:t>
      </w:r>
      <w:r>
        <w:rPr>
          <w:rFonts w:hint="eastAsia" w:ascii="宋体" w:hAnsi="宋体" w:eastAsia="宋体" w:cs="宋体"/>
          <w:b/>
          <w:bCs/>
          <w:color w:val="auto"/>
          <w:kern w:val="0"/>
          <w:sz w:val="24"/>
        </w:rPr>
        <w:t>项所需材料），提交并自行核验通过。同时在“资格审查及评审材料”菜单下按分包挑选该包投标所用资格审查材料（4.1、4.2、4.3、4.4项所需材料），以供评审过程中谈判小组查阅。供应商应确保主体诚信库信息与电子响应文件信息一致，上传的资料要真实并清晰可辨。评审时以电子响应文件及“资格审查及评审材料”菜单中选取的企业信息为准。</w:t>
      </w:r>
    </w:p>
    <w:p w14:paraId="4F649F44">
      <w:pPr>
        <w:widowControl/>
        <w:shd w:val="clear" w:color="auto" w:fill="FFFFFF"/>
        <w:spacing w:line="460" w:lineRule="atLeast"/>
        <w:ind w:firstLine="482"/>
        <w:jc w:val="left"/>
        <w:rPr>
          <w:rFonts w:hint="eastAsia" w:ascii="宋体" w:hAnsi="宋体" w:eastAsia="宋体" w:cs="宋体"/>
          <w:color w:val="auto"/>
          <w:kern w:val="0"/>
          <w:sz w:val="28"/>
          <w:szCs w:val="28"/>
        </w:rPr>
      </w:pPr>
      <w:r>
        <w:rPr>
          <w:rFonts w:hint="eastAsia" w:ascii="宋体" w:hAnsi="宋体" w:eastAsia="宋体" w:cs="宋体"/>
          <w:b/>
          <w:bCs/>
          <w:color w:val="auto"/>
          <w:kern w:val="0"/>
          <w:sz w:val="24"/>
        </w:rPr>
        <w:t>5.谈判费用</w:t>
      </w:r>
    </w:p>
    <w:p w14:paraId="2ED82F13">
      <w:pPr>
        <w:widowControl/>
        <w:shd w:val="clear" w:color="auto" w:fill="FFFFFF"/>
        <w:spacing w:line="460" w:lineRule="atLeast"/>
        <w:ind w:firstLine="48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不论谈判结果如何，供应商均应自行承担所有与谈判有关的全部费用。</w:t>
      </w:r>
    </w:p>
    <w:p w14:paraId="552DA7FF">
      <w:pPr>
        <w:widowControl/>
        <w:shd w:val="clear" w:color="auto" w:fill="FFFFFF"/>
        <w:spacing w:line="360" w:lineRule="auto"/>
        <w:ind w:firstLine="482"/>
        <w:jc w:val="left"/>
        <w:rPr>
          <w:rFonts w:hint="eastAsia" w:ascii="宋体" w:hAnsi="宋体" w:eastAsia="宋体" w:cs="宋体"/>
          <w:color w:val="auto"/>
          <w:kern w:val="0"/>
          <w:sz w:val="24"/>
        </w:rPr>
      </w:pPr>
      <w:r>
        <w:rPr>
          <w:rFonts w:hint="eastAsia" w:ascii="宋体" w:hAnsi="宋体" w:eastAsia="宋体" w:cs="宋体"/>
          <w:b/>
          <w:bCs/>
          <w:color w:val="auto"/>
          <w:kern w:val="0"/>
          <w:sz w:val="24"/>
        </w:rPr>
        <w:t>6.联合体参加谈判：</w:t>
      </w:r>
      <w:r>
        <w:rPr>
          <w:rFonts w:hint="eastAsia" w:ascii="宋体" w:hAnsi="宋体" w:eastAsia="宋体" w:cs="宋体"/>
          <w:color w:val="auto"/>
          <w:kern w:val="0"/>
          <w:sz w:val="24"/>
        </w:rPr>
        <w:t>本项目不接受联合体投标。</w:t>
      </w:r>
    </w:p>
    <w:p w14:paraId="07352A27">
      <w:pPr>
        <w:widowControl/>
        <w:shd w:val="clear" w:color="auto" w:fill="FFFFFF"/>
        <w:spacing w:line="360" w:lineRule="auto"/>
        <w:ind w:firstLine="482"/>
        <w:rPr>
          <w:rFonts w:hint="eastAsia" w:ascii="宋体" w:hAnsi="宋体" w:eastAsia="宋体" w:cs="宋体"/>
          <w:color w:val="auto"/>
          <w:kern w:val="0"/>
          <w:sz w:val="24"/>
        </w:rPr>
      </w:pPr>
      <w:r>
        <w:rPr>
          <w:rFonts w:hint="eastAsia" w:ascii="宋体" w:hAnsi="宋体" w:eastAsia="宋体" w:cs="宋体"/>
          <w:b/>
          <w:bCs/>
          <w:color w:val="auto"/>
          <w:kern w:val="0"/>
          <w:sz w:val="24"/>
        </w:rPr>
        <w:t>7.转包与分包</w:t>
      </w:r>
    </w:p>
    <w:p w14:paraId="40991778">
      <w:pPr>
        <w:widowControl/>
        <w:shd w:val="clear" w:color="auto" w:fill="FFFFFF"/>
        <w:spacing w:line="360" w:lineRule="auto"/>
        <w:ind w:firstLine="482"/>
        <w:jc w:val="left"/>
        <w:rPr>
          <w:rFonts w:hint="eastAsia" w:ascii="宋体" w:hAnsi="宋体" w:eastAsia="宋体" w:cs="宋体"/>
          <w:color w:val="auto"/>
          <w:kern w:val="0"/>
          <w:sz w:val="24"/>
        </w:rPr>
      </w:pPr>
      <w:r>
        <w:rPr>
          <w:rFonts w:hint="eastAsia" w:ascii="宋体" w:hAnsi="宋体" w:eastAsia="宋体" w:cs="宋体"/>
          <w:color w:val="auto"/>
          <w:kern w:val="0"/>
          <w:sz w:val="24"/>
        </w:rPr>
        <w:t>7.1 本项目不允许采取转包方式履行合同。</w:t>
      </w:r>
    </w:p>
    <w:p w14:paraId="1591B94F">
      <w:pPr>
        <w:widowControl/>
        <w:shd w:val="clear" w:color="auto" w:fill="FFFFFF"/>
        <w:spacing w:line="360" w:lineRule="auto"/>
        <w:ind w:firstLine="482"/>
        <w:jc w:val="left"/>
        <w:rPr>
          <w:rFonts w:hint="eastAsia" w:ascii="宋体" w:hAnsi="宋体" w:eastAsia="宋体" w:cs="宋体"/>
          <w:color w:val="auto"/>
          <w:kern w:val="0"/>
          <w:sz w:val="24"/>
        </w:rPr>
      </w:pPr>
      <w:r>
        <w:rPr>
          <w:rFonts w:hint="eastAsia" w:ascii="宋体" w:hAnsi="宋体" w:eastAsia="宋体" w:cs="宋体"/>
          <w:color w:val="auto"/>
          <w:kern w:val="0"/>
          <w:sz w:val="24"/>
        </w:rPr>
        <w:t>7.2  本项目不允许采取分包方式履行合同。</w:t>
      </w:r>
    </w:p>
    <w:p w14:paraId="701095E6">
      <w:pPr>
        <w:widowControl/>
        <w:shd w:val="clear" w:color="auto" w:fill="FFFFFF"/>
        <w:spacing w:line="360" w:lineRule="auto"/>
        <w:ind w:firstLine="482"/>
        <w:jc w:val="left"/>
        <w:rPr>
          <w:rFonts w:hint="eastAsia" w:ascii="宋体" w:hAnsi="宋体" w:eastAsia="宋体" w:cs="宋体"/>
          <w:color w:val="auto"/>
          <w:kern w:val="0"/>
          <w:sz w:val="24"/>
        </w:rPr>
      </w:pPr>
      <w:r>
        <w:rPr>
          <w:rFonts w:hint="eastAsia" w:ascii="宋体" w:hAnsi="宋体" w:eastAsia="宋体" w:cs="宋体"/>
          <w:b/>
          <w:bCs/>
          <w:color w:val="auto"/>
          <w:kern w:val="0"/>
          <w:sz w:val="24"/>
        </w:rPr>
        <w:t>8.特别说明：</w:t>
      </w:r>
    </w:p>
    <w:p w14:paraId="5C323FC7">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8.1供应商参加谈判所使用的资格、信誉、荣誉、业绩与企业认证必须为本法人所拥有。  </w:t>
      </w:r>
    </w:p>
    <w:p w14:paraId="027ECB6B">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8.2 供应商代表只能接受一个供应商的委托参加谈判。</w:t>
      </w:r>
    </w:p>
    <w:p w14:paraId="108E7AE6">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8.3 《政府采购法》第二十二条第五款“参加政府采购活动前三年内，在经营活动中没有重大违法记录”，“重大违法记录”是指供应商因违法经营受到刑事处罚或者责令停产停业、吊销许可证或者执照、较大数额罚款等行政处罚。</w:t>
      </w:r>
    </w:p>
    <w:p w14:paraId="5EF52BBB">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8.4 供应商在谈判活动中提供虚假材料或从事其他违法活动的,其响应无效，由相关部门查处。</w:t>
      </w:r>
    </w:p>
    <w:p w14:paraId="2F4D3F52">
      <w:pPr>
        <w:widowControl/>
        <w:wordWrap w:val="0"/>
        <w:snapToGrid w:val="0"/>
        <w:spacing w:line="360" w:lineRule="auto"/>
        <w:ind w:firstLine="482" w:firstLineChars="200"/>
        <w:jc w:val="left"/>
        <w:rPr>
          <w:rFonts w:hint="eastAsia" w:ascii="宋体" w:hAnsi="宋体" w:eastAsia="宋体" w:cs="宋体"/>
          <w:b/>
          <w:color w:val="auto"/>
          <w:kern w:val="0"/>
          <w:sz w:val="24"/>
        </w:rPr>
      </w:pPr>
      <w:r>
        <w:rPr>
          <w:rFonts w:hint="eastAsia" w:ascii="宋体" w:hAnsi="宋体" w:eastAsia="宋体" w:cs="宋体"/>
          <w:b/>
          <w:color w:val="auto"/>
          <w:kern w:val="0"/>
          <w:sz w:val="24"/>
        </w:rPr>
        <w:t>8.5关联企业参加谈判</w:t>
      </w:r>
    </w:p>
    <w:p w14:paraId="5533433E">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8.5.1 本谈判文件所称关联企业,是指存在关联关系的企业。“关联关系”的界定适用《中华人民共和国公司法》第二百一十七条、《中华人民共和国政府采购法实施条例》第十八条之规定。</w:t>
      </w:r>
    </w:p>
    <w:p w14:paraId="2CB8A8CD">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8.5.2 关联企业中, 同一个法定代表人的两个及两个以上法人，母公司、全资子公司及其控股公司，都不得同时谈判活动。单位负责人为同一人或者存在直接控股、管理关系的不同供应商，不得参加同一合同项下的谈判活动。一经发现，将导致谈判同时被拒绝。</w:t>
      </w:r>
    </w:p>
    <w:p w14:paraId="75AB5FB7">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 xml:space="preserve"> 8.5.3 为采购项目提供整体设计、规范编制或者项目管理、监理、检测等服务的供应商，不得再参加该采购项目的其他采购活动。</w:t>
      </w:r>
    </w:p>
    <w:p w14:paraId="2F3E83DF">
      <w:pPr>
        <w:widowControl/>
        <w:shd w:val="clear" w:color="auto" w:fill="FFFFFF"/>
        <w:spacing w:line="360" w:lineRule="auto"/>
        <w:ind w:firstLine="482"/>
        <w:rPr>
          <w:rFonts w:hint="eastAsia" w:ascii="宋体" w:hAnsi="宋体" w:eastAsia="宋体" w:cs="宋体"/>
          <w:color w:val="auto"/>
          <w:kern w:val="0"/>
          <w:sz w:val="24"/>
        </w:rPr>
      </w:pPr>
      <w:r>
        <w:rPr>
          <w:rFonts w:hint="eastAsia" w:ascii="宋体" w:hAnsi="宋体" w:eastAsia="宋体" w:cs="宋体"/>
          <w:b/>
          <w:bCs/>
          <w:color w:val="auto"/>
          <w:kern w:val="0"/>
          <w:sz w:val="24"/>
        </w:rPr>
        <w:t>9.质疑和投诉</w:t>
      </w:r>
    </w:p>
    <w:p w14:paraId="19C4D6CA">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9.1供应商认为竞争性谈判文件使自己的合法权益受到损害的，应在递交</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截止时间2日之前提出质疑；供应商对谈判过程和成交结果使自己的合法权益受到损害的，应当在知道或者应知其权益受到损害之日起7个工作日内提出质疑。</w:t>
      </w:r>
      <w:r>
        <w:rPr>
          <w:rFonts w:hint="eastAsia" w:ascii="宋体" w:hAnsi="宋体" w:eastAsia="宋体" w:cs="宋体"/>
          <w:bCs/>
          <w:color w:val="auto"/>
          <w:kern w:val="0"/>
          <w:sz w:val="24"/>
        </w:rPr>
        <w:t>供应商在法定质疑期内应一次性提出针对同一采购环节的质疑。</w:t>
      </w:r>
      <w:r>
        <w:rPr>
          <w:rFonts w:hint="eastAsia" w:ascii="宋体" w:hAnsi="宋体" w:eastAsia="宋体" w:cs="宋体"/>
          <w:color w:val="auto"/>
          <w:kern w:val="0"/>
          <w:sz w:val="24"/>
        </w:rPr>
        <w:t>供应商对采购人或采购代理机构的质疑答复不满意或采购人或采购代理机构未在规定时间内作出答复的，可以在答复期满后15个工作日内向同级财政部门投诉。</w:t>
      </w:r>
    </w:p>
    <w:p w14:paraId="79B21C9D">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9.2 质疑、投诉应当采用书面形式，质疑书、投诉书均应明确阐述竞争性谈判文件、谈判过程和谈判结果中使自己合法权益受到损害的实质性内容，提供相关事实、依据和证据及其来源或线索，便于有关单位调查、答复和处理。</w:t>
      </w:r>
    </w:p>
    <w:p w14:paraId="3A82C372">
      <w:pPr>
        <w:widowControl/>
        <w:shd w:val="clear" w:color="auto" w:fill="FFFFFF"/>
        <w:spacing w:line="360" w:lineRule="auto"/>
        <w:ind w:firstLine="482"/>
        <w:jc w:val="left"/>
        <w:rPr>
          <w:rFonts w:hint="eastAsia" w:ascii="宋体" w:hAnsi="宋体" w:eastAsia="宋体" w:cs="宋体"/>
          <w:color w:val="auto"/>
          <w:kern w:val="0"/>
          <w:sz w:val="24"/>
        </w:rPr>
      </w:pPr>
      <w:r>
        <w:rPr>
          <w:rFonts w:hint="eastAsia" w:ascii="宋体" w:hAnsi="宋体" w:eastAsia="宋体" w:cs="宋体"/>
          <w:b/>
          <w:bCs/>
          <w:color w:val="auto"/>
          <w:kern w:val="0"/>
          <w:sz w:val="24"/>
        </w:rPr>
        <w:t>10.</w:t>
      </w:r>
      <w:r>
        <w:rPr>
          <w:rFonts w:hint="eastAsia" w:ascii="宋体" w:hAnsi="宋体" w:eastAsia="宋体" w:cs="宋体"/>
          <w:color w:val="auto"/>
          <w:kern w:val="0"/>
          <w:sz w:val="24"/>
        </w:rPr>
        <w:t> </w:t>
      </w:r>
      <w:r>
        <w:rPr>
          <w:rFonts w:hint="eastAsia" w:ascii="宋体" w:hAnsi="宋体" w:eastAsia="宋体" w:cs="宋体"/>
          <w:b/>
          <w:bCs/>
          <w:color w:val="auto"/>
          <w:kern w:val="0"/>
          <w:sz w:val="24"/>
        </w:rPr>
        <w:t>供应商的风险</w:t>
      </w:r>
    </w:p>
    <w:p w14:paraId="04F0FC0E">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供应商没有按照竞争性谈判文件要求提供全部资料，或者供应商没有对</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在各方面都作出实质性响应是供应商的风险，并可能导致其响应被拒绝。</w:t>
      </w:r>
    </w:p>
    <w:p w14:paraId="151653C7">
      <w:pPr>
        <w:widowControl/>
        <w:shd w:val="clear" w:color="auto" w:fill="FFFFFF"/>
        <w:spacing w:line="460" w:lineRule="atLeast"/>
        <w:ind w:firstLine="2554"/>
        <w:rPr>
          <w:rFonts w:hint="eastAsia" w:ascii="宋体" w:hAnsi="宋体" w:eastAsia="宋体" w:cs="宋体"/>
          <w:color w:val="auto"/>
          <w:kern w:val="0"/>
          <w:sz w:val="24"/>
        </w:rPr>
      </w:pPr>
      <w:r>
        <w:rPr>
          <w:rFonts w:hint="eastAsia" w:ascii="宋体" w:hAnsi="宋体" w:eastAsia="宋体" w:cs="宋体"/>
          <w:b/>
          <w:bCs/>
          <w:color w:val="auto"/>
          <w:kern w:val="0"/>
          <w:sz w:val="32"/>
          <w:szCs w:val="32"/>
        </w:rPr>
        <w:t>二  </w:t>
      </w:r>
      <w:r>
        <w:rPr>
          <w:rFonts w:hint="eastAsia" w:ascii="宋体" w:hAnsi="宋体" w:eastAsia="宋体" w:cs="宋体"/>
          <w:b/>
          <w:bCs/>
          <w:color w:val="auto"/>
          <w:kern w:val="0"/>
          <w:sz w:val="32"/>
        </w:rPr>
        <w:t> </w:t>
      </w:r>
      <w:r>
        <w:rPr>
          <w:rFonts w:hint="eastAsia" w:ascii="宋体" w:hAnsi="宋体" w:eastAsia="宋体" w:cs="宋体"/>
          <w:b/>
          <w:bCs/>
          <w:color w:val="auto"/>
          <w:kern w:val="0"/>
          <w:sz w:val="32"/>
          <w:szCs w:val="32"/>
        </w:rPr>
        <w:t>竞争性谈判文件</w:t>
      </w:r>
    </w:p>
    <w:p w14:paraId="5D99FDCD">
      <w:pPr>
        <w:widowControl/>
        <w:shd w:val="clear" w:color="auto" w:fill="FFFFFF"/>
        <w:spacing w:line="360" w:lineRule="auto"/>
        <w:ind w:firstLine="482"/>
        <w:jc w:val="left"/>
        <w:rPr>
          <w:rFonts w:hint="eastAsia" w:ascii="宋体" w:hAnsi="宋体" w:eastAsia="宋体" w:cs="宋体"/>
          <w:color w:val="auto"/>
          <w:kern w:val="0"/>
          <w:sz w:val="24"/>
        </w:rPr>
      </w:pPr>
      <w:r>
        <w:rPr>
          <w:rFonts w:hint="eastAsia" w:ascii="宋体" w:hAnsi="宋体" w:eastAsia="宋体" w:cs="宋体"/>
          <w:b/>
          <w:bCs/>
          <w:color w:val="auto"/>
          <w:kern w:val="0"/>
          <w:sz w:val="24"/>
        </w:rPr>
        <w:t>11.竞争性谈判文件的构成。本竞争性谈判文件由以下部分组成：</w:t>
      </w:r>
    </w:p>
    <w:p w14:paraId="2FDEAEF3">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11.1 竞争性谈判公告</w:t>
      </w:r>
    </w:p>
    <w:p w14:paraId="2B88F3A3">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11.2 采购需求</w:t>
      </w:r>
    </w:p>
    <w:p w14:paraId="4F12789E">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11.3 供应商须知</w:t>
      </w:r>
    </w:p>
    <w:p w14:paraId="2F24920C">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11.4</w:t>
      </w:r>
      <w:r>
        <w:rPr>
          <w:rFonts w:hint="eastAsia" w:ascii="宋体" w:hAnsi="宋体" w:cs="宋体"/>
          <w:color w:val="auto"/>
          <w:kern w:val="0"/>
          <w:sz w:val="24"/>
          <w:lang w:val="en-US" w:eastAsia="zh-CN"/>
        </w:rPr>
        <w:t xml:space="preserve">  </w:t>
      </w:r>
      <w:r>
        <w:rPr>
          <w:rFonts w:hint="eastAsia" w:ascii="宋体" w:hAnsi="宋体" w:eastAsia="宋体" w:cs="宋体"/>
          <w:color w:val="auto"/>
          <w:kern w:val="0"/>
          <w:sz w:val="24"/>
        </w:rPr>
        <w:t>合同主要条款</w:t>
      </w:r>
    </w:p>
    <w:p w14:paraId="1FEDF370">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11.5</w:t>
      </w:r>
      <w:r>
        <w:rPr>
          <w:rFonts w:hint="eastAsia" w:ascii="宋体" w:hAnsi="宋体" w:cs="宋体"/>
          <w:color w:val="auto"/>
          <w:kern w:val="0"/>
          <w:sz w:val="24"/>
          <w:lang w:val="en-US" w:eastAsia="zh-CN"/>
        </w:rPr>
        <w:t xml:space="preserve">  </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格式</w:t>
      </w:r>
    </w:p>
    <w:p w14:paraId="6CE0B9C0">
      <w:pPr>
        <w:widowControl/>
        <w:shd w:val="clear" w:color="auto" w:fill="FFFFFF"/>
        <w:spacing w:line="360" w:lineRule="auto"/>
        <w:ind w:left="118" w:leftChars="56" w:firstLine="354" w:firstLineChars="147"/>
        <w:jc w:val="left"/>
        <w:rPr>
          <w:rFonts w:hint="eastAsia" w:ascii="宋体" w:hAnsi="宋体" w:eastAsia="宋体" w:cs="宋体"/>
          <w:color w:val="auto"/>
          <w:kern w:val="0"/>
          <w:sz w:val="24"/>
        </w:rPr>
      </w:pPr>
      <w:r>
        <w:rPr>
          <w:rFonts w:hint="eastAsia" w:ascii="宋体" w:hAnsi="宋体" w:eastAsia="宋体" w:cs="宋体"/>
          <w:b/>
          <w:bCs/>
          <w:color w:val="auto"/>
          <w:kern w:val="0"/>
          <w:sz w:val="24"/>
        </w:rPr>
        <w:t>12.竞争性谈判文件的澄清与修改</w:t>
      </w:r>
    </w:p>
    <w:p w14:paraId="5AACB03A">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12.1 采购代理机构对已发出的竞争性谈判文件进行必要澄清、修改或补充的，应当在竞争性谈判文件要求提交</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截止时间3个工作日（如至原定截止时间不足3个工作日，则需延长谈判开始时间，谈判文件发售时间、递交样品截止时间等可以相应延长）前，在河南省政府采购网、驻马店市公共资源交易网</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"http://zhumadian.hngp.gov.cn/prx/000/http/www.sxztb.gov.cn/" </w:instrText>
      </w:r>
      <w:r>
        <w:rPr>
          <w:rFonts w:hint="eastAsia" w:ascii="宋体" w:hAnsi="宋体" w:eastAsia="宋体" w:cs="宋体"/>
          <w:color w:val="auto"/>
        </w:rPr>
        <w:fldChar w:fldCharType="separate"/>
      </w:r>
      <w:r>
        <w:rPr>
          <w:rFonts w:hint="eastAsia" w:ascii="宋体" w:hAnsi="宋体" w:eastAsia="宋体" w:cs="宋体"/>
          <w:color w:val="auto"/>
        </w:rPr>
        <w:fldChar w:fldCharType="end"/>
      </w:r>
      <w:r>
        <w:rPr>
          <w:rFonts w:hint="eastAsia" w:ascii="宋体" w:hAnsi="宋体" w:eastAsia="宋体" w:cs="宋体"/>
          <w:color w:val="auto"/>
          <w:kern w:val="0"/>
          <w:sz w:val="24"/>
        </w:rPr>
        <w:t>等相关媒体上发布更正公告或变更公告。竞争性谈判文件公示期间对竞争性谈判文件进行的澄清、修改或补充不受上述限制</w:t>
      </w:r>
      <w:r>
        <w:rPr>
          <w:rFonts w:hint="eastAsia" w:ascii="宋体" w:hAnsi="宋体" w:cs="宋体"/>
          <w:color w:val="auto"/>
          <w:kern w:val="0"/>
          <w:sz w:val="24"/>
          <w:lang w:eastAsia="zh-CN"/>
        </w:rPr>
        <w:t>，</w:t>
      </w:r>
      <w:r>
        <w:rPr>
          <w:rFonts w:hint="eastAsia" w:ascii="宋体" w:hAnsi="宋体" w:cs="宋体"/>
          <w:color w:val="auto"/>
          <w:kern w:val="0"/>
          <w:sz w:val="24"/>
          <w:lang w:val="en-US" w:eastAsia="zh-CN"/>
        </w:rPr>
        <w:t>以上应出具确认书，否则视为不响应谈判文件。</w:t>
      </w:r>
    </w:p>
    <w:p w14:paraId="02FDF4C6">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12.2 竞争性谈判文件澄清、修改或补充的内容为竞争性谈判文件的组成部分。</w:t>
      </w:r>
    </w:p>
    <w:p w14:paraId="6C7242B8">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12.3 竞争性谈判文件的澄清、修改或补充都应通过本采购代理机构以法定形式发布。采购人未通过本采购代理机构对竞争性谈判文件进行的澄清、修改或补充无效，谈判时不予认可。</w:t>
      </w:r>
    </w:p>
    <w:p w14:paraId="703C6646">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12.4 采购代理机构可以视采购具体情况延长递交</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截止时间和开始谈判时间，但至少应当在竞争性谈判文件要求提交</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的截止时间3个工作日前，将变更时间在河南省政府采购网、驻马店市公共资源交易网</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"http://zhumadian.hngp.gov.cn/prx/000/http/www.sxztb.gov.cn/" </w:instrText>
      </w:r>
      <w:r>
        <w:rPr>
          <w:rFonts w:hint="eastAsia" w:ascii="宋体" w:hAnsi="宋体" w:eastAsia="宋体" w:cs="宋体"/>
          <w:color w:val="auto"/>
        </w:rPr>
        <w:fldChar w:fldCharType="separate"/>
      </w:r>
      <w:r>
        <w:rPr>
          <w:rFonts w:hint="eastAsia" w:ascii="宋体" w:hAnsi="宋体" w:eastAsia="宋体" w:cs="宋体"/>
          <w:color w:val="auto"/>
        </w:rPr>
        <w:fldChar w:fldCharType="end"/>
      </w:r>
      <w:r>
        <w:rPr>
          <w:rFonts w:hint="eastAsia" w:ascii="宋体" w:hAnsi="宋体" w:eastAsia="宋体" w:cs="宋体"/>
          <w:color w:val="auto"/>
          <w:kern w:val="0"/>
          <w:sz w:val="24"/>
        </w:rPr>
        <w:t>等相关媒体上发布更正公告或变更公告。</w:t>
      </w:r>
    </w:p>
    <w:p w14:paraId="01AE6AF0">
      <w:pPr>
        <w:widowControl/>
        <w:shd w:val="clear" w:color="auto" w:fill="FFFFFF"/>
        <w:spacing w:line="460" w:lineRule="atLeast"/>
        <w:ind w:firstLine="200"/>
        <w:jc w:val="center"/>
        <w:rPr>
          <w:rFonts w:hint="eastAsia" w:ascii="宋体" w:hAnsi="宋体" w:eastAsia="宋体" w:cs="宋体"/>
          <w:color w:val="auto"/>
          <w:kern w:val="0"/>
          <w:sz w:val="28"/>
          <w:szCs w:val="28"/>
        </w:rPr>
      </w:pPr>
      <w:r>
        <w:rPr>
          <w:rFonts w:hint="eastAsia" w:ascii="宋体" w:hAnsi="宋体" w:eastAsia="宋体" w:cs="宋体"/>
          <w:b/>
          <w:bCs/>
          <w:color w:val="auto"/>
          <w:kern w:val="0"/>
          <w:sz w:val="32"/>
          <w:szCs w:val="32"/>
        </w:rPr>
        <w:t>三</w:t>
      </w:r>
      <w:r>
        <w:rPr>
          <w:rFonts w:hint="eastAsia" w:ascii="宋体" w:hAnsi="宋体" w:eastAsia="宋体" w:cs="宋体"/>
          <w:b/>
          <w:bCs/>
          <w:color w:val="auto"/>
          <w:kern w:val="0"/>
          <w:sz w:val="32"/>
        </w:rPr>
        <w:t> </w:t>
      </w:r>
      <w:r>
        <w:rPr>
          <w:rFonts w:hint="eastAsia" w:ascii="宋体" w:hAnsi="宋体" w:eastAsia="宋体" w:cs="宋体"/>
          <w:b/>
          <w:bCs/>
          <w:color w:val="auto"/>
          <w:kern w:val="0"/>
          <w:sz w:val="32"/>
          <w:szCs w:val="32"/>
        </w:rPr>
        <w:t>  </w:t>
      </w:r>
      <w:r>
        <w:rPr>
          <w:rFonts w:hint="eastAsia" w:ascii="宋体" w:hAnsi="宋体" w:cs="宋体"/>
          <w:b/>
          <w:bCs/>
          <w:color w:val="auto"/>
          <w:kern w:val="0"/>
          <w:sz w:val="32"/>
          <w:szCs w:val="32"/>
          <w:lang w:eastAsia="zh-CN"/>
        </w:rPr>
        <w:t>响应文件</w:t>
      </w:r>
      <w:r>
        <w:rPr>
          <w:rFonts w:hint="eastAsia" w:ascii="宋体" w:hAnsi="宋体" w:eastAsia="宋体" w:cs="宋体"/>
          <w:b/>
          <w:bCs/>
          <w:color w:val="auto"/>
          <w:kern w:val="0"/>
          <w:sz w:val="32"/>
          <w:szCs w:val="32"/>
        </w:rPr>
        <w:t>的编制</w:t>
      </w:r>
    </w:p>
    <w:p w14:paraId="3035233A">
      <w:pPr>
        <w:widowControl/>
        <w:shd w:val="clear" w:color="auto" w:fill="FFFFFF"/>
        <w:spacing w:line="360" w:lineRule="auto"/>
        <w:ind w:firstLine="482"/>
        <w:rPr>
          <w:rFonts w:hint="eastAsia" w:ascii="宋体" w:hAnsi="宋体" w:eastAsia="宋体" w:cs="宋体"/>
          <w:color w:val="auto"/>
          <w:kern w:val="0"/>
          <w:sz w:val="24"/>
        </w:rPr>
      </w:pPr>
      <w:r>
        <w:rPr>
          <w:rFonts w:hint="eastAsia" w:ascii="宋体" w:hAnsi="宋体" w:eastAsia="宋体" w:cs="宋体"/>
          <w:b/>
          <w:bCs/>
          <w:color w:val="auto"/>
          <w:kern w:val="0"/>
          <w:sz w:val="24"/>
        </w:rPr>
        <w:t>13.要求</w:t>
      </w:r>
    </w:p>
    <w:p w14:paraId="6554BD8C">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13.1 供应商应仔细阅读竞争性谈判文件的所有内容，按照竞争性谈判文件提供的格式编写</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，不得缺少或留空任何竞争性谈判文件要求填写的表格或提交的资料。竞争性谈判文件提供格式的按格式填列，未提供格式的可自行拟定。</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应对竞争性谈判文件的要求作出实质性响应（包括供应商资格要求、技术要求、商务要求和</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中对响应的要求），供应商对所提供的全部资料的合法性、真实性负责。</w:t>
      </w:r>
    </w:p>
    <w:p w14:paraId="72C49127">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13.2 供应商应完整签署</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格式附件中《竞争性谈判响应书》和《抵制商业贿赂承诺书》，不得随意增减或修改内容。</w:t>
      </w:r>
    </w:p>
    <w:p w14:paraId="1364D456">
      <w:pPr>
        <w:widowControl/>
        <w:shd w:val="clear" w:color="auto" w:fill="FFFFFF"/>
        <w:spacing w:line="360" w:lineRule="auto"/>
        <w:ind w:firstLine="482"/>
        <w:rPr>
          <w:rFonts w:hint="eastAsia" w:ascii="宋体" w:hAnsi="宋体" w:eastAsia="宋体" w:cs="宋体"/>
          <w:color w:val="auto"/>
          <w:kern w:val="0"/>
          <w:sz w:val="24"/>
        </w:rPr>
      </w:pPr>
      <w:r>
        <w:rPr>
          <w:rFonts w:hint="eastAsia" w:ascii="宋体" w:hAnsi="宋体" w:eastAsia="宋体" w:cs="宋体"/>
          <w:b/>
          <w:bCs/>
          <w:color w:val="auto"/>
          <w:kern w:val="0"/>
          <w:sz w:val="24"/>
        </w:rPr>
        <w:t>14.</w:t>
      </w:r>
      <w:r>
        <w:rPr>
          <w:rFonts w:hint="eastAsia" w:ascii="宋体" w:hAnsi="宋体" w:cs="宋体"/>
          <w:b/>
          <w:bCs/>
          <w:color w:val="auto"/>
          <w:kern w:val="0"/>
          <w:sz w:val="24"/>
          <w:lang w:eastAsia="zh-CN"/>
        </w:rPr>
        <w:t>响应文件</w:t>
      </w:r>
      <w:r>
        <w:rPr>
          <w:rFonts w:hint="eastAsia" w:ascii="宋体" w:hAnsi="宋体" w:eastAsia="宋体" w:cs="宋体"/>
          <w:b/>
          <w:bCs/>
          <w:color w:val="auto"/>
          <w:kern w:val="0"/>
          <w:sz w:val="24"/>
        </w:rPr>
        <w:t>的语言和计量单位</w:t>
      </w:r>
    </w:p>
    <w:p w14:paraId="01CE5C45">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14.1</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以及供应商与采购人、采购代理机构就有关谈判事宜的所有来往函电均应使用简体中文书写。</w:t>
      </w:r>
    </w:p>
    <w:p w14:paraId="5457B30B">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14.2 关于计量单位，竞争性谈判文件已有明确规定的，使用竞争性谈判文件规定的计量单位；竞争性谈判文件没有规定的，应采用中华人民共和国法定计量单位。否则视为对竞争性谈判文件未作出实质性响应。</w:t>
      </w:r>
    </w:p>
    <w:p w14:paraId="4199DD48">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14.3 原版为外文的证书类文件，以及由外国人做出的本人签名、外国公司的名称或外国印章等可以是外文，但应当提供中文翻译文件并加盖供应商公章。必要时谈判小组可以要求供应商提供附有公证书的中文翻译文件或者与原版文件签章相一致的中文翻译文件</w:t>
      </w:r>
      <w:r>
        <w:rPr>
          <w:rFonts w:hint="eastAsia" w:ascii="宋体" w:hAnsi="宋体" w:eastAsia="宋体" w:cs="宋体"/>
          <w:color w:val="auto"/>
          <w:spacing w:val="10"/>
          <w:kern w:val="0"/>
          <w:sz w:val="24"/>
        </w:rPr>
        <w:t>。</w:t>
      </w:r>
    </w:p>
    <w:p w14:paraId="172DAB72">
      <w:pPr>
        <w:widowControl/>
        <w:shd w:val="clear" w:color="auto" w:fill="FFFFFF"/>
        <w:spacing w:line="360" w:lineRule="auto"/>
        <w:ind w:firstLine="482"/>
        <w:rPr>
          <w:rFonts w:hint="eastAsia" w:ascii="宋体" w:hAnsi="宋体" w:eastAsia="宋体" w:cs="宋体"/>
          <w:color w:val="auto"/>
          <w:kern w:val="0"/>
          <w:sz w:val="24"/>
        </w:rPr>
      </w:pPr>
      <w:r>
        <w:rPr>
          <w:rFonts w:hint="eastAsia" w:ascii="宋体" w:hAnsi="宋体" w:eastAsia="宋体" w:cs="宋体"/>
          <w:b/>
          <w:bCs/>
          <w:color w:val="auto"/>
          <w:kern w:val="0"/>
          <w:sz w:val="24"/>
        </w:rPr>
        <w:t>15.</w:t>
      </w:r>
      <w:r>
        <w:rPr>
          <w:rFonts w:hint="eastAsia" w:ascii="宋体" w:hAnsi="宋体" w:cs="宋体"/>
          <w:b/>
          <w:bCs/>
          <w:color w:val="auto"/>
          <w:kern w:val="0"/>
          <w:sz w:val="24"/>
          <w:lang w:eastAsia="zh-CN"/>
        </w:rPr>
        <w:t>响应文件</w:t>
      </w:r>
      <w:r>
        <w:rPr>
          <w:rFonts w:hint="eastAsia" w:ascii="宋体" w:hAnsi="宋体" w:eastAsia="宋体" w:cs="宋体"/>
          <w:b/>
          <w:bCs/>
          <w:color w:val="auto"/>
          <w:kern w:val="0"/>
          <w:sz w:val="24"/>
        </w:rPr>
        <w:t>的组成</w:t>
      </w:r>
      <w:r>
        <w:rPr>
          <w:rFonts w:hint="eastAsia" w:ascii="宋体" w:hAnsi="宋体" w:eastAsia="宋体" w:cs="宋体"/>
          <w:color w:val="auto"/>
          <w:kern w:val="0"/>
          <w:sz w:val="24"/>
        </w:rPr>
        <w:t>。</w:t>
      </w:r>
      <w:r>
        <w:rPr>
          <w:rFonts w:hint="eastAsia" w:ascii="宋体" w:hAnsi="宋体" w:cs="宋体"/>
          <w:b/>
          <w:bCs/>
          <w:color w:val="auto"/>
          <w:kern w:val="0"/>
          <w:sz w:val="24"/>
          <w:lang w:eastAsia="zh-CN"/>
        </w:rPr>
        <w:t>响应文件</w:t>
      </w:r>
      <w:r>
        <w:rPr>
          <w:rFonts w:hint="eastAsia" w:ascii="宋体" w:hAnsi="宋体" w:eastAsia="宋体" w:cs="宋体"/>
          <w:b/>
          <w:bCs/>
          <w:color w:val="auto"/>
          <w:kern w:val="0"/>
          <w:sz w:val="24"/>
        </w:rPr>
        <w:t>应包括下列部分：</w:t>
      </w:r>
    </w:p>
    <w:p w14:paraId="5327211E">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附件1竞争性谈判响应文件封面（格式）</w:t>
      </w:r>
    </w:p>
    <w:p w14:paraId="28CF8A68">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附件2竞争性谈判响应书</w:t>
      </w:r>
    </w:p>
    <w:p w14:paraId="649AF027">
      <w:pPr>
        <w:widowControl/>
        <w:shd w:val="clear" w:color="auto" w:fill="FFFFFF"/>
        <w:spacing w:line="360" w:lineRule="auto"/>
        <w:ind w:firstLine="480"/>
        <w:jc w:val="left"/>
        <w:rPr>
          <w:rFonts w:ascii="宋体" w:hAnsi="宋体" w:cs="宋体"/>
          <w:color w:val="auto"/>
          <w:spacing w:val="10"/>
          <w:kern w:val="0"/>
          <w:sz w:val="24"/>
        </w:rPr>
      </w:pPr>
      <w:r>
        <w:rPr>
          <w:rFonts w:hint="eastAsia" w:ascii="宋体" w:hAnsi="宋体" w:cs="宋体"/>
          <w:color w:val="auto"/>
          <w:spacing w:val="10"/>
          <w:kern w:val="0"/>
          <w:sz w:val="24"/>
        </w:rPr>
        <w:t>附件3初次报价一览表</w:t>
      </w:r>
    </w:p>
    <w:p w14:paraId="59FECE89">
      <w:pPr>
        <w:widowControl/>
        <w:shd w:val="clear" w:color="auto" w:fill="FFFFFF"/>
        <w:spacing w:line="360" w:lineRule="auto"/>
        <w:ind w:firstLine="480"/>
        <w:jc w:val="left"/>
        <w:rPr>
          <w:rFonts w:ascii="宋体" w:hAnsi="宋体" w:cs="宋体"/>
          <w:color w:val="auto"/>
          <w:spacing w:val="10"/>
          <w:kern w:val="0"/>
          <w:sz w:val="24"/>
        </w:rPr>
      </w:pPr>
      <w:r>
        <w:rPr>
          <w:rFonts w:hint="eastAsia" w:ascii="宋体" w:hAnsi="宋体" w:cs="宋体"/>
          <w:color w:val="auto"/>
          <w:spacing w:val="10"/>
          <w:kern w:val="0"/>
          <w:sz w:val="24"/>
        </w:rPr>
        <w:t>附件4服务技术响应表</w:t>
      </w:r>
    </w:p>
    <w:p w14:paraId="3B11B218">
      <w:pPr>
        <w:widowControl/>
        <w:shd w:val="clear" w:color="auto" w:fill="FFFFFF"/>
        <w:spacing w:line="360" w:lineRule="auto"/>
        <w:ind w:firstLine="480"/>
        <w:jc w:val="left"/>
        <w:rPr>
          <w:rFonts w:ascii="宋体" w:hAnsi="宋体" w:cs="宋体"/>
          <w:color w:val="auto"/>
          <w:spacing w:val="10"/>
          <w:kern w:val="0"/>
          <w:sz w:val="24"/>
        </w:rPr>
      </w:pPr>
      <w:r>
        <w:rPr>
          <w:rFonts w:hint="eastAsia" w:ascii="宋体" w:hAnsi="宋体" w:cs="宋体"/>
          <w:color w:val="auto"/>
          <w:spacing w:val="10"/>
          <w:kern w:val="0"/>
          <w:sz w:val="24"/>
        </w:rPr>
        <w:t>附件5商务响应表</w:t>
      </w:r>
    </w:p>
    <w:p w14:paraId="66D5F0BD">
      <w:pPr>
        <w:widowControl/>
        <w:shd w:val="clear" w:color="auto" w:fill="FFFFFF"/>
        <w:spacing w:line="360" w:lineRule="auto"/>
        <w:ind w:firstLine="480"/>
        <w:jc w:val="left"/>
        <w:rPr>
          <w:rFonts w:ascii="宋体" w:hAnsi="宋体" w:cs="宋体"/>
          <w:color w:val="auto"/>
          <w:spacing w:val="10"/>
          <w:kern w:val="0"/>
          <w:sz w:val="24"/>
        </w:rPr>
      </w:pPr>
      <w:r>
        <w:rPr>
          <w:rFonts w:hint="eastAsia" w:ascii="宋体" w:hAnsi="宋体" w:cs="宋体"/>
          <w:color w:val="auto"/>
          <w:spacing w:val="10"/>
          <w:kern w:val="0"/>
          <w:sz w:val="24"/>
        </w:rPr>
        <w:t>附件6法定代表人身份证明</w:t>
      </w:r>
    </w:p>
    <w:p w14:paraId="053F881C">
      <w:pPr>
        <w:widowControl/>
        <w:shd w:val="clear" w:color="auto" w:fill="FFFFFF"/>
        <w:spacing w:line="360" w:lineRule="auto"/>
        <w:ind w:firstLine="480"/>
        <w:jc w:val="left"/>
        <w:rPr>
          <w:rFonts w:ascii="宋体" w:hAnsi="宋体" w:cs="宋体"/>
          <w:color w:val="auto"/>
          <w:spacing w:val="10"/>
          <w:kern w:val="0"/>
          <w:sz w:val="24"/>
        </w:rPr>
      </w:pPr>
      <w:r>
        <w:rPr>
          <w:rFonts w:hint="eastAsia" w:ascii="宋体" w:hAnsi="宋体" w:cs="宋体"/>
          <w:color w:val="auto"/>
          <w:spacing w:val="10"/>
          <w:kern w:val="0"/>
          <w:sz w:val="24"/>
        </w:rPr>
        <w:t>附件7法定代表人授权书</w:t>
      </w:r>
    </w:p>
    <w:p w14:paraId="2D7B0C9E">
      <w:pPr>
        <w:widowControl/>
        <w:shd w:val="clear" w:color="auto" w:fill="FFFFFF"/>
        <w:spacing w:line="360" w:lineRule="auto"/>
        <w:ind w:firstLine="480"/>
        <w:jc w:val="left"/>
        <w:rPr>
          <w:rFonts w:ascii="宋体" w:hAnsi="宋体" w:cs="宋体"/>
          <w:color w:val="auto"/>
          <w:spacing w:val="10"/>
          <w:kern w:val="0"/>
          <w:sz w:val="24"/>
        </w:rPr>
      </w:pPr>
      <w:r>
        <w:rPr>
          <w:rFonts w:hint="eastAsia" w:ascii="宋体" w:hAnsi="宋体" w:cs="宋体"/>
          <w:color w:val="auto"/>
          <w:spacing w:val="10"/>
          <w:kern w:val="0"/>
          <w:sz w:val="24"/>
        </w:rPr>
        <w:t>附件8证明文件</w:t>
      </w:r>
    </w:p>
    <w:p w14:paraId="126E4848">
      <w:pPr>
        <w:widowControl/>
        <w:shd w:val="clear" w:color="auto" w:fill="FFFFFF"/>
        <w:spacing w:line="360" w:lineRule="auto"/>
        <w:ind w:firstLine="480"/>
        <w:jc w:val="left"/>
        <w:rPr>
          <w:rFonts w:hint="eastAsia" w:ascii="宋体" w:hAnsi="宋体" w:eastAsia="宋体" w:cs="宋体"/>
          <w:color w:val="auto"/>
          <w:spacing w:val="10"/>
          <w:kern w:val="0"/>
          <w:sz w:val="24"/>
          <w:lang w:eastAsia="zh-CN"/>
        </w:rPr>
      </w:pPr>
      <w:r>
        <w:rPr>
          <w:rFonts w:hint="eastAsia" w:ascii="宋体" w:hAnsi="宋体" w:cs="宋体"/>
          <w:color w:val="auto"/>
          <w:spacing w:val="10"/>
          <w:kern w:val="0"/>
          <w:sz w:val="24"/>
        </w:rPr>
        <w:t>附件9</w:t>
      </w:r>
      <w:r>
        <w:rPr>
          <w:rFonts w:hint="eastAsia" w:ascii="宋体" w:hAnsi="宋体" w:cs="宋体"/>
          <w:color w:val="auto"/>
          <w:spacing w:val="10"/>
          <w:kern w:val="0"/>
          <w:sz w:val="24"/>
          <w:lang w:eastAsia="zh-CN"/>
        </w:rPr>
        <w:t>拟派项目负责人</w:t>
      </w:r>
    </w:p>
    <w:p w14:paraId="270AC605">
      <w:pPr>
        <w:widowControl/>
        <w:shd w:val="clear" w:color="auto" w:fill="FFFFFF"/>
        <w:spacing w:line="360" w:lineRule="auto"/>
        <w:ind w:firstLine="480"/>
        <w:jc w:val="left"/>
        <w:rPr>
          <w:rFonts w:ascii="宋体" w:hAnsi="宋体" w:cs="宋体"/>
          <w:color w:val="auto"/>
          <w:spacing w:val="10"/>
          <w:kern w:val="0"/>
          <w:sz w:val="24"/>
        </w:rPr>
      </w:pPr>
      <w:r>
        <w:rPr>
          <w:rFonts w:hint="eastAsia" w:ascii="宋体" w:hAnsi="宋体" w:cs="宋体"/>
          <w:color w:val="auto"/>
          <w:spacing w:val="10"/>
          <w:kern w:val="0"/>
          <w:sz w:val="24"/>
        </w:rPr>
        <w:t>附件10拟投入本项目部主要人员组成情况表</w:t>
      </w:r>
    </w:p>
    <w:p w14:paraId="7009210E">
      <w:pPr>
        <w:widowControl/>
        <w:shd w:val="clear" w:color="auto" w:fill="FFFFFF"/>
        <w:spacing w:line="360" w:lineRule="auto"/>
        <w:ind w:firstLine="480"/>
        <w:jc w:val="left"/>
        <w:rPr>
          <w:rFonts w:hint="eastAsia" w:ascii="宋体" w:hAnsi="宋体" w:eastAsia="宋体" w:cs="宋体"/>
          <w:color w:val="auto"/>
          <w:spacing w:val="10"/>
          <w:kern w:val="0"/>
          <w:sz w:val="24"/>
          <w:lang w:eastAsia="zh-CN"/>
        </w:rPr>
      </w:pPr>
      <w:r>
        <w:rPr>
          <w:rFonts w:hint="eastAsia" w:ascii="宋体" w:hAnsi="宋体" w:cs="宋体"/>
          <w:color w:val="auto"/>
          <w:spacing w:val="10"/>
          <w:kern w:val="0"/>
          <w:sz w:val="24"/>
        </w:rPr>
        <w:t>附件11</w:t>
      </w:r>
      <w:r>
        <w:rPr>
          <w:rFonts w:hint="eastAsia" w:ascii="宋体" w:hAnsi="宋体" w:cs="宋体"/>
          <w:color w:val="auto"/>
          <w:spacing w:val="10"/>
          <w:kern w:val="0"/>
          <w:sz w:val="24"/>
          <w:lang w:eastAsia="zh-CN"/>
        </w:rPr>
        <w:t>技术服务方案</w:t>
      </w:r>
    </w:p>
    <w:p w14:paraId="04F6F29D">
      <w:pPr>
        <w:widowControl/>
        <w:shd w:val="clear" w:color="auto" w:fill="FFFFFF"/>
        <w:spacing w:line="360" w:lineRule="auto"/>
        <w:ind w:firstLine="480"/>
        <w:jc w:val="left"/>
        <w:rPr>
          <w:rFonts w:hint="eastAsia" w:ascii="宋体" w:hAnsi="宋体" w:eastAsia="宋体" w:cs="宋体"/>
          <w:color w:val="auto"/>
          <w:spacing w:val="10"/>
          <w:kern w:val="0"/>
          <w:sz w:val="24"/>
        </w:rPr>
      </w:pPr>
      <w:r>
        <w:rPr>
          <w:rFonts w:hint="eastAsia" w:ascii="宋体" w:hAnsi="宋体" w:eastAsia="宋体" w:cs="宋体"/>
          <w:color w:val="auto"/>
          <w:spacing w:val="10"/>
          <w:kern w:val="0"/>
          <w:sz w:val="24"/>
        </w:rPr>
        <w:t>附件12中小企业声明函</w:t>
      </w:r>
    </w:p>
    <w:p w14:paraId="6415396D">
      <w:pPr>
        <w:widowControl/>
        <w:shd w:val="clear" w:color="auto" w:fill="FFFFFF"/>
        <w:spacing w:line="360" w:lineRule="auto"/>
        <w:ind w:firstLine="480"/>
        <w:jc w:val="left"/>
        <w:rPr>
          <w:rFonts w:hint="eastAsia" w:ascii="宋体" w:hAnsi="宋体" w:eastAsia="宋体" w:cs="宋体"/>
          <w:color w:val="auto"/>
          <w:spacing w:val="10"/>
          <w:kern w:val="0"/>
          <w:sz w:val="24"/>
        </w:rPr>
      </w:pPr>
      <w:r>
        <w:rPr>
          <w:rFonts w:hint="eastAsia" w:ascii="宋体" w:hAnsi="宋体" w:eastAsia="宋体" w:cs="宋体"/>
          <w:color w:val="auto"/>
          <w:spacing w:val="10"/>
          <w:kern w:val="0"/>
          <w:sz w:val="24"/>
        </w:rPr>
        <w:t>附件13供应商自觉抵制政府采购领域商业贿赂行为承诺书</w:t>
      </w:r>
    </w:p>
    <w:p w14:paraId="2D548AA5">
      <w:pPr>
        <w:widowControl/>
        <w:shd w:val="clear" w:color="auto" w:fill="FFFFFF"/>
        <w:spacing w:line="360" w:lineRule="auto"/>
        <w:ind w:firstLine="480"/>
        <w:jc w:val="left"/>
        <w:rPr>
          <w:rFonts w:hint="eastAsia" w:ascii="宋体" w:hAnsi="宋体" w:eastAsia="宋体" w:cs="宋体"/>
          <w:color w:val="auto"/>
          <w:spacing w:val="10"/>
          <w:kern w:val="0"/>
          <w:sz w:val="24"/>
        </w:rPr>
      </w:pPr>
      <w:r>
        <w:rPr>
          <w:rFonts w:hint="eastAsia" w:ascii="宋体" w:hAnsi="宋体" w:eastAsia="宋体" w:cs="宋体"/>
          <w:color w:val="auto"/>
          <w:spacing w:val="10"/>
          <w:kern w:val="0"/>
          <w:sz w:val="24"/>
        </w:rPr>
        <w:t>附件14汝南县政府采购供应商信用承诺函</w:t>
      </w:r>
    </w:p>
    <w:p w14:paraId="24C438DF">
      <w:pPr>
        <w:widowControl/>
        <w:shd w:val="clear" w:color="auto" w:fill="FFFFFF"/>
        <w:spacing w:line="360" w:lineRule="auto"/>
        <w:ind w:firstLine="480"/>
        <w:jc w:val="left"/>
        <w:rPr>
          <w:rFonts w:hint="eastAsia" w:ascii="宋体" w:hAnsi="宋体" w:eastAsia="宋体" w:cs="宋体"/>
          <w:color w:val="auto"/>
          <w:spacing w:val="10"/>
          <w:kern w:val="0"/>
          <w:sz w:val="24"/>
        </w:rPr>
      </w:pPr>
      <w:r>
        <w:rPr>
          <w:rFonts w:hint="eastAsia" w:ascii="宋体" w:hAnsi="宋体" w:eastAsia="宋体" w:cs="宋体"/>
          <w:color w:val="auto"/>
          <w:spacing w:val="10"/>
          <w:kern w:val="0"/>
          <w:sz w:val="24"/>
        </w:rPr>
        <w:t>附件15供应商认为需要说明的其它事项</w:t>
      </w:r>
    </w:p>
    <w:p w14:paraId="1D56E63F">
      <w:pPr>
        <w:widowControl/>
        <w:shd w:val="clear" w:color="auto" w:fill="FFFFFF"/>
        <w:spacing w:line="360" w:lineRule="auto"/>
        <w:ind w:firstLine="482"/>
        <w:rPr>
          <w:rFonts w:hint="eastAsia" w:ascii="宋体" w:hAnsi="宋体" w:eastAsia="宋体" w:cs="宋体"/>
          <w:color w:val="auto"/>
          <w:kern w:val="0"/>
          <w:sz w:val="24"/>
        </w:rPr>
      </w:pPr>
      <w:r>
        <w:rPr>
          <w:rFonts w:hint="eastAsia" w:ascii="宋体" w:hAnsi="宋体" w:eastAsia="宋体" w:cs="宋体"/>
          <w:b/>
          <w:bCs/>
          <w:color w:val="auto"/>
          <w:kern w:val="0"/>
          <w:sz w:val="24"/>
        </w:rPr>
        <w:t>16.</w:t>
      </w:r>
      <w:r>
        <w:rPr>
          <w:rFonts w:hint="eastAsia" w:ascii="宋体" w:hAnsi="宋体" w:cs="宋体"/>
          <w:b/>
          <w:bCs/>
          <w:color w:val="auto"/>
          <w:kern w:val="0"/>
          <w:sz w:val="24"/>
          <w:lang w:eastAsia="zh-CN"/>
        </w:rPr>
        <w:t>响应文件</w:t>
      </w:r>
      <w:r>
        <w:rPr>
          <w:rFonts w:hint="eastAsia" w:ascii="宋体" w:hAnsi="宋体" w:eastAsia="宋体" w:cs="宋体"/>
          <w:b/>
          <w:bCs/>
          <w:color w:val="auto"/>
          <w:kern w:val="0"/>
          <w:sz w:val="24"/>
        </w:rPr>
        <w:t>有效期</w:t>
      </w:r>
    </w:p>
    <w:p w14:paraId="3738F61E">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16.1 </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从竞争性谈判公告所规定的递交</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截止期之后开始生效，在供应商须知前附表第17项所规定的期限内保持有效。有效期不足将导致其</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被拒绝。成交供应商的</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有效期至合同完全履行止。</w:t>
      </w:r>
    </w:p>
    <w:p w14:paraId="0DB3DCFE">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16.2特殊情况下采购代理机构可于</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有效期满之前书面要求供应商同意延长有效期，供应商应在采购代理机构规定的期限内以书面形式予以答复。</w:t>
      </w:r>
    </w:p>
    <w:p w14:paraId="35E76EA6">
      <w:pPr>
        <w:widowControl/>
        <w:shd w:val="clear" w:color="auto" w:fill="FFFFFF"/>
        <w:spacing w:line="360" w:lineRule="auto"/>
        <w:ind w:firstLine="482"/>
        <w:rPr>
          <w:rFonts w:hint="eastAsia" w:ascii="宋体" w:hAnsi="宋体" w:eastAsia="宋体" w:cs="宋体"/>
          <w:b/>
          <w:bCs/>
          <w:color w:val="auto"/>
          <w:kern w:val="0"/>
          <w:sz w:val="24"/>
        </w:rPr>
      </w:pPr>
      <w:r>
        <w:rPr>
          <w:rFonts w:hint="eastAsia" w:ascii="宋体" w:hAnsi="宋体" w:eastAsia="宋体" w:cs="宋体"/>
          <w:b/>
          <w:bCs/>
          <w:color w:val="auto"/>
          <w:kern w:val="0"/>
          <w:sz w:val="24"/>
        </w:rPr>
        <w:t>17.谈判报价</w:t>
      </w:r>
    </w:p>
    <w:p w14:paraId="2243C40B">
      <w:pPr>
        <w:widowControl/>
        <w:shd w:val="clear" w:color="auto" w:fill="FFFFFF"/>
        <w:spacing w:line="360" w:lineRule="auto"/>
        <w:ind w:firstLine="480"/>
        <w:rPr>
          <w:rFonts w:hint="default" w:ascii="宋体" w:hAnsi="宋体" w:eastAsia="宋体" w:cs="宋体"/>
          <w:color w:val="auto"/>
          <w:kern w:val="0"/>
          <w:sz w:val="24"/>
          <w:lang w:val="en-US"/>
        </w:rPr>
      </w:pPr>
      <w:r>
        <w:rPr>
          <w:rFonts w:hint="eastAsia" w:ascii="宋体" w:hAnsi="宋体" w:eastAsia="宋体" w:cs="宋体"/>
          <w:color w:val="auto"/>
          <w:kern w:val="0"/>
          <w:sz w:val="24"/>
        </w:rPr>
        <w:t>17.1 </w:t>
      </w:r>
      <w:r>
        <w:rPr>
          <w:rFonts w:hint="eastAsia" w:ascii="宋体" w:hAnsi="宋体" w:cs="宋体"/>
          <w:color w:val="auto"/>
          <w:kern w:val="0"/>
          <w:sz w:val="24"/>
        </w:rPr>
        <w:t>所有谈判报价均以人民币元为计算单位。供应商的报价为完成本项目服务内容产生的所有费用。</w:t>
      </w:r>
      <w:r>
        <w:rPr>
          <w:rFonts w:hint="eastAsia" w:ascii="宋体" w:hAnsi="宋体" w:eastAsia="宋体" w:cs="宋体"/>
          <w:color w:val="auto"/>
          <w:kern w:val="0"/>
          <w:sz w:val="24"/>
          <w:lang w:val="en-US" w:eastAsia="zh-CN"/>
        </w:rPr>
        <w:t>投标报价表格式自拟。</w:t>
      </w:r>
    </w:p>
    <w:p w14:paraId="5B55416B">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17.2 供应商要按初次报价一览表、初次报价明细表的内容填写。</w:t>
      </w:r>
    </w:p>
    <w:p w14:paraId="58A36A2F">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17.3 供应商投报多标段的，应对每标段分别报价并分别填报初次报价一览表和初次报价明细表。</w:t>
      </w:r>
    </w:p>
    <w:p w14:paraId="3F777169">
      <w:pPr>
        <w:widowControl/>
        <w:shd w:val="clear" w:color="auto" w:fill="FFFFFF"/>
        <w:spacing w:line="360" w:lineRule="auto"/>
        <w:ind w:firstLine="482"/>
        <w:rPr>
          <w:rFonts w:hint="eastAsia" w:ascii="宋体" w:hAnsi="宋体" w:eastAsia="宋体" w:cs="宋体"/>
          <w:color w:val="auto"/>
          <w:kern w:val="0"/>
          <w:sz w:val="24"/>
        </w:rPr>
      </w:pPr>
      <w:r>
        <w:rPr>
          <w:rFonts w:hint="eastAsia" w:ascii="宋体" w:hAnsi="宋体" w:eastAsia="宋体" w:cs="宋体"/>
          <w:b/>
          <w:bCs/>
          <w:color w:val="auto"/>
          <w:kern w:val="0"/>
          <w:sz w:val="24"/>
        </w:rPr>
        <w:t>18.谈判保证金（若有）</w:t>
      </w:r>
    </w:p>
    <w:p w14:paraId="3A881889">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18.1 谈判保证金为</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的组成部分之一，用于保护本次谈判活动免受因供应商的行为而引起的风险。</w:t>
      </w:r>
    </w:p>
    <w:p w14:paraId="26095819">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18.2供应商应按照竞争性谈判公告和供应商须知前附表第11项的要求交纳和退还谈判保证金。联合体参加谈判的，可以由联合体中的一方或者共同提交。以一方名义提交的，对联合体各方均具有约束力。</w:t>
      </w:r>
    </w:p>
    <w:p w14:paraId="3283DC47">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18.3 发生以下情况之一的，谈判保证金将不予退还：（如收取）</w:t>
      </w:r>
    </w:p>
    <w:p w14:paraId="76FF36FA">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18.3.1 供应商恶意串通的。</w:t>
      </w:r>
    </w:p>
    <w:p w14:paraId="271BAD09">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18.3.2 供应商提供虚假材料谋取成交的。</w:t>
      </w:r>
    </w:p>
    <w:p w14:paraId="6041DC53">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18.3.3 供应商在递交</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截止期后，递交</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有效期内撤回</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的。</w:t>
      </w:r>
    </w:p>
    <w:p w14:paraId="37B04CC4">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18.3.4 成交供应商未按规定领取成交通知书的。</w:t>
      </w:r>
    </w:p>
    <w:p w14:paraId="0B86939A">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18.3.5 成交供应商未按规定签订采购合同的。</w:t>
      </w:r>
    </w:p>
    <w:p w14:paraId="19F836F7">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18.3.6 供应商以他人名义参加谈判或者以其他方式弄虚作假的。</w:t>
      </w:r>
    </w:p>
    <w:p w14:paraId="4EBDC719">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18.3.7 供应商影响或干预谈判活动的。</w:t>
      </w:r>
    </w:p>
    <w:p w14:paraId="4E13764C">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18.3.8 供应商存在其他违法违规行为和其他不予退还谈判保证金的情形。</w:t>
      </w:r>
    </w:p>
    <w:p w14:paraId="0CD35831">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上述不予退还谈判保证金的情况给采购人或采购代理机构造成损失的，还要承担赔偿责任。</w:t>
      </w:r>
    </w:p>
    <w:p w14:paraId="42717524">
      <w:pPr>
        <w:widowControl/>
        <w:shd w:val="clear" w:color="auto" w:fill="FFFFFF"/>
        <w:spacing w:line="360" w:lineRule="auto"/>
        <w:ind w:firstLine="482"/>
        <w:rPr>
          <w:rFonts w:hint="eastAsia" w:ascii="宋体" w:hAnsi="宋体" w:eastAsia="宋体" w:cs="宋体"/>
          <w:color w:val="auto"/>
          <w:kern w:val="0"/>
          <w:sz w:val="24"/>
        </w:rPr>
      </w:pPr>
      <w:r>
        <w:rPr>
          <w:rFonts w:hint="eastAsia" w:ascii="宋体" w:hAnsi="宋体" w:eastAsia="宋体" w:cs="宋体"/>
          <w:b/>
          <w:bCs/>
          <w:color w:val="auto"/>
          <w:kern w:val="0"/>
          <w:sz w:val="24"/>
        </w:rPr>
        <w:t>19. </w:t>
      </w:r>
      <w:r>
        <w:rPr>
          <w:rFonts w:hint="eastAsia" w:ascii="宋体" w:hAnsi="宋体" w:cs="宋体"/>
          <w:b/>
          <w:bCs/>
          <w:color w:val="auto"/>
          <w:kern w:val="0"/>
          <w:sz w:val="24"/>
          <w:lang w:eastAsia="zh-CN"/>
        </w:rPr>
        <w:t>响应文件</w:t>
      </w:r>
      <w:r>
        <w:rPr>
          <w:rFonts w:hint="eastAsia" w:ascii="宋体" w:hAnsi="宋体" w:eastAsia="宋体" w:cs="宋体"/>
          <w:b/>
          <w:bCs/>
          <w:color w:val="auto"/>
          <w:kern w:val="0"/>
          <w:sz w:val="24"/>
        </w:rPr>
        <w:t>的签署</w:t>
      </w:r>
    </w:p>
    <w:p w14:paraId="7C45CC82">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19.1 供应商应按本竞争性谈判文件规定的格式和顺序编制、装订</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。除了</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封面以外，每个页面都要在明显位置编制页码和总页码，按流水顺序填写，字迹必须清晰可认，</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的目录必须编序。</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内容不完整、编排混乱导致被误读、漏读或者查找不到相关内容的，由供应商负责。</w:t>
      </w:r>
    </w:p>
    <w:p w14:paraId="77EE16A4">
      <w:pPr>
        <w:widowControl/>
        <w:wordWrap w:val="0"/>
        <w:spacing w:line="360" w:lineRule="auto"/>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19.2加密的电子</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（.ZMDTF格式）是根据“驻马店市公共资源电子交易平台”下载的电子竞争性谈判文件，制作生成的加密版</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w:t>
      </w:r>
    </w:p>
    <w:p w14:paraId="0FE976E2">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19.3 供应商应提交证明其拟供</w:t>
      </w:r>
      <w:r>
        <w:rPr>
          <w:rFonts w:hint="eastAsia" w:ascii="宋体" w:hAnsi="宋体" w:cs="宋体"/>
          <w:color w:val="auto"/>
          <w:kern w:val="0"/>
          <w:sz w:val="24"/>
          <w:lang w:val="en-US" w:eastAsia="zh-CN"/>
        </w:rPr>
        <w:t>服务</w:t>
      </w:r>
      <w:r>
        <w:rPr>
          <w:rFonts w:hint="eastAsia" w:ascii="宋体" w:hAnsi="宋体" w:eastAsia="宋体" w:cs="宋体"/>
          <w:color w:val="auto"/>
          <w:kern w:val="0"/>
          <w:sz w:val="24"/>
        </w:rPr>
        <w:t>符合竞争性谈判文件要求的技术响应文件，该文件可以是文字资料、图纸和数据，并须提供</w:t>
      </w:r>
      <w:r>
        <w:rPr>
          <w:rFonts w:hint="eastAsia" w:ascii="宋体" w:hAnsi="宋体" w:cs="宋体"/>
          <w:color w:val="auto"/>
          <w:kern w:val="0"/>
          <w:sz w:val="24"/>
          <w:lang w:val="en-US" w:eastAsia="zh-CN"/>
        </w:rPr>
        <w:t>服务</w:t>
      </w:r>
      <w:r>
        <w:rPr>
          <w:rFonts w:hint="eastAsia" w:ascii="宋体" w:hAnsi="宋体" w:eastAsia="宋体" w:cs="宋体"/>
          <w:color w:val="auto"/>
          <w:kern w:val="0"/>
          <w:sz w:val="24"/>
        </w:rPr>
        <w:t>主要技术性能的详细描述。 </w:t>
      </w:r>
    </w:p>
    <w:p w14:paraId="679ED0AF">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19.4  供应商在编制电子</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时，根据竞争性谈判文件的要求用法人CA秘钥和企业CA秘钥进行签章制作。生成电子</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时，只能用本单位的企业CA秘钥。生成后的电子</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须按竞争性谈判文件的格式要求逐页完成电子签字盖章。</w:t>
      </w:r>
    </w:p>
    <w:p w14:paraId="410143E7">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19.5不接受电报、电传和传真的</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w:t>
      </w:r>
    </w:p>
    <w:p w14:paraId="32B3800E">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19.6 全套</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应无涂改和行间插字，除非这些改动是为改正供应商造成的必须修改的错误而进行的。有改动时，修改处应由供应商代表签署证明或加盖公章，但非供应商出具的材料，供应商改动无效。</w:t>
      </w:r>
    </w:p>
    <w:p w14:paraId="5ABCB909">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19.7 未按本须知规定的格式填写</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或</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字迹模糊不清，导致谈判小组无法认定是否实质性响应竞争性谈判文件的,其</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将被作为无效</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w:t>
      </w:r>
    </w:p>
    <w:p w14:paraId="0596B3D1">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19.8 电子</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制作流程。可参考驻马店市公共资源交易中心官方网站的下载中心板块的视频（http://ggzy.zhumadian.gov.cn/TPFront/InfoDetail/?InfoID=844e0ea7-2b6c-425d-99f6-91bd5b500e5e&amp;CategoryNum=026002）</w:t>
      </w:r>
    </w:p>
    <w:p w14:paraId="6300F1CA">
      <w:pPr>
        <w:widowControl/>
        <w:shd w:val="clear" w:color="auto" w:fill="FFFFFF"/>
        <w:spacing w:line="460" w:lineRule="atLeast"/>
        <w:ind w:firstLine="2554"/>
        <w:rPr>
          <w:rFonts w:hint="eastAsia" w:ascii="宋体" w:hAnsi="宋体" w:eastAsia="宋体" w:cs="宋体"/>
          <w:color w:val="auto"/>
          <w:kern w:val="0"/>
          <w:sz w:val="28"/>
          <w:szCs w:val="28"/>
        </w:rPr>
      </w:pPr>
      <w:r>
        <w:rPr>
          <w:rFonts w:hint="eastAsia" w:ascii="宋体" w:hAnsi="宋体" w:eastAsia="宋体" w:cs="宋体"/>
          <w:b/>
          <w:bCs/>
          <w:color w:val="auto"/>
          <w:kern w:val="0"/>
          <w:sz w:val="32"/>
          <w:szCs w:val="32"/>
        </w:rPr>
        <w:t>四</w:t>
      </w:r>
      <w:r>
        <w:rPr>
          <w:rFonts w:hint="eastAsia" w:ascii="宋体" w:hAnsi="宋体" w:eastAsia="宋体" w:cs="宋体"/>
          <w:b/>
          <w:bCs/>
          <w:color w:val="auto"/>
          <w:kern w:val="0"/>
          <w:sz w:val="32"/>
        </w:rPr>
        <w:t> </w:t>
      </w:r>
      <w:r>
        <w:rPr>
          <w:rFonts w:hint="eastAsia" w:ascii="宋体" w:hAnsi="宋体" w:eastAsia="宋体" w:cs="宋体"/>
          <w:b/>
          <w:bCs/>
          <w:color w:val="auto"/>
          <w:kern w:val="0"/>
          <w:sz w:val="32"/>
          <w:szCs w:val="32"/>
        </w:rPr>
        <w:t> </w:t>
      </w:r>
      <w:r>
        <w:rPr>
          <w:rFonts w:hint="eastAsia" w:ascii="宋体" w:hAnsi="宋体" w:cs="宋体"/>
          <w:b/>
          <w:bCs/>
          <w:color w:val="auto"/>
          <w:kern w:val="0"/>
          <w:sz w:val="32"/>
          <w:szCs w:val="32"/>
          <w:lang w:eastAsia="zh-CN"/>
        </w:rPr>
        <w:t>响应文件</w:t>
      </w:r>
      <w:r>
        <w:rPr>
          <w:rFonts w:hint="eastAsia" w:ascii="宋体" w:hAnsi="宋体" w:eastAsia="宋体" w:cs="宋体"/>
          <w:b/>
          <w:bCs/>
          <w:color w:val="auto"/>
          <w:kern w:val="0"/>
          <w:sz w:val="32"/>
          <w:szCs w:val="32"/>
        </w:rPr>
        <w:t>的上传、递交</w:t>
      </w:r>
    </w:p>
    <w:p w14:paraId="0514254C">
      <w:pPr>
        <w:widowControl/>
        <w:shd w:val="clear" w:color="auto" w:fill="FFFFFF"/>
        <w:spacing w:line="360" w:lineRule="auto"/>
        <w:ind w:firstLine="482"/>
        <w:rPr>
          <w:rFonts w:hint="eastAsia" w:ascii="宋体" w:hAnsi="宋体" w:eastAsia="宋体" w:cs="宋体"/>
          <w:color w:val="auto"/>
          <w:kern w:val="0"/>
          <w:sz w:val="24"/>
        </w:rPr>
      </w:pPr>
      <w:r>
        <w:rPr>
          <w:rFonts w:hint="eastAsia" w:ascii="宋体" w:hAnsi="宋体" w:eastAsia="宋体" w:cs="宋体"/>
          <w:b/>
          <w:bCs/>
          <w:color w:val="auto"/>
          <w:kern w:val="0"/>
          <w:sz w:val="24"/>
        </w:rPr>
        <w:t>20.</w:t>
      </w:r>
      <w:r>
        <w:rPr>
          <w:rFonts w:hint="eastAsia" w:ascii="宋体" w:hAnsi="宋体" w:cs="宋体"/>
          <w:b/>
          <w:bCs/>
          <w:color w:val="auto"/>
          <w:kern w:val="0"/>
          <w:sz w:val="24"/>
          <w:lang w:eastAsia="zh-CN"/>
        </w:rPr>
        <w:t>响应文件</w:t>
      </w:r>
      <w:r>
        <w:rPr>
          <w:rFonts w:hint="eastAsia" w:ascii="宋体" w:hAnsi="宋体" w:eastAsia="宋体" w:cs="宋体"/>
          <w:b/>
          <w:bCs/>
          <w:color w:val="auto"/>
          <w:kern w:val="0"/>
          <w:sz w:val="24"/>
        </w:rPr>
        <w:t>的加密、密封、标记</w:t>
      </w:r>
    </w:p>
    <w:p w14:paraId="6AFF1518">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20.1供应商应在</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截止时间前上传加密的电子</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（.zmdtf格式）。</w:t>
      </w:r>
    </w:p>
    <w:p w14:paraId="6AC280E7">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20.2供应商因驻马店市公共资源交易平台投标系统出现问题无法上传电子</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时，请与江苏国泰新点软件有限公司联系，联系电话：0396-2613088</w:t>
      </w:r>
    </w:p>
    <w:p w14:paraId="5AA1BCF4">
      <w:pPr>
        <w:widowControl/>
        <w:shd w:val="clear" w:color="auto" w:fill="FFFFFF"/>
        <w:spacing w:line="360" w:lineRule="auto"/>
        <w:ind w:firstLine="482"/>
        <w:rPr>
          <w:rFonts w:hint="eastAsia" w:ascii="宋体" w:hAnsi="宋体" w:eastAsia="宋体" w:cs="宋体"/>
          <w:b/>
          <w:bCs/>
          <w:color w:val="auto"/>
          <w:kern w:val="0"/>
          <w:sz w:val="24"/>
        </w:rPr>
      </w:pPr>
      <w:r>
        <w:rPr>
          <w:rFonts w:hint="eastAsia" w:ascii="宋体" w:hAnsi="宋体" w:eastAsia="宋体" w:cs="宋体"/>
          <w:b/>
          <w:bCs/>
          <w:color w:val="auto"/>
          <w:kern w:val="0"/>
          <w:sz w:val="24"/>
        </w:rPr>
        <w:t>21.</w:t>
      </w:r>
      <w:r>
        <w:rPr>
          <w:rFonts w:hint="eastAsia" w:ascii="宋体" w:hAnsi="宋体" w:cs="宋体"/>
          <w:b/>
          <w:bCs/>
          <w:color w:val="auto"/>
          <w:kern w:val="0"/>
          <w:sz w:val="24"/>
          <w:lang w:eastAsia="zh-CN"/>
        </w:rPr>
        <w:t>响应文件</w:t>
      </w:r>
      <w:r>
        <w:rPr>
          <w:rFonts w:hint="eastAsia" w:ascii="宋体" w:hAnsi="宋体" w:eastAsia="宋体" w:cs="宋体"/>
          <w:b/>
          <w:bCs/>
          <w:color w:val="auto"/>
          <w:kern w:val="0"/>
          <w:sz w:val="24"/>
        </w:rPr>
        <w:t>的上传、递交</w:t>
      </w:r>
    </w:p>
    <w:p w14:paraId="1D5A866E">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供应商应在竞争性谈判公告中规定的递交</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截止日期和时间前将制作好的电子</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加密上传至驻马店市公共资源交易中心电子交易平台。</w:t>
      </w:r>
    </w:p>
    <w:p w14:paraId="47DF612E">
      <w:pPr>
        <w:widowControl/>
        <w:shd w:val="clear" w:color="auto" w:fill="FFFFFF"/>
        <w:spacing w:line="360" w:lineRule="auto"/>
        <w:ind w:firstLine="482"/>
        <w:rPr>
          <w:rFonts w:hint="eastAsia" w:ascii="宋体" w:hAnsi="宋体" w:eastAsia="宋体" w:cs="宋体"/>
          <w:color w:val="auto"/>
          <w:kern w:val="0"/>
          <w:sz w:val="24"/>
        </w:rPr>
      </w:pPr>
      <w:r>
        <w:rPr>
          <w:rFonts w:hint="eastAsia" w:ascii="宋体" w:hAnsi="宋体" w:eastAsia="宋体" w:cs="宋体"/>
          <w:b/>
          <w:bCs/>
          <w:color w:val="auto"/>
          <w:kern w:val="0"/>
          <w:sz w:val="24"/>
        </w:rPr>
        <w:t>22.</w:t>
      </w:r>
      <w:r>
        <w:rPr>
          <w:rFonts w:hint="eastAsia" w:ascii="宋体" w:hAnsi="宋体" w:cs="宋体"/>
          <w:b/>
          <w:bCs/>
          <w:color w:val="auto"/>
          <w:kern w:val="0"/>
          <w:sz w:val="24"/>
          <w:lang w:eastAsia="zh-CN"/>
        </w:rPr>
        <w:t>响应文件</w:t>
      </w:r>
      <w:r>
        <w:rPr>
          <w:rFonts w:hint="eastAsia" w:ascii="宋体" w:hAnsi="宋体" w:eastAsia="宋体" w:cs="宋体"/>
          <w:b/>
          <w:bCs/>
          <w:color w:val="auto"/>
          <w:kern w:val="0"/>
          <w:sz w:val="24"/>
        </w:rPr>
        <w:t>的修改和撤回</w:t>
      </w:r>
    </w:p>
    <w:p w14:paraId="4E78506A">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22.1 供应商在投标截止时间前，可以对所提交的</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进行补充、修改或者撤回，并书面通知采购采购代理机构。补充、修改的内容和撤回通知应当按本须知要求签署、盖章、加密，并作为</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的组成部分。</w:t>
      </w:r>
    </w:p>
    <w:p w14:paraId="3F684B0E">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22.2 供应商在投标截止期后不得修改、撤回</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。供应商在投标截止期后修改</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的，其投标将被拒绝。</w:t>
      </w:r>
    </w:p>
    <w:p w14:paraId="604FF172">
      <w:pPr>
        <w:widowControl/>
        <w:shd w:val="clear" w:color="auto" w:fill="FFFFFF"/>
        <w:spacing w:line="460" w:lineRule="atLeast"/>
        <w:ind w:firstLine="3036"/>
        <w:rPr>
          <w:rFonts w:hint="eastAsia" w:ascii="宋体" w:hAnsi="宋体" w:eastAsia="宋体" w:cs="宋体"/>
          <w:color w:val="auto"/>
          <w:kern w:val="0"/>
          <w:sz w:val="28"/>
          <w:szCs w:val="28"/>
        </w:rPr>
      </w:pPr>
      <w:r>
        <w:rPr>
          <w:rFonts w:hint="eastAsia" w:ascii="宋体" w:hAnsi="宋体" w:eastAsia="宋体" w:cs="宋体"/>
          <w:b/>
          <w:bCs/>
          <w:color w:val="auto"/>
          <w:kern w:val="0"/>
          <w:sz w:val="32"/>
          <w:szCs w:val="32"/>
        </w:rPr>
        <w:t>五</w:t>
      </w:r>
      <w:r>
        <w:rPr>
          <w:rFonts w:hint="eastAsia" w:ascii="宋体" w:hAnsi="宋体" w:eastAsia="宋体" w:cs="宋体"/>
          <w:b/>
          <w:bCs/>
          <w:color w:val="auto"/>
          <w:kern w:val="0"/>
          <w:sz w:val="32"/>
        </w:rPr>
        <w:t> </w:t>
      </w:r>
      <w:r>
        <w:rPr>
          <w:rFonts w:hint="eastAsia" w:ascii="宋体" w:hAnsi="宋体" w:eastAsia="宋体" w:cs="宋体"/>
          <w:b/>
          <w:bCs/>
          <w:color w:val="auto"/>
          <w:kern w:val="0"/>
          <w:sz w:val="32"/>
          <w:szCs w:val="32"/>
        </w:rPr>
        <w:t>  谈判</w:t>
      </w:r>
    </w:p>
    <w:p w14:paraId="36A2DBFE">
      <w:pPr>
        <w:widowControl/>
        <w:shd w:val="clear" w:color="auto" w:fill="FFFFFF"/>
        <w:spacing w:line="360" w:lineRule="auto"/>
        <w:ind w:firstLine="482"/>
        <w:rPr>
          <w:rFonts w:hint="eastAsia" w:ascii="宋体" w:hAnsi="宋体" w:eastAsia="宋体" w:cs="宋体"/>
          <w:color w:val="auto"/>
          <w:kern w:val="0"/>
          <w:sz w:val="24"/>
        </w:rPr>
      </w:pPr>
      <w:r>
        <w:rPr>
          <w:rFonts w:hint="eastAsia" w:ascii="宋体" w:hAnsi="宋体" w:eastAsia="宋体" w:cs="宋体"/>
          <w:b/>
          <w:bCs/>
          <w:color w:val="auto"/>
          <w:kern w:val="0"/>
          <w:sz w:val="24"/>
        </w:rPr>
        <w:t>23.组建谈判小组</w:t>
      </w:r>
    </w:p>
    <w:p w14:paraId="4197A075">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采购代理机构根据采购项目的特点依法组建谈判小组。谈判小组由采购人代表和有关技术、经济等方面的专家组成，成员为3人单数组成。达到公开招标限额标准而采取竞争性谈判采购方式的采购项目，成员人数应为5人及以上单数。(采购人代表不得担任谈判小组组长)。</w:t>
      </w:r>
    </w:p>
    <w:p w14:paraId="1F8B8343">
      <w:pPr>
        <w:widowControl/>
        <w:shd w:val="clear" w:color="auto" w:fill="FFFFFF"/>
        <w:spacing w:line="360" w:lineRule="auto"/>
        <w:ind w:firstLine="482"/>
        <w:rPr>
          <w:rFonts w:hint="eastAsia" w:ascii="宋体" w:hAnsi="宋体" w:eastAsia="宋体" w:cs="宋体"/>
          <w:color w:val="auto"/>
          <w:kern w:val="0"/>
          <w:sz w:val="24"/>
        </w:rPr>
      </w:pPr>
      <w:r>
        <w:rPr>
          <w:rFonts w:hint="eastAsia" w:ascii="宋体" w:hAnsi="宋体" w:eastAsia="宋体" w:cs="宋体"/>
          <w:b/>
          <w:bCs/>
          <w:color w:val="auto"/>
          <w:kern w:val="0"/>
          <w:sz w:val="24"/>
        </w:rPr>
        <w:t>24.</w:t>
      </w:r>
      <w:r>
        <w:rPr>
          <w:rFonts w:hint="eastAsia" w:ascii="宋体" w:hAnsi="宋体" w:eastAsia="宋体" w:cs="宋体"/>
          <w:color w:val="auto"/>
          <w:kern w:val="0"/>
          <w:sz w:val="24"/>
        </w:rPr>
        <w:t> </w:t>
      </w:r>
      <w:r>
        <w:rPr>
          <w:rFonts w:hint="eastAsia" w:ascii="宋体" w:hAnsi="宋体" w:cs="宋体"/>
          <w:b/>
          <w:bCs/>
          <w:color w:val="auto"/>
          <w:kern w:val="0"/>
          <w:sz w:val="24"/>
          <w:lang w:eastAsia="zh-CN"/>
        </w:rPr>
        <w:t>响应文件</w:t>
      </w:r>
      <w:r>
        <w:rPr>
          <w:rFonts w:hint="eastAsia" w:ascii="宋体" w:hAnsi="宋体" w:eastAsia="宋体" w:cs="宋体"/>
          <w:b/>
          <w:bCs/>
          <w:color w:val="auto"/>
          <w:kern w:val="0"/>
          <w:sz w:val="24"/>
        </w:rPr>
        <w:t>的初审</w:t>
      </w:r>
    </w:p>
    <w:p w14:paraId="73994CC2">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24.1谈判小组会将对</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进行检查，以确定</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是否完整、有无计算上的错误、是否已正确签署等。</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如果出现计算或表达上的错误，修正错误的原则如下：</w:t>
      </w:r>
    </w:p>
    <w:p w14:paraId="307B089B">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初次报价一览表的内容与初次报价明细表的内容不一致的，以初次报价一览表为准；大写金额与小写金额不一致的，以大写金额为准；总价金额与按单价汇总金额不一致的，以单价金额计算结果为准，除非谈判小组认为单价有明显的小数点错误，此时应以总价为准，并修改单价；对不同文字文本</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的解释发生异议的，以中文文本为准。上述修正错误的原则及方法调整或修正</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的报价，供应商同意后，调整后的报价对供应商起约束作用。如果供应商不接受修正后的报价，则其</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将被作为无效响应。</w:t>
      </w:r>
    </w:p>
    <w:p w14:paraId="7A82CA74">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24.2 资格性检查和符合性检查。</w:t>
      </w:r>
    </w:p>
    <w:p w14:paraId="5380B385">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24.2.1资格性检查。谈判小组将依据</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按竞争性谈判公告第2项所述的资格标准和竞争性谈判文件第三章4.供应商应提交的证明文件对供应商进行资格审查, 以确定其是否具备谈判资格。如果供应商不具备资格、不满足竞争性谈判文件所规定的资格标准或提供资格证明文件不全, 将被视为未实质性响应竞争性谈判文件。在谈判过程中，谈判小组会有权要求供应商按竞争性谈判文件的规定提供相关资格证明材料的原件的扫描件以供审查。供应商应在谈判小组规定的时限内提供。供应商拒不提供的，或者不能在规定时限内提供的，视为其不具备该资格条件。</w:t>
      </w:r>
    </w:p>
    <w:p w14:paraId="7F114BF5">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24.2.2 符合性检查。谈判小组将从</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的有效性、完整性和对竞争性谈判文件的响应程度进行审查，以确定是否符合对竞争性谈判文件的实质性要求作出响应（采购人可根据具体项目的情况对实质性要求作特别的具体规定）。实质性偏离是指：（1）实质性影响合同的范围、质量和履行。（2）实质性违背竞争性谈判文件，限制了采购人的权利。（3）不公正地影响了其它作出实质性响应的供应商的竞争地位。对没有实质性响应竞争性谈判文件的供应商，将不进入下一阶段谈判。凡有下列情况之一者，其</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也将被视为未实质性响应竞争性谈判文件：</w:t>
      </w:r>
    </w:p>
    <w:p w14:paraId="2642EF5C">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未按规定签字、盖章的。</w:t>
      </w:r>
    </w:p>
    <w:p w14:paraId="778FFE01">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(2)供应商代表未能出具有效身份证明，或与身份不符的。</w:t>
      </w:r>
    </w:p>
    <w:p w14:paraId="7BFFA078">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(3)资格证明文件不全的，或不符合竞争性谈判文件标明的资格要求的。</w:t>
      </w:r>
    </w:p>
    <w:p w14:paraId="4C85C131">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(4)</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有效期、</w:t>
      </w:r>
      <w:r>
        <w:rPr>
          <w:rFonts w:hint="eastAsia" w:ascii="宋体" w:hAnsi="宋体" w:cs="宋体"/>
          <w:color w:val="auto"/>
          <w:kern w:val="0"/>
          <w:sz w:val="24"/>
          <w:lang w:eastAsia="zh-CN"/>
        </w:rPr>
        <w:t>服务期限</w:t>
      </w:r>
      <w:r>
        <w:rPr>
          <w:rFonts w:hint="eastAsia" w:ascii="宋体" w:hAnsi="宋体" w:eastAsia="宋体" w:cs="宋体"/>
          <w:color w:val="auto"/>
          <w:kern w:val="0"/>
          <w:sz w:val="24"/>
        </w:rPr>
        <w:t>等不满足竞争性谈判文件要求的。</w:t>
      </w:r>
    </w:p>
    <w:p w14:paraId="72EC9D5B">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(5)</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中</w:t>
      </w:r>
      <w:r>
        <w:rPr>
          <w:rFonts w:hint="eastAsia" w:ascii="宋体" w:hAnsi="宋体" w:cs="宋体"/>
          <w:color w:val="auto"/>
          <w:kern w:val="0"/>
          <w:sz w:val="24"/>
          <w:lang w:val="en-US" w:eastAsia="zh-CN"/>
        </w:rPr>
        <w:t>技术服务方案</w:t>
      </w:r>
      <w:r>
        <w:rPr>
          <w:rFonts w:hint="eastAsia" w:ascii="宋体" w:hAnsi="宋体" w:eastAsia="宋体" w:cs="宋体"/>
          <w:color w:val="auto"/>
          <w:kern w:val="0"/>
          <w:sz w:val="24"/>
        </w:rPr>
        <w:t>不能合理、科学、有效的满足本项目需求的。</w:t>
      </w:r>
    </w:p>
    <w:p w14:paraId="51997264">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(6)任何1项主要技术指标低于采购需求的。</w:t>
      </w:r>
    </w:p>
    <w:p w14:paraId="572F48C8">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(7)未按竞争性谈判文件提供的格式填列、项目不齐全或内容虚假的。</w:t>
      </w:r>
    </w:p>
    <w:p w14:paraId="0B97DE6F">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(8)</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的实质性内容未使用中文表述，或意思表述不明确，或前后矛盾，或使用计量单位不符合竞争性谈判文件要求的。</w:t>
      </w:r>
    </w:p>
    <w:p w14:paraId="0A9E9929">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（9）</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的关键内容字迹模糊、无法辨认,或</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中经修正的内容字迹模糊无法辩认，或修改处未按规定签名盖章的。</w:t>
      </w:r>
    </w:p>
    <w:p w14:paraId="4499B760">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（10）联合体参加谈判未提供联合体协议原件的</w:t>
      </w:r>
      <w:r>
        <w:rPr>
          <w:rFonts w:hint="eastAsia" w:ascii="宋体" w:hAnsi="宋体" w:cs="宋体"/>
          <w:color w:val="auto"/>
          <w:kern w:val="0"/>
          <w:sz w:val="24"/>
          <w:lang w:eastAsia="zh-CN"/>
        </w:rPr>
        <w:t>（</w:t>
      </w:r>
      <w:r>
        <w:rPr>
          <w:rFonts w:hint="eastAsia" w:ascii="宋体" w:hAnsi="宋体" w:cs="宋体"/>
          <w:color w:val="auto"/>
          <w:kern w:val="0"/>
          <w:sz w:val="24"/>
          <w:lang w:val="en-US" w:eastAsia="zh-CN"/>
        </w:rPr>
        <w:t>如有</w:t>
      </w:r>
      <w:r>
        <w:rPr>
          <w:rFonts w:hint="eastAsia" w:ascii="宋体" w:hAnsi="宋体" w:cs="宋体"/>
          <w:color w:val="auto"/>
          <w:kern w:val="0"/>
          <w:sz w:val="24"/>
          <w:lang w:eastAsia="zh-CN"/>
        </w:rPr>
        <w:t>）</w:t>
      </w:r>
      <w:r>
        <w:rPr>
          <w:rFonts w:hint="eastAsia" w:ascii="宋体" w:hAnsi="宋体" w:eastAsia="宋体" w:cs="宋体"/>
          <w:color w:val="auto"/>
          <w:kern w:val="0"/>
          <w:sz w:val="24"/>
        </w:rPr>
        <w:t>。</w:t>
      </w:r>
    </w:p>
    <w:p w14:paraId="588F7E11">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（11）不符合竞争性谈判文件中规定的其它实质性条款。</w:t>
      </w:r>
    </w:p>
    <w:p w14:paraId="04C0F87B">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谈判小组将拒绝被确定为没有实质性响应竞争性谈判文件的</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。谈判小组决定供应商是否实质性响应竞争性谈判文件只根据</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本身的内容，而不寻求其他的外部证据。</w:t>
      </w:r>
    </w:p>
    <w:p w14:paraId="1538DEA6">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24.2.3对资格性检查和符合性检查不合格的供应商，将</w:t>
      </w:r>
      <w:r>
        <w:rPr>
          <w:rFonts w:hint="eastAsia" w:ascii="宋体" w:hAnsi="宋体" w:cs="宋体"/>
          <w:color w:val="auto"/>
          <w:kern w:val="0"/>
          <w:sz w:val="24"/>
          <w:lang w:val="en-US" w:eastAsia="zh-CN"/>
        </w:rPr>
        <w:t>通过</w:t>
      </w:r>
      <w:r>
        <w:rPr>
          <w:rFonts w:hint="eastAsia" w:ascii="宋体" w:hAnsi="宋体" w:eastAsia="宋体" w:cs="宋体"/>
          <w:color w:val="auto"/>
          <w:kern w:val="0"/>
          <w:sz w:val="24"/>
        </w:rPr>
        <w:t>驻马店市公共资源交易中心电子交易平台不见面</w:t>
      </w:r>
      <w:r>
        <w:rPr>
          <w:rFonts w:hint="eastAsia" w:ascii="宋体" w:hAnsi="宋体" w:eastAsia="宋体" w:cs="宋体"/>
          <w:color w:val="auto"/>
          <w:kern w:val="0"/>
          <w:sz w:val="24"/>
          <w:lang w:val="en-US" w:eastAsia="zh-CN"/>
        </w:rPr>
        <w:t>开评标</w:t>
      </w:r>
      <w:r>
        <w:rPr>
          <w:rFonts w:hint="eastAsia" w:ascii="宋体" w:hAnsi="宋体" w:eastAsia="宋体" w:cs="宋体"/>
          <w:color w:val="auto"/>
          <w:kern w:val="0"/>
          <w:sz w:val="24"/>
        </w:rPr>
        <w:t>系统</w:t>
      </w:r>
      <w:r>
        <w:rPr>
          <w:rFonts w:hint="eastAsia" w:ascii="宋体" w:hAnsi="宋体" w:eastAsia="宋体" w:cs="宋体"/>
          <w:color w:val="auto"/>
          <w:kern w:val="0"/>
          <w:sz w:val="24"/>
          <w:lang w:val="en-US" w:eastAsia="zh-CN"/>
        </w:rPr>
        <w:t>实时告知</w:t>
      </w:r>
      <w:r>
        <w:rPr>
          <w:rFonts w:hint="eastAsia" w:ascii="宋体" w:hAnsi="宋体" w:eastAsia="宋体" w:cs="宋体"/>
          <w:color w:val="auto"/>
          <w:kern w:val="0"/>
          <w:sz w:val="24"/>
        </w:rPr>
        <w:t>。</w:t>
      </w:r>
    </w:p>
    <w:p w14:paraId="2EE33F15">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24.3 在评审过程中，谈判小组发现供应商有下列情形之一的，视为供应商相互串通。具体表现形式如下：</w:t>
      </w:r>
    </w:p>
    <w:p w14:paraId="2310985C">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24.3.1不同供应商的</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异常一致的。</w:t>
      </w:r>
    </w:p>
    <w:p w14:paraId="367580E8">
      <w:pPr>
        <w:widowControl/>
        <w:shd w:val="clear" w:color="auto" w:fill="FFFFFF"/>
        <w:spacing w:line="360" w:lineRule="auto"/>
        <w:ind w:firstLine="480" w:firstLineChars="200"/>
        <w:rPr>
          <w:rFonts w:hint="eastAsia" w:ascii="宋体" w:hAnsi="宋体" w:eastAsia="宋体" w:cs="宋体"/>
          <w:color w:val="auto"/>
          <w:kern w:val="0"/>
          <w:sz w:val="24"/>
        </w:rPr>
      </w:pPr>
      <w:r>
        <w:rPr>
          <w:rFonts w:hint="eastAsia" w:ascii="宋体" w:hAnsi="宋体" w:eastAsia="宋体" w:cs="宋体"/>
          <w:color w:val="auto"/>
          <w:kern w:val="0"/>
          <w:sz w:val="24"/>
        </w:rPr>
        <w:t>24.3.2 不同供应商的</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由同一单位或个人编制的。</w:t>
      </w:r>
    </w:p>
    <w:p w14:paraId="710728A2">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24.3.4 不同供应商的</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载明的项目管理成员为同一人的。</w:t>
      </w:r>
    </w:p>
    <w:p w14:paraId="06A88762">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24.3.5 不同供应商的</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相互混装的。</w:t>
      </w:r>
    </w:p>
    <w:p w14:paraId="348CB950">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24.3.6 不同供应商授权同一人作为供应商代表的。</w:t>
      </w:r>
    </w:p>
    <w:p w14:paraId="77879F69">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24.3.7不同供应商的谈判保证金由同一单位或者个人支付的（若收取）。</w:t>
      </w:r>
    </w:p>
    <w:p w14:paraId="7C0AA2AA">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24.3.8 有证据证明供应商与采购人、采购代理机构或其他供应商串通的其他情形的。</w:t>
      </w:r>
    </w:p>
    <w:p w14:paraId="361DC736">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24.3.9 谈判小组认定的其他串通情形。</w:t>
      </w:r>
    </w:p>
    <w:p w14:paraId="68CEB8D8">
      <w:pPr>
        <w:widowControl/>
        <w:shd w:val="clear" w:color="auto" w:fill="FFFFFF"/>
        <w:spacing w:line="360" w:lineRule="auto"/>
        <w:ind w:firstLine="482"/>
        <w:rPr>
          <w:rFonts w:hint="eastAsia" w:ascii="宋体" w:hAnsi="宋体" w:eastAsia="宋体" w:cs="宋体"/>
          <w:color w:val="auto"/>
          <w:kern w:val="0"/>
          <w:sz w:val="24"/>
        </w:rPr>
      </w:pPr>
      <w:r>
        <w:rPr>
          <w:rFonts w:hint="eastAsia" w:ascii="宋体" w:hAnsi="宋体" w:eastAsia="宋体" w:cs="宋体"/>
          <w:b/>
          <w:bCs/>
          <w:color w:val="auto"/>
          <w:kern w:val="0"/>
          <w:sz w:val="24"/>
        </w:rPr>
        <w:t>25.</w:t>
      </w:r>
      <w:r>
        <w:rPr>
          <w:rFonts w:hint="eastAsia" w:ascii="宋体" w:hAnsi="宋体" w:cs="宋体"/>
          <w:b/>
          <w:bCs/>
          <w:color w:val="auto"/>
          <w:kern w:val="0"/>
          <w:sz w:val="24"/>
          <w:lang w:eastAsia="zh-CN"/>
        </w:rPr>
        <w:t>响应文件</w:t>
      </w:r>
      <w:r>
        <w:rPr>
          <w:rFonts w:hint="eastAsia" w:ascii="宋体" w:hAnsi="宋体" w:eastAsia="宋体" w:cs="宋体"/>
          <w:b/>
          <w:bCs/>
          <w:color w:val="auto"/>
          <w:kern w:val="0"/>
          <w:sz w:val="24"/>
        </w:rPr>
        <w:t>的澄清</w:t>
      </w:r>
    </w:p>
    <w:p w14:paraId="69B667BF">
      <w:pPr>
        <w:widowControl/>
        <w:shd w:val="clear" w:color="auto" w:fill="FFFFFF"/>
        <w:spacing w:line="360" w:lineRule="auto"/>
        <w:ind w:firstLine="482"/>
        <w:rPr>
          <w:rFonts w:hint="eastAsia" w:ascii="宋体" w:hAnsi="宋体" w:eastAsia="宋体" w:cs="宋体"/>
          <w:color w:val="auto"/>
          <w:kern w:val="0"/>
          <w:sz w:val="24"/>
        </w:rPr>
      </w:pPr>
      <w:r>
        <w:rPr>
          <w:rFonts w:hint="eastAsia" w:ascii="宋体" w:hAnsi="宋体" w:eastAsia="宋体" w:cs="宋体"/>
          <w:color w:val="auto"/>
          <w:kern w:val="0"/>
          <w:sz w:val="24"/>
        </w:rPr>
        <w:t>对</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中含义不明确、同类问题表述不一致或者有明显文字和计算错误的内容，谈判小组可以书面形式通过驻马店市公共资源交易中心电子交易平台不见面交易系统远程要求供应商作出必要的澄清。供应商的澄清应当在评标委员会规定的时间内通过驻马店市公共资源交易中心电子交易平台不见面交易系统远程以书面形式作出，由其供应商代表签字。但澄清事项不得超出</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的范围，不得实质性改变</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的内容，不得通过澄清等方式对供应商实行差别对待。谈判小组不得接受供应商主动提出的澄清和解释。</w:t>
      </w:r>
    </w:p>
    <w:p w14:paraId="3D58D19F">
      <w:pPr>
        <w:widowControl/>
        <w:shd w:val="clear" w:color="auto" w:fill="FFFFFF"/>
        <w:spacing w:line="360" w:lineRule="auto"/>
        <w:ind w:firstLine="482"/>
        <w:rPr>
          <w:rFonts w:hint="eastAsia" w:ascii="宋体" w:hAnsi="宋体" w:eastAsia="宋体" w:cs="宋体"/>
          <w:color w:val="auto"/>
          <w:kern w:val="0"/>
          <w:sz w:val="24"/>
        </w:rPr>
      </w:pPr>
      <w:r>
        <w:rPr>
          <w:rFonts w:hint="eastAsia" w:ascii="宋体" w:hAnsi="宋体" w:eastAsia="宋体" w:cs="宋体"/>
          <w:b/>
          <w:bCs/>
          <w:color w:val="auto"/>
          <w:kern w:val="0"/>
          <w:sz w:val="24"/>
        </w:rPr>
        <w:t>26. 谈判</w:t>
      </w:r>
    </w:p>
    <w:p w14:paraId="48838377">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26.1对资格性检查和符合性检查合格的供应商，进入本次谈判程序。</w:t>
      </w:r>
    </w:p>
    <w:p w14:paraId="7CB82E38">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26.2谈判小组通过随机方式确定参加谈判供应商的谈判顺序，所有成员集中与供应商按照顺序分别单独进行谈判。在谈判中，谈判的任何一方不得透露与谈判有关的其他供应商的技术资料、价格和其他信息。在谈判过程中，谈判小组可以根据谈判文件和谈判情况实质性变动采购需求中的技术、服务要求及合同条款，但不得变动谈判文件的其他内容。实质性变动的内容须经采购人代表确认。谈判文件有实质性变动的，谈判小组应当以书面形式通知所有参加谈判供应商。</w:t>
      </w:r>
    </w:p>
    <w:p w14:paraId="1107D6BC">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26.3本次谈判进行2轮次（不超过2轮次）报价，并给予每个供应商相同的机会。响应文件报价为第一轮报价，以后轮次报价不得高于上一轮次报价（除采购文件有实质性变动外），否则将被视为未实质性响应采购文件。供应商应当在规定的时限内通过驻马店市公共资源交易中心电子交易平台递交第二轮报价（如果一包中分项目过多，第二轮可以只报总价，分项目价格按本轮总报价与第一轮总报价的优惠比例相应调整）。</w:t>
      </w:r>
    </w:p>
    <w:p w14:paraId="3A3E06AA">
      <w:pPr>
        <w:shd w:val="clear" w:color="auto" w:fill="FFFFFF"/>
        <w:snapToGrid w:val="0"/>
        <w:spacing w:line="360" w:lineRule="auto"/>
        <w:ind w:firstLine="480"/>
        <w:rPr>
          <w:rFonts w:hint="eastAsia" w:ascii="宋体" w:hAnsi="宋体" w:eastAsia="宋体" w:cs="Times New Roman"/>
          <w:color w:val="auto"/>
          <w:kern w:val="0"/>
          <w:sz w:val="24"/>
          <w:highlight w:val="none"/>
        </w:rPr>
      </w:pPr>
      <w:r>
        <w:rPr>
          <w:rFonts w:hint="eastAsia" w:ascii="宋体" w:hAnsi="宋体" w:eastAsia="宋体" w:cs="宋体"/>
          <w:color w:val="auto"/>
          <w:kern w:val="0"/>
          <w:sz w:val="24"/>
        </w:rPr>
        <w:t>26.4</w:t>
      </w:r>
      <w:bookmarkStart w:id="11" w:name="_Hlk220085436"/>
      <w:bookmarkStart w:id="12" w:name="_Hlk220086448"/>
      <w:r>
        <w:rPr>
          <w:rFonts w:hint="eastAsia" w:ascii="宋体" w:hAnsi="宋体" w:eastAsia="宋体" w:cs="Times New Roman"/>
          <w:color w:val="auto"/>
          <w:kern w:val="0"/>
          <w:sz w:val="24"/>
          <w:highlight w:val="none"/>
        </w:rPr>
        <w:t>异常低价处理</w:t>
      </w:r>
    </w:p>
    <w:p w14:paraId="7D2E2ACC">
      <w:pPr>
        <w:shd w:val="clear" w:color="auto" w:fill="FFFFFF"/>
        <w:snapToGrid w:val="0"/>
        <w:spacing w:line="360" w:lineRule="auto"/>
        <w:ind w:firstLine="48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政府采购评审中出现下列情形之一的，</w:t>
      </w:r>
      <w:r>
        <w:rPr>
          <w:rFonts w:hint="eastAsia" w:ascii="宋体" w:hAnsi="宋体" w:eastAsia="宋体" w:cs="Times New Roman"/>
          <w:color w:val="auto"/>
          <w:kern w:val="0"/>
          <w:sz w:val="24"/>
          <w:highlight w:val="none"/>
          <w:lang w:eastAsia="zh-CN"/>
        </w:rPr>
        <w:t>谈判小组</w:t>
      </w:r>
      <w:r>
        <w:rPr>
          <w:rFonts w:hint="eastAsia" w:ascii="宋体" w:hAnsi="宋体" w:eastAsia="宋体" w:cs="Times New Roman"/>
          <w:color w:val="auto"/>
          <w:kern w:val="0"/>
          <w:sz w:val="24"/>
          <w:highlight w:val="none"/>
        </w:rPr>
        <w:t>应当启动异常低价响应审查程序：</w:t>
      </w:r>
    </w:p>
    <w:p w14:paraId="4D51278D">
      <w:pPr>
        <w:shd w:val="clear" w:color="auto" w:fill="FFFFFF"/>
        <w:snapToGrid w:val="0"/>
        <w:spacing w:line="360" w:lineRule="auto"/>
        <w:ind w:firstLine="48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（1）响应报价低于全部通过符合性审查供应商响应报价平均值</w:t>
      </w:r>
      <w:r>
        <w:rPr>
          <w:rFonts w:hint="eastAsia" w:ascii="宋体" w:hAnsi="宋体" w:eastAsia="宋体" w:cs="Times New Roman"/>
          <w:color w:val="auto"/>
          <w:kern w:val="0"/>
          <w:sz w:val="24"/>
          <w:highlight w:val="none"/>
          <w:lang w:val="en-US" w:eastAsia="zh-CN"/>
        </w:rPr>
        <w:t>50</w:t>
      </w:r>
      <w:r>
        <w:rPr>
          <w:rFonts w:hint="eastAsia" w:ascii="宋体" w:hAnsi="宋体" w:eastAsia="宋体" w:cs="Times New Roman"/>
          <w:color w:val="auto"/>
          <w:kern w:val="0"/>
          <w:sz w:val="24"/>
          <w:highlight w:val="none"/>
        </w:rPr>
        <w:t>%的，即响应报价&lt;全部通过符合性审查供应商响应报价平均值×</w:t>
      </w:r>
      <w:r>
        <w:rPr>
          <w:rFonts w:hint="eastAsia" w:ascii="宋体" w:hAnsi="宋体" w:eastAsia="宋体" w:cs="Times New Roman"/>
          <w:color w:val="auto"/>
          <w:kern w:val="0"/>
          <w:sz w:val="24"/>
          <w:highlight w:val="none"/>
          <w:lang w:val="en-US" w:eastAsia="zh-CN"/>
        </w:rPr>
        <w:t>50</w:t>
      </w:r>
      <w:r>
        <w:rPr>
          <w:rFonts w:hint="eastAsia" w:ascii="宋体" w:hAnsi="宋体" w:eastAsia="宋体" w:cs="Times New Roman"/>
          <w:color w:val="auto"/>
          <w:kern w:val="0"/>
          <w:sz w:val="24"/>
          <w:highlight w:val="none"/>
        </w:rPr>
        <w:t>%；</w:t>
      </w:r>
    </w:p>
    <w:p w14:paraId="0154CF46">
      <w:pPr>
        <w:shd w:val="clear" w:color="auto" w:fill="FFFFFF"/>
        <w:snapToGrid w:val="0"/>
        <w:spacing w:line="360" w:lineRule="auto"/>
        <w:ind w:firstLine="480"/>
        <w:rPr>
          <w:rFonts w:hint="eastAsia" w:ascii="宋体" w:hAnsi="宋体" w:eastAsia="宋体" w:cs="Times New Roman"/>
          <w:color w:val="0000FF"/>
          <w:kern w:val="0"/>
          <w:sz w:val="24"/>
          <w:highlight w:val="none"/>
        </w:rPr>
      </w:pPr>
      <w:r>
        <w:rPr>
          <w:rFonts w:hint="eastAsia" w:ascii="宋体" w:hAnsi="宋体" w:eastAsia="宋体" w:cs="Times New Roman"/>
          <w:color w:val="auto"/>
          <w:kern w:val="0"/>
          <w:sz w:val="24"/>
          <w:highlight w:val="none"/>
        </w:rPr>
        <w:t>（2）响应报价低于通过符合性审查的次低报价供应商响应报价</w:t>
      </w:r>
      <w:r>
        <w:rPr>
          <w:rFonts w:hint="eastAsia" w:ascii="宋体" w:hAnsi="宋体" w:eastAsia="宋体" w:cs="Times New Roman"/>
          <w:color w:val="auto"/>
          <w:kern w:val="0"/>
          <w:sz w:val="24"/>
          <w:highlight w:val="none"/>
          <w:lang w:val="en-US" w:eastAsia="zh-CN"/>
        </w:rPr>
        <w:t>50</w:t>
      </w:r>
      <w:r>
        <w:rPr>
          <w:rFonts w:hint="eastAsia" w:ascii="宋体" w:hAnsi="宋体" w:eastAsia="宋体" w:cs="Times New Roman"/>
          <w:color w:val="auto"/>
          <w:kern w:val="0"/>
          <w:sz w:val="24"/>
          <w:highlight w:val="none"/>
        </w:rPr>
        <w:t>%的，即响应报价&lt;通过符合性审查的次低报价供应商响应报价×</w:t>
      </w:r>
      <w:r>
        <w:rPr>
          <w:rFonts w:hint="eastAsia" w:ascii="宋体" w:hAnsi="宋体" w:eastAsia="宋体" w:cs="Times New Roman"/>
          <w:color w:val="auto"/>
          <w:kern w:val="0"/>
          <w:sz w:val="24"/>
          <w:highlight w:val="none"/>
          <w:lang w:val="en-US" w:eastAsia="zh-CN"/>
        </w:rPr>
        <w:t>50</w:t>
      </w:r>
      <w:r>
        <w:rPr>
          <w:rFonts w:hint="eastAsia" w:ascii="宋体" w:hAnsi="宋体" w:eastAsia="宋体" w:cs="Times New Roman"/>
          <w:color w:val="auto"/>
          <w:kern w:val="0"/>
          <w:sz w:val="24"/>
          <w:highlight w:val="none"/>
        </w:rPr>
        <w:t>%；</w:t>
      </w:r>
    </w:p>
    <w:p w14:paraId="51EE39D6">
      <w:pPr>
        <w:shd w:val="clear" w:color="auto" w:fill="FFFFFF"/>
        <w:snapToGrid w:val="0"/>
        <w:spacing w:line="360" w:lineRule="auto"/>
        <w:ind w:firstLine="48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（3）响应报价低于采购项目最高限价</w:t>
      </w:r>
      <w:r>
        <w:rPr>
          <w:rFonts w:hint="eastAsia" w:ascii="宋体" w:hAnsi="宋体" w:eastAsia="宋体" w:cs="Times New Roman"/>
          <w:color w:val="auto"/>
          <w:kern w:val="0"/>
          <w:sz w:val="24"/>
          <w:highlight w:val="none"/>
          <w:lang w:val="en-US" w:eastAsia="zh-CN"/>
        </w:rPr>
        <w:t>45</w:t>
      </w:r>
      <w:r>
        <w:rPr>
          <w:rFonts w:hint="eastAsia" w:ascii="宋体" w:hAnsi="宋体" w:eastAsia="宋体" w:cs="Times New Roman"/>
          <w:color w:val="auto"/>
          <w:kern w:val="0"/>
          <w:sz w:val="24"/>
          <w:highlight w:val="none"/>
        </w:rPr>
        <w:t>%的，即响应报价&lt;采购项目最高限价×</w:t>
      </w:r>
      <w:r>
        <w:rPr>
          <w:rFonts w:hint="eastAsia" w:ascii="宋体" w:hAnsi="宋体" w:eastAsia="宋体" w:cs="Times New Roman"/>
          <w:color w:val="auto"/>
          <w:kern w:val="0"/>
          <w:sz w:val="24"/>
          <w:highlight w:val="none"/>
          <w:lang w:val="en-US" w:eastAsia="zh-CN"/>
        </w:rPr>
        <w:t>45</w:t>
      </w:r>
      <w:r>
        <w:rPr>
          <w:rFonts w:hint="eastAsia" w:ascii="宋体" w:hAnsi="宋体" w:eastAsia="宋体" w:cs="Times New Roman"/>
          <w:color w:val="auto"/>
          <w:kern w:val="0"/>
          <w:sz w:val="24"/>
          <w:highlight w:val="none"/>
        </w:rPr>
        <w:t>%；未设定最高限价的采购项目，以采购项目预算金额作为最高限价；</w:t>
      </w:r>
    </w:p>
    <w:p w14:paraId="64B1BDD8">
      <w:pPr>
        <w:shd w:val="clear" w:color="auto" w:fill="FFFFFF"/>
        <w:snapToGrid w:val="0"/>
        <w:spacing w:line="360" w:lineRule="auto"/>
        <w:ind w:firstLine="48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（4）</w:t>
      </w:r>
      <w:r>
        <w:rPr>
          <w:rFonts w:hint="eastAsia" w:ascii="宋体" w:hAnsi="宋体" w:eastAsia="宋体" w:cs="Times New Roman"/>
          <w:color w:val="auto"/>
          <w:kern w:val="0"/>
          <w:sz w:val="24"/>
          <w:highlight w:val="none"/>
          <w:lang w:eastAsia="zh-CN"/>
        </w:rPr>
        <w:t>谈判小组</w:t>
      </w:r>
      <w:r>
        <w:rPr>
          <w:rFonts w:hint="eastAsia" w:ascii="宋体" w:hAnsi="宋体" w:eastAsia="宋体" w:cs="Times New Roman"/>
          <w:color w:val="auto"/>
          <w:kern w:val="0"/>
          <w:sz w:val="24"/>
          <w:highlight w:val="none"/>
        </w:rPr>
        <w:t>基于专业判断，认为供应商报价过低，有可能影响产品质量或者不能诚信履约的其他情形。</w:t>
      </w:r>
    </w:p>
    <w:p w14:paraId="432507B7">
      <w:pPr>
        <w:shd w:val="clear" w:color="auto" w:fill="FFFFFF"/>
        <w:snapToGrid w:val="0"/>
        <w:spacing w:line="360" w:lineRule="auto"/>
        <w:ind w:firstLine="48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lang w:eastAsia="zh-CN"/>
        </w:rPr>
        <w:t>谈判小组</w:t>
      </w:r>
      <w:r>
        <w:rPr>
          <w:rFonts w:hint="eastAsia" w:ascii="宋体" w:hAnsi="宋体" w:eastAsia="宋体" w:cs="Times New Roman"/>
          <w:color w:val="auto"/>
          <w:kern w:val="0"/>
          <w:sz w:val="24"/>
          <w:highlight w:val="none"/>
        </w:rPr>
        <w:t>启动异常低价响应审查后，属于前述第（1）项至第（4）项情形的，应当要求相关供应商</w:t>
      </w:r>
      <w:r>
        <w:rPr>
          <w:rFonts w:hint="eastAsia" w:ascii="宋体" w:hAnsi="宋体"/>
          <w:color w:val="auto"/>
          <w:kern w:val="0"/>
          <w:sz w:val="24"/>
          <w:highlight w:val="none"/>
        </w:rPr>
        <w:t>通过驻马店公共资源交易中心</w:t>
      </w:r>
      <w:r>
        <w:rPr>
          <w:rFonts w:ascii="宋体" w:hAnsi="宋体"/>
          <w:color w:val="auto"/>
          <w:kern w:val="0"/>
          <w:sz w:val="24"/>
          <w:highlight w:val="none"/>
        </w:rPr>
        <w:t>电子交易平台</w:t>
      </w:r>
      <w:r>
        <w:rPr>
          <w:rFonts w:hint="eastAsia" w:ascii="宋体" w:hAnsi="宋体"/>
          <w:color w:val="auto"/>
          <w:kern w:val="0"/>
          <w:sz w:val="24"/>
          <w:highlight w:val="none"/>
        </w:rPr>
        <w:t>不见面交易系统</w:t>
      </w:r>
      <w:r>
        <w:rPr>
          <w:rFonts w:hint="eastAsia" w:ascii="宋体" w:hAnsi="宋体"/>
          <w:color w:val="auto"/>
          <w:kern w:val="0"/>
          <w:sz w:val="24"/>
          <w:highlight w:val="none"/>
          <w:lang w:val="en-US" w:eastAsia="zh-CN"/>
        </w:rPr>
        <w:t>在</w:t>
      </w:r>
      <w:r>
        <w:rPr>
          <w:rFonts w:hint="eastAsia" w:ascii="宋体" w:hAnsi="宋体" w:eastAsia="宋体" w:cs="Times New Roman"/>
          <w:color w:val="auto"/>
          <w:kern w:val="0"/>
          <w:sz w:val="24"/>
          <w:highlight w:val="none"/>
        </w:rPr>
        <w:t>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w:t>
      </w:r>
      <w:r>
        <w:rPr>
          <w:rFonts w:hint="eastAsia" w:ascii="宋体" w:hAnsi="宋体"/>
          <w:color w:val="auto"/>
          <w:kern w:val="0"/>
          <w:sz w:val="24"/>
          <w:highlight w:val="none"/>
        </w:rPr>
        <w:t>驻马店公共资源交易中心</w:t>
      </w:r>
      <w:r>
        <w:rPr>
          <w:rFonts w:ascii="宋体" w:hAnsi="宋体"/>
          <w:color w:val="auto"/>
          <w:kern w:val="0"/>
          <w:sz w:val="24"/>
          <w:highlight w:val="none"/>
        </w:rPr>
        <w:t>电子交易平台</w:t>
      </w:r>
      <w:r>
        <w:rPr>
          <w:rFonts w:hint="eastAsia" w:ascii="宋体" w:hAnsi="宋体"/>
          <w:color w:val="auto"/>
          <w:kern w:val="0"/>
          <w:sz w:val="24"/>
          <w:highlight w:val="none"/>
        </w:rPr>
        <w:t>不见面交易系统</w:t>
      </w:r>
      <w:r>
        <w:rPr>
          <w:rFonts w:hint="eastAsia" w:ascii="宋体" w:hAnsi="宋体" w:eastAsia="宋体" w:cs="Times New Roman"/>
          <w:color w:val="auto"/>
          <w:kern w:val="0"/>
          <w:sz w:val="24"/>
          <w:highlight w:val="none"/>
        </w:rPr>
        <w:t>可不再重复提交。</w:t>
      </w:r>
    </w:p>
    <w:p w14:paraId="069CE8B6">
      <w:pPr>
        <w:shd w:val="clear" w:color="auto" w:fill="FFFFFF"/>
        <w:snapToGrid w:val="0"/>
        <w:spacing w:line="360" w:lineRule="auto"/>
        <w:ind w:firstLine="480"/>
        <w:rPr>
          <w:rFonts w:hint="eastAsia" w:ascii="宋体" w:hAnsi="宋体" w:eastAsia="宋体" w:cs="宋体"/>
          <w:color w:val="auto"/>
          <w:kern w:val="0"/>
          <w:sz w:val="24"/>
        </w:rPr>
      </w:pPr>
      <w:r>
        <w:rPr>
          <w:rFonts w:hint="eastAsia" w:ascii="宋体" w:hAnsi="宋体" w:eastAsia="宋体" w:cs="Times New Roman"/>
          <w:color w:val="auto"/>
          <w:kern w:val="0"/>
          <w:sz w:val="24"/>
          <w:highlight w:val="none"/>
          <w:lang w:eastAsia="zh-CN"/>
        </w:rPr>
        <w:t>谈判小组</w:t>
      </w:r>
      <w:r>
        <w:rPr>
          <w:rFonts w:hint="eastAsia" w:ascii="宋体" w:hAnsi="宋体" w:eastAsia="宋体" w:cs="Times New Roman"/>
          <w:color w:val="auto"/>
          <w:kern w:val="0"/>
          <w:sz w:val="24"/>
          <w:highlight w:val="none"/>
        </w:rPr>
        <w:t>依据专业经验，参考同类项目</w:t>
      </w:r>
      <w:r>
        <w:rPr>
          <w:rFonts w:hint="eastAsia" w:ascii="宋体" w:hAnsi="宋体" w:eastAsia="宋体" w:cs="Times New Roman"/>
          <w:color w:val="auto"/>
          <w:kern w:val="0"/>
          <w:sz w:val="24"/>
          <w:highlight w:val="none"/>
          <w:lang w:val="en-US" w:eastAsia="zh-CN"/>
        </w:rPr>
        <w:t>中标（</w:t>
      </w:r>
      <w:r>
        <w:rPr>
          <w:rFonts w:hint="eastAsia" w:ascii="宋体" w:hAnsi="宋体" w:eastAsia="宋体" w:cs="Times New Roman"/>
          <w:color w:val="auto"/>
          <w:kern w:val="0"/>
          <w:sz w:val="24"/>
          <w:highlight w:val="none"/>
        </w:rPr>
        <w:t>成交</w:t>
      </w:r>
      <w:r>
        <w:rPr>
          <w:rFonts w:hint="eastAsia" w:ascii="宋体" w:hAnsi="宋体" w:eastAsia="宋体" w:cs="Times New Roman"/>
          <w:color w:val="auto"/>
          <w:kern w:val="0"/>
          <w:sz w:val="24"/>
          <w:highlight w:val="none"/>
          <w:lang w:val="en-US" w:eastAsia="zh-CN"/>
        </w:rPr>
        <w:t>）</w:t>
      </w:r>
      <w:r>
        <w:rPr>
          <w:rFonts w:hint="eastAsia" w:ascii="宋体" w:hAnsi="宋体" w:eastAsia="宋体" w:cs="Times New Roman"/>
          <w:color w:val="auto"/>
          <w:kern w:val="0"/>
          <w:sz w:val="24"/>
          <w:highlight w:val="none"/>
        </w:rPr>
        <w:t>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宋体" w:hAnsi="宋体" w:eastAsia="宋体" w:cs="Times New Roman"/>
          <w:color w:val="auto"/>
          <w:kern w:val="0"/>
          <w:sz w:val="24"/>
          <w:highlight w:val="none"/>
          <w:lang w:eastAsia="zh-CN"/>
        </w:rPr>
        <w:t>谈判小组</w:t>
      </w:r>
      <w:r>
        <w:rPr>
          <w:rFonts w:hint="eastAsia" w:ascii="宋体" w:hAnsi="宋体" w:eastAsia="宋体" w:cs="Times New Roman"/>
          <w:color w:val="auto"/>
          <w:kern w:val="0"/>
          <w:sz w:val="24"/>
          <w:highlight w:val="none"/>
        </w:rPr>
        <w:t>应当将其作为无效响应处理。</w:t>
      </w:r>
      <w:bookmarkEnd w:id="11"/>
      <w:bookmarkEnd w:id="12"/>
    </w:p>
    <w:p w14:paraId="13ECDD0C">
      <w:pPr>
        <w:widowControl/>
        <w:shd w:val="clear" w:color="auto" w:fill="FFFFFF"/>
        <w:spacing w:line="360" w:lineRule="auto"/>
        <w:rPr>
          <w:rFonts w:hint="eastAsia" w:ascii="宋体" w:hAnsi="宋体" w:eastAsia="宋体" w:cs="宋体"/>
          <w:color w:val="auto"/>
          <w:kern w:val="0"/>
          <w:sz w:val="24"/>
        </w:rPr>
      </w:pPr>
      <w:r>
        <w:rPr>
          <w:rFonts w:hint="eastAsia" w:ascii="宋体" w:hAnsi="宋体" w:eastAsia="宋体" w:cs="宋体"/>
          <w:b/>
          <w:bCs/>
          <w:color w:val="auto"/>
          <w:kern w:val="0"/>
          <w:sz w:val="24"/>
        </w:rPr>
        <w:t>27.谈判过程及保密原则</w:t>
      </w:r>
    </w:p>
    <w:p w14:paraId="37DCB7A2">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27.1 凡与本次谈判有关人员对属于审查、澄清、评价和谈判中的有关资料等，均不得向供应商或其他人员透露。否则,将按有关规定追究相关人员的责任。</w:t>
      </w:r>
    </w:p>
    <w:p w14:paraId="19DD2F2A">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27.2 在谈判期间，供应商试图影响或干预评审的任何行为，将导致其丧失参加谈判的资格，并承担相应的法律责任。</w:t>
      </w:r>
    </w:p>
    <w:p w14:paraId="0A9AD445">
      <w:pPr>
        <w:widowControl/>
        <w:shd w:val="clear" w:color="auto" w:fill="FFFFFF"/>
        <w:spacing w:line="460" w:lineRule="atLeast"/>
        <w:ind w:firstLine="2233"/>
        <w:rPr>
          <w:rFonts w:hint="eastAsia" w:ascii="宋体" w:hAnsi="宋体" w:eastAsia="宋体" w:cs="宋体"/>
          <w:color w:val="auto"/>
          <w:kern w:val="0"/>
          <w:sz w:val="28"/>
          <w:szCs w:val="28"/>
        </w:rPr>
      </w:pPr>
      <w:r>
        <w:rPr>
          <w:rFonts w:hint="eastAsia" w:ascii="宋体" w:hAnsi="宋体" w:eastAsia="宋体" w:cs="宋体"/>
          <w:b/>
          <w:bCs/>
          <w:color w:val="auto"/>
          <w:kern w:val="0"/>
          <w:sz w:val="32"/>
          <w:szCs w:val="32"/>
        </w:rPr>
        <w:t>六  </w:t>
      </w:r>
      <w:r>
        <w:rPr>
          <w:rFonts w:hint="eastAsia" w:ascii="宋体" w:hAnsi="宋体" w:eastAsia="宋体" w:cs="宋体"/>
          <w:b/>
          <w:bCs/>
          <w:color w:val="auto"/>
          <w:kern w:val="0"/>
          <w:sz w:val="32"/>
        </w:rPr>
        <w:t> </w:t>
      </w:r>
      <w:r>
        <w:rPr>
          <w:rFonts w:hint="eastAsia" w:ascii="宋体" w:hAnsi="宋体" w:eastAsia="宋体" w:cs="宋体"/>
          <w:b/>
          <w:bCs/>
          <w:color w:val="auto"/>
          <w:kern w:val="0"/>
          <w:sz w:val="32"/>
          <w:szCs w:val="32"/>
        </w:rPr>
        <w:t>确定成交供应商</w:t>
      </w:r>
    </w:p>
    <w:p w14:paraId="0C618290">
      <w:pPr>
        <w:widowControl/>
        <w:shd w:val="clear" w:color="auto" w:fill="FFFFFF"/>
        <w:spacing w:line="360" w:lineRule="auto"/>
        <w:ind w:firstLine="482"/>
        <w:rPr>
          <w:rFonts w:hint="eastAsia" w:ascii="宋体" w:hAnsi="宋体" w:eastAsia="宋体" w:cs="宋体"/>
          <w:color w:val="auto"/>
          <w:kern w:val="0"/>
          <w:sz w:val="24"/>
        </w:rPr>
      </w:pPr>
      <w:r>
        <w:rPr>
          <w:rFonts w:hint="eastAsia" w:ascii="宋体" w:hAnsi="宋体" w:eastAsia="宋体" w:cs="宋体"/>
          <w:b/>
          <w:bCs/>
          <w:color w:val="auto"/>
          <w:kern w:val="0"/>
          <w:sz w:val="24"/>
        </w:rPr>
        <w:t>28.成交原则</w:t>
      </w:r>
    </w:p>
    <w:p w14:paraId="53D8F18F">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本次谈判将按照最低评标价法确定成交供应商，即在符合采购需求、质量和服务相等的前提下，以供应商最后一轮报价按政府采购相关规定调整后的最终评定价作为成交供应商的依据，按最终评定价由低到高排列。最终评定价相同的，按最后一轮报价由低到高排列。最终评定价与最后一轮的报价均相同的，按技术指标优劣排列。最终评定价、最后一轮报价与技术指标均相同的，按服务优劣排列。以上全部相同的，通过随机抽取产生。</w:t>
      </w:r>
    </w:p>
    <w:p w14:paraId="2E747EE1">
      <w:pPr>
        <w:widowControl/>
        <w:shd w:val="clear" w:color="auto" w:fill="FFFFFF"/>
        <w:spacing w:line="360" w:lineRule="auto"/>
        <w:ind w:firstLine="482"/>
        <w:rPr>
          <w:rFonts w:hint="eastAsia" w:ascii="宋体" w:hAnsi="宋体" w:eastAsia="宋体" w:cs="宋体"/>
          <w:color w:val="auto"/>
          <w:kern w:val="0"/>
          <w:sz w:val="24"/>
        </w:rPr>
      </w:pPr>
      <w:r>
        <w:rPr>
          <w:rFonts w:hint="eastAsia" w:ascii="宋体" w:hAnsi="宋体" w:eastAsia="宋体" w:cs="宋体"/>
          <w:b/>
          <w:bCs/>
          <w:color w:val="auto"/>
          <w:kern w:val="0"/>
          <w:sz w:val="24"/>
        </w:rPr>
        <w:t>29.</w:t>
      </w:r>
      <w:r>
        <w:rPr>
          <w:rFonts w:hint="eastAsia" w:ascii="宋体" w:hAnsi="宋体" w:eastAsia="宋体" w:cs="宋体"/>
          <w:color w:val="auto"/>
          <w:kern w:val="0"/>
          <w:sz w:val="24"/>
        </w:rPr>
        <w:t> </w:t>
      </w:r>
      <w:r>
        <w:rPr>
          <w:rFonts w:hint="eastAsia" w:ascii="宋体" w:hAnsi="宋体" w:eastAsia="宋体" w:cs="宋体"/>
          <w:b/>
          <w:bCs/>
          <w:color w:val="auto"/>
          <w:kern w:val="0"/>
          <w:sz w:val="24"/>
        </w:rPr>
        <w:t>价格调整</w:t>
      </w:r>
    </w:p>
    <w:p w14:paraId="79A95393">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29.1谈判小组根据政府采购相关规定，对供应商提供的</w:t>
      </w:r>
      <w:r>
        <w:rPr>
          <w:rFonts w:hint="eastAsia" w:ascii="宋体" w:hAnsi="宋体" w:cs="宋体"/>
          <w:color w:val="auto"/>
          <w:kern w:val="0"/>
          <w:sz w:val="24"/>
          <w:lang w:val="en-US" w:eastAsia="zh-CN"/>
        </w:rPr>
        <w:t>服务</w:t>
      </w:r>
      <w:r>
        <w:rPr>
          <w:rFonts w:hint="eastAsia" w:ascii="宋体" w:hAnsi="宋体" w:eastAsia="宋体" w:cs="宋体"/>
          <w:color w:val="auto"/>
          <w:kern w:val="0"/>
          <w:sz w:val="24"/>
        </w:rPr>
        <w:t>符合价格折扣条件的，按照“价格调整要素及价格折扣幅度列表”对供应商报价进行调整。</w:t>
      </w:r>
    </w:p>
    <w:p w14:paraId="48A15678">
      <w:pPr>
        <w:widowControl/>
        <w:shd w:val="clear" w:color="auto" w:fill="FFFFFF"/>
        <w:spacing w:line="360" w:lineRule="auto"/>
        <w:ind w:firstLine="480" w:firstLineChars="200"/>
        <w:rPr>
          <w:color w:val="auto"/>
        </w:rPr>
      </w:pPr>
      <w:r>
        <w:rPr>
          <w:rFonts w:hint="eastAsia" w:ascii="宋体" w:hAnsi="宋体" w:cs="宋体"/>
          <w:color w:val="auto"/>
          <w:kern w:val="0"/>
          <w:sz w:val="24"/>
        </w:rPr>
        <w:t>29.2价格调整要素及价格折扣幅度列表：</w:t>
      </w:r>
    </w:p>
    <w:tbl>
      <w:tblPr>
        <w:tblStyle w:val="24"/>
        <w:tblW w:w="0" w:type="auto"/>
        <w:tblInd w:w="288" w:type="dxa"/>
        <w:shd w:val="clear" w:color="auto" w:fill="FFFFFF"/>
        <w:tblLayout w:type="fixed"/>
        <w:tblCellMar>
          <w:top w:w="0" w:type="dxa"/>
          <w:left w:w="0" w:type="dxa"/>
          <w:bottom w:w="0" w:type="dxa"/>
          <w:right w:w="0" w:type="dxa"/>
        </w:tblCellMar>
      </w:tblPr>
      <w:tblGrid>
        <w:gridCol w:w="3079"/>
        <w:gridCol w:w="5580"/>
      </w:tblGrid>
      <w:tr w14:paraId="3A94EE4B">
        <w:tblPrEx>
          <w:shd w:val="clear" w:color="auto" w:fill="FFFFFF"/>
          <w:tblCellMar>
            <w:top w:w="0" w:type="dxa"/>
            <w:left w:w="0" w:type="dxa"/>
            <w:bottom w:w="0" w:type="dxa"/>
            <w:right w:w="0" w:type="dxa"/>
          </w:tblCellMar>
        </w:tblPrEx>
        <w:trPr>
          <w:cantSplit/>
        </w:trPr>
        <w:tc>
          <w:tcPr>
            <w:tcW w:w="3079"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top"/>
          </w:tcPr>
          <w:p w14:paraId="2DB074A2">
            <w:pPr>
              <w:keepNext w:val="0"/>
              <w:keepLines w:val="0"/>
              <w:widowControl/>
              <w:suppressLineNumbers w:val="0"/>
              <w:shd w:val="clear" w:color="auto" w:fill="FFFFFF"/>
              <w:spacing w:before="0" w:beforeAutospacing="0" w:after="0" w:afterAutospacing="0" w:line="360" w:lineRule="auto"/>
              <w:ind w:left="0" w:right="0" w:firstLine="360"/>
              <w:rPr>
                <w:rFonts w:hint="default" w:ascii="宋体" w:hAnsi="宋体" w:cs="宋体"/>
                <w:color w:val="auto"/>
                <w:kern w:val="0"/>
                <w:sz w:val="24"/>
              </w:rPr>
            </w:pPr>
            <w:r>
              <w:rPr>
                <w:rFonts w:hint="eastAsia" w:ascii="宋体" w:hAnsi="宋体" w:cs="宋体"/>
                <w:color w:val="auto"/>
                <w:kern w:val="0"/>
                <w:sz w:val="24"/>
              </w:rPr>
              <w:t>价格要素</w:t>
            </w:r>
          </w:p>
        </w:tc>
        <w:tc>
          <w:tcPr>
            <w:tcW w:w="5580" w:type="dxa"/>
            <w:tcBorders>
              <w:top w:val="single" w:color="auto" w:sz="8" w:space="0"/>
              <w:left w:val="nil"/>
              <w:bottom w:val="single" w:color="auto" w:sz="8" w:space="0"/>
              <w:right w:val="single" w:color="auto" w:sz="8" w:space="0"/>
            </w:tcBorders>
            <w:shd w:val="clear" w:color="auto" w:fill="FFFFFF"/>
            <w:noWrap w:val="0"/>
            <w:tcMar>
              <w:top w:w="0" w:type="dxa"/>
              <w:left w:w="108" w:type="dxa"/>
              <w:bottom w:w="0" w:type="dxa"/>
              <w:right w:w="108" w:type="dxa"/>
            </w:tcMar>
            <w:vAlign w:val="top"/>
          </w:tcPr>
          <w:p w14:paraId="050CE62E">
            <w:pPr>
              <w:keepNext w:val="0"/>
              <w:keepLines w:val="0"/>
              <w:widowControl/>
              <w:suppressLineNumbers w:val="0"/>
              <w:shd w:val="clear" w:color="auto" w:fill="FFFFFF"/>
              <w:spacing w:before="0" w:beforeAutospacing="0" w:after="0" w:afterAutospacing="0" w:line="360" w:lineRule="auto"/>
              <w:ind w:left="0" w:right="0" w:firstLine="360"/>
              <w:rPr>
                <w:rFonts w:hint="default" w:ascii="宋体" w:hAnsi="宋体" w:cs="宋体"/>
                <w:color w:val="auto"/>
                <w:kern w:val="0"/>
                <w:sz w:val="24"/>
              </w:rPr>
            </w:pPr>
            <w:r>
              <w:rPr>
                <w:rFonts w:hint="eastAsia" w:ascii="宋体" w:hAnsi="宋体" w:cs="宋体"/>
                <w:color w:val="auto"/>
                <w:kern w:val="0"/>
                <w:sz w:val="24"/>
              </w:rPr>
              <w:t>价格折扣幅度</w:t>
            </w:r>
          </w:p>
        </w:tc>
      </w:tr>
      <w:tr w14:paraId="0AFEBBCE">
        <w:tblPrEx>
          <w:shd w:val="clear" w:color="auto" w:fill="FFFFFF"/>
          <w:tblCellMar>
            <w:top w:w="0" w:type="dxa"/>
            <w:left w:w="0" w:type="dxa"/>
            <w:bottom w:w="0" w:type="dxa"/>
            <w:right w:w="0" w:type="dxa"/>
          </w:tblCellMar>
        </w:tblPrEx>
        <w:trPr>
          <w:cantSplit/>
        </w:trPr>
        <w:tc>
          <w:tcPr>
            <w:tcW w:w="3079"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top"/>
          </w:tcPr>
          <w:p w14:paraId="5DB98461">
            <w:pPr>
              <w:keepNext w:val="0"/>
              <w:keepLines w:val="0"/>
              <w:widowControl/>
              <w:suppressLineNumbers w:val="0"/>
              <w:shd w:val="clear" w:color="auto" w:fill="FFFFFF"/>
              <w:spacing w:before="0" w:beforeAutospacing="0" w:after="0" w:afterAutospacing="0" w:line="440" w:lineRule="exact"/>
              <w:ind w:left="0" w:right="0"/>
              <w:rPr>
                <w:rFonts w:hint="default" w:ascii="宋体" w:hAnsi="宋体" w:cs="宋体"/>
                <w:color w:val="auto"/>
                <w:kern w:val="0"/>
                <w:sz w:val="24"/>
              </w:rPr>
            </w:pPr>
            <w:r>
              <w:rPr>
                <w:rFonts w:hint="eastAsia" w:ascii="宋体" w:hAnsi="宋体" w:cs="宋体"/>
                <w:color w:val="auto"/>
                <w:kern w:val="0"/>
                <w:sz w:val="24"/>
              </w:rPr>
              <w:t>服务由小型</w:t>
            </w:r>
            <w:r>
              <w:rPr>
                <w:rFonts w:hint="eastAsia" w:ascii="宋体" w:hAnsi="宋体" w:cs="宋体"/>
                <w:color w:val="auto"/>
                <w:kern w:val="0"/>
                <w:sz w:val="24"/>
                <w:lang w:val="en-US" w:eastAsia="zh-CN"/>
              </w:rPr>
              <w:t>或</w:t>
            </w:r>
            <w:r>
              <w:rPr>
                <w:rFonts w:hint="default"/>
                <w:color w:val="auto"/>
              </w:rPr>
              <w:fldChar w:fldCharType="begin"/>
            </w:r>
            <w:r>
              <w:rPr>
                <w:rFonts w:hint="default"/>
                <w:color w:val="auto"/>
              </w:rPr>
              <w:instrText xml:space="preserve"> HYPERLINK "https://baike.so.com/doc/3107079.html" \t "_blank" </w:instrText>
            </w:r>
            <w:r>
              <w:rPr>
                <w:rFonts w:hint="default"/>
                <w:color w:val="auto"/>
              </w:rPr>
              <w:fldChar w:fldCharType="separate"/>
            </w:r>
            <w:r>
              <w:rPr>
                <w:rFonts w:hint="eastAsia" w:ascii="宋体" w:hAnsi="宋体" w:cs="宋体"/>
                <w:color w:val="auto"/>
                <w:kern w:val="0"/>
                <w:sz w:val="24"/>
              </w:rPr>
              <w:t>微型企业</w:t>
            </w:r>
            <w:r>
              <w:rPr>
                <w:rFonts w:hint="eastAsia" w:ascii="宋体" w:hAnsi="宋体" w:cs="宋体"/>
                <w:color w:val="auto"/>
                <w:kern w:val="0"/>
                <w:sz w:val="24"/>
              </w:rPr>
              <w:fldChar w:fldCharType="end"/>
            </w:r>
            <w:r>
              <w:rPr>
                <w:rFonts w:hint="eastAsia" w:ascii="宋体" w:hAnsi="宋体" w:cs="宋体"/>
                <w:color w:val="auto"/>
                <w:kern w:val="0"/>
                <w:sz w:val="24"/>
              </w:rPr>
              <w:t>承接的。监狱企业、残疾人福利性单位视同小型、微型企业。</w:t>
            </w:r>
          </w:p>
        </w:tc>
        <w:tc>
          <w:tcPr>
            <w:tcW w:w="558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top"/>
          </w:tcPr>
          <w:p w14:paraId="75A0064D">
            <w:pPr>
              <w:keepNext w:val="0"/>
              <w:keepLines w:val="0"/>
              <w:widowControl/>
              <w:suppressLineNumbers w:val="0"/>
              <w:shd w:val="clear" w:color="auto" w:fill="FFFFFF"/>
              <w:spacing w:before="0" w:beforeAutospacing="0" w:after="0" w:afterAutospacing="0" w:line="440" w:lineRule="exact"/>
              <w:ind w:left="0" w:right="0"/>
              <w:rPr>
                <w:rFonts w:hint="default" w:ascii="宋体" w:hAnsi="宋体" w:cs="宋体"/>
                <w:color w:val="auto"/>
                <w:kern w:val="0"/>
                <w:sz w:val="24"/>
              </w:rPr>
            </w:pPr>
            <w:r>
              <w:rPr>
                <w:rFonts w:hint="eastAsia" w:ascii="宋体" w:hAnsi="宋体" w:cs="宋体"/>
                <w:color w:val="auto"/>
                <w:kern w:val="0"/>
                <w:sz w:val="24"/>
                <w:lang w:val="en-US" w:eastAsia="zh-CN"/>
              </w:rPr>
              <w:t>20</w:t>
            </w:r>
            <w:r>
              <w:rPr>
                <w:rFonts w:hint="eastAsia" w:ascii="宋体" w:hAnsi="宋体" w:cs="宋体"/>
                <w:color w:val="auto"/>
                <w:kern w:val="0"/>
                <w:sz w:val="24"/>
              </w:rPr>
              <w:t>%；联合体参加谈判的，小型、微型企业的协议合同金额占到联合体协议合同总金额30%以上的，给予联合体5%的价格扣除。</w:t>
            </w:r>
          </w:p>
        </w:tc>
      </w:tr>
    </w:tbl>
    <w:p w14:paraId="12B3C0AF">
      <w:pPr>
        <w:widowControl/>
        <w:spacing w:line="360" w:lineRule="auto"/>
        <w:ind w:firstLine="480" w:firstLineChars="200"/>
        <w:jc w:val="left"/>
        <w:rPr>
          <w:rFonts w:hint="eastAsia" w:ascii="宋体" w:hAnsi="宋体" w:eastAsia="宋体" w:cs="宋体"/>
          <w:color w:val="auto"/>
          <w:kern w:val="0"/>
          <w:sz w:val="24"/>
        </w:rPr>
      </w:pPr>
      <w:r>
        <w:rPr>
          <w:rFonts w:hint="eastAsia" w:ascii="宋体" w:hAnsi="宋体" w:cs="宋体"/>
          <w:color w:val="auto"/>
          <w:kern w:val="0"/>
          <w:sz w:val="24"/>
        </w:rPr>
        <w:t>注：</w:t>
      </w:r>
      <w:r>
        <w:rPr>
          <w:rFonts w:hint="eastAsia" w:ascii="宋体" w:hAnsi="宋体" w:cs="宋体"/>
          <w:color w:val="auto"/>
          <w:kern w:val="0"/>
          <w:sz w:val="24"/>
          <w:lang w:val="en-US" w:eastAsia="zh-CN"/>
        </w:rPr>
        <w:t>1</w:t>
      </w:r>
      <w:r>
        <w:rPr>
          <w:rFonts w:hint="eastAsia" w:ascii="宋体" w:hAnsi="宋体" w:eastAsia="宋体" w:cs="宋体"/>
          <w:color w:val="auto"/>
          <w:kern w:val="0"/>
          <w:sz w:val="24"/>
        </w:rPr>
        <w:t>.根据《政府采购促进中小企业发展管理办法》（财库[2020]46号）的规定，参加政府采购活动的中小企业应当提供《中小企业声明函》。</w:t>
      </w:r>
    </w:p>
    <w:p w14:paraId="1F529DAA">
      <w:pPr>
        <w:widowControl/>
        <w:shd w:val="clear" w:color="auto" w:fill="FFFFFF"/>
        <w:spacing w:line="360" w:lineRule="auto"/>
        <w:ind w:firstLine="650" w:firstLineChars="271"/>
        <w:rPr>
          <w:rFonts w:hint="eastAsia" w:ascii="宋体" w:hAnsi="宋体" w:eastAsia="宋体" w:cs="宋体"/>
          <w:color w:val="auto"/>
          <w:kern w:val="0"/>
          <w:sz w:val="24"/>
        </w:rPr>
      </w:pPr>
      <w:r>
        <w:rPr>
          <w:rFonts w:hint="eastAsia" w:ascii="宋体" w:hAnsi="宋体" w:cs="宋体"/>
          <w:color w:val="auto"/>
          <w:kern w:val="0"/>
          <w:sz w:val="24"/>
          <w:lang w:val="en-US" w:eastAsia="zh-CN"/>
        </w:rPr>
        <w:t>2</w:t>
      </w:r>
      <w:r>
        <w:rPr>
          <w:rFonts w:hint="eastAsia" w:ascii="宋体" w:hAnsi="宋体" w:eastAsia="宋体" w:cs="宋体"/>
          <w:color w:val="auto"/>
          <w:kern w:val="0"/>
          <w:sz w:val="24"/>
        </w:rPr>
        <w:t>.根据《财政部</w:t>
      </w:r>
      <w:r>
        <w:rPr>
          <w:rFonts w:hint="eastAsia" w:ascii="宋体" w:hAnsi="宋体" w:cs="宋体"/>
          <w:color w:val="auto"/>
          <w:kern w:val="0"/>
          <w:sz w:val="24"/>
          <w:lang w:val="en-US" w:eastAsia="zh-CN"/>
        </w:rPr>
        <w:t xml:space="preserve"> </w:t>
      </w:r>
      <w:r>
        <w:rPr>
          <w:rFonts w:hint="eastAsia" w:ascii="宋体" w:hAnsi="宋体" w:eastAsia="宋体" w:cs="宋体"/>
          <w:color w:val="auto"/>
          <w:kern w:val="0"/>
          <w:sz w:val="24"/>
        </w:rPr>
        <w:t>司法部关于政府采购支持监狱企业发展有关问题的通知》(财库〔2014〕68号)的规定，监狱企业参加政府采购活动时，应当提供由省级以上监狱管理局、戒毒管理局（含新疆生产建设兵团）出具的属于监狱企业的证明文件。</w:t>
      </w:r>
    </w:p>
    <w:p w14:paraId="5EE1BCD4">
      <w:pPr>
        <w:widowControl/>
        <w:shd w:val="clear" w:color="auto" w:fill="FFFFFF"/>
        <w:spacing w:line="360" w:lineRule="auto"/>
        <w:ind w:firstLine="650" w:firstLineChars="271"/>
        <w:rPr>
          <w:rFonts w:hint="eastAsia" w:ascii="宋体" w:hAnsi="宋体" w:eastAsia="宋体" w:cs="宋体"/>
          <w:color w:val="auto"/>
          <w:kern w:val="0"/>
          <w:sz w:val="24"/>
        </w:rPr>
      </w:pPr>
      <w:r>
        <w:rPr>
          <w:rFonts w:hint="eastAsia" w:ascii="宋体" w:hAnsi="宋体" w:cs="宋体"/>
          <w:color w:val="auto"/>
          <w:kern w:val="0"/>
          <w:sz w:val="24"/>
          <w:lang w:val="en-US" w:eastAsia="zh-CN"/>
        </w:rPr>
        <w:t>3</w:t>
      </w:r>
      <w:r>
        <w:rPr>
          <w:rFonts w:hint="eastAsia" w:ascii="宋体" w:hAnsi="宋体" w:eastAsia="宋体" w:cs="宋体"/>
          <w:color w:val="auto"/>
          <w:kern w:val="0"/>
          <w:sz w:val="24"/>
        </w:rPr>
        <w:t>.根据《财政部</w:t>
      </w:r>
      <w:r>
        <w:rPr>
          <w:rFonts w:hint="eastAsia" w:ascii="宋体" w:hAnsi="宋体" w:cs="宋体"/>
          <w:color w:val="auto"/>
          <w:kern w:val="0"/>
          <w:sz w:val="24"/>
          <w:lang w:val="en-US" w:eastAsia="zh-CN"/>
        </w:rPr>
        <w:t xml:space="preserve"> </w:t>
      </w:r>
      <w:r>
        <w:rPr>
          <w:rFonts w:hint="eastAsia" w:ascii="宋体" w:hAnsi="宋体" w:eastAsia="宋体" w:cs="宋体"/>
          <w:color w:val="auto"/>
          <w:kern w:val="0"/>
          <w:sz w:val="24"/>
        </w:rPr>
        <w:t>民政部</w:t>
      </w:r>
      <w:r>
        <w:rPr>
          <w:rFonts w:hint="eastAsia" w:ascii="宋体" w:hAnsi="宋体" w:cs="宋体"/>
          <w:color w:val="auto"/>
          <w:kern w:val="0"/>
          <w:sz w:val="24"/>
          <w:lang w:val="en-US" w:eastAsia="zh-CN"/>
        </w:rPr>
        <w:t xml:space="preserve"> </w:t>
      </w:r>
      <w:r>
        <w:rPr>
          <w:rFonts w:hint="eastAsia" w:ascii="宋体" w:hAnsi="宋体" w:eastAsia="宋体" w:cs="宋体"/>
          <w:color w:val="auto"/>
          <w:kern w:val="0"/>
          <w:sz w:val="24"/>
        </w:rPr>
        <w:t>中国残疾人联合会关于促进残疾人就业政府采购政策的通知》（财库〔2017〕 141号）的规定，享受政府采购支持政策的残疾人福利性单位应当提供《残疾人福利性单位声明函》。</w:t>
      </w:r>
    </w:p>
    <w:p w14:paraId="2CE04834">
      <w:pPr>
        <w:widowControl/>
        <w:shd w:val="clear" w:color="auto" w:fill="FFFFFF"/>
        <w:spacing w:line="360" w:lineRule="auto"/>
        <w:ind w:firstLine="360"/>
        <w:rPr>
          <w:rFonts w:ascii="宋体" w:hAnsi="宋体" w:cs="宋体"/>
          <w:color w:val="auto"/>
          <w:kern w:val="0"/>
          <w:sz w:val="24"/>
        </w:rPr>
      </w:pPr>
      <w:r>
        <w:rPr>
          <w:rFonts w:hint="eastAsia" w:ascii="宋体" w:hAnsi="宋体" w:cs="宋体"/>
          <w:color w:val="auto"/>
          <w:kern w:val="0"/>
          <w:sz w:val="24"/>
        </w:rPr>
        <w:t xml:space="preserve">  29.3采购人、采购代理机构应当对符合规定的小微企业报价给予</w:t>
      </w:r>
      <w:r>
        <w:rPr>
          <w:rFonts w:hint="eastAsia" w:ascii="宋体" w:hAnsi="宋体" w:cs="宋体"/>
          <w:color w:val="auto"/>
          <w:kern w:val="0"/>
          <w:sz w:val="24"/>
          <w:lang w:val="en-US" w:eastAsia="zh-CN"/>
        </w:rPr>
        <w:t>20</w:t>
      </w:r>
      <w:r>
        <w:rPr>
          <w:rFonts w:hint="eastAsia" w:ascii="宋体" w:hAnsi="宋体" w:cs="宋体"/>
          <w:color w:val="auto"/>
          <w:kern w:val="0"/>
          <w:sz w:val="24"/>
        </w:rPr>
        <w:t>%的价格扣除（</w:t>
      </w:r>
      <w:r>
        <w:rPr>
          <w:rFonts w:hint="eastAsia" w:ascii="宋体" w:hAnsi="宋体" w:cs="宋体"/>
          <w:b/>
          <w:bCs/>
          <w:color w:val="auto"/>
          <w:kern w:val="0"/>
          <w:sz w:val="24"/>
        </w:rPr>
        <w:t>专门面向中小企业采购的采购项目，</w:t>
      </w:r>
      <w:r>
        <w:rPr>
          <w:rFonts w:hint="eastAsia" w:ascii="宋体" w:hAnsi="宋体" w:cs="宋体"/>
          <w:color w:val="auto"/>
          <w:kern w:val="0"/>
          <w:sz w:val="24"/>
        </w:rPr>
        <w:t>不再进行价格折扣），对最后一轮报价进行调整，调整后的报价作为最终评定价。</w:t>
      </w:r>
    </w:p>
    <w:p w14:paraId="14E7F5FC">
      <w:pPr>
        <w:widowControl/>
        <w:shd w:val="clear" w:color="auto" w:fill="FFFFFF"/>
        <w:spacing w:line="360" w:lineRule="auto"/>
        <w:ind w:firstLine="360"/>
        <w:rPr>
          <w:rFonts w:ascii="宋体" w:hAnsi="宋体" w:cs="宋体"/>
          <w:color w:val="auto"/>
          <w:kern w:val="0"/>
          <w:sz w:val="24"/>
        </w:rPr>
      </w:pPr>
      <w:r>
        <w:rPr>
          <w:rFonts w:hint="eastAsia" w:ascii="宋体" w:hAnsi="宋体" w:cs="宋体"/>
          <w:color w:val="auto"/>
          <w:kern w:val="0"/>
          <w:sz w:val="24"/>
        </w:rPr>
        <w:t>最终评定价=最后一轮报价×（1-∑价格折扣幅度）</w:t>
      </w:r>
    </w:p>
    <w:p w14:paraId="1EF504CB">
      <w:pPr>
        <w:widowControl/>
        <w:shd w:val="clear" w:color="auto" w:fill="FFFFFF"/>
        <w:spacing w:line="360" w:lineRule="auto"/>
        <w:ind w:firstLine="482"/>
        <w:rPr>
          <w:rFonts w:hint="eastAsia" w:ascii="宋体" w:hAnsi="宋体" w:eastAsia="宋体" w:cs="宋体"/>
          <w:color w:val="auto"/>
          <w:kern w:val="0"/>
          <w:sz w:val="24"/>
        </w:rPr>
      </w:pPr>
      <w:r>
        <w:rPr>
          <w:rFonts w:hint="eastAsia" w:ascii="宋体" w:hAnsi="宋体" w:eastAsia="宋体" w:cs="宋体"/>
          <w:b/>
          <w:bCs/>
          <w:color w:val="auto"/>
          <w:kern w:val="0"/>
          <w:sz w:val="24"/>
        </w:rPr>
        <w:t>30.推荐成交供应商和成交候选供应商</w:t>
      </w:r>
    </w:p>
    <w:p w14:paraId="6D1A33E6">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本项目</w:t>
      </w:r>
      <w:r>
        <w:rPr>
          <w:rFonts w:hint="eastAsia" w:ascii="宋体" w:hAnsi="宋体" w:cs="宋体"/>
          <w:color w:val="auto"/>
          <w:kern w:val="0"/>
          <w:sz w:val="24"/>
          <w:lang w:eastAsia="zh-CN"/>
        </w:rPr>
        <w:t>评审委员会根据全体评审成员签字的原始评审记录和评审结果编写评审报告，采购代理机构应当履行核对评审结果职责，并在评审评标结束后2个工作日内将评审报告通过公共资源电子交易系统提交采购人，采购人应当在收到评审报告1个工作日内通过公共资源电子交易系统线上确定成交供应商</w:t>
      </w:r>
      <w:r>
        <w:rPr>
          <w:rFonts w:hint="eastAsia" w:ascii="宋体" w:hAnsi="宋体" w:eastAsia="宋体" w:cs="宋体"/>
          <w:color w:val="auto"/>
          <w:kern w:val="0"/>
          <w:sz w:val="24"/>
        </w:rPr>
        <w:t>。</w:t>
      </w:r>
    </w:p>
    <w:p w14:paraId="5124A2E9">
      <w:pPr>
        <w:widowControl/>
        <w:shd w:val="clear" w:color="auto" w:fill="FFFFFF"/>
        <w:spacing w:line="360" w:lineRule="auto"/>
        <w:ind w:firstLine="482"/>
        <w:rPr>
          <w:rFonts w:hint="eastAsia" w:ascii="宋体" w:hAnsi="宋体" w:eastAsia="宋体" w:cs="宋体"/>
          <w:color w:val="auto"/>
          <w:kern w:val="0"/>
          <w:sz w:val="24"/>
        </w:rPr>
      </w:pPr>
      <w:r>
        <w:rPr>
          <w:rFonts w:hint="eastAsia" w:ascii="宋体" w:hAnsi="宋体" w:eastAsia="宋体" w:cs="宋体"/>
          <w:b/>
          <w:bCs/>
          <w:color w:val="auto"/>
          <w:kern w:val="0"/>
          <w:sz w:val="24"/>
        </w:rPr>
        <w:t>31.</w:t>
      </w:r>
      <w:r>
        <w:rPr>
          <w:rFonts w:hint="eastAsia" w:ascii="宋体" w:hAnsi="宋体" w:eastAsia="宋体" w:cs="宋体"/>
          <w:color w:val="auto"/>
          <w:kern w:val="0"/>
          <w:sz w:val="24"/>
        </w:rPr>
        <w:t> </w:t>
      </w:r>
      <w:r>
        <w:rPr>
          <w:rFonts w:hint="eastAsia" w:ascii="宋体" w:hAnsi="宋体" w:eastAsia="宋体" w:cs="宋体"/>
          <w:b/>
          <w:bCs/>
          <w:color w:val="auto"/>
          <w:kern w:val="0"/>
          <w:sz w:val="24"/>
        </w:rPr>
        <w:t>成交通知书及成交公告</w:t>
      </w:r>
    </w:p>
    <w:p w14:paraId="315000C3">
      <w:pPr>
        <w:widowControl/>
        <w:shd w:val="clear" w:color="auto" w:fill="FFFFFF"/>
        <w:spacing w:line="360" w:lineRule="auto"/>
        <w:ind w:firstLine="480"/>
        <w:rPr>
          <w:rFonts w:hint="eastAsia" w:ascii="宋体" w:hAnsi="宋体" w:eastAsia="宋体" w:cs="宋体"/>
          <w:color w:val="auto"/>
          <w:kern w:val="0"/>
          <w:sz w:val="24"/>
          <w:lang w:eastAsia="zh-CN"/>
        </w:rPr>
      </w:pPr>
      <w:r>
        <w:rPr>
          <w:rFonts w:hint="eastAsia" w:ascii="宋体" w:hAnsi="宋体" w:eastAsia="宋体" w:cs="宋体"/>
          <w:color w:val="auto"/>
          <w:kern w:val="0"/>
          <w:sz w:val="24"/>
        </w:rPr>
        <w:t>31.1 </w:t>
      </w:r>
      <w:r>
        <w:rPr>
          <w:rFonts w:hint="eastAsia" w:ascii="宋体" w:hAnsi="宋体" w:eastAsia="宋体" w:cs="宋体"/>
          <w:color w:val="auto"/>
          <w:kern w:val="0"/>
          <w:sz w:val="24"/>
          <w:lang w:eastAsia="zh-CN"/>
        </w:rPr>
        <w:t>采购人确定成交供应商后，采购代理机构第一时间在</w:t>
      </w:r>
      <w:r>
        <w:rPr>
          <w:rFonts w:hint="eastAsia" w:ascii="宋体" w:hAnsi="宋体" w:eastAsia="宋体" w:cs="宋体"/>
          <w:color w:val="auto"/>
          <w:kern w:val="0"/>
          <w:sz w:val="24"/>
        </w:rPr>
        <w:t>河南省政府采购网、驻马店市公共资源交易网</w:t>
      </w:r>
      <w:r>
        <w:rPr>
          <w:rFonts w:hint="eastAsia" w:ascii="宋体" w:hAnsi="宋体" w:eastAsia="宋体" w:cs="宋体"/>
          <w:color w:val="auto"/>
          <w:kern w:val="0"/>
          <w:sz w:val="24"/>
        </w:rPr>
        <w:fldChar w:fldCharType="begin"/>
      </w:r>
      <w:r>
        <w:rPr>
          <w:rFonts w:hint="eastAsia" w:ascii="宋体" w:hAnsi="宋体" w:eastAsia="宋体" w:cs="宋体"/>
          <w:color w:val="auto"/>
          <w:kern w:val="0"/>
          <w:sz w:val="24"/>
        </w:rPr>
        <w:instrText xml:space="preserve"> HYPERLINK "http://zhumadian.hngp.gov.cn/prx/000/http/www.sxztb.gov.cn/" </w:instrText>
      </w:r>
      <w:r>
        <w:rPr>
          <w:rFonts w:hint="eastAsia" w:ascii="宋体" w:hAnsi="宋体" w:eastAsia="宋体" w:cs="宋体"/>
          <w:color w:val="auto"/>
          <w:kern w:val="0"/>
          <w:sz w:val="24"/>
        </w:rPr>
        <w:fldChar w:fldCharType="separate"/>
      </w:r>
      <w:r>
        <w:rPr>
          <w:rFonts w:hint="eastAsia" w:ascii="宋体" w:hAnsi="宋体" w:eastAsia="宋体" w:cs="宋体"/>
          <w:color w:val="auto"/>
          <w:kern w:val="0"/>
          <w:sz w:val="24"/>
        </w:rPr>
        <w:fldChar w:fldCharType="end"/>
      </w:r>
      <w:r>
        <w:rPr>
          <w:rFonts w:hint="eastAsia" w:ascii="宋体" w:hAnsi="宋体" w:eastAsia="宋体" w:cs="宋体"/>
          <w:color w:val="auto"/>
          <w:kern w:val="0"/>
          <w:sz w:val="24"/>
        </w:rPr>
        <w:t>等相关媒体上发布成交公告，同时向成交供应商发出成交通知书</w:t>
      </w:r>
      <w:r>
        <w:rPr>
          <w:rFonts w:hint="eastAsia" w:ascii="宋体" w:hAnsi="宋体" w:cs="宋体"/>
          <w:color w:val="auto"/>
          <w:kern w:val="0"/>
          <w:sz w:val="24"/>
          <w:lang w:eastAsia="zh-CN"/>
        </w:rPr>
        <w:t>。</w:t>
      </w:r>
    </w:p>
    <w:p w14:paraId="37F3EB89">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31.2 成交供应商在规定的时间内不领取成交通知书的，视为成交后自动放弃成交资格，承担由此引起的一切后果。成交供应商在有效的最后一轮报价中报价最低,非不可抗力放弃成交资格的，视为供应商恶意串通。</w:t>
      </w:r>
    </w:p>
    <w:p w14:paraId="33835F84">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31.3 成交通知书对采购人和成交供应商具有同等法律效力。成交通知书发出后，采购人改变成交结果，或者成交供应商放弃成交，应按相关法律、规章、规范性文件的要求承担相应的法律责任。</w:t>
      </w:r>
    </w:p>
    <w:p w14:paraId="2D264E6B">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31.4 成交通知书将作为签订合同的依据。合同签订后，成交通知书成为合同的一部分。</w:t>
      </w:r>
    </w:p>
    <w:p w14:paraId="2573D957">
      <w:pPr>
        <w:widowControl/>
        <w:shd w:val="clear" w:color="auto" w:fill="FFFFFF"/>
        <w:spacing w:line="360" w:lineRule="auto"/>
        <w:ind w:firstLine="479"/>
        <w:rPr>
          <w:rFonts w:hint="eastAsia" w:ascii="宋体" w:hAnsi="宋体" w:eastAsia="宋体" w:cs="宋体"/>
          <w:color w:val="auto"/>
          <w:kern w:val="0"/>
          <w:sz w:val="24"/>
        </w:rPr>
      </w:pPr>
      <w:r>
        <w:rPr>
          <w:rFonts w:hint="eastAsia" w:ascii="宋体" w:hAnsi="宋体" w:eastAsia="宋体" w:cs="宋体"/>
          <w:b/>
          <w:bCs/>
          <w:color w:val="auto"/>
          <w:kern w:val="0"/>
          <w:sz w:val="24"/>
        </w:rPr>
        <w:t>32.采购代理机构宣布谈判废止的权利</w:t>
      </w:r>
    </w:p>
    <w:p w14:paraId="7238D6E3">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32.1 出现下列情况之一时，采购代理机构有权宣布谈判废止，并将理由通知所有供应商：</w:t>
      </w:r>
    </w:p>
    <w:p w14:paraId="624253A3">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32.1.1出现影响采购公正的违法、违规行为的。</w:t>
      </w:r>
    </w:p>
    <w:p w14:paraId="39376A3A">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32.1.2供应商的最后一轮报价均超过了采购控制价，采购人不能支付的。</w:t>
      </w:r>
    </w:p>
    <w:p w14:paraId="0C471692">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32.1.3因重大变故，采购任务取消的。</w:t>
      </w:r>
    </w:p>
    <w:p w14:paraId="00C01B2C">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32.1.4谈判截止时间结束后参加供应商不足3家的，评审期间符合专业条件的供应商或者对谈判文件作出实质响应的供应商不足3家的.</w:t>
      </w:r>
    </w:p>
    <w:p w14:paraId="5136C4B0">
      <w:pPr>
        <w:widowControl/>
        <w:shd w:val="clear" w:color="auto" w:fill="FFFFFF"/>
        <w:spacing w:line="405" w:lineRule="atLeast"/>
        <w:ind w:firstLine="3213"/>
        <w:jc w:val="left"/>
        <w:rPr>
          <w:rFonts w:hint="eastAsia" w:ascii="宋体" w:hAnsi="宋体" w:eastAsia="宋体" w:cs="宋体"/>
          <w:color w:val="auto"/>
          <w:kern w:val="0"/>
          <w:sz w:val="24"/>
        </w:rPr>
      </w:pPr>
      <w:r>
        <w:rPr>
          <w:rFonts w:hint="eastAsia" w:ascii="宋体" w:hAnsi="宋体" w:eastAsia="宋体" w:cs="宋体"/>
          <w:b/>
          <w:bCs/>
          <w:color w:val="auto"/>
          <w:kern w:val="0"/>
          <w:sz w:val="32"/>
          <w:szCs w:val="32"/>
        </w:rPr>
        <w:t>七合同授予</w:t>
      </w:r>
    </w:p>
    <w:p w14:paraId="0E5071D5">
      <w:pPr>
        <w:widowControl/>
        <w:shd w:val="clear" w:color="auto" w:fill="FFFFFF"/>
        <w:spacing w:line="360" w:lineRule="auto"/>
        <w:ind w:firstLine="482"/>
        <w:rPr>
          <w:rFonts w:hint="eastAsia" w:ascii="宋体" w:hAnsi="宋体" w:eastAsia="宋体" w:cs="宋体"/>
          <w:color w:val="auto"/>
          <w:kern w:val="0"/>
          <w:sz w:val="24"/>
        </w:rPr>
      </w:pPr>
      <w:r>
        <w:rPr>
          <w:rFonts w:hint="eastAsia" w:ascii="宋体" w:hAnsi="宋体" w:eastAsia="宋体" w:cs="宋体"/>
          <w:b/>
          <w:bCs/>
          <w:color w:val="auto"/>
          <w:kern w:val="0"/>
          <w:sz w:val="24"/>
        </w:rPr>
        <w:t>33.签订合同</w:t>
      </w:r>
    </w:p>
    <w:p w14:paraId="73D45EB4">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33.1 采购人、成交供应商自成交通知书发出之日起，在竞争性谈判文件第三章《供应商须知前附表》规定的时间内，根据竞争性谈判文件确定的事项和成交供应商</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签订合同。不得串标、围标、假借资质投标或采取其它方式弄虚作假。双方所签订的合同不得对竞争性谈判文件和成交供应商</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作实质性修改。成交供应商逾期未签订合同，视为成交后无正当理由不与采购人签订合同，其谈判保证金将被没收，并按照有关法律规定承担相应的法律责任。采购人逾期不与成交供应商签订合同的，按政府采购的有关规定处理。</w:t>
      </w:r>
    </w:p>
    <w:p w14:paraId="2DF39506">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33.2 竞争性谈判文件、竞争性谈判文件的修改文件、成交供应商的</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、补充或修改的文件及澄清或承诺文件等，均为双方签订合同的组成部分，并与合同一并作为本竞争性谈判文件所列采购项目的互补性法律文件，与合同具有同等法律效力。</w:t>
      </w:r>
    </w:p>
    <w:p w14:paraId="05AEE351">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33.3 成交供应商放弃成交、因不可抗力不能履行合同、不按照竞争性谈判文件要求提交履约保证金，或者被查实存在影响成交结果的违法行为等情形，不符合成交条件的，采购人可以按照谈判小组提出的成交候选供应商名单排序依次确定其他成交候选供应商为成交供应商，也可以重新组织采购。拒绝签订政府采购合同的成交供应商不得参加对该项目重新开展的采购活动。</w:t>
      </w:r>
    </w:p>
    <w:p w14:paraId="51E9C2AF">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33.4 采购人应在采购合同签订之日起1个工作日内在河南省政府采购网进行合同公告及备案。</w:t>
      </w:r>
    </w:p>
    <w:p w14:paraId="1E8B9EE1">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33.5 河南省政府采购合同融资政策告知函:</w:t>
      </w:r>
    </w:p>
    <w:p w14:paraId="09DC5367">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各供应商：</w:t>
      </w:r>
    </w:p>
    <w:p w14:paraId="6983068E">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欢迎贵公司参与河南省政府采购活动！</w:t>
      </w:r>
    </w:p>
    <w:p w14:paraId="09F41C39">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政府采购合同融资是河南省财政厅支持中小微企业发展，针对参与政府采购活动的供应商融资难、融资贵问题推出的一项融资政策。贵公司若成为本次政府采购项目的成交成交供应商，可持政府采购合同向金融机构申请贷款，无需抵押、担保，融资机构将根据《河南省政府采购合同融资工作实施方案》（豫财购〔2017〕10号），按照双方自愿的原则提供便捷、优惠的贷款服务。</w:t>
      </w:r>
    </w:p>
    <w:p w14:paraId="53592E82">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贷款渠道和提供贷款的金融机构，可在河南省政府采购网“河南省政府采购合同融资平台”查询联系。</w:t>
      </w:r>
    </w:p>
    <w:p w14:paraId="22B8A712">
      <w:pPr>
        <w:widowControl/>
        <w:shd w:val="clear" w:color="auto" w:fill="FFFFFF"/>
        <w:spacing w:line="460" w:lineRule="atLeast"/>
        <w:jc w:val="center"/>
        <w:rPr>
          <w:rFonts w:hint="eastAsia" w:ascii="宋体" w:hAnsi="宋体" w:eastAsia="宋体" w:cs="宋体"/>
          <w:b/>
          <w:bCs/>
          <w:color w:val="auto"/>
          <w:kern w:val="0"/>
          <w:sz w:val="32"/>
          <w:szCs w:val="32"/>
        </w:rPr>
      </w:pPr>
    </w:p>
    <w:p w14:paraId="0970E9D5">
      <w:pPr>
        <w:widowControl/>
        <w:shd w:val="clear" w:color="auto" w:fill="FFFFFF"/>
        <w:spacing w:line="460" w:lineRule="atLeast"/>
        <w:jc w:val="center"/>
        <w:rPr>
          <w:rFonts w:hint="eastAsia" w:ascii="宋体" w:hAnsi="宋体" w:eastAsia="宋体" w:cs="宋体"/>
          <w:b/>
          <w:bCs/>
          <w:color w:val="auto"/>
          <w:kern w:val="0"/>
          <w:sz w:val="32"/>
          <w:szCs w:val="32"/>
        </w:rPr>
      </w:pPr>
    </w:p>
    <w:p w14:paraId="70CB76FF">
      <w:pPr>
        <w:widowControl/>
        <w:shd w:val="clear" w:color="auto" w:fill="FFFFFF"/>
        <w:spacing w:line="460" w:lineRule="atLeast"/>
        <w:jc w:val="center"/>
        <w:rPr>
          <w:rFonts w:hint="eastAsia" w:ascii="宋体" w:hAnsi="宋体" w:eastAsia="宋体" w:cs="宋体"/>
          <w:b/>
          <w:bCs/>
          <w:color w:val="auto"/>
          <w:kern w:val="0"/>
          <w:sz w:val="32"/>
          <w:szCs w:val="32"/>
        </w:rPr>
      </w:pPr>
    </w:p>
    <w:p w14:paraId="7D30066B">
      <w:pPr>
        <w:pStyle w:val="22"/>
        <w:rPr>
          <w:rFonts w:hint="eastAsia" w:ascii="宋体" w:hAnsi="宋体" w:eastAsia="宋体" w:cs="宋体"/>
          <w:b/>
          <w:bCs/>
          <w:color w:val="auto"/>
          <w:kern w:val="0"/>
          <w:sz w:val="32"/>
          <w:szCs w:val="32"/>
        </w:rPr>
      </w:pPr>
    </w:p>
    <w:p w14:paraId="16C45012">
      <w:pPr>
        <w:rPr>
          <w:rFonts w:hint="eastAsia" w:ascii="宋体" w:hAnsi="宋体" w:eastAsia="宋体" w:cs="宋体"/>
          <w:b/>
          <w:bCs/>
          <w:color w:val="auto"/>
          <w:kern w:val="0"/>
          <w:sz w:val="32"/>
          <w:szCs w:val="32"/>
        </w:rPr>
      </w:pPr>
      <w:r>
        <w:rPr>
          <w:rFonts w:hint="eastAsia" w:ascii="宋体" w:hAnsi="宋体" w:eastAsia="宋体" w:cs="宋体"/>
          <w:b/>
          <w:bCs/>
          <w:color w:val="auto"/>
          <w:kern w:val="0"/>
          <w:sz w:val="32"/>
          <w:szCs w:val="32"/>
        </w:rPr>
        <w:br w:type="page"/>
      </w:r>
    </w:p>
    <w:p w14:paraId="211FBC8A">
      <w:pPr>
        <w:widowControl/>
        <w:shd w:val="clear" w:color="auto" w:fill="FFFFFF"/>
        <w:spacing w:line="460" w:lineRule="atLeast"/>
        <w:jc w:val="center"/>
        <w:rPr>
          <w:rFonts w:hint="eastAsia" w:ascii="宋体" w:hAnsi="宋体" w:eastAsia="宋体" w:cs="宋体"/>
          <w:color w:val="auto"/>
          <w:kern w:val="0"/>
          <w:sz w:val="28"/>
          <w:szCs w:val="28"/>
        </w:rPr>
      </w:pPr>
      <w:r>
        <w:rPr>
          <w:rFonts w:hint="eastAsia" w:ascii="宋体" w:hAnsi="宋体" w:eastAsia="宋体" w:cs="宋体"/>
          <w:b/>
          <w:bCs/>
          <w:color w:val="auto"/>
          <w:kern w:val="0"/>
          <w:sz w:val="32"/>
          <w:szCs w:val="32"/>
        </w:rPr>
        <w:t>第四章 政府采购合同(指引)</w:t>
      </w:r>
    </w:p>
    <w:p w14:paraId="794F0D52">
      <w:pPr>
        <w:widowControl/>
        <w:shd w:val="clear" w:color="auto" w:fill="FFFFFF"/>
        <w:spacing w:line="360" w:lineRule="auto"/>
        <w:ind w:firstLine="480"/>
        <w:jc w:val="center"/>
        <w:rPr>
          <w:rFonts w:hint="eastAsia" w:ascii="宋体" w:hAnsi="宋体" w:eastAsia="宋体" w:cs="宋体"/>
          <w:color w:val="auto"/>
          <w:kern w:val="0"/>
          <w:sz w:val="24"/>
        </w:rPr>
      </w:pPr>
      <w:r>
        <w:rPr>
          <w:rFonts w:hint="eastAsia" w:ascii="宋体" w:hAnsi="宋体" w:eastAsia="宋体" w:cs="宋体"/>
          <w:color w:val="auto"/>
          <w:kern w:val="0"/>
          <w:sz w:val="24"/>
        </w:rPr>
        <w:t>（采购人可根据采购项目的实际情况增减条款和内容）</w:t>
      </w:r>
    </w:p>
    <w:p w14:paraId="22652704">
      <w:pPr>
        <w:widowControl/>
        <w:wordWrap w:val="0"/>
        <w:snapToGrid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 xml:space="preserve">项目名称：                              </w:t>
      </w:r>
    </w:p>
    <w:p w14:paraId="780B45D6">
      <w:pPr>
        <w:widowControl/>
        <w:wordWrap w:val="0"/>
        <w:snapToGrid w:val="0"/>
        <w:spacing w:line="360" w:lineRule="auto"/>
        <w:jc w:val="left"/>
        <w:rPr>
          <w:rFonts w:ascii="宋体" w:hAnsi="宋体" w:cs="宋体"/>
          <w:color w:val="auto"/>
          <w:kern w:val="0"/>
          <w:sz w:val="24"/>
        </w:rPr>
      </w:pPr>
      <w:r>
        <w:rPr>
          <w:rFonts w:hint="eastAsia" w:ascii="宋体" w:hAnsi="宋体" w:cs="宋体"/>
          <w:color w:val="auto"/>
          <w:kern w:val="0"/>
          <w:sz w:val="24"/>
        </w:rPr>
        <w:t xml:space="preserve">    项目编号：</w:t>
      </w:r>
    </w:p>
    <w:p w14:paraId="49E4A908">
      <w:pPr>
        <w:widowControl/>
        <w:wordWrap w:val="0"/>
        <w:snapToGrid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甲方：（采购人）</w:t>
      </w:r>
    </w:p>
    <w:p w14:paraId="469CA75C">
      <w:pPr>
        <w:widowControl/>
        <w:wordWrap w:val="0"/>
        <w:snapToGrid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乙方：（成交供应商）</w:t>
      </w:r>
    </w:p>
    <w:p w14:paraId="0B36367B">
      <w:pPr>
        <w:widowControl/>
        <w:wordWrap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甲、乙双方根据《中华人民共和国采购法》、《中华人民共和国民法典》等法律法规的规定，按照</w:t>
      </w:r>
      <w:r>
        <w:rPr>
          <w:rFonts w:hint="eastAsia" w:ascii="宋体" w:hAnsi="宋体" w:cs="宋体"/>
          <w:color w:val="auto"/>
          <w:kern w:val="0"/>
          <w:sz w:val="24"/>
          <w:u w:val="single"/>
        </w:rPr>
        <w:t xml:space="preserve">       （</w:t>
      </w:r>
      <w:r>
        <w:rPr>
          <w:rFonts w:hint="eastAsia" w:ascii="宋体" w:hAnsi="宋体" w:cs="宋体"/>
          <w:color w:val="auto"/>
          <w:kern w:val="0"/>
          <w:sz w:val="24"/>
        </w:rPr>
        <w:t>招标编号）的招标结果签订本合同。</w:t>
      </w:r>
    </w:p>
    <w:p w14:paraId="4DB9A105">
      <w:pPr>
        <w:spacing w:line="360" w:lineRule="auto"/>
        <w:ind w:firstLine="482" w:firstLineChars="200"/>
        <w:rPr>
          <w:rFonts w:ascii="宋体" w:hAnsi="宋体" w:cs="宋体"/>
          <w:b/>
          <w:color w:val="auto"/>
          <w:kern w:val="0"/>
          <w:sz w:val="24"/>
        </w:rPr>
      </w:pPr>
      <w:r>
        <w:rPr>
          <w:rFonts w:hint="eastAsia" w:ascii="宋体" w:hAnsi="宋体" w:cs="宋体"/>
          <w:b/>
          <w:color w:val="auto"/>
          <w:sz w:val="24"/>
        </w:rPr>
        <w:t>1、服务内容：</w:t>
      </w:r>
    </w:p>
    <w:p w14:paraId="5CCE60C4">
      <w:pPr>
        <w:widowControl/>
        <w:wordWrap w:val="0"/>
        <w:snapToGrid w:val="0"/>
        <w:spacing w:line="360" w:lineRule="auto"/>
        <w:ind w:firstLine="482" w:firstLineChars="200"/>
        <w:jc w:val="left"/>
        <w:outlineLvl w:val="0"/>
        <w:rPr>
          <w:rFonts w:ascii="宋体" w:hAnsi="宋体" w:cs="宋体"/>
          <w:b/>
          <w:color w:val="auto"/>
          <w:kern w:val="0"/>
          <w:sz w:val="24"/>
        </w:rPr>
      </w:pPr>
      <w:r>
        <w:rPr>
          <w:rFonts w:hint="eastAsia" w:ascii="宋体" w:hAnsi="宋体" w:cs="宋体"/>
          <w:b/>
          <w:color w:val="auto"/>
          <w:kern w:val="0"/>
          <w:sz w:val="24"/>
        </w:rPr>
        <w:t>2.合同金额</w:t>
      </w:r>
    </w:p>
    <w:p w14:paraId="43901A46">
      <w:pPr>
        <w:widowControl/>
        <w:wordWrap w:val="0"/>
        <w:snapToGrid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本合同金额为人民币（大写）：</w:t>
      </w:r>
      <w:r>
        <w:rPr>
          <w:rFonts w:hint="eastAsia" w:ascii="宋体" w:hAnsi="宋体" w:cs="宋体"/>
          <w:color w:val="auto"/>
          <w:kern w:val="0"/>
          <w:sz w:val="24"/>
          <w:u w:val="single"/>
        </w:rPr>
        <w:t xml:space="preserve">                     </w:t>
      </w:r>
      <w:r>
        <w:rPr>
          <w:rFonts w:hint="eastAsia" w:ascii="宋体" w:hAnsi="宋体" w:cs="宋体"/>
          <w:color w:val="auto"/>
          <w:kern w:val="0"/>
          <w:sz w:val="24"/>
        </w:rPr>
        <w:t>元（￥________元）。</w:t>
      </w:r>
    </w:p>
    <w:p w14:paraId="3F0BC89B">
      <w:pPr>
        <w:widowControl/>
        <w:wordWrap w:val="0"/>
        <w:snapToGrid w:val="0"/>
        <w:spacing w:line="360" w:lineRule="auto"/>
        <w:ind w:firstLine="482" w:firstLineChars="200"/>
        <w:jc w:val="left"/>
        <w:outlineLvl w:val="0"/>
        <w:rPr>
          <w:rFonts w:ascii="宋体" w:hAnsi="宋体" w:cs="宋体"/>
          <w:b/>
          <w:color w:val="auto"/>
          <w:kern w:val="0"/>
          <w:sz w:val="24"/>
        </w:rPr>
      </w:pPr>
      <w:r>
        <w:rPr>
          <w:rFonts w:hint="eastAsia" w:ascii="宋体" w:hAnsi="宋体" w:cs="宋体"/>
          <w:b/>
          <w:color w:val="auto"/>
          <w:kern w:val="0"/>
          <w:sz w:val="24"/>
        </w:rPr>
        <w:t>3.服务期限和服务地点</w:t>
      </w:r>
    </w:p>
    <w:p w14:paraId="6C33A940">
      <w:pPr>
        <w:widowControl/>
        <w:wordWrap w:val="0"/>
        <w:snapToGrid w:val="0"/>
        <w:spacing w:line="360" w:lineRule="auto"/>
        <w:ind w:firstLine="480" w:firstLineChars="200"/>
        <w:jc w:val="left"/>
        <w:rPr>
          <w:rFonts w:ascii="宋体" w:hAnsi="宋体" w:cs="宋体"/>
          <w:bCs/>
          <w:color w:val="auto"/>
          <w:kern w:val="0"/>
          <w:sz w:val="24"/>
        </w:rPr>
      </w:pPr>
      <w:r>
        <w:rPr>
          <w:rFonts w:hint="eastAsia" w:ascii="宋体" w:hAnsi="宋体" w:cs="宋体"/>
          <w:bCs/>
          <w:color w:val="auto"/>
          <w:kern w:val="0"/>
          <w:sz w:val="24"/>
        </w:rPr>
        <w:t>3.1服务期限：</w:t>
      </w:r>
    </w:p>
    <w:p w14:paraId="7D30100B">
      <w:pPr>
        <w:widowControl/>
        <w:wordWrap w:val="0"/>
        <w:snapToGrid w:val="0"/>
        <w:spacing w:line="360" w:lineRule="auto"/>
        <w:ind w:firstLine="480" w:firstLineChars="200"/>
        <w:jc w:val="left"/>
        <w:rPr>
          <w:rFonts w:ascii="宋体" w:hAnsi="宋体" w:cs="宋体"/>
          <w:b/>
          <w:color w:val="auto"/>
          <w:kern w:val="0"/>
          <w:sz w:val="24"/>
        </w:rPr>
      </w:pPr>
      <w:r>
        <w:rPr>
          <w:rFonts w:hint="eastAsia" w:ascii="宋体" w:hAnsi="宋体" w:cs="宋体"/>
          <w:bCs/>
          <w:color w:val="auto"/>
          <w:kern w:val="0"/>
          <w:sz w:val="24"/>
        </w:rPr>
        <w:t>3.2服务地点：</w:t>
      </w:r>
    </w:p>
    <w:p w14:paraId="2052CC80">
      <w:pPr>
        <w:widowControl/>
        <w:wordWrap w:val="0"/>
        <w:snapToGrid w:val="0"/>
        <w:spacing w:line="360" w:lineRule="auto"/>
        <w:ind w:firstLine="482" w:firstLineChars="200"/>
        <w:jc w:val="left"/>
        <w:outlineLvl w:val="0"/>
        <w:rPr>
          <w:rFonts w:ascii="宋体" w:hAnsi="宋体" w:cs="宋体"/>
          <w:b/>
          <w:color w:val="auto"/>
          <w:kern w:val="0"/>
          <w:sz w:val="24"/>
        </w:rPr>
      </w:pPr>
      <w:r>
        <w:rPr>
          <w:rFonts w:hint="eastAsia" w:ascii="宋体" w:hAnsi="宋体" w:cs="宋体"/>
          <w:b/>
          <w:color w:val="auto"/>
          <w:kern w:val="0"/>
          <w:sz w:val="24"/>
        </w:rPr>
        <w:t>4.付款方式</w:t>
      </w:r>
    </w:p>
    <w:p w14:paraId="35F22F11">
      <w:pPr>
        <w:widowControl/>
        <w:wordWrap w:val="0"/>
        <w:snapToGrid w:val="0"/>
        <w:spacing w:line="360" w:lineRule="auto"/>
        <w:ind w:firstLine="480" w:firstLineChars="200"/>
        <w:jc w:val="left"/>
        <w:rPr>
          <w:rFonts w:ascii="宋体" w:hAnsi="宋体" w:cs="宋体"/>
          <w:bCs/>
          <w:color w:val="auto"/>
          <w:kern w:val="0"/>
          <w:sz w:val="24"/>
        </w:rPr>
      </w:pPr>
      <w:r>
        <w:rPr>
          <w:rFonts w:hint="eastAsia" w:ascii="宋体" w:hAnsi="宋体" w:cs="宋体"/>
          <w:bCs/>
          <w:color w:val="auto"/>
          <w:kern w:val="0"/>
          <w:sz w:val="24"/>
        </w:rPr>
        <w:t>付款方式：</w:t>
      </w:r>
    </w:p>
    <w:p w14:paraId="4D4325BF">
      <w:pPr>
        <w:widowControl/>
        <w:wordWrap w:val="0"/>
        <w:snapToGrid w:val="0"/>
        <w:spacing w:line="360" w:lineRule="auto"/>
        <w:ind w:firstLine="482" w:firstLineChars="200"/>
        <w:jc w:val="left"/>
        <w:outlineLvl w:val="0"/>
        <w:rPr>
          <w:rFonts w:ascii="宋体" w:hAnsi="宋体" w:cs="宋体"/>
          <w:b/>
          <w:color w:val="auto"/>
          <w:kern w:val="0"/>
          <w:sz w:val="24"/>
        </w:rPr>
      </w:pPr>
      <w:r>
        <w:rPr>
          <w:rFonts w:hint="eastAsia" w:ascii="宋体" w:hAnsi="宋体" w:cs="宋体"/>
          <w:b/>
          <w:color w:val="auto"/>
          <w:kern w:val="0"/>
          <w:sz w:val="24"/>
        </w:rPr>
        <w:t>5.税费</w:t>
      </w:r>
    </w:p>
    <w:p w14:paraId="5E78EB02">
      <w:pPr>
        <w:widowControl/>
        <w:wordWrap w:val="0"/>
        <w:snapToGrid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本合同执行中相关的一切税费均由乙方负担。</w:t>
      </w:r>
    </w:p>
    <w:p w14:paraId="5EC2A341">
      <w:pPr>
        <w:widowControl/>
        <w:wordWrap w:val="0"/>
        <w:snapToGrid w:val="0"/>
        <w:spacing w:line="360" w:lineRule="auto"/>
        <w:ind w:firstLine="482" w:firstLineChars="200"/>
        <w:jc w:val="left"/>
        <w:outlineLvl w:val="0"/>
        <w:rPr>
          <w:rFonts w:ascii="宋体" w:hAnsi="宋体" w:cs="宋体"/>
          <w:b/>
          <w:color w:val="auto"/>
          <w:kern w:val="0"/>
          <w:sz w:val="24"/>
        </w:rPr>
      </w:pPr>
      <w:r>
        <w:rPr>
          <w:rFonts w:hint="eastAsia" w:ascii="宋体" w:hAnsi="宋体" w:cs="宋体"/>
          <w:b/>
          <w:color w:val="auto"/>
          <w:kern w:val="0"/>
          <w:sz w:val="24"/>
        </w:rPr>
        <w:t>6.技术资料</w:t>
      </w:r>
    </w:p>
    <w:p w14:paraId="6E8966C0">
      <w:pPr>
        <w:spacing w:line="360" w:lineRule="auto"/>
        <w:ind w:firstLine="480" w:firstLineChars="200"/>
        <w:rPr>
          <w:rFonts w:ascii="宋体" w:hAnsi="宋体" w:cs="宋体"/>
          <w:color w:val="auto"/>
          <w:kern w:val="0"/>
          <w:sz w:val="24"/>
        </w:rPr>
      </w:pPr>
      <w:r>
        <w:rPr>
          <w:rFonts w:hint="eastAsia" w:ascii="宋体" w:hAnsi="宋体" w:cs="宋体"/>
          <w:color w:val="auto"/>
          <w:kern w:val="0"/>
          <w:sz w:val="24"/>
        </w:rPr>
        <w:t>没有甲方事先书面同意，乙方不得将由甲方提供的有关合同或任何合同条文、规格、计划、图纸等资料提供给与履行本合同无关的任何其他人。</w:t>
      </w:r>
    </w:p>
    <w:p w14:paraId="11EF77B9">
      <w:pPr>
        <w:widowControl/>
        <w:wordWrap w:val="0"/>
        <w:snapToGrid w:val="0"/>
        <w:spacing w:line="360" w:lineRule="auto"/>
        <w:ind w:firstLine="482" w:firstLineChars="200"/>
        <w:jc w:val="left"/>
        <w:outlineLvl w:val="0"/>
        <w:rPr>
          <w:rFonts w:ascii="宋体" w:hAnsi="宋体" w:cs="宋体"/>
          <w:b/>
          <w:color w:val="auto"/>
          <w:kern w:val="0"/>
          <w:sz w:val="24"/>
        </w:rPr>
      </w:pPr>
      <w:r>
        <w:rPr>
          <w:rFonts w:hint="eastAsia" w:ascii="宋体" w:hAnsi="宋体" w:cs="宋体"/>
          <w:b/>
          <w:color w:val="auto"/>
          <w:kern w:val="0"/>
          <w:sz w:val="24"/>
        </w:rPr>
        <w:t>7.知识产权</w:t>
      </w:r>
    </w:p>
    <w:p w14:paraId="532ADE03">
      <w:pPr>
        <w:widowControl/>
        <w:wordWrap w:val="0"/>
        <w:snapToGrid w:val="0"/>
        <w:spacing w:line="360" w:lineRule="auto"/>
        <w:ind w:firstLine="480" w:firstLineChars="200"/>
        <w:jc w:val="left"/>
        <w:rPr>
          <w:rFonts w:ascii="宋体" w:hAnsi="宋体" w:cs="宋体"/>
          <w:bCs/>
          <w:color w:val="auto"/>
          <w:kern w:val="0"/>
          <w:sz w:val="24"/>
        </w:rPr>
      </w:pPr>
      <w:r>
        <w:rPr>
          <w:rFonts w:hint="eastAsia" w:ascii="宋体" w:hAnsi="宋体" w:cs="宋体"/>
          <w:color w:val="auto"/>
          <w:kern w:val="0"/>
          <w:sz w:val="24"/>
        </w:rPr>
        <w:t>乙方保证所提供的服务或其任何一部分均不会侵犯任何第三方的知识产权</w:t>
      </w:r>
      <w:r>
        <w:rPr>
          <w:rFonts w:hint="eastAsia" w:ascii="宋体" w:hAnsi="宋体" w:cs="宋体"/>
          <w:bCs/>
          <w:color w:val="auto"/>
          <w:kern w:val="0"/>
          <w:sz w:val="24"/>
        </w:rPr>
        <w:t>。</w:t>
      </w:r>
    </w:p>
    <w:p w14:paraId="2EAA8A22">
      <w:pPr>
        <w:widowControl/>
        <w:wordWrap w:val="0"/>
        <w:snapToGrid w:val="0"/>
        <w:spacing w:line="360" w:lineRule="auto"/>
        <w:ind w:firstLine="482" w:firstLineChars="200"/>
        <w:jc w:val="left"/>
        <w:outlineLvl w:val="0"/>
        <w:rPr>
          <w:rFonts w:ascii="宋体" w:hAnsi="宋体" w:cs="宋体"/>
          <w:color w:val="auto"/>
          <w:kern w:val="0"/>
          <w:sz w:val="24"/>
          <w:u w:val="single"/>
        </w:rPr>
      </w:pPr>
      <w:r>
        <w:rPr>
          <w:rFonts w:hint="eastAsia" w:ascii="宋体" w:hAnsi="宋体" w:cs="宋体"/>
          <w:b/>
          <w:color w:val="auto"/>
          <w:kern w:val="0"/>
          <w:sz w:val="24"/>
        </w:rPr>
        <w:t>8.无产权瑕疵条款</w:t>
      </w:r>
    </w:p>
    <w:p w14:paraId="78350181">
      <w:pPr>
        <w:widowControl/>
        <w:wordWrap w:val="0"/>
        <w:snapToGrid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乙方保证所提供的服务的所有权完全属于乙方且无任何抵押、查封等产权瑕疵。如有产权瑕疵的，视为乙方违约。乙方应负担由此而产生的一切损失。</w:t>
      </w:r>
    </w:p>
    <w:p w14:paraId="32D1E821">
      <w:pPr>
        <w:widowControl/>
        <w:wordWrap w:val="0"/>
        <w:snapToGrid w:val="0"/>
        <w:spacing w:line="360" w:lineRule="auto"/>
        <w:ind w:firstLine="482" w:firstLineChars="200"/>
        <w:jc w:val="left"/>
        <w:outlineLvl w:val="0"/>
        <w:rPr>
          <w:rFonts w:ascii="宋体" w:hAnsi="宋体" w:cs="宋体"/>
          <w:b/>
          <w:color w:val="auto"/>
          <w:kern w:val="0"/>
          <w:sz w:val="24"/>
        </w:rPr>
      </w:pPr>
      <w:r>
        <w:rPr>
          <w:rFonts w:hint="eastAsia" w:ascii="宋体" w:hAnsi="宋体" w:cs="宋体"/>
          <w:b/>
          <w:color w:val="auto"/>
          <w:kern w:val="0"/>
          <w:sz w:val="24"/>
        </w:rPr>
        <w:t>9.履约保证金的收取及退还</w:t>
      </w:r>
    </w:p>
    <w:p w14:paraId="357E7627">
      <w:pPr>
        <w:widowControl/>
        <w:wordWrap w:val="0"/>
        <w:snapToGrid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9.1本项目不收取履约保证金。</w:t>
      </w:r>
    </w:p>
    <w:p w14:paraId="460C8037">
      <w:pPr>
        <w:widowControl/>
        <w:wordWrap w:val="0"/>
        <w:snapToGrid w:val="0"/>
        <w:spacing w:line="360" w:lineRule="auto"/>
        <w:ind w:firstLine="482" w:firstLineChars="200"/>
        <w:jc w:val="left"/>
        <w:outlineLvl w:val="0"/>
        <w:rPr>
          <w:rFonts w:ascii="宋体" w:hAnsi="宋体" w:cs="宋体"/>
          <w:b/>
          <w:color w:val="auto"/>
          <w:kern w:val="0"/>
          <w:sz w:val="24"/>
        </w:rPr>
      </w:pPr>
      <w:r>
        <w:rPr>
          <w:rFonts w:hint="eastAsia" w:ascii="宋体" w:hAnsi="宋体" w:cs="宋体"/>
          <w:b/>
          <w:color w:val="auto"/>
          <w:kern w:val="0"/>
          <w:sz w:val="24"/>
        </w:rPr>
        <w:t>10.转包或分包</w:t>
      </w:r>
    </w:p>
    <w:p w14:paraId="4A51B567">
      <w:pPr>
        <w:widowControl/>
        <w:wordWrap w:val="0"/>
        <w:snapToGrid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10.1本合同范围的服务乙方不得以任何方式和形式进行转包和分包。</w:t>
      </w:r>
    </w:p>
    <w:p w14:paraId="717C2231">
      <w:pPr>
        <w:widowControl/>
        <w:wordWrap w:val="0"/>
        <w:snapToGrid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10.2乙方如有转包和分包的行为，甲方有权给予终止合同。</w:t>
      </w:r>
    </w:p>
    <w:p w14:paraId="7A52FB1D">
      <w:pPr>
        <w:spacing w:line="360" w:lineRule="auto"/>
        <w:ind w:firstLine="482" w:firstLineChars="200"/>
        <w:outlineLvl w:val="0"/>
        <w:rPr>
          <w:rFonts w:ascii="宋体" w:hAnsi="宋体" w:cs="宋体"/>
          <w:b/>
          <w:color w:val="auto"/>
          <w:sz w:val="24"/>
        </w:rPr>
      </w:pPr>
      <w:r>
        <w:rPr>
          <w:rFonts w:hint="eastAsia" w:ascii="宋体" w:hAnsi="宋体" w:cs="宋体"/>
          <w:b/>
          <w:color w:val="auto"/>
          <w:sz w:val="24"/>
        </w:rPr>
        <w:t>11.质量保证</w:t>
      </w:r>
    </w:p>
    <w:p w14:paraId="0054E3F9">
      <w:pPr>
        <w:spacing w:line="360" w:lineRule="auto"/>
        <w:ind w:firstLine="360" w:firstLineChars="150"/>
        <w:rPr>
          <w:rFonts w:ascii="宋体" w:hAnsi="宋体" w:cs="宋体"/>
          <w:color w:val="auto"/>
          <w:sz w:val="24"/>
        </w:rPr>
      </w:pPr>
      <w:r>
        <w:rPr>
          <w:rFonts w:hint="eastAsia" w:ascii="宋体" w:hAnsi="宋体" w:cs="宋体"/>
          <w:color w:val="auto"/>
          <w:sz w:val="24"/>
        </w:rPr>
        <w:t>乙方应提供优质服务，保证服务质量，且不能低于合同规定的范围和种类。</w:t>
      </w:r>
    </w:p>
    <w:p w14:paraId="5DD300FF">
      <w:pPr>
        <w:spacing w:line="360" w:lineRule="auto"/>
        <w:ind w:firstLine="482" w:firstLineChars="200"/>
        <w:outlineLvl w:val="0"/>
        <w:rPr>
          <w:rFonts w:ascii="宋体" w:hAnsi="宋体" w:cs="宋体"/>
          <w:b/>
          <w:color w:val="auto"/>
          <w:sz w:val="24"/>
        </w:rPr>
      </w:pPr>
      <w:r>
        <w:rPr>
          <w:rFonts w:hint="eastAsia" w:ascii="宋体" w:hAnsi="宋体" w:cs="宋体"/>
          <w:b/>
          <w:color w:val="auto"/>
          <w:sz w:val="24"/>
        </w:rPr>
        <w:t>12.验收</w:t>
      </w:r>
    </w:p>
    <w:p w14:paraId="0C18CCF1">
      <w:pPr>
        <w:spacing w:line="360" w:lineRule="auto"/>
        <w:ind w:firstLine="480" w:firstLineChars="200"/>
        <w:rPr>
          <w:rFonts w:ascii="宋体" w:hAnsi="宋体" w:cs="宋体"/>
          <w:color w:val="auto"/>
          <w:sz w:val="24"/>
        </w:rPr>
      </w:pPr>
      <w:r>
        <w:rPr>
          <w:rFonts w:hint="eastAsia" w:ascii="宋体" w:hAnsi="宋体" w:cs="宋体"/>
          <w:color w:val="auto"/>
          <w:sz w:val="24"/>
        </w:rPr>
        <w:t>验收严格按照</w:t>
      </w:r>
      <w:r>
        <w:rPr>
          <w:rFonts w:hint="eastAsia" w:ascii="宋体" w:hAnsi="宋体" w:cs="宋体"/>
          <w:color w:val="auto"/>
          <w:sz w:val="24"/>
          <w:lang w:val="en-US" w:eastAsia="zh-CN"/>
        </w:rPr>
        <w:t>采购</w:t>
      </w:r>
      <w:r>
        <w:rPr>
          <w:rFonts w:hint="eastAsia" w:ascii="宋体" w:hAnsi="宋体" w:cs="宋体"/>
          <w:color w:val="auto"/>
          <w:sz w:val="24"/>
        </w:rPr>
        <w:t>文件和</w:t>
      </w:r>
      <w:r>
        <w:rPr>
          <w:rFonts w:hint="eastAsia" w:ascii="宋体" w:hAnsi="宋体" w:cs="宋体"/>
          <w:color w:val="auto"/>
          <w:sz w:val="24"/>
          <w:lang w:eastAsia="zh-CN"/>
        </w:rPr>
        <w:t>响应文件</w:t>
      </w:r>
      <w:r>
        <w:rPr>
          <w:rFonts w:hint="eastAsia" w:ascii="宋体" w:hAnsi="宋体" w:cs="宋体"/>
          <w:color w:val="auto"/>
          <w:sz w:val="24"/>
        </w:rPr>
        <w:t>规定的标准进行验收。</w:t>
      </w:r>
    </w:p>
    <w:p w14:paraId="6912AE92">
      <w:pPr>
        <w:spacing w:line="360" w:lineRule="auto"/>
        <w:ind w:firstLine="482" w:firstLineChars="200"/>
        <w:outlineLvl w:val="0"/>
        <w:rPr>
          <w:rFonts w:ascii="宋体" w:hAnsi="宋体" w:cs="宋体"/>
          <w:b/>
          <w:color w:val="auto"/>
          <w:sz w:val="24"/>
        </w:rPr>
      </w:pPr>
      <w:r>
        <w:rPr>
          <w:rFonts w:hint="eastAsia" w:ascii="宋体" w:hAnsi="宋体" w:cs="宋体"/>
          <w:b/>
          <w:color w:val="auto"/>
          <w:sz w:val="24"/>
        </w:rPr>
        <w:t>13.甲方的权利和义务</w:t>
      </w:r>
    </w:p>
    <w:p w14:paraId="76F27F40">
      <w:pPr>
        <w:spacing w:line="360" w:lineRule="auto"/>
        <w:ind w:firstLine="240" w:firstLineChars="100"/>
        <w:rPr>
          <w:rFonts w:ascii="宋体" w:hAnsi="宋体" w:cs="宋体"/>
          <w:color w:val="auto"/>
          <w:sz w:val="24"/>
        </w:rPr>
      </w:pPr>
      <w:r>
        <w:rPr>
          <w:rFonts w:hint="eastAsia" w:ascii="宋体" w:hAnsi="宋体" w:cs="宋体"/>
          <w:color w:val="auto"/>
          <w:sz w:val="24"/>
        </w:rPr>
        <w:t>13.1甲方有权对合同规定范围内乙方的服务行为进行监督和检查，拥有监管权。有权定期核对乙方提供服务所配备的人员数量等。对乙方未按照合同履行的部分有权下达整改通知书，并要求乙方限期整改。</w:t>
      </w:r>
    </w:p>
    <w:p w14:paraId="5FC6E25D">
      <w:pPr>
        <w:spacing w:line="360" w:lineRule="auto"/>
        <w:ind w:firstLine="240" w:firstLineChars="100"/>
        <w:rPr>
          <w:rFonts w:ascii="宋体" w:hAnsi="宋体" w:cs="宋体"/>
          <w:color w:val="auto"/>
          <w:sz w:val="24"/>
        </w:rPr>
      </w:pPr>
      <w:r>
        <w:rPr>
          <w:rFonts w:hint="eastAsia" w:ascii="宋体" w:hAnsi="宋体" w:cs="宋体"/>
          <w:color w:val="auto"/>
          <w:sz w:val="24"/>
        </w:rPr>
        <w:t>13.2甲方有权依据双方签订的考评办法对乙方提供的服务进行定期考评。当考评结果未达到标准时，有权依据考评办法约定的数额扣除履约保证金。</w:t>
      </w:r>
    </w:p>
    <w:p w14:paraId="1DA48226">
      <w:pPr>
        <w:spacing w:line="360" w:lineRule="auto"/>
        <w:ind w:firstLine="240" w:firstLineChars="100"/>
        <w:rPr>
          <w:rFonts w:ascii="宋体" w:hAnsi="宋体" w:cs="宋体"/>
          <w:color w:val="auto"/>
          <w:sz w:val="24"/>
        </w:rPr>
      </w:pPr>
      <w:r>
        <w:rPr>
          <w:rFonts w:hint="eastAsia" w:ascii="宋体" w:hAnsi="宋体" w:cs="宋体"/>
          <w:color w:val="auto"/>
          <w:sz w:val="24"/>
        </w:rPr>
        <w:t>13.3负责检查监督乙方管理工作的实施及制度的执行情况。</w:t>
      </w:r>
    </w:p>
    <w:p w14:paraId="2ACEC1E7">
      <w:pPr>
        <w:spacing w:line="360" w:lineRule="auto"/>
        <w:ind w:firstLine="240" w:firstLineChars="100"/>
        <w:rPr>
          <w:rFonts w:ascii="宋体" w:hAnsi="宋体" w:cs="宋体"/>
          <w:color w:val="auto"/>
          <w:sz w:val="24"/>
        </w:rPr>
      </w:pPr>
      <w:r>
        <w:rPr>
          <w:rFonts w:hint="eastAsia" w:ascii="宋体" w:hAnsi="宋体" w:cs="宋体"/>
          <w:color w:val="auto"/>
          <w:sz w:val="24"/>
        </w:rPr>
        <w:t>13.4国家法律、法规所规定由甲方承担的其它责任。</w:t>
      </w:r>
    </w:p>
    <w:p w14:paraId="213966F1">
      <w:pPr>
        <w:spacing w:line="360" w:lineRule="auto"/>
        <w:ind w:firstLine="241" w:firstLineChars="100"/>
        <w:outlineLvl w:val="0"/>
        <w:rPr>
          <w:rFonts w:ascii="宋体" w:hAnsi="宋体" w:cs="宋体"/>
          <w:b/>
          <w:color w:val="auto"/>
          <w:sz w:val="24"/>
        </w:rPr>
      </w:pPr>
      <w:r>
        <w:rPr>
          <w:rFonts w:hint="eastAsia" w:ascii="宋体" w:hAnsi="宋体" w:cs="宋体"/>
          <w:b/>
          <w:color w:val="auto"/>
          <w:sz w:val="24"/>
        </w:rPr>
        <w:t>14.乙方的权利和义务</w:t>
      </w:r>
    </w:p>
    <w:p w14:paraId="729F021C">
      <w:pPr>
        <w:spacing w:line="360" w:lineRule="auto"/>
        <w:ind w:firstLine="240" w:firstLineChars="100"/>
        <w:rPr>
          <w:rFonts w:ascii="宋体" w:hAnsi="宋体" w:cs="宋体"/>
          <w:color w:val="auto"/>
          <w:sz w:val="24"/>
        </w:rPr>
      </w:pPr>
      <w:r>
        <w:rPr>
          <w:rFonts w:hint="eastAsia" w:ascii="宋体" w:hAnsi="宋体" w:cs="宋体"/>
          <w:color w:val="auto"/>
          <w:sz w:val="24"/>
        </w:rPr>
        <w:t>14.1对本合同规定的委托服务范围内的项目享有管理权及服务义务。</w:t>
      </w:r>
    </w:p>
    <w:p w14:paraId="39C7DB50">
      <w:pPr>
        <w:spacing w:line="360" w:lineRule="auto"/>
        <w:ind w:firstLine="240" w:firstLineChars="100"/>
        <w:rPr>
          <w:rFonts w:ascii="宋体" w:hAnsi="宋体" w:cs="宋体"/>
          <w:color w:val="auto"/>
          <w:sz w:val="24"/>
        </w:rPr>
      </w:pPr>
      <w:r>
        <w:rPr>
          <w:rFonts w:hint="eastAsia" w:ascii="宋体" w:hAnsi="宋体" w:cs="宋体"/>
          <w:color w:val="auto"/>
          <w:sz w:val="24"/>
        </w:rPr>
        <w:t>14.2对甲方下达整改通知书及时配合处理。</w:t>
      </w:r>
    </w:p>
    <w:p w14:paraId="707EFC23">
      <w:pPr>
        <w:spacing w:line="360" w:lineRule="auto"/>
        <w:ind w:firstLine="240" w:firstLineChars="100"/>
        <w:rPr>
          <w:rFonts w:ascii="宋体" w:hAnsi="宋体" w:cs="宋体"/>
          <w:color w:val="auto"/>
          <w:sz w:val="24"/>
        </w:rPr>
      </w:pPr>
      <w:r>
        <w:rPr>
          <w:rFonts w:hint="eastAsia" w:ascii="宋体" w:hAnsi="宋体" w:cs="宋体"/>
          <w:color w:val="auto"/>
          <w:sz w:val="24"/>
        </w:rPr>
        <w:t>14.3接受项目行业管理部门及政府有关部门的指导，接受甲方的监督。</w:t>
      </w:r>
    </w:p>
    <w:p w14:paraId="4F569FDA">
      <w:pPr>
        <w:spacing w:line="360" w:lineRule="auto"/>
        <w:ind w:firstLine="240" w:firstLineChars="100"/>
        <w:rPr>
          <w:rFonts w:ascii="宋体" w:hAnsi="宋体" w:cs="宋体"/>
          <w:color w:val="auto"/>
          <w:sz w:val="24"/>
        </w:rPr>
      </w:pPr>
      <w:r>
        <w:rPr>
          <w:rFonts w:hint="eastAsia" w:ascii="宋体" w:hAnsi="宋体" w:cs="宋体"/>
          <w:color w:val="auto"/>
          <w:sz w:val="24"/>
        </w:rPr>
        <w:t>14.4国家法律、法规所规定由乙方承担的其它责任。</w:t>
      </w:r>
    </w:p>
    <w:p w14:paraId="10ACBBBE">
      <w:pPr>
        <w:spacing w:line="360" w:lineRule="auto"/>
        <w:ind w:firstLine="241" w:firstLineChars="100"/>
        <w:outlineLvl w:val="0"/>
        <w:rPr>
          <w:rFonts w:ascii="宋体" w:hAnsi="宋体" w:cs="宋体"/>
          <w:b/>
          <w:color w:val="auto"/>
          <w:sz w:val="24"/>
        </w:rPr>
      </w:pPr>
      <w:r>
        <w:rPr>
          <w:rFonts w:hint="eastAsia" w:ascii="宋体" w:hAnsi="宋体" w:cs="宋体"/>
          <w:b/>
          <w:color w:val="auto"/>
          <w:sz w:val="24"/>
        </w:rPr>
        <w:t>15. 违约责任</w:t>
      </w:r>
    </w:p>
    <w:p w14:paraId="2951BE81">
      <w:pPr>
        <w:spacing w:line="360" w:lineRule="auto"/>
        <w:ind w:firstLine="240" w:firstLineChars="100"/>
        <w:rPr>
          <w:rFonts w:ascii="宋体" w:hAnsi="宋体" w:cs="宋体"/>
          <w:color w:val="auto"/>
          <w:sz w:val="24"/>
        </w:rPr>
      </w:pPr>
      <w:r>
        <w:rPr>
          <w:rFonts w:hint="eastAsia" w:ascii="宋体" w:hAnsi="宋体" w:cs="宋体"/>
          <w:color w:val="auto"/>
          <w:sz w:val="24"/>
        </w:rPr>
        <w:t>15.1甲乙双方必须遵守本合同并执行合同中的各项规定，保证本合同的正常履行。</w:t>
      </w:r>
    </w:p>
    <w:p w14:paraId="19E732C3">
      <w:pPr>
        <w:spacing w:line="360" w:lineRule="auto"/>
        <w:ind w:firstLine="240" w:firstLineChars="100"/>
        <w:rPr>
          <w:rFonts w:ascii="宋体" w:hAnsi="宋体" w:cs="宋体"/>
          <w:color w:val="auto"/>
          <w:sz w:val="24"/>
        </w:rPr>
      </w:pPr>
      <w:r>
        <w:rPr>
          <w:rFonts w:hint="eastAsia" w:ascii="宋体" w:hAnsi="宋体" w:cs="宋体"/>
          <w:color w:val="auto"/>
          <w:sz w:val="24"/>
        </w:rPr>
        <w:t>15.2如因乙方工作人员在履行职务过程中的疏忽、失职、过错等故意或者过失原因给甲方造成损失或侵害，包括但不限于甲方本身的财产损失、由此而导致的甲方对任何第三方的法律责任等，乙方对此均应承担全部的赔偿责任。</w:t>
      </w:r>
    </w:p>
    <w:p w14:paraId="6098115E">
      <w:pPr>
        <w:widowControl/>
        <w:wordWrap w:val="0"/>
        <w:snapToGrid w:val="0"/>
        <w:spacing w:line="360" w:lineRule="auto"/>
        <w:ind w:firstLine="482" w:firstLineChars="200"/>
        <w:jc w:val="left"/>
        <w:rPr>
          <w:rFonts w:ascii="宋体" w:hAnsi="宋体" w:cs="宋体"/>
          <w:b/>
          <w:color w:val="auto"/>
          <w:kern w:val="0"/>
          <w:sz w:val="24"/>
        </w:rPr>
      </w:pPr>
      <w:r>
        <w:rPr>
          <w:rFonts w:hint="eastAsia" w:ascii="宋体" w:hAnsi="宋体" w:cs="宋体"/>
          <w:b/>
          <w:color w:val="auto"/>
          <w:kern w:val="0"/>
          <w:sz w:val="24"/>
        </w:rPr>
        <w:t>16.不可抗力事件处理</w:t>
      </w:r>
    </w:p>
    <w:p w14:paraId="279D2BFB">
      <w:pPr>
        <w:widowControl/>
        <w:wordWrap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16.1因不可抗力造成违约的，遭受不可抗力一方应及时向对方通报不能履行或不能完全履行的理由，并在随后取得有关权威机构出具的证明后的15日内向另一方提供不可抗力发生以及持续期间的充分证据。基本于以上行为，允许遭受不可抗力一方延期履行、部分履行或者不履行合同，并根据情况可部分或全部免于承担违约责任。</w:t>
      </w:r>
    </w:p>
    <w:p w14:paraId="6AC5EB84">
      <w:pPr>
        <w:widowControl/>
        <w:wordWrap w:val="0"/>
        <w:spacing w:line="360" w:lineRule="auto"/>
        <w:ind w:firstLine="480" w:firstLineChars="200"/>
        <w:jc w:val="left"/>
        <w:rPr>
          <w:rFonts w:hint="eastAsia" w:ascii="宋体" w:hAnsi="宋体" w:eastAsia="宋体" w:cs="宋体"/>
          <w:color w:val="auto"/>
          <w:kern w:val="0"/>
          <w:sz w:val="24"/>
        </w:rPr>
      </w:pPr>
      <w:r>
        <w:rPr>
          <w:rFonts w:hint="eastAsia" w:ascii="宋体" w:hAnsi="宋体" w:cs="宋体"/>
          <w:color w:val="auto"/>
          <w:kern w:val="0"/>
          <w:sz w:val="24"/>
        </w:rPr>
        <w:t>16.2 本合同中的不可抗力指不能预见、不能避免并不能克服的客观情况。包括但不限于：自然灾害如地震、台风、洪水、火灾；政府行为、法律规定或其适用的变化或</w:t>
      </w:r>
      <w:r>
        <w:rPr>
          <w:rFonts w:hint="eastAsia" w:ascii="宋体" w:hAnsi="宋体" w:eastAsia="宋体" w:cs="宋体"/>
          <w:color w:val="auto"/>
          <w:kern w:val="0"/>
          <w:sz w:val="24"/>
        </w:rPr>
        <w:t>者其他任何无法预见、避免或者控制的事件。</w:t>
      </w:r>
    </w:p>
    <w:p w14:paraId="766C5E72">
      <w:pPr>
        <w:widowControl/>
        <w:wordWrap w:val="0"/>
        <w:spacing w:line="360" w:lineRule="auto"/>
        <w:ind w:firstLine="482" w:firstLineChars="200"/>
        <w:jc w:val="left"/>
        <w:rPr>
          <w:rFonts w:ascii="宋体" w:hAnsi="宋体" w:cs="宋体"/>
          <w:b/>
          <w:color w:val="auto"/>
          <w:kern w:val="0"/>
          <w:sz w:val="24"/>
        </w:rPr>
      </w:pPr>
      <w:r>
        <w:rPr>
          <w:rFonts w:hint="eastAsia" w:ascii="宋体" w:hAnsi="宋体" w:cs="宋体"/>
          <w:b/>
          <w:color w:val="auto"/>
          <w:kern w:val="0"/>
          <w:sz w:val="24"/>
        </w:rPr>
        <w:t>17.合同纠纷处理</w:t>
      </w:r>
    </w:p>
    <w:p w14:paraId="0FF5AF86">
      <w:pPr>
        <w:widowControl/>
        <w:wordWrap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因本合同或与本合同有关的一切事项发生争议，由双方友好协商解决。协商不成的，任何一方均可选择以下方式解决：</w:t>
      </w:r>
    </w:p>
    <w:p w14:paraId="0CF7ECE9">
      <w:pPr>
        <w:widowControl/>
        <w:wordWrap w:val="0"/>
        <w:spacing w:line="360" w:lineRule="auto"/>
        <w:ind w:firstLine="480" w:firstLineChars="200"/>
        <w:jc w:val="left"/>
        <w:outlineLvl w:val="0"/>
        <w:rPr>
          <w:rFonts w:ascii="宋体" w:hAnsi="宋体" w:cs="宋体"/>
          <w:color w:val="auto"/>
          <w:kern w:val="0"/>
          <w:sz w:val="24"/>
        </w:rPr>
      </w:pPr>
      <w:r>
        <w:rPr>
          <w:rFonts w:hint="eastAsia" w:ascii="宋体" w:hAnsi="宋体" w:cs="宋体"/>
          <w:color w:val="auto"/>
          <w:kern w:val="0"/>
          <w:sz w:val="24"/>
        </w:rPr>
        <w:t>17.1 向甲方所在地仲裁委员会申请仲裁。</w:t>
      </w:r>
    </w:p>
    <w:p w14:paraId="196488E9">
      <w:pPr>
        <w:widowControl/>
        <w:wordWrap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17.2 向合同签订地人民法院提起诉讼。</w:t>
      </w:r>
    </w:p>
    <w:p w14:paraId="790C3484">
      <w:pPr>
        <w:widowControl/>
        <w:wordWrap w:val="0"/>
        <w:spacing w:line="360" w:lineRule="auto"/>
        <w:ind w:firstLine="479" w:firstLineChars="199"/>
        <w:jc w:val="left"/>
        <w:rPr>
          <w:rFonts w:ascii="宋体" w:hAnsi="宋体" w:cs="宋体"/>
          <w:b/>
          <w:color w:val="auto"/>
          <w:kern w:val="0"/>
          <w:sz w:val="24"/>
        </w:rPr>
      </w:pPr>
      <w:r>
        <w:rPr>
          <w:rFonts w:hint="eastAsia" w:ascii="宋体" w:hAnsi="宋体" w:cs="宋体"/>
          <w:b/>
          <w:color w:val="auto"/>
          <w:kern w:val="0"/>
          <w:sz w:val="24"/>
        </w:rPr>
        <w:t>18.违约解除合同</w:t>
      </w:r>
    </w:p>
    <w:p w14:paraId="42D440E4">
      <w:pPr>
        <w:widowControl/>
        <w:wordWrap w:val="0"/>
        <w:snapToGrid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18.1违反本合同第10条的规定的。</w:t>
      </w:r>
    </w:p>
    <w:p w14:paraId="71D9C185">
      <w:pPr>
        <w:widowControl/>
        <w:wordWrap w:val="0"/>
        <w:spacing w:line="360" w:lineRule="auto"/>
        <w:ind w:firstLine="480" w:firstLineChars="200"/>
        <w:jc w:val="left"/>
        <w:outlineLvl w:val="0"/>
        <w:rPr>
          <w:rFonts w:ascii="宋体" w:hAnsi="宋体" w:cs="宋体"/>
          <w:color w:val="auto"/>
          <w:kern w:val="0"/>
          <w:sz w:val="24"/>
        </w:rPr>
      </w:pPr>
      <w:r>
        <w:rPr>
          <w:rFonts w:hint="eastAsia" w:ascii="宋体" w:hAnsi="宋体" w:cs="宋体"/>
          <w:color w:val="auto"/>
          <w:kern w:val="0"/>
          <w:sz w:val="24"/>
        </w:rPr>
        <w:t>18.2 乙方未能履行合同规定的其它主要义务的。</w:t>
      </w:r>
    </w:p>
    <w:p w14:paraId="3EBEDC00">
      <w:pPr>
        <w:widowControl/>
        <w:wordWrap w:val="0"/>
        <w:spacing w:line="360" w:lineRule="auto"/>
        <w:ind w:firstLine="360" w:firstLineChars="150"/>
        <w:jc w:val="left"/>
        <w:rPr>
          <w:rFonts w:ascii="宋体" w:hAnsi="宋体" w:cs="宋体"/>
          <w:color w:val="auto"/>
          <w:kern w:val="0"/>
          <w:sz w:val="24"/>
        </w:rPr>
      </w:pPr>
      <w:r>
        <w:rPr>
          <w:rFonts w:hint="eastAsia" w:ascii="宋体" w:hAnsi="宋体" w:cs="宋体"/>
          <w:color w:val="auto"/>
          <w:kern w:val="0"/>
          <w:sz w:val="24"/>
        </w:rPr>
        <w:t xml:space="preserve"> 18.3 在本合同履行过程中有腐败和欺诈行为的。</w:t>
      </w:r>
    </w:p>
    <w:p w14:paraId="3E8B97F8">
      <w:pPr>
        <w:widowControl/>
        <w:wordWrap w:val="0"/>
        <w:spacing w:line="360" w:lineRule="auto"/>
        <w:ind w:firstLine="482" w:firstLineChars="200"/>
        <w:jc w:val="left"/>
        <w:rPr>
          <w:rFonts w:ascii="宋体" w:hAnsi="宋体" w:cs="宋体"/>
          <w:b/>
          <w:color w:val="auto"/>
          <w:kern w:val="0"/>
          <w:sz w:val="24"/>
        </w:rPr>
      </w:pPr>
      <w:r>
        <w:rPr>
          <w:rFonts w:hint="eastAsia" w:ascii="宋体" w:hAnsi="宋体" w:cs="宋体"/>
          <w:b/>
          <w:color w:val="auto"/>
          <w:kern w:val="0"/>
          <w:sz w:val="24"/>
        </w:rPr>
        <w:t>19.其他约定</w:t>
      </w:r>
    </w:p>
    <w:p w14:paraId="722A7B42">
      <w:pPr>
        <w:widowControl/>
        <w:wordWrap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19.1 本采购项目的谈判件、成交供应商的投标文件以及相关的澄清确认函（如果有的话）均为本合同不可分割的一部分，与本合同具有同等法律效力。</w:t>
      </w:r>
    </w:p>
    <w:p w14:paraId="4E18F433">
      <w:pPr>
        <w:widowControl/>
        <w:wordWrap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19.2 本合同未尽事宜，双方另行补充。</w:t>
      </w:r>
    </w:p>
    <w:p w14:paraId="1065289B">
      <w:pPr>
        <w:widowControl/>
        <w:wordWrap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19.3本合同正本一式</w:t>
      </w:r>
      <w:r>
        <w:rPr>
          <w:rFonts w:hint="eastAsia" w:ascii="宋体" w:hAnsi="宋体" w:cs="宋体"/>
          <w:color w:val="auto"/>
          <w:kern w:val="0"/>
          <w:sz w:val="24"/>
          <w:u w:val="single"/>
        </w:rPr>
        <w:t xml:space="preserve"> </w:t>
      </w:r>
      <w:r>
        <w:rPr>
          <w:rFonts w:hint="eastAsia" w:ascii="宋体" w:hAnsi="宋体" w:cs="宋体"/>
          <w:color w:val="auto"/>
          <w:kern w:val="0"/>
          <w:sz w:val="24"/>
          <w:u w:val="single"/>
          <w:lang w:val="en-US" w:eastAsia="zh-CN"/>
        </w:rPr>
        <w:t xml:space="preserve">   </w:t>
      </w:r>
      <w:r>
        <w:rPr>
          <w:rFonts w:hint="eastAsia" w:ascii="宋体" w:hAnsi="宋体" w:cs="宋体"/>
          <w:color w:val="auto"/>
          <w:kern w:val="0"/>
          <w:sz w:val="24"/>
        </w:rPr>
        <w:t>份，具有同等法律效力，甲、乙双方各执</w:t>
      </w:r>
      <w:r>
        <w:rPr>
          <w:rFonts w:hint="eastAsia" w:ascii="宋体" w:hAnsi="宋体" w:cs="宋体"/>
          <w:color w:val="auto"/>
          <w:kern w:val="0"/>
          <w:sz w:val="24"/>
          <w:u w:val="single"/>
        </w:rPr>
        <w:t xml:space="preserve"> </w:t>
      </w:r>
      <w:r>
        <w:rPr>
          <w:rFonts w:hint="eastAsia" w:ascii="宋体" w:hAnsi="宋体" w:cs="宋体"/>
          <w:color w:val="auto"/>
          <w:kern w:val="0"/>
          <w:sz w:val="24"/>
          <w:u w:val="single"/>
          <w:lang w:val="en-US" w:eastAsia="zh-CN"/>
        </w:rPr>
        <w:t xml:space="preserve">  </w:t>
      </w:r>
      <w:r>
        <w:rPr>
          <w:rFonts w:hint="eastAsia" w:ascii="宋体" w:hAnsi="宋体" w:cs="宋体"/>
          <w:color w:val="auto"/>
          <w:kern w:val="0"/>
          <w:sz w:val="24"/>
        </w:rPr>
        <w:t>份。自采购合同签订之日起1个工作日内，甲方在河南省政府采购网进行合同公告及备案。</w:t>
      </w:r>
    </w:p>
    <w:p w14:paraId="0CF504D2">
      <w:pPr>
        <w:widowControl/>
        <w:wordWrap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19.4合同签订后，采购人及时登录河南省政府采购网对采购代理机构进行信用评价。</w:t>
      </w:r>
    </w:p>
    <w:p w14:paraId="5DBC8F5D">
      <w:pPr>
        <w:pStyle w:val="22"/>
        <w:ind w:firstLine="480" w:firstLineChars="200"/>
        <w:rPr>
          <w:color w:val="auto"/>
        </w:rPr>
      </w:pPr>
      <w:r>
        <w:rPr>
          <w:rFonts w:hint="eastAsia" w:ascii="宋体" w:hAnsi="宋体" w:eastAsia="宋体" w:cs="宋体"/>
          <w:color w:val="auto"/>
          <w:kern w:val="0"/>
          <w:sz w:val="24"/>
        </w:rPr>
        <w:t>19.5 本项目不收取履约保证金。</w:t>
      </w:r>
    </w:p>
    <w:p w14:paraId="6103FBEC">
      <w:pPr>
        <w:widowControl/>
        <w:wordWrap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甲    方：                            乙    方：</w:t>
      </w:r>
    </w:p>
    <w:p w14:paraId="417AAC06">
      <w:pPr>
        <w:widowControl/>
        <w:wordWrap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单位地址：                            单位地址：</w:t>
      </w:r>
    </w:p>
    <w:p w14:paraId="5B211159">
      <w:pPr>
        <w:widowControl/>
        <w:wordWrap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法定代表人：                          法定代表人：</w:t>
      </w:r>
    </w:p>
    <w:p w14:paraId="2BB533B6">
      <w:pPr>
        <w:widowControl/>
        <w:wordWrap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委托代理人：                          委托代理人：</w:t>
      </w:r>
    </w:p>
    <w:p w14:paraId="3133E868">
      <w:pPr>
        <w:widowControl/>
        <w:wordWrap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电    话：                            电    话：</w:t>
      </w:r>
    </w:p>
    <w:p w14:paraId="78AEAF71">
      <w:pPr>
        <w:widowControl/>
        <w:shd w:val="clear" w:color="auto" w:fill="FFFFFF"/>
        <w:spacing w:line="460" w:lineRule="atLeast"/>
        <w:jc w:val="right"/>
        <w:rPr>
          <w:rFonts w:ascii="宋体" w:hAnsi="宋体" w:cs="宋体"/>
          <w:b/>
          <w:bCs/>
          <w:color w:val="auto"/>
          <w:kern w:val="0"/>
          <w:sz w:val="32"/>
          <w:szCs w:val="32"/>
        </w:rPr>
      </w:pPr>
      <w:r>
        <w:rPr>
          <w:rFonts w:hint="eastAsia" w:ascii="宋体" w:hAnsi="宋体" w:cs="宋体"/>
          <w:color w:val="auto"/>
          <w:kern w:val="0"/>
          <w:sz w:val="52"/>
          <w:szCs w:val="52"/>
        </w:rPr>
        <w:t xml:space="preserve"> </w:t>
      </w:r>
      <w:r>
        <w:rPr>
          <w:rFonts w:hint="eastAsia" w:ascii="宋体" w:hAnsi="宋体" w:cs="宋体"/>
          <w:color w:val="auto"/>
          <w:kern w:val="0"/>
          <w:sz w:val="24"/>
        </w:rPr>
        <w:t>签订日期：</w:t>
      </w:r>
      <w:r>
        <w:rPr>
          <w:rFonts w:hint="eastAsia" w:ascii="宋体" w:hAnsi="宋体" w:cs="宋体"/>
          <w:bCs/>
          <w:color w:val="auto"/>
          <w:kern w:val="0"/>
          <w:sz w:val="24"/>
        </w:rPr>
        <w:t xml:space="preserve">   </w:t>
      </w:r>
      <w:r>
        <w:rPr>
          <w:rFonts w:hint="eastAsia" w:ascii="宋体" w:hAnsi="宋体" w:cs="宋体"/>
          <w:color w:val="auto"/>
          <w:kern w:val="0"/>
          <w:sz w:val="24"/>
        </w:rPr>
        <w:t>年  月  日</w:t>
      </w:r>
    </w:p>
    <w:p w14:paraId="63077BC7">
      <w:pPr>
        <w:rPr>
          <w:rFonts w:hint="eastAsia" w:ascii="黑体" w:hAnsi="黑体" w:eastAsia="黑体"/>
          <w:color w:val="auto"/>
          <w:sz w:val="32"/>
          <w:szCs w:val="32"/>
        </w:rPr>
      </w:pPr>
      <w:r>
        <w:rPr>
          <w:rFonts w:hint="eastAsia" w:ascii="黑体" w:hAnsi="黑体" w:eastAsia="黑体"/>
          <w:color w:val="auto"/>
          <w:sz w:val="32"/>
          <w:szCs w:val="32"/>
        </w:rPr>
        <w:br w:type="page"/>
      </w:r>
    </w:p>
    <w:p w14:paraId="017479B3">
      <w:pPr>
        <w:rPr>
          <w:rFonts w:ascii="黑体" w:hAnsi="黑体" w:eastAsia="黑体"/>
          <w:color w:val="auto"/>
          <w:sz w:val="32"/>
          <w:szCs w:val="32"/>
        </w:rPr>
      </w:pPr>
      <w:r>
        <w:rPr>
          <w:rFonts w:hint="eastAsia" w:ascii="黑体" w:hAnsi="黑体" w:eastAsia="黑体"/>
          <w:color w:val="auto"/>
          <w:sz w:val="32"/>
          <w:szCs w:val="32"/>
        </w:rPr>
        <w:t>附件1</w:t>
      </w:r>
    </w:p>
    <w:p w14:paraId="05B9A62B">
      <w:pPr>
        <w:jc w:val="center"/>
        <w:rPr>
          <w:rFonts w:ascii="方正小标宋简体" w:hAnsi="宋体" w:eastAsia="方正小标宋简体"/>
          <w:color w:val="auto"/>
          <w:sz w:val="44"/>
          <w:szCs w:val="44"/>
        </w:rPr>
      </w:pPr>
      <w:r>
        <w:rPr>
          <w:rFonts w:hint="eastAsia" w:ascii="方正小标宋简体" w:hAnsi="宋体" w:eastAsia="方正小标宋简体"/>
          <w:color w:val="auto"/>
          <w:sz w:val="44"/>
          <w:szCs w:val="44"/>
        </w:rPr>
        <w:t>政府采购验收通知单（履约验收指引）</w:t>
      </w:r>
    </w:p>
    <w:p w14:paraId="43B997B6">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   </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28"/>
        <w:gridCol w:w="1980"/>
        <w:gridCol w:w="2160"/>
        <w:gridCol w:w="2340"/>
      </w:tblGrid>
      <w:tr w14:paraId="615D2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noWrap w:val="0"/>
            <w:vAlign w:val="top"/>
          </w:tcPr>
          <w:p w14:paraId="2991E7F7">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采购单位</w:t>
            </w:r>
          </w:p>
        </w:tc>
        <w:tc>
          <w:tcPr>
            <w:tcW w:w="6480" w:type="dxa"/>
            <w:gridSpan w:val="3"/>
            <w:noWrap w:val="0"/>
            <w:vAlign w:val="top"/>
          </w:tcPr>
          <w:p w14:paraId="743796EC">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rPr>
            </w:pPr>
          </w:p>
        </w:tc>
      </w:tr>
      <w:tr w14:paraId="42598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noWrap w:val="0"/>
            <w:vAlign w:val="top"/>
          </w:tcPr>
          <w:p w14:paraId="4397E418">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tc>
        <w:tc>
          <w:tcPr>
            <w:tcW w:w="6480" w:type="dxa"/>
            <w:gridSpan w:val="3"/>
            <w:noWrap w:val="0"/>
            <w:vAlign w:val="top"/>
          </w:tcPr>
          <w:p w14:paraId="5469D5A2">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rPr>
            </w:pPr>
          </w:p>
        </w:tc>
      </w:tr>
      <w:tr w14:paraId="774AC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noWrap w:val="0"/>
            <w:vAlign w:val="top"/>
          </w:tcPr>
          <w:p w14:paraId="785008F8">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合同名称</w:t>
            </w:r>
          </w:p>
        </w:tc>
        <w:tc>
          <w:tcPr>
            <w:tcW w:w="6480" w:type="dxa"/>
            <w:gridSpan w:val="3"/>
            <w:noWrap w:val="0"/>
            <w:vAlign w:val="top"/>
          </w:tcPr>
          <w:p w14:paraId="630EBCA8">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rPr>
            </w:pPr>
          </w:p>
        </w:tc>
      </w:tr>
      <w:tr w14:paraId="685F8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noWrap w:val="0"/>
            <w:vAlign w:val="top"/>
          </w:tcPr>
          <w:p w14:paraId="7E0E94A7">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合同编号</w:t>
            </w:r>
          </w:p>
        </w:tc>
        <w:tc>
          <w:tcPr>
            <w:tcW w:w="1980" w:type="dxa"/>
            <w:noWrap w:val="0"/>
            <w:vAlign w:val="top"/>
          </w:tcPr>
          <w:p w14:paraId="33664BC1">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rPr>
            </w:pPr>
          </w:p>
        </w:tc>
        <w:tc>
          <w:tcPr>
            <w:tcW w:w="2160" w:type="dxa"/>
            <w:noWrap w:val="0"/>
            <w:vAlign w:val="top"/>
          </w:tcPr>
          <w:p w14:paraId="2D15EE77">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合同金额</w:t>
            </w:r>
          </w:p>
        </w:tc>
        <w:tc>
          <w:tcPr>
            <w:tcW w:w="2340" w:type="dxa"/>
            <w:noWrap w:val="0"/>
            <w:vAlign w:val="top"/>
          </w:tcPr>
          <w:p w14:paraId="2C3C2E08">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rPr>
            </w:pPr>
          </w:p>
        </w:tc>
      </w:tr>
      <w:tr w14:paraId="094BE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noWrap w:val="0"/>
            <w:vAlign w:val="top"/>
          </w:tcPr>
          <w:p w14:paraId="65568E11">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验收时间</w:t>
            </w:r>
          </w:p>
        </w:tc>
        <w:tc>
          <w:tcPr>
            <w:tcW w:w="1980" w:type="dxa"/>
            <w:noWrap w:val="0"/>
            <w:vAlign w:val="top"/>
          </w:tcPr>
          <w:p w14:paraId="0C32C622">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rPr>
            </w:pPr>
          </w:p>
        </w:tc>
        <w:tc>
          <w:tcPr>
            <w:tcW w:w="2160" w:type="dxa"/>
            <w:noWrap w:val="0"/>
            <w:vAlign w:val="top"/>
          </w:tcPr>
          <w:p w14:paraId="0643A5B9">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验收地点</w:t>
            </w:r>
          </w:p>
        </w:tc>
        <w:tc>
          <w:tcPr>
            <w:tcW w:w="2340" w:type="dxa"/>
            <w:noWrap w:val="0"/>
            <w:vAlign w:val="top"/>
          </w:tcPr>
          <w:p w14:paraId="230CF756">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rPr>
            </w:pPr>
          </w:p>
        </w:tc>
      </w:tr>
      <w:tr w14:paraId="574CD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noWrap w:val="0"/>
            <w:vAlign w:val="top"/>
          </w:tcPr>
          <w:p w14:paraId="0F747832">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联系人</w:t>
            </w:r>
          </w:p>
        </w:tc>
        <w:tc>
          <w:tcPr>
            <w:tcW w:w="1980" w:type="dxa"/>
            <w:noWrap w:val="0"/>
            <w:vAlign w:val="top"/>
          </w:tcPr>
          <w:p w14:paraId="6B8A5BAE">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rPr>
            </w:pPr>
          </w:p>
        </w:tc>
        <w:tc>
          <w:tcPr>
            <w:tcW w:w="2160" w:type="dxa"/>
            <w:noWrap w:val="0"/>
            <w:vAlign w:val="top"/>
          </w:tcPr>
          <w:p w14:paraId="488D106D">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联系电话</w:t>
            </w:r>
          </w:p>
        </w:tc>
        <w:tc>
          <w:tcPr>
            <w:tcW w:w="2340" w:type="dxa"/>
            <w:noWrap w:val="0"/>
            <w:vAlign w:val="top"/>
          </w:tcPr>
          <w:p w14:paraId="03477646">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rPr>
            </w:pPr>
          </w:p>
        </w:tc>
      </w:tr>
      <w:tr w14:paraId="5788E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9108" w:type="dxa"/>
            <w:gridSpan w:val="4"/>
            <w:noWrap w:val="0"/>
            <w:vAlign w:val="top"/>
          </w:tcPr>
          <w:p w14:paraId="2EFDEF00">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验收方案及工作要求</w:t>
            </w:r>
          </w:p>
        </w:tc>
      </w:tr>
      <w:tr w14:paraId="0C0A6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0" w:hRule="atLeast"/>
        </w:trPr>
        <w:tc>
          <w:tcPr>
            <w:tcW w:w="9108" w:type="dxa"/>
            <w:gridSpan w:val="4"/>
            <w:noWrap w:val="0"/>
            <w:vAlign w:val="top"/>
          </w:tcPr>
          <w:p w14:paraId="5D7D95D4">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p>
          <w:p w14:paraId="4DE0521A">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p>
          <w:p w14:paraId="690D9AF2">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p>
          <w:p w14:paraId="0F9431A2">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p>
          <w:p w14:paraId="3948AF07">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p>
          <w:p w14:paraId="00CB5849">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p>
          <w:p w14:paraId="158E1FDF">
            <w:pPr>
              <w:keepNext w:val="0"/>
              <w:keepLines w:val="0"/>
              <w:suppressLineNumbers w:val="0"/>
              <w:spacing w:before="0" w:beforeAutospacing="0" w:after="0" w:afterAutospacing="0"/>
              <w:ind w:left="0" w:right="0"/>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5F25149F">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1416FDE7">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组织实施单位公章</w:t>
            </w:r>
          </w:p>
          <w:p w14:paraId="367CC980">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w:t>
            </w:r>
          </w:p>
          <w:p w14:paraId="72F20B43">
            <w:pPr>
              <w:keepNext w:val="0"/>
              <w:keepLines w:val="0"/>
              <w:suppressLineNumbers w:val="0"/>
              <w:spacing w:before="0" w:beforeAutospacing="0" w:after="0" w:afterAutospacing="0" w:line="360" w:lineRule="exact"/>
              <w:ind w:left="0" w:right="0"/>
              <w:rPr>
                <w:rFonts w:hint="eastAsia" w:ascii="宋体" w:hAnsi="宋体" w:eastAsia="宋体" w:cs="宋体"/>
                <w:color w:val="auto"/>
                <w:sz w:val="24"/>
                <w:szCs w:val="24"/>
              </w:rPr>
            </w:pPr>
          </w:p>
          <w:p w14:paraId="06CFD45C">
            <w:pPr>
              <w:keepNext w:val="0"/>
              <w:keepLines w:val="0"/>
              <w:suppressLineNumbers w:val="0"/>
              <w:spacing w:before="0" w:beforeAutospacing="0" w:after="0" w:afterAutospacing="0" w:line="360" w:lineRule="exact"/>
              <w:ind w:left="0" w:right="0"/>
              <w:rPr>
                <w:rFonts w:hint="eastAsia" w:ascii="宋体" w:hAnsi="宋体" w:eastAsia="宋体" w:cs="宋体"/>
                <w:color w:val="auto"/>
                <w:sz w:val="24"/>
                <w:szCs w:val="24"/>
              </w:rPr>
            </w:pPr>
          </w:p>
        </w:tc>
      </w:tr>
    </w:tbl>
    <w:p w14:paraId="294957F8">
      <w:pPr>
        <w:widowControl/>
        <w:shd w:val="clear" w:color="auto" w:fill="FFFFFF"/>
        <w:spacing w:line="288" w:lineRule="auto"/>
        <w:rPr>
          <w:rFonts w:hint="eastAsia" w:ascii="宋体" w:hAnsi="宋体" w:eastAsia="宋体" w:cs="宋体"/>
          <w:b/>
          <w:bCs/>
          <w:color w:val="auto"/>
          <w:kern w:val="0"/>
          <w:sz w:val="32"/>
          <w:szCs w:val="32"/>
        </w:rPr>
        <w:sectPr>
          <w:pgSz w:w="11906" w:h="16838"/>
          <w:pgMar w:top="1440" w:right="1757" w:bottom="1440" w:left="1757" w:header="851" w:footer="992" w:gutter="0"/>
          <w:cols w:space="0" w:num="1"/>
          <w:titlePg/>
          <w:rtlGutter w:val="0"/>
          <w:docGrid w:type="lines" w:linePitch="312" w:charSpace="0"/>
        </w:sectPr>
      </w:pPr>
    </w:p>
    <w:p w14:paraId="4E274000">
      <w:pPr>
        <w:spacing w:line="420" w:lineRule="exact"/>
        <w:rPr>
          <w:rFonts w:ascii="黑体" w:eastAsia="黑体"/>
          <w:color w:val="auto"/>
          <w:sz w:val="32"/>
        </w:rPr>
      </w:pPr>
      <w:r>
        <w:rPr>
          <w:rFonts w:hint="eastAsia" w:ascii="黑体" w:eastAsia="黑体"/>
          <w:color w:val="auto"/>
          <w:sz w:val="32"/>
        </w:rPr>
        <w:t>附件2</w:t>
      </w:r>
    </w:p>
    <w:p w14:paraId="107EAE77">
      <w:pPr>
        <w:spacing w:before="120" w:beforeLines="50" w:after="120" w:afterLines="50" w:line="460" w:lineRule="exact"/>
        <w:jc w:val="center"/>
        <w:rPr>
          <w:rFonts w:ascii="宋体" w:hAnsi="宋体"/>
          <w:b/>
          <w:color w:val="auto"/>
          <w:sz w:val="44"/>
          <w:szCs w:val="44"/>
        </w:rPr>
      </w:pPr>
      <w:r>
        <w:rPr>
          <w:rFonts w:hint="eastAsia"/>
          <w:b/>
          <w:color w:val="auto"/>
          <w:sz w:val="44"/>
          <w:szCs w:val="44"/>
        </w:rPr>
        <w:t>政府采购</w:t>
      </w:r>
      <w:r>
        <w:rPr>
          <w:rFonts w:hint="eastAsia" w:ascii="宋体" w:hAnsi="宋体"/>
          <w:b/>
          <w:color w:val="auto"/>
          <w:sz w:val="44"/>
          <w:szCs w:val="44"/>
        </w:rPr>
        <w:t>履约验收指引</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3"/>
        <w:gridCol w:w="2092"/>
        <w:gridCol w:w="141"/>
        <w:gridCol w:w="1843"/>
        <w:gridCol w:w="142"/>
        <w:gridCol w:w="1843"/>
        <w:gridCol w:w="425"/>
        <w:gridCol w:w="1559"/>
        <w:gridCol w:w="1134"/>
        <w:gridCol w:w="851"/>
        <w:gridCol w:w="2191"/>
      </w:tblGrid>
      <w:tr w14:paraId="003DA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1713" w:type="dxa"/>
            <w:noWrap w:val="0"/>
            <w:vAlign w:val="center"/>
          </w:tcPr>
          <w:p w14:paraId="0C83832B">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采购单位</w:t>
            </w:r>
          </w:p>
        </w:tc>
        <w:tc>
          <w:tcPr>
            <w:tcW w:w="2233" w:type="dxa"/>
            <w:gridSpan w:val="2"/>
            <w:noWrap w:val="0"/>
            <w:vAlign w:val="center"/>
          </w:tcPr>
          <w:p w14:paraId="3973FF26">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p>
        </w:tc>
        <w:tc>
          <w:tcPr>
            <w:tcW w:w="1985" w:type="dxa"/>
            <w:gridSpan w:val="2"/>
            <w:noWrap w:val="0"/>
            <w:vAlign w:val="center"/>
          </w:tcPr>
          <w:p w14:paraId="6F7CDFF5">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tc>
        <w:tc>
          <w:tcPr>
            <w:tcW w:w="2268" w:type="dxa"/>
            <w:gridSpan w:val="2"/>
            <w:noWrap w:val="0"/>
            <w:vAlign w:val="center"/>
          </w:tcPr>
          <w:p w14:paraId="305A4953">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p>
        </w:tc>
        <w:tc>
          <w:tcPr>
            <w:tcW w:w="2693" w:type="dxa"/>
            <w:gridSpan w:val="2"/>
            <w:noWrap w:val="0"/>
            <w:vAlign w:val="center"/>
          </w:tcPr>
          <w:p w14:paraId="210B2729">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合同名称</w:t>
            </w:r>
          </w:p>
        </w:tc>
        <w:tc>
          <w:tcPr>
            <w:tcW w:w="3042" w:type="dxa"/>
            <w:gridSpan w:val="2"/>
            <w:noWrap w:val="0"/>
            <w:vAlign w:val="center"/>
          </w:tcPr>
          <w:p w14:paraId="128EB608">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p>
        </w:tc>
      </w:tr>
      <w:tr w14:paraId="6710D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713" w:type="dxa"/>
            <w:noWrap w:val="0"/>
            <w:vAlign w:val="center"/>
          </w:tcPr>
          <w:p w14:paraId="1822259D">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供应商</w:t>
            </w:r>
          </w:p>
        </w:tc>
        <w:tc>
          <w:tcPr>
            <w:tcW w:w="2233" w:type="dxa"/>
            <w:gridSpan w:val="2"/>
            <w:noWrap w:val="0"/>
            <w:vAlign w:val="center"/>
          </w:tcPr>
          <w:p w14:paraId="1DDDAEBD">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p>
        </w:tc>
        <w:tc>
          <w:tcPr>
            <w:tcW w:w="1985" w:type="dxa"/>
            <w:gridSpan w:val="2"/>
            <w:noWrap w:val="0"/>
            <w:vAlign w:val="center"/>
          </w:tcPr>
          <w:p w14:paraId="6A3D42B1">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项目及合同</w:t>
            </w:r>
          </w:p>
          <w:p w14:paraId="4FCDA8DC">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编号</w:t>
            </w:r>
          </w:p>
        </w:tc>
        <w:tc>
          <w:tcPr>
            <w:tcW w:w="2268" w:type="dxa"/>
            <w:gridSpan w:val="2"/>
            <w:noWrap w:val="0"/>
            <w:vAlign w:val="center"/>
          </w:tcPr>
          <w:p w14:paraId="0BA5DCB4">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p>
        </w:tc>
        <w:tc>
          <w:tcPr>
            <w:tcW w:w="2693" w:type="dxa"/>
            <w:gridSpan w:val="2"/>
            <w:noWrap w:val="0"/>
            <w:vAlign w:val="center"/>
          </w:tcPr>
          <w:p w14:paraId="285D3333">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合同金额</w:t>
            </w:r>
          </w:p>
        </w:tc>
        <w:tc>
          <w:tcPr>
            <w:tcW w:w="3042" w:type="dxa"/>
            <w:gridSpan w:val="2"/>
            <w:noWrap w:val="0"/>
            <w:vAlign w:val="center"/>
          </w:tcPr>
          <w:p w14:paraId="4612E152">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p>
        </w:tc>
      </w:tr>
      <w:tr w14:paraId="28946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713" w:type="dxa"/>
            <w:noWrap w:val="0"/>
            <w:vAlign w:val="center"/>
          </w:tcPr>
          <w:p w14:paraId="0281827E">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分期验收</w:t>
            </w:r>
          </w:p>
        </w:tc>
        <w:tc>
          <w:tcPr>
            <w:tcW w:w="2233" w:type="dxa"/>
            <w:gridSpan w:val="2"/>
            <w:noWrap w:val="0"/>
            <w:vAlign w:val="center"/>
          </w:tcPr>
          <w:p w14:paraId="4C07E0FB">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是□   否□</w:t>
            </w:r>
          </w:p>
        </w:tc>
        <w:tc>
          <w:tcPr>
            <w:tcW w:w="1985" w:type="dxa"/>
            <w:gridSpan w:val="2"/>
            <w:noWrap w:val="0"/>
            <w:vAlign w:val="center"/>
          </w:tcPr>
          <w:p w14:paraId="35CB6839">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分期情况</w:t>
            </w:r>
          </w:p>
        </w:tc>
        <w:tc>
          <w:tcPr>
            <w:tcW w:w="8003" w:type="dxa"/>
            <w:gridSpan w:val="6"/>
            <w:noWrap w:val="0"/>
            <w:vAlign w:val="center"/>
          </w:tcPr>
          <w:p w14:paraId="742F73E4">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共分   期，此为第   期验收</w:t>
            </w:r>
          </w:p>
        </w:tc>
      </w:tr>
      <w:tr w14:paraId="09BDE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713" w:type="dxa"/>
            <w:noWrap w:val="0"/>
            <w:vAlign w:val="center"/>
          </w:tcPr>
          <w:p w14:paraId="683872C5">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验收时间</w:t>
            </w:r>
          </w:p>
        </w:tc>
        <w:tc>
          <w:tcPr>
            <w:tcW w:w="2233" w:type="dxa"/>
            <w:gridSpan w:val="2"/>
            <w:noWrap w:val="0"/>
            <w:vAlign w:val="center"/>
          </w:tcPr>
          <w:p w14:paraId="04AC0B3C">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p>
        </w:tc>
        <w:tc>
          <w:tcPr>
            <w:tcW w:w="1985" w:type="dxa"/>
            <w:gridSpan w:val="2"/>
            <w:noWrap w:val="0"/>
            <w:vAlign w:val="center"/>
          </w:tcPr>
          <w:p w14:paraId="19836273">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验收地点</w:t>
            </w:r>
          </w:p>
        </w:tc>
        <w:tc>
          <w:tcPr>
            <w:tcW w:w="2268" w:type="dxa"/>
            <w:gridSpan w:val="2"/>
            <w:noWrap w:val="0"/>
            <w:vAlign w:val="center"/>
          </w:tcPr>
          <w:p w14:paraId="76A02D8B">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p>
        </w:tc>
        <w:tc>
          <w:tcPr>
            <w:tcW w:w="2693" w:type="dxa"/>
            <w:gridSpan w:val="2"/>
            <w:noWrap w:val="0"/>
            <w:vAlign w:val="center"/>
          </w:tcPr>
          <w:p w14:paraId="110906ED">
            <w:pPr>
              <w:keepNext w:val="0"/>
              <w:keepLines w:val="0"/>
              <w:suppressLineNumbers w:val="0"/>
              <w:spacing w:before="0" w:beforeAutospacing="0" w:after="0" w:afterAutospacing="0" w:line="280" w:lineRule="exact"/>
              <w:ind w:left="432" w:right="0" w:hanging="432" w:hangingChars="180"/>
              <w:jc w:val="center"/>
              <w:rPr>
                <w:rFonts w:hint="eastAsia" w:ascii="宋体" w:hAnsi="宋体" w:eastAsia="宋体" w:cs="宋体"/>
                <w:color w:val="auto"/>
                <w:sz w:val="24"/>
                <w:szCs w:val="24"/>
              </w:rPr>
            </w:pPr>
            <w:r>
              <w:rPr>
                <w:rFonts w:hint="eastAsia" w:ascii="宋体" w:hAnsi="宋体" w:eastAsia="宋体" w:cs="宋体"/>
                <w:color w:val="auto"/>
                <w:sz w:val="24"/>
                <w:szCs w:val="24"/>
              </w:rPr>
              <w:t>验收组织形式</w:t>
            </w:r>
          </w:p>
        </w:tc>
        <w:tc>
          <w:tcPr>
            <w:tcW w:w="3042" w:type="dxa"/>
            <w:gridSpan w:val="2"/>
            <w:noWrap w:val="0"/>
            <w:vAlign w:val="center"/>
          </w:tcPr>
          <w:p w14:paraId="71231C47">
            <w:pPr>
              <w:keepNext w:val="0"/>
              <w:keepLines w:val="0"/>
              <w:suppressLineNumbers w:val="0"/>
              <w:spacing w:before="0" w:beforeAutospacing="0" w:after="0" w:afterAutospacing="0"/>
              <w:ind w:left="960" w:right="0" w:hanging="960" w:hangingChars="400"/>
              <w:jc w:val="center"/>
              <w:rPr>
                <w:rFonts w:hint="eastAsia" w:ascii="宋体" w:hAnsi="宋体" w:eastAsia="宋体" w:cs="宋体"/>
                <w:color w:val="auto"/>
                <w:sz w:val="24"/>
                <w:szCs w:val="24"/>
              </w:rPr>
            </w:pPr>
            <w:r>
              <w:rPr>
                <w:rFonts w:hint="eastAsia" w:ascii="宋体" w:hAnsi="宋体" w:eastAsia="宋体" w:cs="宋体"/>
                <w:color w:val="auto"/>
                <w:sz w:val="24"/>
                <w:szCs w:val="24"/>
              </w:rPr>
              <w:t>□自行简易验收</w:t>
            </w:r>
          </w:p>
          <w:p w14:paraId="60D9C47E">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□验收小组验收</w:t>
            </w:r>
          </w:p>
        </w:tc>
      </w:tr>
      <w:tr w14:paraId="6BA4A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713" w:type="dxa"/>
            <w:vMerge w:val="restart"/>
            <w:noWrap w:val="0"/>
            <w:vAlign w:val="center"/>
          </w:tcPr>
          <w:p w14:paraId="21792394">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验收内容</w:t>
            </w:r>
          </w:p>
        </w:tc>
        <w:tc>
          <w:tcPr>
            <w:tcW w:w="2092" w:type="dxa"/>
            <w:noWrap w:val="0"/>
            <w:vAlign w:val="center"/>
          </w:tcPr>
          <w:p w14:paraId="53802A78">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服务质量</w:t>
            </w:r>
          </w:p>
        </w:tc>
        <w:tc>
          <w:tcPr>
            <w:tcW w:w="1984" w:type="dxa"/>
            <w:gridSpan w:val="2"/>
            <w:noWrap w:val="0"/>
            <w:vAlign w:val="center"/>
          </w:tcPr>
          <w:p w14:paraId="080D9208">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服务进度</w:t>
            </w:r>
          </w:p>
        </w:tc>
        <w:tc>
          <w:tcPr>
            <w:tcW w:w="1985" w:type="dxa"/>
            <w:gridSpan w:val="2"/>
            <w:noWrap w:val="0"/>
            <w:vAlign w:val="center"/>
          </w:tcPr>
          <w:p w14:paraId="125BCA80">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人员、设备</w:t>
            </w:r>
          </w:p>
          <w:p w14:paraId="301D94DB">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配备情况</w:t>
            </w:r>
          </w:p>
        </w:tc>
        <w:tc>
          <w:tcPr>
            <w:tcW w:w="1984" w:type="dxa"/>
            <w:gridSpan w:val="2"/>
            <w:noWrap w:val="0"/>
            <w:vAlign w:val="center"/>
          </w:tcPr>
          <w:p w14:paraId="62DA38BA">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安全标准</w:t>
            </w:r>
          </w:p>
        </w:tc>
        <w:tc>
          <w:tcPr>
            <w:tcW w:w="1985" w:type="dxa"/>
            <w:gridSpan w:val="2"/>
            <w:noWrap w:val="0"/>
            <w:vAlign w:val="center"/>
          </w:tcPr>
          <w:p w14:paraId="68B36298">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服务承诺实现</w:t>
            </w:r>
          </w:p>
        </w:tc>
        <w:tc>
          <w:tcPr>
            <w:tcW w:w="2191" w:type="dxa"/>
            <w:noWrap w:val="0"/>
            <w:vAlign w:val="center"/>
          </w:tcPr>
          <w:p w14:paraId="02E33B27">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合同履约时间、</w:t>
            </w:r>
          </w:p>
          <w:p w14:paraId="43BDBFE7">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地点、方式</w:t>
            </w:r>
          </w:p>
        </w:tc>
      </w:tr>
      <w:tr w14:paraId="0DB7C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713" w:type="dxa"/>
            <w:vMerge w:val="continue"/>
            <w:noWrap w:val="0"/>
            <w:vAlign w:val="center"/>
          </w:tcPr>
          <w:p w14:paraId="413FA3F1">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p>
        </w:tc>
        <w:tc>
          <w:tcPr>
            <w:tcW w:w="2092" w:type="dxa"/>
            <w:noWrap w:val="0"/>
            <w:vAlign w:val="center"/>
          </w:tcPr>
          <w:p w14:paraId="30BF3953">
            <w:pPr>
              <w:keepNext w:val="0"/>
              <w:keepLines w:val="0"/>
              <w:suppressLineNumbers w:val="0"/>
              <w:spacing w:before="0" w:beforeAutospacing="0" w:after="0" w:afterAutospacing="0" w:line="280" w:lineRule="exact"/>
              <w:ind w:left="0" w:right="0" w:firstLine="120" w:firstLineChars="50"/>
              <w:jc w:val="center"/>
              <w:rPr>
                <w:rFonts w:hint="eastAsia" w:ascii="宋体" w:hAnsi="宋体" w:eastAsia="宋体" w:cs="宋体"/>
                <w:color w:val="auto"/>
                <w:sz w:val="24"/>
                <w:szCs w:val="24"/>
              </w:rPr>
            </w:pPr>
            <w:r>
              <w:rPr>
                <w:rFonts w:hint="eastAsia" w:ascii="宋体" w:hAnsi="宋体" w:eastAsia="宋体" w:cs="宋体"/>
                <w:color w:val="auto"/>
                <w:sz w:val="24"/>
                <w:szCs w:val="24"/>
              </w:rPr>
              <w:t>合  格□</w:t>
            </w:r>
          </w:p>
          <w:p w14:paraId="6C353697">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不合格□</w:t>
            </w:r>
          </w:p>
        </w:tc>
        <w:tc>
          <w:tcPr>
            <w:tcW w:w="1984" w:type="dxa"/>
            <w:gridSpan w:val="2"/>
            <w:noWrap w:val="0"/>
            <w:vAlign w:val="center"/>
          </w:tcPr>
          <w:p w14:paraId="77D83BCB">
            <w:pPr>
              <w:keepNext w:val="0"/>
              <w:keepLines w:val="0"/>
              <w:suppressLineNumbers w:val="0"/>
              <w:spacing w:before="0" w:beforeAutospacing="0" w:after="0" w:afterAutospacing="0" w:line="280" w:lineRule="exact"/>
              <w:ind w:left="0" w:right="0" w:firstLine="120" w:firstLineChars="50"/>
              <w:jc w:val="center"/>
              <w:rPr>
                <w:rFonts w:hint="eastAsia" w:ascii="宋体" w:hAnsi="宋体" w:eastAsia="宋体" w:cs="宋体"/>
                <w:color w:val="auto"/>
                <w:sz w:val="24"/>
                <w:szCs w:val="24"/>
              </w:rPr>
            </w:pPr>
            <w:r>
              <w:rPr>
                <w:rFonts w:hint="eastAsia" w:ascii="宋体" w:hAnsi="宋体" w:eastAsia="宋体" w:cs="宋体"/>
                <w:color w:val="auto"/>
                <w:sz w:val="24"/>
                <w:szCs w:val="24"/>
              </w:rPr>
              <w:t>按  时□</w:t>
            </w:r>
          </w:p>
          <w:p w14:paraId="46F73B49">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不按时□</w:t>
            </w:r>
          </w:p>
        </w:tc>
        <w:tc>
          <w:tcPr>
            <w:tcW w:w="1985" w:type="dxa"/>
            <w:gridSpan w:val="2"/>
            <w:noWrap w:val="0"/>
            <w:vAlign w:val="center"/>
          </w:tcPr>
          <w:p w14:paraId="1514D9C3">
            <w:pPr>
              <w:keepNext w:val="0"/>
              <w:keepLines w:val="0"/>
              <w:suppressLineNumbers w:val="0"/>
              <w:spacing w:before="0" w:beforeAutospacing="0" w:after="0" w:afterAutospacing="0" w:line="280" w:lineRule="exact"/>
              <w:ind w:left="0" w:right="0" w:firstLine="120" w:firstLineChars="50"/>
              <w:jc w:val="center"/>
              <w:rPr>
                <w:rFonts w:hint="eastAsia" w:ascii="宋体" w:hAnsi="宋体" w:eastAsia="宋体" w:cs="宋体"/>
                <w:color w:val="auto"/>
                <w:sz w:val="24"/>
                <w:szCs w:val="24"/>
              </w:rPr>
            </w:pPr>
            <w:r>
              <w:rPr>
                <w:rFonts w:hint="eastAsia" w:ascii="宋体" w:hAnsi="宋体" w:eastAsia="宋体" w:cs="宋体"/>
                <w:color w:val="auto"/>
                <w:sz w:val="24"/>
                <w:szCs w:val="24"/>
              </w:rPr>
              <w:t>合  格□</w:t>
            </w:r>
          </w:p>
          <w:p w14:paraId="13209A4D">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不合格□</w:t>
            </w:r>
          </w:p>
        </w:tc>
        <w:tc>
          <w:tcPr>
            <w:tcW w:w="1984" w:type="dxa"/>
            <w:gridSpan w:val="2"/>
            <w:noWrap w:val="0"/>
            <w:vAlign w:val="center"/>
          </w:tcPr>
          <w:p w14:paraId="6F908C4B">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合  格□</w:t>
            </w:r>
          </w:p>
          <w:p w14:paraId="09381D97">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不合格□</w:t>
            </w:r>
          </w:p>
        </w:tc>
        <w:tc>
          <w:tcPr>
            <w:tcW w:w="1985" w:type="dxa"/>
            <w:gridSpan w:val="2"/>
            <w:noWrap w:val="0"/>
            <w:vAlign w:val="center"/>
          </w:tcPr>
          <w:p w14:paraId="39898157">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合  格□</w:t>
            </w:r>
          </w:p>
          <w:p w14:paraId="02128E1A">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不合格□</w:t>
            </w:r>
          </w:p>
        </w:tc>
        <w:tc>
          <w:tcPr>
            <w:tcW w:w="2191" w:type="dxa"/>
            <w:noWrap w:val="0"/>
            <w:vAlign w:val="center"/>
          </w:tcPr>
          <w:p w14:paraId="27EA142B">
            <w:pPr>
              <w:keepNext w:val="0"/>
              <w:keepLines w:val="0"/>
              <w:suppressLineNumbers w:val="0"/>
              <w:spacing w:before="0" w:beforeAutospacing="0" w:after="0" w:afterAutospacing="0" w:line="280" w:lineRule="exact"/>
              <w:ind w:left="0" w:right="0" w:firstLine="120" w:firstLineChars="50"/>
              <w:jc w:val="center"/>
              <w:rPr>
                <w:rFonts w:hint="eastAsia" w:ascii="宋体" w:hAnsi="宋体" w:eastAsia="宋体" w:cs="宋体"/>
                <w:color w:val="auto"/>
                <w:sz w:val="24"/>
                <w:szCs w:val="24"/>
              </w:rPr>
            </w:pPr>
            <w:r>
              <w:rPr>
                <w:rFonts w:hint="eastAsia" w:ascii="宋体" w:hAnsi="宋体" w:eastAsia="宋体" w:cs="宋体"/>
                <w:color w:val="auto"/>
                <w:sz w:val="24"/>
                <w:szCs w:val="24"/>
              </w:rPr>
              <w:t>合  格□</w:t>
            </w:r>
          </w:p>
          <w:p w14:paraId="12B54428">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不合格□</w:t>
            </w:r>
          </w:p>
        </w:tc>
      </w:tr>
      <w:tr w14:paraId="2E4F2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1713" w:type="dxa"/>
            <w:noWrap w:val="0"/>
            <w:vAlign w:val="center"/>
          </w:tcPr>
          <w:p w14:paraId="5EB34B2C">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专业检测机构</w:t>
            </w:r>
          </w:p>
          <w:p w14:paraId="6B755F3D">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情况说明</w:t>
            </w:r>
          </w:p>
        </w:tc>
        <w:tc>
          <w:tcPr>
            <w:tcW w:w="12221" w:type="dxa"/>
            <w:gridSpan w:val="10"/>
            <w:noWrap w:val="0"/>
            <w:vAlign w:val="center"/>
          </w:tcPr>
          <w:p w14:paraId="55DE59A8">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p>
        </w:tc>
      </w:tr>
      <w:tr w14:paraId="0C30F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3" w:type="dxa"/>
            <w:noWrap w:val="0"/>
            <w:vAlign w:val="center"/>
          </w:tcPr>
          <w:p w14:paraId="02BD1147">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存在问题</w:t>
            </w:r>
          </w:p>
          <w:p w14:paraId="2DE119CD">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和改进意见</w:t>
            </w:r>
          </w:p>
        </w:tc>
        <w:tc>
          <w:tcPr>
            <w:tcW w:w="12221" w:type="dxa"/>
            <w:gridSpan w:val="10"/>
            <w:noWrap w:val="0"/>
            <w:vAlign w:val="center"/>
          </w:tcPr>
          <w:p w14:paraId="7222EF69">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p>
        </w:tc>
      </w:tr>
      <w:tr w14:paraId="3A642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1713" w:type="dxa"/>
            <w:noWrap w:val="0"/>
            <w:vAlign w:val="center"/>
          </w:tcPr>
          <w:p w14:paraId="336F7A5E">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最终结论</w:t>
            </w:r>
          </w:p>
        </w:tc>
        <w:tc>
          <w:tcPr>
            <w:tcW w:w="12221" w:type="dxa"/>
            <w:gridSpan w:val="10"/>
            <w:noWrap w:val="0"/>
            <w:vAlign w:val="center"/>
          </w:tcPr>
          <w:p w14:paraId="077A7E73">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合  格□                              不合格□</w:t>
            </w:r>
          </w:p>
        </w:tc>
      </w:tr>
      <w:tr w14:paraId="43F07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3" w:type="dxa"/>
            <w:noWrap w:val="0"/>
            <w:vAlign w:val="center"/>
          </w:tcPr>
          <w:p w14:paraId="3098A3AC">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验收小组</w:t>
            </w:r>
          </w:p>
          <w:p w14:paraId="7F258DDB">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成员签字</w:t>
            </w:r>
          </w:p>
        </w:tc>
        <w:tc>
          <w:tcPr>
            <w:tcW w:w="12221" w:type="dxa"/>
            <w:gridSpan w:val="10"/>
            <w:noWrap w:val="0"/>
            <w:vAlign w:val="center"/>
          </w:tcPr>
          <w:p w14:paraId="33F08DAB">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p>
        </w:tc>
      </w:tr>
      <w:tr w14:paraId="0D561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3934" w:type="dxa"/>
            <w:gridSpan w:val="11"/>
            <w:noWrap w:val="0"/>
            <w:vAlign w:val="center"/>
          </w:tcPr>
          <w:p w14:paraId="2C43C72A">
            <w:pPr>
              <w:keepNext w:val="0"/>
              <w:keepLines w:val="0"/>
              <w:suppressLineNumbers w:val="0"/>
              <w:spacing w:before="0" w:beforeAutospacing="0" w:after="0" w:afterAutospacing="0" w:line="280" w:lineRule="exact"/>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采购单位意见</w:t>
            </w:r>
          </w:p>
        </w:tc>
      </w:tr>
      <w:tr w14:paraId="752BE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13934" w:type="dxa"/>
            <w:gridSpan w:val="11"/>
            <w:noWrap w:val="0"/>
            <w:vAlign w:val="top"/>
          </w:tcPr>
          <w:p w14:paraId="4F7E9905">
            <w:pPr>
              <w:keepNext w:val="0"/>
              <w:keepLines w:val="0"/>
              <w:suppressLineNumbers w:val="0"/>
              <w:spacing w:before="0" w:beforeAutospacing="0" w:after="0" w:afterAutospacing="0" w:line="280" w:lineRule="exact"/>
              <w:ind w:left="0" w:right="0"/>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15FD6A6F">
            <w:pPr>
              <w:keepNext w:val="0"/>
              <w:keepLines w:val="0"/>
              <w:suppressLineNumbers w:val="0"/>
              <w:spacing w:before="0" w:beforeAutospacing="0" w:after="0" w:afterAutospacing="0" w:line="280" w:lineRule="exact"/>
              <w:ind w:left="0" w:right="0"/>
              <w:rPr>
                <w:rFonts w:hint="eastAsia" w:ascii="宋体" w:hAnsi="宋体" w:eastAsia="宋体" w:cs="宋体"/>
                <w:color w:val="auto"/>
                <w:sz w:val="24"/>
                <w:szCs w:val="24"/>
              </w:rPr>
            </w:pPr>
            <w:r>
              <w:rPr>
                <w:rFonts w:hint="eastAsia" w:ascii="宋体" w:hAnsi="宋体" w:eastAsia="宋体" w:cs="宋体"/>
                <w:color w:val="auto"/>
                <w:sz w:val="24"/>
                <w:szCs w:val="24"/>
              </w:rPr>
              <w:t>经办人：                               负责人：                 （采购单位公章）</w:t>
            </w:r>
          </w:p>
        </w:tc>
      </w:tr>
      <w:tr w14:paraId="43CD1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13934" w:type="dxa"/>
            <w:gridSpan w:val="11"/>
            <w:noWrap w:val="0"/>
            <w:vAlign w:val="top"/>
          </w:tcPr>
          <w:p w14:paraId="0EA1BC36">
            <w:pPr>
              <w:keepNext w:val="0"/>
              <w:keepLines w:val="0"/>
              <w:suppressLineNumbers w:val="0"/>
              <w:spacing w:before="0" w:beforeAutospacing="0" w:after="0" w:afterAutospacing="0" w:line="280" w:lineRule="exact"/>
              <w:ind w:left="0" w:right="0"/>
              <w:rPr>
                <w:rFonts w:hint="eastAsia" w:ascii="宋体" w:hAnsi="宋体" w:eastAsia="宋体" w:cs="宋体"/>
                <w:color w:val="auto"/>
                <w:sz w:val="24"/>
                <w:szCs w:val="24"/>
              </w:rPr>
            </w:pPr>
            <w:r>
              <w:rPr>
                <w:rFonts w:hint="eastAsia" w:ascii="宋体" w:hAnsi="宋体" w:eastAsia="宋体" w:cs="宋体"/>
                <w:color w:val="auto"/>
                <w:sz w:val="24"/>
                <w:szCs w:val="24"/>
              </w:rPr>
              <w:t>供应商确认：</w:t>
            </w:r>
          </w:p>
          <w:p w14:paraId="7CA01403">
            <w:pPr>
              <w:keepNext w:val="0"/>
              <w:keepLines w:val="0"/>
              <w:suppressLineNumbers w:val="0"/>
              <w:spacing w:before="0" w:beforeAutospacing="0" w:after="0" w:afterAutospacing="0" w:line="280" w:lineRule="exact"/>
              <w:ind w:left="0" w:right="0"/>
              <w:rPr>
                <w:rFonts w:hint="eastAsia" w:ascii="宋体" w:hAnsi="宋体" w:eastAsia="宋体" w:cs="宋体"/>
                <w:color w:val="auto"/>
                <w:sz w:val="24"/>
                <w:szCs w:val="24"/>
              </w:rPr>
            </w:pPr>
          </w:p>
          <w:p w14:paraId="6B5DE419">
            <w:pPr>
              <w:keepNext w:val="0"/>
              <w:keepLines w:val="0"/>
              <w:suppressLineNumbers w:val="0"/>
              <w:spacing w:before="0" w:beforeAutospacing="0" w:after="0" w:afterAutospacing="0" w:line="280" w:lineRule="exact"/>
              <w:ind w:left="0" w:right="0" w:firstLine="120" w:firstLineChars="50"/>
              <w:rPr>
                <w:rFonts w:hint="eastAsia" w:ascii="宋体" w:hAnsi="宋体" w:eastAsia="宋体" w:cs="宋体"/>
                <w:color w:val="auto"/>
                <w:sz w:val="24"/>
                <w:szCs w:val="24"/>
              </w:rPr>
            </w:pPr>
            <w:r>
              <w:rPr>
                <w:rFonts w:hint="eastAsia" w:ascii="宋体" w:hAnsi="宋体" w:eastAsia="宋体" w:cs="宋体"/>
                <w:color w:val="auto"/>
                <w:sz w:val="24"/>
                <w:szCs w:val="24"/>
              </w:rPr>
              <w:t xml:space="preserve">                                                                                   （单位公章或授权代表签字）</w:t>
            </w:r>
          </w:p>
        </w:tc>
      </w:tr>
    </w:tbl>
    <w:p w14:paraId="7C4C7CD1">
      <w:pPr>
        <w:spacing w:line="280" w:lineRule="exact"/>
        <w:rPr>
          <w:rFonts w:ascii="仿宋" w:hAnsi="仿宋" w:eastAsia="仿宋" w:cs="仿宋"/>
          <w:color w:val="auto"/>
        </w:rPr>
      </w:pPr>
      <w:r>
        <w:rPr>
          <w:rFonts w:hint="eastAsia" w:ascii="仿宋" w:hAnsi="仿宋" w:eastAsia="仿宋" w:cs="仿宋"/>
          <w:color w:val="auto"/>
        </w:rPr>
        <w:t>说明：1.该表为服务类项目履约验收的参考样表，采购人可以根据工作实际进行调整。</w:t>
      </w:r>
    </w:p>
    <w:p w14:paraId="29F5C664">
      <w:pPr>
        <w:spacing w:line="280" w:lineRule="exact"/>
        <w:rPr>
          <w:rFonts w:ascii="仿宋" w:hAnsi="仿宋" w:eastAsia="仿宋" w:cs="仿宋"/>
          <w:color w:val="auto"/>
        </w:rPr>
      </w:pPr>
      <w:r>
        <w:rPr>
          <w:rFonts w:hint="eastAsia" w:ascii="仿宋" w:hAnsi="仿宋" w:eastAsia="仿宋" w:cs="仿宋"/>
          <w:color w:val="auto"/>
        </w:rPr>
        <w:t xml:space="preserve">   </w:t>
      </w:r>
    </w:p>
    <w:p w14:paraId="2439E99A">
      <w:pPr>
        <w:overflowPunct w:val="0"/>
        <w:spacing w:line="580" w:lineRule="exact"/>
        <w:rPr>
          <w:rFonts w:ascii="黑体" w:eastAsia="黑体"/>
          <w:color w:val="auto"/>
          <w:sz w:val="28"/>
          <w:szCs w:val="28"/>
        </w:rPr>
        <w:sectPr>
          <w:pgSz w:w="16838" w:h="11906" w:orient="landscape"/>
          <w:pgMar w:top="851" w:right="1440" w:bottom="397" w:left="1418" w:header="851" w:footer="567" w:gutter="0"/>
          <w:cols w:space="720" w:num="1"/>
          <w:docGrid w:linePitch="312" w:charSpace="0"/>
        </w:sectPr>
      </w:pPr>
    </w:p>
    <w:p w14:paraId="7DB63B70">
      <w:pPr>
        <w:widowControl/>
        <w:shd w:val="clear" w:color="auto" w:fill="FFFFFF"/>
        <w:spacing w:line="460" w:lineRule="atLeast"/>
        <w:jc w:val="center"/>
        <w:rPr>
          <w:rFonts w:hint="eastAsia" w:ascii="宋体" w:hAnsi="宋体" w:eastAsia="宋体" w:cs="宋体"/>
          <w:color w:val="auto"/>
          <w:kern w:val="0"/>
          <w:szCs w:val="21"/>
        </w:rPr>
      </w:pPr>
      <w:r>
        <w:rPr>
          <w:rFonts w:hint="eastAsia" w:ascii="宋体" w:hAnsi="宋体" w:eastAsia="宋体" w:cs="宋体"/>
          <w:b/>
          <w:bCs/>
          <w:color w:val="auto"/>
          <w:kern w:val="0"/>
          <w:sz w:val="32"/>
          <w:szCs w:val="32"/>
        </w:rPr>
        <w:t>第五章 </w:t>
      </w:r>
      <w:r>
        <w:rPr>
          <w:rFonts w:hint="eastAsia" w:ascii="宋体" w:hAnsi="宋体" w:eastAsia="宋体" w:cs="宋体"/>
          <w:b/>
          <w:bCs/>
          <w:color w:val="auto"/>
          <w:kern w:val="0"/>
          <w:sz w:val="32"/>
        </w:rPr>
        <w:t> </w:t>
      </w:r>
      <w:r>
        <w:rPr>
          <w:rFonts w:hint="eastAsia" w:ascii="宋体" w:hAnsi="宋体" w:eastAsia="宋体" w:cs="宋体"/>
          <w:b/>
          <w:bCs/>
          <w:color w:val="auto"/>
          <w:kern w:val="0"/>
          <w:sz w:val="32"/>
          <w:szCs w:val="32"/>
        </w:rPr>
        <w:t>附件--</w:t>
      </w:r>
      <w:r>
        <w:rPr>
          <w:rFonts w:hint="eastAsia" w:ascii="宋体" w:hAnsi="宋体" w:cs="宋体"/>
          <w:b/>
          <w:bCs/>
          <w:color w:val="auto"/>
          <w:kern w:val="0"/>
          <w:sz w:val="32"/>
          <w:szCs w:val="32"/>
          <w:lang w:eastAsia="zh-CN"/>
        </w:rPr>
        <w:t>响应文件</w:t>
      </w:r>
      <w:r>
        <w:rPr>
          <w:rFonts w:hint="eastAsia" w:ascii="宋体" w:hAnsi="宋体" w:eastAsia="宋体" w:cs="宋体"/>
          <w:b/>
          <w:bCs/>
          <w:color w:val="auto"/>
          <w:kern w:val="0"/>
          <w:sz w:val="32"/>
          <w:szCs w:val="32"/>
        </w:rPr>
        <w:t>格式</w:t>
      </w:r>
    </w:p>
    <w:tbl>
      <w:tblPr>
        <w:tblStyle w:val="24"/>
        <w:tblpPr w:leftFromText="180" w:rightFromText="180" w:vertAnchor="text"/>
        <w:tblW w:w="0" w:type="auto"/>
        <w:tblInd w:w="0" w:type="dxa"/>
        <w:shd w:val="clear" w:color="auto" w:fill="FFFFFF"/>
        <w:tblLayout w:type="fixed"/>
        <w:tblCellMar>
          <w:top w:w="0" w:type="dxa"/>
          <w:left w:w="0" w:type="dxa"/>
          <w:bottom w:w="0" w:type="dxa"/>
          <w:right w:w="0" w:type="dxa"/>
        </w:tblCellMar>
      </w:tblPr>
      <w:tblGrid>
        <w:gridCol w:w="8190"/>
      </w:tblGrid>
      <w:tr w14:paraId="76BDADA6">
        <w:tblPrEx>
          <w:shd w:val="clear" w:color="auto" w:fill="FFFFFF"/>
          <w:tblCellMar>
            <w:top w:w="0" w:type="dxa"/>
            <w:left w:w="0" w:type="dxa"/>
            <w:bottom w:w="0" w:type="dxa"/>
            <w:right w:w="0" w:type="dxa"/>
          </w:tblCellMar>
        </w:tblPrEx>
        <w:trPr>
          <w:trHeight w:val="195" w:hRule="atLeast"/>
        </w:trPr>
        <w:tc>
          <w:tcPr>
            <w:tcW w:w="8190"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14:paraId="48D1C123">
            <w:pPr>
              <w:keepNext w:val="0"/>
              <w:keepLines w:val="0"/>
              <w:suppressLineNumbers w:val="0"/>
              <w:spacing w:before="0" w:beforeAutospacing="0" w:after="0" w:afterAutospacing="0"/>
              <w:ind w:left="0" w:right="105" w:rightChars="50"/>
              <w:rPr>
                <w:rFonts w:hint="eastAsia" w:ascii="宋体" w:hAnsi="宋体" w:eastAsia="宋体" w:cs="宋体"/>
                <w:color w:val="auto"/>
                <w:sz w:val="28"/>
                <w:szCs w:val="28"/>
              </w:rPr>
            </w:pPr>
            <w:r>
              <w:rPr>
                <w:rFonts w:hint="eastAsia" w:ascii="宋体" w:hAnsi="宋体" w:eastAsia="宋体" w:cs="宋体"/>
                <w:color w:val="auto"/>
                <w:sz w:val="28"/>
                <w:szCs w:val="28"/>
              </w:rPr>
              <w:t>注释：</w:t>
            </w:r>
          </w:p>
          <w:p w14:paraId="48D00CCB">
            <w:pPr>
              <w:keepNext w:val="0"/>
              <w:keepLines w:val="0"/>
              <w:suppressLineNumbers w:val="0"/>
              <w:spacing w:before="0" w:beforeAutospacing="0" w:after="0" w:afterAutospacing="0"/>
              <w:ind w:left="0" w:right="105" w:rightChars="50"/>
              <w:rPr>
                <w:rFonts w:hint="eastAsia" w:ascii="宋体" w:hAnsi="宋体" w:eastAsia="宋体" w:cs="宋体"/>
                <w:color w:val="auto"/>
                <w:kern w:val="0"/>
                <w:sz w:val="28"/>
                <w:szCs w:val="28"/>
              </w:rPr>
            </w:pPr>
            <w:r>
              <w:rPr>
                <w:rFonts w:hint="eastAsia" w:ascii="宋体" w:hAnsi="宋体" w:eastAsia="宋体" w:cs="宋体"/>
                <w:color w:val="auto"/>
                <w:sz w:val="28"/>
                <w:szCs w:val="28"/>
              </w:rPr>
              <w:t>《</w:t>
            </w:r>
            <w:r>
              <w:rPr>
                <w:rFonts w:hint="eastAsia" w:ascii="宋体" w:hAnsi="宋体" w:cs="宋体"/>
                <w:color w:val="auto"/>
                <w:sz w:val="28"/>
                <w:szCs w:val="28"/>
                <w:lang w:eastAsia="zh-CN"/>
              </w:rPr>
              <w:t>响应文件</w:t>
            </w:r>
            <w:r>
              <w:rPr>
                <w:rFonts w:hint="eastAsia" w:ascii="宋体" w:hAnsi="宋体" w:eastAsia="宋体" w:cs="宋体"/>
                <w:color w:val="auto"/>
                <w:sz w:val="28"/>
                <w:szCs w:val="28"/>
              </w:rPr>
              <w:t>格式》是供应商的部分</w:t>
            </w:r>
            <w:r>
              <w:rPr>
                <w:rFonts w:hint="eastAsia" w:ascii="宋体" w:hAnsi="宋体" w:cs="宋体"/>
                <w:color w:val="auto"/>
                <w:sz w:val="28"/>
                <w:szCs w:val="28"/>
                <w:lang w:eastAsia="zh-CN"/>
              </w:rPr>
              <w:t>响应文件</w:t>
            </w:r>
            <w:r>
              <w:rPr>
                <w:rFonts w:hint="eastAsia" w:ascii="宋体" w:hAnsi="宋体" w:eastAsia="宋体" w:cs="宋体"/>
                <w:color w:val="auto"/>
                <w:sz w:val="28"/>
                <w:szCs w:val="28"/>
              </w:rPr>
              <w:t>格式和签订合同时所需文件的格式。供应商应按照这些格式文件制作</w:t>
            </w:r>
            <w:r>
              <w:rPr>
                <w:rFonts w:hint="eastAsia" w:ascii="宋体" w:hAnsi="宋体" w:cs="宋体"/>
                <w:color w:val="auto"/>
                <w:sz w:val="28"/>
                <w:szCs w:val="28"/>
                <w:lang w:eastAsia="zh-CN"/>
              </w:rPr>
              <w:t>响应文件</w:t>
            </w:r>
            <w:r>
              <w:rPr>
                <w:rFonts w:hint="eastAsia" w:ascii="宋体" w:hAnsi="宋体" w:eastAsia="宋体" w:cs="宋体"/>
                <w:color w:val="auto"/>
                <w:sz w:val="28"/>
                <w:szCs w:val="28"/>
              </w:rPr>
              <w:t>。</w:t>
            </w:r>
          </w:p>
        </w:tc>
      </w:tr>
    </w:tbl>
    <w:p w14:paraId="26FD62ED">
      <w:pPr>
        <w:widowControl/>
        <w:shd w:val="clear" w:color="auto" w:fill="FFFFFF"/>
        <w:spacing w:line="460" w:lineRule="atLeast"/>
        <w:ind w:firstLine="480"/>
        <w:jc w:val="left"/>
        <w:rPr>
          <w:rFonts w:hint="eastAsia" w:ascii="宋体" w:hAnsi="宋体" w:eastAsia="宋体" w:cs="宋体"/>
          <w:color w:val="auto"/>
          <w:kern w:val="0"/>
          <w:sz w:val="24"/>
        </w:rPr>
      </w:pPr>
      <w:r>
        <w:rPr>
          <w:rFonts w:hint="eastAsia" w:ascii="宋体" w:hAnsi="宋体" w:eastAsia="宋体" w:cs="宋体"/>
          <w:color w:val="auto"/>
          <w:kern w:val="0"/>
          <w:sz w:val="24"/>
        </w:rPr>
        <w:t> </w:t>
      </w:r>
    </w:p>
    <w:p w14:paraId="4B599156">
      <w:pPr>
        <w:jc w:val="center"/>
        <w:rPr>
          <w:rFonts w:hint="eastAsia" w:ascii="宋体" w:hAnsi="宋体" w:eastAsia="宋体" w:cs="宋体"/>
          <w:b/>
          <w:color w:val="auto"/>
          <w:sz w:val="36"/>
          <w:szCs w:val="36"/>
        </w:rPr>
      </w:pPr>
      <w:r>
        <w:rPr>
          <w:rFonts w:hint="eastAsia" w:ascii="宋体" w:hAnsi="宋体" w:eastAsia="宋体" w:cs="宋体"/>
          <w:b/>
          <w:color w:val="auto"/>
          <w:sz w:val="36"/>
          <w:szCs w:val="36"/>
        </w:rPr>
        <w:t>目    录</w:t>
      </w:r>
    </w:p>
    <w:p w14:paraId="44DB6EB9">
      <w:pPr>
        <w:widowControl/>
        <w:shd w:val="clear" w:color="auto" w:fill="FFFFFF"/>
        <w:spacing w:line="360" w:lineRule="auto"/>
        <w:ind w:firstLine="480"/>
        <w:jc w:val="left"/>
        <w:rPr>
          <w:rFonts w:ascii="宋体" w:hAnsi="宋体" w:cs="宋体"/>
          <w:color w:val="auto"/>
          <w:spacing w:val="10"/>
          <w:kern w:val="0"/>
          <w:sz w:val="28"/>
          <w:szCs w:val="28"/>
        </w:rPr>
      </w:pPr>
      <w:r>
        <w:rPr>
          <w:rFonts w:hint="eastAsia" w:ascii="宋体" w:hAnsi="宋体" w:cs="宋体"/>
          <w:color w:val="auto"/>
          <w:spacing w:val="10"/>
          <w:kern w:val="0"/>
          <w:sz w:val="28"/>
          <w:szCs w:val="28"/>
        </w:rPr>
        <w:t>附件1竞争性谈判响应文件封面（格式）</w:t>
      </w:r>
    </w:p>
    <w:p w14:paraId="0E6CB8F7">
      <w:pPr>
        <w:widowControl/>
        <w:shd w:val="clear" w:color="auto" w:fill="FFFFFF"/>
        <w:spacing w:line="360" w:lineRule="auto"/>
        <w:ind w:firstLine="480"/>
        <w:jc w:val="left"/>
        <w:rPr>
          <w:rFonts w:ascii="宋体" w:hAnsi="宋体" w:cs="宋体"/>
          <w:color w:val="auto"/>
          <w:spacing w:val="10"/>
          <w:kern w:val="0"/>
          <w:sz w:val="28"/>
          <w:szCs w:val="28"/>
        </w:rPr>
      </w:pPr>
      <w:r>
        <w:rPr>
          <w:rFonts w:hint="eastAsia" w:ascii="宋体" w:hAnsi="宋体" w:cs="宋体"/>
          <w:color w:val="auto"/>
          <w:spacing w:val="10"/>
          <w:kern w:val="0"/>
          <w:sz w:val="28"/>
          <w:szCs w:val="28"/>
        </w:rPr>
        <w:t>附件2投标函</w:t>
      </w:r>
    </w:p>
    <w:p w14:paraId="5B8CD3E3">
      <w:pPr>
        <w:widowControl/>
        <w:shd w:val="clear" w:color="auto" w:fill="FFFFFF"/>
        <w:spacing w:line="360" w:lineRule="auto"/>
        <w:ind w:firstLine="480"/>
        <w:jc w:val="left"/>
        <w:rPr>
          <w:rFonts w:ascii="宋体" w:hAnsi="宋体" w:cs="宋体"/>
          <w:color w:val="auto"/>
          <w:spacing w:val="10"/>
          <w:kern w:val="0"/>
          <w:sz w:val="28"/>
          <w:szCs w:val="28"/>
        </w:rPr>
      </w:pPr>
      <w:r>
        <w:rPr>
          <w:rFonts w:hint="eastAsia" w:ascii="宋体" w:hAnsi="宋体" w:cs="宋体"/>
          <w:color w:val="auto"/>
          <w:spacing w:val="10"/>
          <w:kern w:val="0"/>
          <w:sz w:val="28"/>
          <w:szCs w:val="28"/>
        </w:rPr>
        <w:t>附件3初次报价一览表</w:t>
      </w:r>
    </w:p>
    <w:p w14:paraId="529133D8">
      <w:pPr>
        <w:widowControl/>
        <w:shd w:val="clear" w:color="auto" w:fill="FFFFFF"/>
        <w:spacing w:line="360" w:lineRule="auto"/>
        <w:ind w:firstLine="480"/>
        <w:jc w:val="left"/>
        <w:rPr>
          <w:rFonts w:ascii="宋体" w:hAnsi="宋体" w:cs="宋体"/>
          <w:color w:val="auto"/>
          <w:spacing w:val="10"/>
          <w:kern w:val="0"/>
          <w:sz w:val="28"/>
          <w:szCs w:val="28"/>
        </w:rPr>
      </w:pPr>
      <w:r>
        <w:rPr>
          <w:rFonts w:hint="eastAsia" w:ascii="宋体" w:hAnsi="宋体" w:cs="宋体"/>
          <w:color w:val="auto"/>
          <w:spacing w:val="10"/>
          <w:kern w:val="0"/>
          <w:sz w:val="28"/>
          <w:szCs w:val="28"/>
        </w:rPr>
        <w:t>附件4服务技术响应表</w:t>
      </w:r>
    </w:p>
    <w:p w14:paraId="19EC0CCE">
      <w:pPr>
        <w:widowControl/>
        <w:shd w:val="clear" w:color="auto" w:fill="FFFFFF"/>
        <w:spacing w:line="360" w:lineRule="auto"/>
        <w:ind w:firstLine="480"/>
        <w:jc w:val="left"/>
        <w:rPr>
          <w:rFonts w:ascii="宋体" w:hAnsi="宋体" w:cs="宋体"/>
          <w:color w:val="auto"/>
          <w:spacing w:val="10"/>
          <w:kern w:val="0"/>
          <w:sz w:val="28"/>
          <w:szCs w:val="28"/>
        </w:rPr>
      </w:pPr>
      <w:r>
        <w:rPr>
          <w:rFonts w:hint="eastAsia" w:ascii="宋体" w:hAnsi="宋体" w:cs="宋体"/>
          <w:color w:val="auto"/>
          <w:spacing w:val="10"/>
          <w:kern w:val="0"/>
          <w:sz w:val="28"/>
          <w:szCs w:val="28"/>
        </w:rPr>
        <w:t>附件5商务响应表</w:t>
      </w:r>
    </w:p>
    <w:p w14:paraId="2A808DE0">
      <w:pPr>
        <w:widowControl/>
        <w:shd w:val="clear" w:color="auto" w:fill="FFFFFF"/>
        <w:spacing w:line="360" w:lineRule="auto"/>
        <w:ind w:firstLine="480"/>
        <w:jc w:val="left"/>
        <w:rPr>
          <w:rFonts w:ascii="宋体" w:hAnsi="宋体" w:cs="宋体"/>
          <w:color w:val="auto"/>
          <w:spacing w:val="10"/>
          <w:kern w:val="0"/>
          <w:sz w:val="28"/>
          <w:szCs w:val="28"/>
        </w:rPr>
      </w:pPr>
      <w:r>
        <w:rPr>
          <w:rFonts w:hint="eastAsia" w:ascii="宋体" w:hAnsi="宋体" w:cs="宋体"/>
          <w:color w:val="auto"/>
          <w:spacing w:val="10"/>
          <w:kern w:val="0"/>
          <w:sz w:val="28"/>
          <w:szCs w:val="28"/>
        </w:rPr>
        <w:t>附件6法定代表人身份证明</w:t>
      </w:r>
    </w:p>
    <w:p w14:paraId="43717288">
      <w:pPr>
        <w:widowControl/>
        <w:shd w:val="clear" w:color="auto" w:fill="FFFFFF"/>
        <w:spacing w:line="360" w:lineRule="auto"/>
        <w:ind w:firstLine="480"/>
        <w:jc w:val="left"/>
        <w:rPr>
          <w:rFonts w:ascii="宋体" w:hAnsi="宋体" w:cs="宋体"/>
          <w:color w:val="auto"/>
          <w:spacing w:val="10"/>
          <w:kern w:val="0"/>
          <w:sz w:val="28"/>
          <w:szCs w:val="28"/>
        </w:rPr>
      </w:pPr>
      <w:r>
        <w:rPr>
          <w:rFonts w:hint="eastAsia" w:ascii="宋体" w:hAnsi="宋体" w:cs="宋体"/>
          <w:color w:val="auto"/>
          <w:spacing w:val="10"/>
          <w:kern w:val="0"/>
          <w:sz w:val="28"/>
          <w:szCs w:val="28"/>
        </w:rPr>
        <w:t>附件7法定代表人授权书</w:t>
      </w:r>
    </w:p>
    <w:p w14:paraId="3E4533BC">
      <w:pPr>
        <w:widowControl/>
        <w:shd w:val="clear" w:color="auto" w:fill="FFFFFF"/>
        <w:spacing w:line="360" w:lineRule="auto"/>
        <w:ind w:firstLine="480"/>
        <w:jc w:val="left"/>
        <w:rPr>
          <w:rFonts w:ascii="宋体" w:hAnsi="宋体" w:cs="宋体"/>
          <w:color w:val="auto"/>
          <w:spacing w:val="10"/>
          <w:kern w:val="0"/>
          <w:sz w:val="28"/>
          <w:szCs w:val="28"/>
        </w:rPr>
      </w:pPr>
      <w:r>
        <w:rPr>
          <w:rFonts w:hint="eastAsia" w:ascii="宋体" w:hAnsi="宋体" w:cs="宋体"/>
          <w:color w:val="auto"/>
          <w:spacing w:val="10"/>
          <w:kern w:val="0"/>
          <w:sz w:val="28"/>
          <w:szCs w:val="28"/>
        </w:rPr>
        <w:t>附件8证明文件</w:t>
      </w:r>
    </w:p>
    <w:p w14:paraId="342E19D1">
      <w:pPr>
        <w:widowControl/>
        <w:shd w:val="clear" w:color="auto" w:fill="FFFFFF"/>
        <w:spacing w:line="360" w:lineRule="auto"/>
        <w:ind w:firstLine="480"/>
        <w:jc w:val="left"/>
        <w:rPr>
          <w:rFonts w:hint="eastAsia" w:ascii="宋体" w:hAnsi="宋体" w:eastAsia="宋体" w:cs="宋体"/>
          <w:color w:val="auto"/>
          <w:spacing w:val="10"/>
          <w:kern w:val="0"/>
          <w:sz w:val="28"/>
          <w:szCs w:val="28"/>
          <w:lang w:eastAsia="zh-CN"/>
        </w:rPr>
      </w:pPr>
      <w:r>
        <w:rPr>
          <w:rFonts w:hint="eastAsia" w:ascii="宋体" w:hAnsi="宋体" w:cs="宋体"/>
          <w:color w:val="auto"/>
          <w:spacing w:val="10"/>
          <w:kern w:val="0"/>
          <w:sz w:val="28"/>
          <w:szCs w:val="28"/>
        </w:rPr>
        <w:t>附件9</w:t>
      </w:r>
      <w:r>
        <w:rPr>
          <w:rFonts w:hint="eastAsia" w:ascii="宋体" w:hAnsi="宋体" w:cs="宋体"/>
          <w:color w:val="auto"/>
          <w:spacing w:val="10"/>
          <w:kern w:val="0"/>
          <w:sz w:val="28"/>
          <w:szCs w:val="28"/>
          <w:lang w:eastAsia="zh-CN"/>
        </w:rPr>
        <w:t>拟派项目负责人</w:t>
      </w:r>
    </w:p>
    <w:p w14:paraId="4B53F7CB">
      <w:pPr>
        <w:widowControl/>
        <w:shd w:val="clear" w:color="auto" w:fill="FFFFFF"/>
        <w:spacing w:line="360" w:lineRule="auto"/>
        <w:ind w:firstLine="480"/>
        <w:jc w:val="left"/>
        <w:rPr>
          <w:rFonts w:ascii="宋体" w:hAnsi="宋体" w:cs="宋体"/>
          <w:color w:val="auto"/>
          <w:spacing w:val="10"/>
          <w:kern w:val="0"/>
          <w:sz w:val="28"/>
          <w:szCs w:val="28"/>
        </w:rPr>
      </w:pPr>
      <w:r>
        <w:rPr>
          <w:rFonts w:hint="eastAsia" w:ascii="宋体" w:hAnsi="宋体" w:cs="宋体"/>
          <w:color w:val="auto"/>
          <w:spacing w:val="10"/>
          <w:kern w:val="0"/>
          <w:sz w:val="28"/>
          <w:szCs w:val="28"/>
        </w:rPr>
        <w:t>附件10拟投入本项目部主要人员组成情况表</w:t>
      </w:r>
    </w:p>
    <w:p w14:paraId="009BBAC1">
      <w:pPr>
        <w:widowControl/>
        <w:shd w:val="clear" w:color="auto" w:fill="FFFFFF"/>
        <w:spacing w:line="360" w:lineRule="auto"/>
        <w:ind w:firstLine="480"/>
        <w:jc w:val="left"/>
        <w:rPr>
          <w:rFonts w:hint="eastAsia" w:ascii="宋体" w:hAnsi="宋体" w:eastAsia="宋体" w:cs="宋体"/>
          <w:color w:val="auto"/>
          <w:spacing w:val="10"/>
          <w:kern w:val="0"/>
          <w:sz w:val="28"/>
          <w:szCs w:val="28"/>
          <w:lang w:eastAsia="zh-CN"/>
        </w:rPr>
      </w:pPr>
      <w:r>
        <w:rPr>
          <w:rFonts w:hint="eastAsia" w:ascii="宋体" w:hAnsi="宋体" w:cs="宋体"/>
          <w:color w:val="auto"/>
          <w:spacing w:val="10"/>
          <w:kern w:val="0"/>
          <w:sz w:val="28"/>
          <w:szCs w:val="28"/>
        </w:rPr>
        <w:t>附件11</w:t>
      </w:r>
      <w:r>
        <w:rPr>
          <w:rFonts w:hint="eastAsia" w:ascii="宋体" w:hAnsi="宋体" w:cs="宋体"/>
          <w:color w:val="auto"/>
          <w:spacing w:val="10"/>
          <w:kern w:val="0"/>
          <w:sz w:val="28"/>
          <w:szCs w:val="28"/>
          <w:lang w:eastAsia="zh-CN"/>
        </w:rPr>
        <w:t>技术服务方案</w:t>
      </w:r>
    </w:p>
    <w:p w14:paraId="0435E80E">
      <w:pPr>
        <w:widowControl/>
        <w:shd w:val="clear" w:color="auto" w:fill="FFFFFF"/>
        <w:spacing w:line="360" w:lineRule="auto"/>
        <w:ind w:firstLine="480"/>
        <w:jc w:val="left"/>
        <w:rPr>
          <w:rFonts w:ascii="宋体" w:hAnsi="宋体" w:cs="宋体"/>
          <w:color w:val="auto"/>
          <w:spacing w:val="10"/>
          <w:kern w:val="0"/>
          <w:sz w:val="28"/>
          <w:szCs w:val="28"/>
        </w:rPr>
      </w:pPr>
      <w:r>
        <w:rPr>
          <w:rFonts w:hint="eastAsia" w:ascii="宋体" w:hAnsi="宋体" w:cs="宋体"/>
          <w:color w:val="auto"/>
          <w:spacing w:val="10"/>
          <w:kern w:val="0"/>
          <w:sz w:val="28"/>
          <w:szCs w:val="28"/>
        </w:rPr>
        <w:t>附件12中小企业声明函</w:t>
      </w:r>
    </w:p>
    <w:p w14:paraId="3923F04A">
      <w:pPr>
        <w:widowControl/>
        <w:shd w:val="clear" w:color="auto" w:fill="FFFFFF"/>
        <w:spacing w:line="360" w:lineRule="auto"/>
        <w:ind w:firstLine="480"/>
        <w:jc w:val="left"/>
        <w:rPr>
          <w:rFonts w:hint="eastAsia" w:ascii="宋体" w:hAnsi="宋体" w:cs="宋体"/>
          <w:color w:val="auto"/>
          <w:spacing w:val="10"/>
          <w:kern w:val="0"/>
          <w:sz w:val="28"/>
          <w:szCs w:val="28"/>
        </w:rPr>
      </w:pPr>
      <w:r>
        <w:rPr>
          <w:rFonts w:hint="eastAsia" w:ascii="宋体" w:hAnsi="宋体" w:cs="宋体"/>
          <w:color w:val="auto"/>
          <w:spacing w:val="10"/>
          <w:kern w:val="0"/>
          <w:sz w:val="28"/>
          <w:szCs w:val="28"/>
        </w:rPr>
        <w:t>附件13供应商自觉抵制政府采购领域商业贿赂行为承诺书</w:t>
      </w:r>
    </w:p>
    <w:p w14:paraId="08F3B533">
      <w:pPr>
        <w:widowControl/>
        <w:shd w:val="clear" w:color="auto" w:fill="FFFFFF"/>
        <w:spacing w:line="360" w:lineRule="auto"/>
        <w:ind w:firstLine="480"/>
        <w:jc w:val="left"/>
        <w:rPr>
          <w:rFonts w:hint="eastAsia" w:ascii="宋体" w:hAnsi="宋体" w:cs="宋体"/>
          <w:color w:val="auto"/>
          <w:spacing w:val="10"/>
          <w:kern w:val="0"/>
          <w:sz w:val="28"/>
          <w:szCs w:val="28"/>
        </w:rPr>
      </w:pPr>
      <w:r>
        <w:rPr>
          <w:rFonts w:hint="eastAsia" w:ascii="宋体" w:hAnsi="宋体" w:cs="宋体"/>
          <w:color w:val="auto"/>
          <w:spacing w:val="10"/>
          <w:kern w:val="0"/>
          <w:sz w:val="28"/>
          <w:szCs w:val="28"/>
        </w:rPr>
        <w:t>附件14汝南县政府采购供应商信用承诺函</w:t>
      </w:r>
    </w:p>
    <w:p w14:paraId="3D12D565">
      <w:pPr>
        <w:widowControl/>
        <w:shd w:val="clear" w:color="auto" w:fill="FFFFFF"/>
        <w:spacing w:line="360" w:lineRule="auto"/>
        <w:ind w:firstLine="480"/>
        <w:jc w:val="left"/>
        <w:rPr>
          <w:rFonts w:hint="eastAsia" w:ascii="宋体" w:hAnsi="宋体" w:cs="宋体"/>
          <w:color w:val="auto"/>
          <w:spacing w:val="10"/>
          <w:kern w:val="0"/>
          <w:sz w:val="28"/>
          <w:szCs w:val="28"/>
        </w:rPr>
      </w:pPr>
      <w:r>
        <w:rPr>
          <w:rFonts w:hint="eastAsia" w:ascii="宋体" w:hAnsi="宋体" w:cs="宋体"/>
          <w:color w:val="auto"/>
          <w:spacing w:val="10"/>
          <w:kern w:val="0"/>
          <w:sz w:val="28"/>
          <w:szCs w:val="28"/>
        </w:rPr>
        <w:t>附件15供应商认为需要说明的其它事项</w:t>
      </w:r>
    </w:p>
    <w:p w14:paraId="5914F376">
      <w:pPr>
        <w:spacing w:line="360" w:lineRule="auto"/>
        <w:rPr>
          <w:rFonts w:hint="eastAsia" w:ascii="宋体" w:hAnsi="宋体" w:eastAsia="宋体" w:cs="宋体"/>
          <w:color w:val="auto"/>
          <w:sz w:val="28"/>
          <w:szCs w:val="28"/>
        </w:rPr>
      </w:pPr>
    </w:p>
    <w:p w14:paraId="71A8B7ED">
      <w:pPr>
        <w:rPr>
          <w:rFonts w:hint="eastAsia" w:ascii="宋体" w:hAnsi="宋体" w:eastAsia="宋体" w:cs="宋体"/>
          <w:b/>
          <w:color w:val="auto"/>
          <w:kern w:val="0"/>
          <w:sz w:val="32"/>
          <w:szCs w:val="32"/>
        </w:rPr>
      </w:pPr>
      <w:r>
        <w:rPr>
          <w:rFonts w:hint="eastAsia" w:ascii="宋体" w:hAnsi="宋体" w:eastAsia="宋体" w:cs="宋体"/>
          <w:color w:val="auto"/>
          <w:sz w:val="28"/>
          <w:szCs w:val="28"/>
        </w:rPr>
        <w:t xml:space="preserve">       </w:t>
      </w:r>
    </w:p>
    <w:p w14:paraId="4413D3AC">
      <w:pPr>
        <w:jc w:val="center"/>
        <w:rPr>
          <w:rFonts w:hint="eastAsia" w:ascii="宋体" w:hAnsi="宋体" w:eastAsia="宋体" w:cs="宋体"/>
          <w:b/>
          <w:color w:val="auto"/>
          <w:kern w:val="0"/>
          <w:sz w:val="32"/>
          <w:szCs w:val="32"/>
        </w:rPr>
      </w:pPr>
      <w:r>
        <w:rPr>
          <w:rFonts w:hint="eastAsia" w:ascii="宋体" w:hAnsi="宋体" w:eastAsia="宋体" w:cs="宋体"/>
          <w:b/>
          <w:color w:val="auto"/>
          <w:kern w:val="0"/>
          <w:sz w:val="32"/>
          <w:szCs w:val="32"/>
        </w:rPr>
        <w:t>附件1   竞争性谈判文件封面（格式）</w:t>
      </w:r>
    </w:p>
    <w:p w14:paraId="3BEDDECB">
      <w:pPr>
        <w:widowControl/>
        <w:wordWrap w:val="0"/>
        <w:snapToGrid w:val="0"/>
        <w:spacing w:before="100" w:beforeAutospacing="1" w:after="100" w:afterAutospacing="1" w:line="460" w:lineRule="exact"/>
        <w:ind w:firstLine="640" w:firstLineChars="200"/>
        <w:jc w:val="center"/>
        <w:rPr>
          <w:rFonts w:hint="eastAsia" w:ascii="宋体" w:hAnsi="宋体" w:eastAsia="宋体" w:cs="宋体"/>
          <w:color w:val="auto"/>
          <w:kern w:val="0"/>
          <w:sz w:val="32"/>
          <w:szCs w:val="32"/>
        </w:rPr>
      </w:pPr>
      <w:r>
        <w:rPr>
          <w:rFonts w:hint="eastAsia" w:ascii="宋体" w:hAnsi="宋体" w:eastAsia="宋体" w:cs="宋体"/>
          <w:color w:val="auto"/>
          <w:kern w:val="0"/>
          <w:sz w:val="32"/>
          <w:szCs w:val="32"/>
        </w:rPr>
        <w:t>政府采购项目</w:t>
      </w:r>
    </w:p>
    <w:p w14:paraId="62020C2A">
      <w:pPr>
        <w:widowControl/>
        <w:wordWrap w:val="0"/>
        <w:snapToGrid w:val="0"/>
        <w:spacing w:before="100" w:beforeAutospacing="1" w:after="100" w:afterAutospacing="1" w:line="460" w:lineRule="exact"/>
        <w:ind w:firstLine="640" w:firstLineChars="200"/>
        <w:jc w:val="center"/>
        <w:rPr>
          <w:rFonts w:hint="eastAsia" w:ascii="宋体" w:hAnsi="宋体" w:eastAsia="宋体" w:cs="宋体"/>
          <w:color w:val="auto"/>
          <w:kern w:val="0"/>
          <w:sz w:val="32"/>
          <w:szCs w:val="32"/>
        </w:rPr>
      </w:pPr>
      <w:r>
        <w:rPr>
          <w:rFonts w:hint="eastAsia" w:ascii="宋体" w:hAnsi="宋体" w:eastAsia="宋体" w:cs="宋体"/>
          <w:color w:val="auto"/>
          <w:kern w:val="0"/>
          <w:sz w:val="32"/>
          <w:szCs w:val="32"/>
        </w:rPr>
        <w:t>竞争性谈判响应文件</w:t>
      </w:r>
    </w:p>
    <w:p w14:paraId="30333508">
      <w:pPr>
        <w:widowControl/>
        <w:wordWrap w:val="0"/>
        <w:snapToGrid w:val="0"/>
        <w:spacing w:before="100" w:beforeAutospacing="1" w:after="100" w:afterAutospacing="1" w:line="460" w:lineRule="exact"/>
        <w:ind w:firstLine="1580" w:firstLineChars="494"/>
        <w:jc w:val="left"/>
        <w:rPr>
          <w:rFonts w:hint="eastAsia" w:ascii="宋体" w:hAnsi="宋体" w:eastAsia="宋体" w:cs="宋体"/>
          <w:color w:val="auto"/>
          <w:kern w:val="0"/>
          <w:sz w:val="32"/>
          <w:szCs w:val="32"/>
        </w:rPr>
      </w:pPr>
    </w:p>
    <w:p w14:paraId="7057E72C">
      <w:pPr>
        <w:widowControl/>
        <w:wordWrap w:val="0"/>
        <w:snapToGrid w:val="0"/>
        <w:spacing w:before="100" w:beforeAutospacing="1" w:after="100" w:afterAutospacing="1" w:line="460" w:lineRule="exact"/>
        <w:ind w:firstLine="1580" w:firstLineChars="494"/>
        <w:jc w:val="left"/>
        <w:rPr>
          <w:rFonts w:hint="eastAsia" w:ascii="宋体" w:hAnsi="宋体" w:eastAsia="宋体" w:cs="宋体"/>
          <w:color w:val="auto"/>
          <w:kern w:val="0"/>
          <w:sz w:val="32"/>
          <w:szCs w:val="32"/>
        </w:rPr>
      </w:pPr>
    </w:p>
    <w:p w14:paraId="4F649AED">
      <w:pPr>
        <w:widowControl/>
        <w:wordWrap w:val="0"/>
        <w:snapToGrid w:val="0"/>
        <w:spacing w:before="100" w:beforeAutospacing="1" w:after="100" w:afterAutospacing="1" w:line="460" w:lineRule="exact"/>
        <w:ind w:firstLine="1580" w:firstLineChars="494"/>
        <w:jc w:val="left"/>
        <w:rPr>
          <w:rFonts w:hint="eastAsia" w:ascii="宋体" w:hAnsi="宋体" w:eastAsia="宋体" w:cs="宋体"/>
          <w:color w:val="auto"/>
          <w:kern w:val="0"/>
          <w:sz w:val="32"/>
          <w:szCs w:val="32"/>
        </w:rPr>
      </w:pPr>
    </w:p>
    <w:p w14:paraId="2E161505">
      <w:pPr>
        <w:widowControl/>
        <w:wordWrap w:val="0"/>
        <w:snapToGrid w:val="0"/>
        <w:spacing w:before="100" w:beforeAutospacing="1" w:after="100" w:afterAutospacing="1" w:line="460" w:lineRule="exact"/>
        <w:ind w:firstLine="1580" w:firstLineChars="494"/>
        <w:jc w:val="left"/>
        <w:rPr>
          <w:rFonts w:hint="eastAsia" w:ascii="宋体" w:hAnsi="宋体" w:eastAsia="宋体" w:cs="宋体"/>
          <w:color w:val="auto"/>
          <w:kern w:val="0"/>
          <w:sz w:val="32"/>
          <w:szCs w:val="32"/>
        </w:rPr>
      </w:pPr>
    </w:p>
    <w:p w14:paraId="2FB6DD46">
      <w:pPr>
        <w:widowControl/>
        <w:wordWrap w:val="0"/>
        <w:snapToGrid w:val="0"/>
        <w:spacing w:before="100" w:beforeAutospacing="1" w:after="100" w:afterAutospacing="1" w:line="460" w:lineRule="exact"/>
        <w:ind w:firstLine="1580" w:firstLineChars="494"/>
        <w:jc w:val="left"/>
        <w:rPr>
          <w:rFonts w:hint="eastAsia" w:ascii="宋体" w:hAnsi="宋体" w:eastAsia="宋体" w:cs="宋体"/>
          <w:color w:val="auto"/>
          <w:kern w:val="0"/>
          <w:sz w:val="32"/>
          <w:szCs w:val="32"/>
        </w:rPr>
      </w:pPr>
    </w:p>
    <w:p w14:paraId="5EC15949">
      <w:pPr>
        <w:widowControl/>
        <w:wordWrap w:val="0"/>
        <w:snapToGrid w:val="0"/>
        <w:spacing w:before="100" w:beforeAutospacing="1" w:after="100" w:afterAutospacing="1" w:line="460" w:lineRule="exact"/>
        <w:ind w:firstLine="1580" w:firstLineChars="494"/>
        <w:jc w:val="left"/>
        <w:rPr>
          <w:rFonts w:hint="eastAsia" w:ascii="宋体" w:hAnsi="宋体" w:eastAsia="宋体" w:cs="宋体"/>
          <w:color w:val="auto"/>
          <w:kern w:val="0"/>
          <w:sz w:val="32"/>
          <w:szCs w:val="32"/>
        </w:rPr>
      </w:pPr>
    </w:p>
    <w:p w14:paraId="69B1346F">
      <w:pPr>
        <w:widowControl/>
        <w:wordWrap w:val="0"/>
        <w:snapToGrid w:val="0"/>
        <w:spacing w:before="100" w:beforeAutospacing="1" w:after="100" w:afterAutospacing="1" w:line="460" w:lineRule="exact"/>
        <w:ind w:firstLine="1580" w:firstLineChars="494"/>
        <w:jc w:val="left"/>
        <w:rPr>
          <w:rFonts w:hint="eastAsia" w:ascii="宋体" w:hAnsi="宋体" w:eastAsia="宋体" w:cs="宋体"/>
          <w:color w:val="auto"/>
          <w:kern w:val="0"/>
          <w:sz w:val="32"/>
          <w:szCs w:val="32"/>
        </w:rPr>
      </w:pPr>
    </w:p>
    <w:p w14:paraId="6E2BB213">
      <w:pPr>
        <w:widowControl/>
        <w:wordWrap w:val="0"/>
        <w:snapToGrid w:val="0"/>
        <w:spacing w:before="100" w:beforeAutospacing="1" w:after="100" w:afterAutospacing="1" w:line="460" w:lineRule="exact"/>
        <w:ind w:firstLine="1580" w:firstLineChars="494"/>
        <w:jc w:val="left"/>
        <w:rPr>
          <w:rFonts w:hint="eastAsia" w:ascii="宋体" w:hAnsi="宋体" w:eastAsia="宋体" w:cs="宋体"/>
          <w:color w:val="auto"/>
          <w:kern w:val="0"/>
          <w:sz w:val="32"/>
          <w:szCs w:val="32"/>
        </w:rPr>
      </w:pPr>
    </w:p>
    <w:p w14:paraId="5A786C40">
      <w:pPr>
        <w:widowControl/>
        <w:wordWrap w:val="0"/>
        <w:snapToGrid w:val="0"/>
        <w:spacing w:before="100" w:beforeAutospacing="1" w:after="100" w:afterAutospacing="1" w:line="460" w:lineRule="exact"/>
        <w:ind w:firstLine="1580" w:firstLineChars="494"/>
        <w:jc w:val="left"/>
        <w:rPr>
          <w:rFonts w:hint="eastAsia" w:ascii="宋体" w:hAnsi="宋体" w:eastAsia="宋体" w:cs="宋体"/>
          <w:color w:val="auto"/>
          <w:kern w:val="0"/>
          <w:sz w:val="32"/>
          <w:szCs w:val="32"/>
        </w:rPr>
      </w:pPr>
      <w:r>
        <w:rPr>
          <w:rFonts w:hint="eastAsia" w:ascii="宋体" w:hAnsi="宋体" w:eastAsia="宋体" w:cs="宋体"/>
          <w:color w:val="auto"/>
          <w:kern w:val="0"/>
          <w:sz w:val="32"/>
          <w:szCs w:val="32"/>
        </w:rPr>
        <w:t>项 目 名 称：</w:t>
      </w:r>
      <w:r>
        <w:rPr>
          <w:rFonts w:hint="eastAsia" w:ascii="宋体" w:hAnsi="宋体" w:eastAsia="宋体" w:cs="宋体"/>
          <w:color w:val="auto"/>
          <w:kern w:val="0"/>
          <w:sz w:val="32"/>
          <w:szCs w:val="32"/>
          <w:u w:val="single"/>
        </w:rPr>
        <w:t xml:space="preserve">             </w:t>
      </w:r>
    </w:p>
    <w:p w14:paraId="61D32413">
      <w:pPr>
        <w:widowControl/>
        <w:wordWrap w:val="0"/>
        <w:snapToGrid w:val="0"/>
        <w:spacing w:before="100" w:beforeAutospacing="1" w:after="100" w:afterAutospacing="1" w:line="460" w:lineRule="exact"/>
        <w:ind w:firstLine="1580" w:firstLineChars="494"/>
        <w:jc w:val="left"/>
        <w:rPr>
          <w:rFonts w:hint="eastAsia" w:ascii="宋体" w:hAnsi="宋体" w:eastAsia="宋体" w:cs="宋体"/>
          <w:color w:val="auto"/>
          <w:kern w:val="0"/>
          <w:sz w:val="32"/>
          <w:szCs w:val="32"/>
          <w:u w:val="single"/>
        </w:rPr>
      </w:pPr>
      <w:r>
        <w:rPr>
          <w:rFonts w:hint="eastAsia" w:ascii="宋体" w:hAnsi="宋体" w:eastAsia="宋体" w:cs="宋体"/>
          <w:color w:val="auto"/>
          <w:kern w:val="0"/>
          <w:sz w:val="32"/>
          <w:szCs w:val="32"/>
        </w:rPr>
        <w:t>项 目 编 号：</w:t>
      </w:r>
      <w:r>
        <w:rPr>
          <w:rFonts w:hint="eastAsia" w:ascii="宋体" w:hAnsi="宋体" w:eastAsia="宋体" w:cs="宋体"/>
          <w:color w:val="auto"/>
          <w:kern w:val="0"/>
          <w:sz w:val="32"/>
          <w:szCs w:val="32"/>
          <w:u w:val="single"/>
        </w:rPr>
        <w:t xml:space="preserve">             </w:t>
      </w:r>
    </w:p>
    <w:p w14:paraId="3B3F1AD5">
      <w:pPr>
        <w:pStyle w:val="22"/>
        <w:rPr>
          <w:rFonts w:hint="default" w:eastAsia="宋体"/>
          <w:lang w:val="en-US" w:eastAsia="zh-CN"/>
        </w:rPr>
      </w:pPr>
      <w:r>
        <w:rPr>
          <w:rFonts w:hint="eastAsia" w:ascii="宋体" w:hAnsi="宋体" w:eastAsia="宋体" w:cs="宋体"/>
          <w:color w:val="auto"/>
          <w:kern w:val="0"/>
          <w:sz w:val="32"/>
          <w:szCs w:val="32"/>
          <w:u w:val="none"/>
          <w:lang w:val="en-US" w:eastAsia="zh-CN"/>
        </w:rPr>
        <w:t xml:space="preserve">       包       号</w:t>
      </w:r>
      <w:r>
        <w:rPr>
          <w:rFonts w:hint="eastAsia" w:ascii="宋体" w:hAnsi="宋体" w:eastAsia="宋体" w:cs="宋体"/>
          <w:color w:val="auto"/>
          <w:kern w:val="0"/>
          <w:sz w:val="32"/>
          <w:szCs w:val="32"/>
        </w:rPr>
        <w:t>：</w:t>
      </w:r>
      <w:r>
        <w:rPr>
          <w:rFonts w:hint="eastAsia" w:ascii="宋体" w:hAnsi="宋体" w:eastAsia="宋体" w:cs="宋体"/>
          <w:color w:val="auto"/>
          <w:kern w:val="0"/>
          <w:sz w:val="32"/>
          <w:szCs w:val="32"/>
          <w:u w:val="single"/>
        </w:rPr>
        <w:t xml:space="preserve">             </w:t>
      </w:r>
    </w:p>
    <w:p w14:paraId="3AA0D366">
      <w:pPr>
        <w:widowControl/>
        <w:wordWrap w:val="0"/>
        <w:snapToGrid w:val="0"/>
        <w:spacing w:before="100" w:beforeAutospacing="1" w:after="100" w:afterAutospacing="1" w:line="460" w:lineRule="exact"/>
        <w:ind w:firstLine="640" w:firstLineChars="200"/>
        <w:jc w:val="left"/>
        <w:rPr>
          <w:rFonts w:hint="eastAsia" w:ascii="宋体" w:hAnsi="宋体" w:eastAsia="宋体" w:cs="宋体"/>
          <w:color w:val="auto"/>
          <w:kern w:val="0"/>
          <w:sz w:val="32"/>
          <w:szCs w:val="32"/>
        </w:rPr>
      </w:pPr>
      <w:r>
        <w:rPr>
          <w:rFonts w:hint="eastAsia" w:ascii="宋体" w:hAnsi="宋体" w:eastAsia="宋体" w:cs="宋体"/>
          <w:color w:val="auto"/>
          <w:kern w:val="0"/>
          <w:sz w:val="32"/>
          <w:szCs w:val="32"/>
        </w:rPr>
        <w:t xml:space="preserve">      供应商名称 ：</w:t>
      </w:r>
      <w:r>
        <w:rPr>
          <w:rFonts w:hint="eastAsia" w:ascii="宋体" w:hAnsi="宋体" w:eastAsia="宋体" w:cs="宋体"/>
          <w:color w:val="auto"/>
          <w:kern w:val="0"/>
          <w:sz w:val="32"/>
          <w:szCs w:val="32"/>
          <w:u w:val="single"/>
        </w:rPr>
        <w:t xml:space="preserve">             </w:t>
      </w:r>
      <w:r>
        <w:rPr>
          <w:rFonts w:hint="eastAsia" w:ascii="宋体" w:hAnsi="宋体" w:eastAsia="宋体" w:cs="宋体"/>
          <w:color w:val="auto"/>
          <w:kern w:val="0"/>
          <w:sz w:val="32"/>
          <w:szCs w:val="32"/>
        </w:rPr>
        <w:t>（全称并加盖公章）</w:t>
      </w:r>
    </w:p>
    <w:p w14:paraId="7BD696B4">
      <w:pPr>
        <w:widowControl/>
        <w:wordWrap w:val="0"/>
        <w:snapToGrid w:val="0"/>
        <w:spacing w:before="100" w:beforeAutospacing="1" w:after="100" w:afterAutospacing="1" w:line="460" w:lineRule="exact"/>
        <w:ind w:firstLine="1600" w:firstLineChars="500"/>
        <w:jc w:val="left"/>
        <w:rPr>
          <w:rFonts w:hint="eastAsia" w:ascii="宋体" w:hAnsi="宋体" w:eastAsia="宋体" w:cs="宋体"/>
          <w:color w:val="auto"/>
          <w:kern w:val="0"/>
          <w:sz w:val="32"/>
          <w:szCs w:val="32"/>
        </w:rPr>
      </w:pPr>
      <w:r>
        <w:rPr>
          <w:rFonts w:hint="eastAsia" w:ascii="宋体" w:hAnsi="宋体" w:eastAsia="宋体" w:cs="宋体"/>
          <w:color w:val="auto"/>
          <w:kern w:val="0"/>
          <w:sz w:val="32"/>
          <w:szCs w:val="32"/>
        </w:rPr>
        <w:t>日      期 ：</w:t>
      </w:r>
      <w:r>
        <w:rPr>
          <w:rFonts w:hint="eastAsia" w:ascii="宋体" w:hAnsi="宋体" w:eastAsia="宋体" w:cs="宋体"/>
          <w:color w:val="auto"/>
          <w:kern w:val="0"/>
          <w:sz w:val="32"/>
          <w:szCs w:val="32"/>
          <w:u w:val="single"/>
        </w:rPr>
        <w:t xml:space="preserve">               </w:t>
      </w:r>
    </w:p>
    <w:p w14:paraId="2D3A1630">
      <w:pPr>
        <w:rPr>
          <w:rFonts w:hint="eastAsia" w:ascii="宋体" w:hAnsi="宋体" w:eastAsia="宋体" w:cs="宋体"/>
          <w:color w:val="auto"/>
          <w:sz w:val="28"/>
          <w:szCs w:val="28"/>
        </w:rPr>
      </w:pPr>
    </w:p>
    <w:p w14:paraId="510D95AC">
      <w:pPr>
        <w:rPr>
          <w:rFonts w:hint="eastAsia" w:ascii="宋体" w:hAnsi="宋体" w:eastAsia="宋体" w:cs="宋体"/>
          <w:b/>
          <w:color w:val="auto"/>
          <w:kern w:val="0"/>
          <w:sz w:val="32"/>
          <w:szCs w:val="32"/>
        </w:rPr>
      </w:pPr>
      <w:r>
        <w:rPr>
          <w:rFonts w:hint="eastAsia" w:ascii="宋体" w:hAnsi="宋体" w:eastAsia="宋体" w:cs="宋体"/>
          <w:b/>
          <w:color w:val="auto"/>
          <w:kern w:val="0"/>
          <w:sz w:val="32"/>
          <w:szCs w:val="32"/>
        </w:rPr>
        <w:br w:type="page"/>
      </w:r>
    </w:p>
    <w:p w14:paraId="6D039799">
      <w:pPr>
        <w:jc w:val="center"/>
        <w:rPr>
          <w:rFonts w:hint="eastAsia" w:ascii="宋体" w:hAnsi="宋体" w:eastAsia="宋体" w:cs="宋体"/>
          <w:b/>
          <w:color w:val="auto"/>
          <w:kern w:val="0"/>
          <w:sz w:val="32"/>
          <w:szCs w:val="32"/>
        </w:rPr>
      </w:pPr>
      <w:r>
        <w:rPr>
          <w:rFonts w:hint="eastAsia" w:ascii="宋体" w:hAnsi="宋体" w:eastAsia="宋体" w:cs="宋体"/>
          <w:b/>
          <w:color w:val="auto"/>
          <w:kern w:val="0"/>
          <w:sz w:val="32"/>
          <w:szCs w:val="32"/>
        </w:rPr>
        <w:t>附件2   竞争性谈判响应书</w:t>
      </w:r>
    </w:p>
    <w:p w14:paraId="5A65C62A">
      <w:pPr>
        <w:spacing w:line="360" w:lineRule="auto"/>
        <w:rPr>
          <w:rFonts w:hint="eastAsia" w:ascii="宋体" w:hAnsi="宋体" w:eastAsia="宋体" w:cs="宋体"/>
          <w:color w:val="auto"/>
          <w:sz w:val="24"/>
        </w:rPr>
      </w:pPr>
      <w:r>
        <w:rPr>
          <w:rFonts w:hint="eastAsia" w:ascii="宋体" w:hAnsi="宋体" w:eastAsia="宋体" w:cs="宋体"/>
          <w:color w:val="auto"/>
          <w:sz w:val="24"/>
        </w:rPr>
        <w:t>致：</w:t>
      </w:r>
      <w:r>
        <w:rPr>
          <w:rFonts w:hint="eastAsia" w:ascii="宋体" w:hAnsi="宋体" w:eastAsia="宋体" w:cs="宋体"/>
          <w:color w:val="auto"/>
          <w:kern w:val="0"/>
          <w:sz w:val="24"/>
        </w:rPr>
        <w:t>__________ （采购代理机构</w:t>
      </w:r>
      <w:r>
        <w:rPr>
          <w:rFonts w:hint="eastAsia" w:ascii="宋体" w:hAnsi="宋体" w:eastAsia="宋体" w:cs="宋体"/>
          <w:color w:val="auto"/>
          <w:sz w:val="24"/>
        </w:rPr>
        <w:t>）：</w:t>
      </w:r>
    </w:p>
    <w:p w14:paraId="71F5D747">
      <w:pPr>
        <w:spacing w:line="360" w:lineRule="auto"/>
        <w:ind w:firstLine="720" w:firstLineChars="300"/>
        <w:rPr>
          <w:rFonts w:hint="eastAsia" w:ascii="宋体" w:hAnsi="宋体" w:eastAsia="宋体" w:cs="宋体"/>
          <w:color w:val="auto"/>
          <w:sz w:val="24"/>
        </w:rPr>
      </w:pPr>
      <w:r>
        <w:rPr>
          <w:rFonts w:hint="eastAsia" w:ascii="宋体" w:hAnsi="宋体" w:eastAsia="宋体" w:cs="宋体"/>
          <w:color w:val="auto"/>
          <w:sz w:val="24"/>
        </w:rPr>
        <w:t>（供应商名称）现委托（姓名）为我方代理人，参加贵方组织的</w:t>
      </w:r>
      <w:r>
        <w:rPr>
          <w:rFonts w:hint="eastAsia" w:ascii="宋体" w:hAnsi="宋体" w:eastAsia="宋体" w:cs="宋体"/>
          <w:color w:val="auto"/>
          <w:sz w:val="24"/>
          <w:u w:val="single"/>
        </w:rPr>
        <w:t>(项目名称)</w:t>
      </w:r>
      <w:r>
        <w:rPr>
          <w:rFonts w:hint="eastAsia" w:ascii="宋体" w:hAnsi="宋体" w:eastAsia="宋体" w:cs="宋体"/>
          <w:color w:val="auto"/>
          <w:sz w:val="24"/>
        </w:rPr>
        <w:t>（项目编号：</w:t>
      </w:r>
      <w:r>
        <w:rPr>
          <w:rFonts w:hint="eastAsia" w:ascii="宋体" w:hAnsi="宋体" w:eastAsia="宋体" w:cs="宋体"/>
          <w:color w:val="auto"/>
          <w:sz w:val="24"/>
          <w:u w:val="single"/>
        </w:rPr>
        <w:t xml:space="preserve">          </w:t>
      </w:r>
      <w:r>
        <w:rPr>
          <w:rFonts w:hint="eastAsia" w:ascii="宋体" w:hAnsi="宋体" w:cs="宋体"/>
          <w:color w:val="auto"/>
          <w:sz w:val="24"/>
          <w:u w:val="none"/>
          <w:lang w:val="en-US" w:eastAsia="zh-CN"/>
        </w:rPr>
        <w:t>包号：</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）的竞争性谈判。现正式提交加密版电子</w:t>
      </w:r>
      <w:r>
        <w:rPr>
          <w:rFonts w:hint="eastAsia" w:ascii="宋体" w:hAnsi="宋体" w:cs="宋体"/>
          <w:color w:val="auto"/>
          <w:sz w:val="24"/>
          <w:lang w:eastAsia="zh-CN"/>
        </w:rPr>
        <w:t>响应文件</w:t>
      </w:r>
      <w:r>
        <w:rPr>
          <w:rFonts w:hint="eastAsia" w:ascii="宋体" w:hAnsi="宋体" w:eastAsia="宋体" w:cs="宋体"/>
          <w:color w:val="auto"/>
          <w:sz w:val="24"/>
        </w:rPr>
        <w:t>。</w:t>
      </w:r>
    </w:p>
    <w:p w14:paraId="43E0F17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为便于贵方公正、择优地确定成交供应商及其提供产品和服务，我方就本次竞争性谈判有关事项郑重声明并宣布同意如下：</w:t>
      </w:r>
    </w:p>
    <w:p w14:paraId="28B806B0">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我方承诺已经具备竞争性谈判文件中规定的参加政府采购活动的供应商应当具备的条件。我方愿意向贵方提供任何与本竞争性谈判项目有关的数据、情况和技术资料，并根据需要提供一切承诺的证明材料，并保证其真实、合法、有效。</w:t>
      </w:r>
    </w:p>
    <w:p w14:paraId="1581A497">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2、我方承诺在竞争性谈判活动中提供的各种材料真实有效。</w:t>
      </w:r>
    </w:p>
    <w:p w14:paraId="777C7923">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3、我方同意在</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有效期内遵守本</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中的承诺且在此期限期满之前均具有约束力。如果我方成交，</w:t>
      </w:r>
      <w:r>
        <w:rPr>
          <w:rFonts w:hint="eastAsia" w:ascii="宋体" w:hAnsi="宋体" w:cs="宋体"/>
          <w:color w:val="auto"/>
          <w:kern w:val="0"/>
          <w:sz w:val="24"/>
          <w:lang w:eastAsia="zh-CN"/>
        </w:rPr>
        <w:t>响应文件</w:t>
      </w:r>
      <w:r>
        <w:rPr>
          <w:rFonts w:hint="eastAsia" w:ascii="宋体" w:hAnsi="宋体" w:eastAsia="宋体" w:cs="宋体"/>
          <w:color w:val="auto"/>
          <w:kern w:val="0"/>
          <w:sz w:val="24"/>
        </w:rPr>
        <w:t>有效期与合同履行期相同。</w:t>
      </w:r>
    </w:p>
    <w:p w14:paraId="0E398675">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4、我方已详细审查全部竞争性谈判文件，包括修改文件（如有的话）和有关附件，将自行承担因对全部竞争性谈判文件理解不正确或误解而产生的相应后果。</w:t>
      </w:r>
    </w:p>
    <w:p w14:paraId="2DF0C8FD">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5、我方保证尊重谈判小组的评审结果，完全理解本采购项目最低报价不作为成交的保证。</w:t>
      </w:r>
    </w:p>
    <w:p w14:paraId="4C45407F">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6、我方理解并遵守竞争性谈判文件的全部规定，接受竞争性谈判文件中政府采购合同的全部条款且无任何异议。</w:t>
      </w:r>
    </w:p>
    <w:p w14:paraId="70A46D63">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7、如果发生供应商须知第24.2.1、24.2.2项所述情况，同意我方被认定为未实质性响应竞争性谈判文件。</w:t>
      </w:r>
    </w:p>
    <w:p w14:paraId="6CB5F38B">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8、如果发生供应商须知第24.3、31.2项所述情况，同意谈判小组认定我方的行为属于恶意串通行为，并自愿接受监管部门的处罚。</w:t>
      </w:r>
    </w:p>
    <w:p w14:paraId="1D3A90FE">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9、如果发生供应商须知第27.2项所述情况，同意我方被认定为丧失参加谈判的资格，并承担相应的法律责任。</w:t>
      </w:r>
    </w:p>
    <w:p w14:paraId="5A195A13">
      <w:pPr>
        <w:widowControl/>
        <w:shd w:val="clear" w:color="auto" w:fill="FFFFFF"/>
        <w:spacing w:line="360" w:lineRule="auto"/>
        <w:rPr>
          <w:rFonts w:hint="eastAsia" w:ascii="宋体" w:hAnsi="宋体" w:eastAsia="宋体" w:cs="宋体"/>
          <w:color w:val="auto"/>
          <w:kern w:val="0"/>
          <w:sz w:val="24"/>
        </w:rPr>
      </w:pPr>
      <w:r>
        <w:rPr>
          <w:rFonts w:hint="eastAsia" w:ascii="宋体" w:hAnsi="宋体" w:eastAsia="宋体" w:cs="宋体"/>
          <w:color w:val="auto"/>
          <w:kern w:val="0"/>
          <w:sz w:val="24"/>
        </w:rPr>
        <w:t>10、如果被确定为成交供应商，我方同意按竞争性谈判文件的规定领取成交通知书。否则，视为我方成交后自动放弃成交资格，承担由此引起的一切后果。</w:t>
      </w:r>
    </w:p>
    <w:p w14:paraId="615B4FC5">
      <w:pPr>
        <w:widowControl/>
        <w:shd w:val="clear" w:color="auto" w:fill="FFFFFF"/>
        <w:spacing w:line="360" w:lineRule="auto"/>
        <w:rPr>
          <w:rFonts w:hint="eastAsia" w:ascii="宋体" w:hAnsi="宋体" w:eastAsia="宋体" w:cs="宋体"/>
          <w:color w:val="auto"/>
          <w:kern w:val="0"/>
          <w:sz w:val="24"/>
        </w:rPr>
      </w:pPr>
      <w:r>
        <w:rPr>
          <w:rFonts w:hint="eastAsia" w:ascii="宋体" w:hAnsi="宋体" w:eastAsia="宋体" w:cs="宋体"/>
          <w:color w:val="auto"/>
          <w:kern w:val="0"/>
          <w:sz w:val="24"/>
        </w:rPr>
        <w:t>11、如果被确定为成交供应商，我方同意在领取成交通知书之日起</w:t>
      </w:r>
      <w:r>
        <w:rPr>
          <w:rFonts w:hint="eastAsia" w:ascii="宋体" w:hAnsi="宋体" w:cs="宋体"/>
          <w:color w:val="auto"/>
          <w:kern w:val="0"/>
          <w:sz w:val="24"/>
          <w:lang w:val="en-US" w:eastAsia="zh-CN"/>
        </w:rPr>
        <w:t xml:space="preserve"> </w:t>
      </w:r>
      <w:r>
        <w:rPr>
          <w:rFonts w:hint="eastAsia" w:ascii="宋体" w:hAnsi="宋体" w:eastAsia="宋体" w:cs="宋体"/>
          <w:color w:val="auto"/>
          <w:kern w:val="0"/>
          <w:sz w:val="24"/>
        </w:rPr>
        <w:t>日内，按照竞争性谈判文件的规定与采购人签订采购合同。否则，视为我方成交后无正当理由不与采购人签订合同并承担相应法律责任。</w:t>
      </w:r>
    </w:p>
    <w:p w14:paraId="3EA8758A">
      <w:pPr>
        <w:widowControl/>
        <w:shd w:val="clear" w:color="auto" w:fill="FFFFFF"/>
        <w:spacing w:line="360" w:lineRule="auto"/>
        <w:ind w:firstLine="464"/>
        <w:rPr>
          <w:rFonts w:hint="eastAsia" w:ascii="宋体" w:hAnsi="宋体" w:eastAsia="宋体" w:cs="宋体"/>
          <w:color w:val="auto"/>
          <w:kern w:val="0"/>
          <w:sz w:val="24"/>
        </w:rPr>
      </w:pPr>
      <w:r>
        <w:rPr>
          <w:rFonts w:hint="eastAsia" w:ascii="宋体" w:hAnsi="宋体" w:eastAsia="宋体" w:cs="宋体"/>
          <w:color w:val="auto"/>
          <w:kern w:val="0"/>
          <w:sz w:val="24"/>
        </w:rPr>
        <w:t>12、我方最近3年内的被公开披露或查处的违法违规行为有：</w:t>
      </w:r>
      <w:r>
        <w:rPr>
          <w:rFonts w:hint="eastAsia" w:ascii="宋体" w:hAnsi="宋体" w:cs="宋体"/>
          <w:color w:val="auto"/>
          <w:kern w:val="0"/>
          <w:sz w:val="24"/>
          <w:u w:val="single"/>
          <w:lang w:val="en-US" w:eastAsia="zh-CN"/>
        </w:rPr>
        <w:t xml:space="preserve">  </w:t>
      </w:r>
      <w:r>
        <w:rPr>
          <w:rFonts w:hint="eastAsia" w:ascii="宋体" w:hAnsi="宋体" w:cs="宋体"/>
          <w:color w:val="auto"/>
          <w:kern w:val="0"/>
          <w:sz w:val="24"/>
          <w:lang w:val="en-US" w:eastAsia="zh-CN"/>
        </w:rPr>
        <w:t xml:space="preserve"> </w:t>
      </w:r>
      <w:r>
        <w:rPr>
          <w:rFonts w:hint="eastAsia" w:ascii="宋体" w:hAnsi="宋体" w:eastAsia="宋体" w:cs="宋体"/>
          <w:color w:val="auto"/>
          <w:kern w:val="0"/>
          <w:sz w:val="24"/>
        </w:rPr>
        <w:t>。</w:t>
      </w:r>
    </w:p>
    <w:p w14:paraId="0E8610C2">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13、以上事项如有虚假或隐瞒，我方愿意承担一切后果和责任。</w:t>
      </w:r>
    </w:p>
    <w:p w14:paraId="79C99556">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14、与本响应有关的一切正式往来通讯请寄：</w:t>
      </w:r>
    </w:p>
    <w:p w14:paraId="49D4B71D">
      <w:pPr>
        <w:widowControl/>
        <w:shd w:val="clear" w:color="auto" w:fill="FFFFFF"/>
        <w:spacing w:line="360" w:lineRule="auto"/>
        <w:ind w:firstLine="240" w:firstLineChars="100"/>
        <w:rPr>
          <w:rFonts w:hint="eastAsia" w:ascii="宋体" w:hAnsi="宋体" w:eastAsia="宋体" w:cs="宋体"/>
          <w:color w:val="auto"/>
          <w:kern w:val="0"/>
          <w:sz w:val="24"/>
        </w:rPr>
      </w:pPr>
      <w:r>
        <w:rPr>
          <w:rFonts w:hint="eastAsia" w:ascii="宋体" w:hAnsi="宋体" w:eastAsia="宋体" w:cs="宋体"/>
          <w:color w:val="auto"/>
          <w:kern w:val="0"/>
          <w:sz w:val="24"/>
        </w:rPr>
        <w:t>地址：</w:t>
      </w:r>
      <w:r>
        <w:rPr>
          <w:rFonts w:hint="eastAsia" w:ascii="宋体" w:hAnsi="宋体" w:eastAsia="宋体" w:cs="宋体"/>
          <w:color w:val="auto"/>
          <w:kern w:val="0"/>
          <w:sz w:val="24"/>
          <w:u w:val="single"/>
        </w:rPr>
        <w:t>　　　  　　　</w:t>
      </w:r>
      <w:r>
        <w:rPr>
          <w:rFonts w:hint="eastAsia" w:ascii="宋体" w:hAnsi="宋体" w:eastAsia="宋体" w:cs="宋体"/>
          <w:color w:val="auto"/>
          <w:kern w:val="0"/>
          <w:sz w:val="24"/>
        </w:rPr>
        <w:t> 邮编：</w:t>
      </w:r>
      <w:r>
        <w:rPr>
          <w:rFonts w:hint="eastAsia" w:ascii="宋体" w:hAnsi="宋体" w:eastAsia="宋体" w:cs="宋体"/>
          <w:color w:val="auto"/>
          <w:kern w:val="0"/>
          <w:sz w:val="24"/>
          <w:u w:val="single"/>
        </w:rPr>
        <w:t>　　　　　　　　　　　</w:t>
      </w:r>
      <w:r>
        <w:rPr>
          <w:rFonts w:hint="eastAsia" w:ascii="宋体" w:hAnsi="宋体" w:eastAsia="宋体" w:cs="宋体"/>
          <w:color w:val="auto"/>
          <w:kern w:val="0"/>
          <w:sz w:val="24"/>
        </w:rPr>
        <w:t>  </w:t>
      </w:r>
    </w:p>
    <w:p w14:paraId="390A4B1F">
      <w:pPr>
        <w:widowControl/>
        <w:shd w:val="clear" w:color="auto" w:fill="FFFFFF"/>
        <w:spacing w:line="360" w:lineRule="auto"/>
        <w:rPr>
          <w:rFonts w:hint="eastAsia" w:ascii="宋体" w:hAnsi="宋体" w:eastAsia="宋体" w:cs="宋体"/>
          <w:color w:val="auto"/>
          <w:kern w:val="0"/>
          <w:sz w:val="24"/>
        </w:rPr>
      </w:pPr>
      <w:r>
        <w:rPr>
          <w:rFonts w:hint="eastAsia" w:ascii="宋体" w:hAnsi="宋体" w:eastAsia="宋体" w:cs="宋体"/>
          <w:color w:val="auto"/>
          <w:kern w:val="0"/>
          <w:sz w:val="24"/>
        </w:rPr>
        <w:t> 电话： </w:t>
      </w:r>
      <w:r>
        <w:rPr>
          <w:rFonts w:hint="eastAsia" w:ascii="宋体" w:hAnsi="宋体" w:eastAsia="宋体" w:cs="宋体"/>
          <w:color w:val="auto"/>
          <w:kern w:val="0"/>
          <w:sz w:val="24"/>
          <w:u w:val="single"/>
        </w:rPr>
        <w:t>　　　　　　</w:t>
      </w:r>
      <w:r>
        <w:rPr>
          <w:rFonts w:hint="eastAsia" w:ascii="宋体" w:hAnsi="宋体" w:eastAsia="宋体" w:cs="宋体"/>
          <w:color w:val="auto"/>
          <w:kern w:val="0"/>
          <w:sz w:val="24"/>
        </w:rPr>
        <w:t> 传真： </w:t>
      </w:r>
      <w:r>
        <w:rPr>
          <w:rFonts w:hint="eastAsia" w:ascii="宋体" w:hAnsi="宋体" w:eastAsia="宋体" w:cs="宋体"/>
          <w:color w:val="auto"/>
          <w:kern w:val="0"/>
          <w:sz w:val="24"/>
          <w:u w:val="single"/>
        </w:rPr>
        <w:t>　　　　　　　　　　　</w:t>
      </w:r>
    </w:p>
    <w:p w14:paraId="0B04590E">
      <w:pPr>
        <w:widowControl/>
        <w:shd w:val="clear" w:color="auto" w:fill="FFFFFF"/>
        <w:spacing w:line="360" w:lineRule="auto"/>
        <w:ind w:firstLine="240" w:firstLineChars="100"/>
        <w:rPr>
          <w:rFonts w:hint="eastAsia" w:ascii="宋体" w:hAnsi="宋体" w:eastAsia="宋体" w:cs="宋体"/>
          <w:color w:val="auto"/>
          <w:kern w:val="0"/>
          <w:sz w:val="24"/>
        </w:rPr>
      </w:pPr>
      <w:r>
        <w:rPr>
          <w:rFonts w:hint="eastAsia" w:ascii="宋体" w:hAnsi="宋体" w:eastAsia="宋体" w:cs="宋体"/>
          <w:color w:val="auto"/>
          <w:kern w:val="0"/>
          <w:sz w:val="24"/>
        </w:rPr>
        <w:t xml:space="preserve">供应商代表签字： </w:t>
      </w:r>
      <w:r>
        <w:rPr>
          <w:rFonts w:hint="eastAsia" w:ascii="宋体" w:hAnsi="宋体" w:eastAsia="宋体" w:cs="宋体"/>
          <w:color w:val="auto"/>
          <w:kern w:val="0"/>
          <w:sz w:val="24"/>
          <w:u w:val="single"/>
        </w:rPr>
        <w:t>　　　　　　　       　</w:t>
      </w:r>
    </w:p>
    <w:p w14:paraId="1B6A15AD">
      <w:pPr>
        <w:widowControl/>
        <w:shd w:val="clear" w:color="auto" w:fill="FFFFFF"/>
        <w:spacing w:line="360" w:lineRule="auto"/>
        <w:ind w:firstLine="240" w:firstLineChars="100"/>
        <w:rPr>
          <w:rFonts w:hint="eastAsia" w:ascii="宋体" w:hAnsi="宋体" w:eastAsia="宋体" w:cs="宋体"/>
          <w:color w:val="auto"/>
          <w:kern w:val="0"/>
          <w:sz w:val="24"/>
        </w:rPr>
      </w:pPr>
      <w:r>
        <w:rPr>
          <w:rFonts w:hint="eastAsia" w:ascii="宋体" w:hAnsi="宋体" w:eastAsia="宋体" w:cs="宋体"/>
          <w:color w:val="auto"/>
          <w:kern w:val="0"/>
          <w:sz w:val="24"/>
        </w:rPr>
        <w:t>供应商：</w:t>
      </w:r>
      <w:r>
        <w:rPr>
          <w:rFonts w:hint="eastAsia" w:ascii="宋体" w:hAnsi="宋体" w:eastAsia="宋体" w:cs="宋体"/>
          <w:color w:val="auto"/>
          <w:kern w:val="0"/>
          <w:sz w:val="24"/>
          <w:u w:val="single"/>
        </w:rPr>
        <w:t>　　　　　　　　　　　　　　　　</w:t>
      </w:r>
      <w:r>
        <w:rPr>
          <w:rFonts w:hint="eastAsia" w:ascii="宋体" w:hAnsi="宋体" w:eastAsia="宋体" w:cs="宋体"/>
          <w:color w:val="auto"/>
          <w:kern w:val="0"/>
          <w:sz w:val="24"/>
        </w:rPr>
        <w:t>（全称并加盖公章）</w:t>
      </w:r>
    </w:p>
    <w:p w14:paraId="354238DC">
      <w:pPr>
        <w:widowControl/>
        <w:shd w:val="clear" w:color="auto" w:fill="FFFFFF"/>
        <w:spacing w:line="360" w:lineRule="auto"/>
        <w:ind w:firstLine="480"/>
        <w:jc w:val="right"/>
        <w:rPr>
          <w:rFonts w:hint="eastAsia" w:ascii="宋体" w:hAnsi="宋体" w:eastAsia="宋体" w:cs="宋体"/>
          <w:color w:val="auto"/>
          <w:kern w:val="0"/>
          <w:sz w:val="24"/>
          <w:u w:val="single"/>
        </w:rPr>
      </w:pPr>
      <w:r>
        <w:rPr>
          <w:rFonts w:hint="eastAsia" w:ascii="宋体" w:hAnsi="宋体" w:eastAsia="宋体" w:cs="宋体"/>
          <w:color w:val="auto"/>
          <w:kern w:val="0"/>
          <w:sz w:val="24"/>
        </w:rPr>
        <w:t>     年    月    日</w:t>
      </w:r>
    </w:p>
    <w:p w14:paraId="65DE66C0">
      <w:pPr>
        <w:jc w:val="center"/>
        <w:rPr>
          <w:rFonts w:hint="eastAsia" w:ascii="宋体" w:hAnsi="宋体" w:eastAsia="宋体" w:cs="宋体"/>
          <w:b/>
          <w:color w:val="auto"/>
          <w:kern w:val="0"/>
          <w:sz w:val="32"/>
          <w:szCs w:val="32"/>
        </w:rPr>
      </w:pPr>
    </w:p>
    <w:p w14:paraId="0C1BEB5B">
      <w:pPr>
        <w:jc w:val="center"/>
        <w:rPr>
          <w:rFonts w:hint="eastAsia" w:ascii="宋体" w:hAnsi="宋体" w:eastAsia="宋体" w:cs="宋体"/>
          <w:b/>
          <w:color w:val="auto"/>
          <w:kern w:val="0"/>
          <w:sz w:val="32"/>
          <w:szCs w:val="32"/>
        </w:rPr>
      </w:pPr>
    </w:p>
    <w:p w14:paraId="1E9E33E7">
      <w:pPr>
        <w:jc w:val="center"/>
        <w:rPr>
          <w:rFonts w:hint="eastAsia" w:ascii="宋体" w:hAnsi="宋体" w:eastAsia="宋体" w:cs="宋体"/>
          <w:b/>
          <w:color w:val="auto"/>
          <w:kern w:val="0"/>
          <w:sz w:val="32"/>
          <w:szCs w:val="32"/>
        </w:rPr>
      </w:pPr>
    </w:p>
    <w:p w14:paraId="47C403E9">
      <w:pPr>
        <w:jc w:val="center"/>
        <w:rPr>
          <w:rFonts w:hint="eastAsia" w:ascii="宋体" w:hAnsi="宋体" w:eastAsia="宋体" w:cs="宋体"/>
          <w:b/>
          <w:color w:val="auto"/>
          <w:kern w:val="0"/>
          <w:sz w:val="32"/>
          <w:szCs w:val="32"/>
        </w:rPr>
      </w:pPr>
    </w:p>
    <w:p w14:paraId="5FD64E5B">
      <w:pPr>
        <w:jc w:val="center"/>
        <w:rPr>
          <w:rFonts w:hint="eastAsia" w:ascii="宋体" w:hAnsi="宋体" w:eastAsia="宋体" w:cs="宋体"/>
          <w:b/>
          <w:color w:val="auto"/>
          <w:kern w:val="0"/>
          <w:sz w:val="32"/>
          <w:szCs w:val="32"/>
        </w:rPr>
      </w:pPr>
    </w:p>
    <w:p w14:paraId="07FA1558">
      <w:pPr>
        <w:jc w:val="center"/>
        <w:rPr>
          <w:rFonts w:hint="eastAsia" w:ascii="宋体" w:hAnsi="宋体" w:eastAsia="宋体" w:cs="宋体"/>
          <w:b/>
          <w:color w:val="auto"/>
          <w:kern w:val="0"/>
          <w:sz w:val="32"/>
          <w:szCs w:val="32"/>
        </w:rPr>
      </w:pPr>
    </w:p>
    <w:p w14:paraId="44F8AFC5">
      <w:pPr>
        <w:jc w:val="center"/>
        <w:rPr>
          <w:rFonts w:hint="eastAsia" w:ascii="宋体" w:hAnsi="宋体" w:eastAsia="宋体" w:cs="宋体"/>
          <w:b/>
          <w:color w:val="auto"/>
          <w:kern w:val="0"/>
          <w:sz w:val="32"/>
          <w:szCs w:val="32"/>
        </w:rPr>
      </w:pPr>
    </w:p>
    <w:p w14:paraId="43AA565D">
      <w:pPr>
        <w:jc w:val="center"/>
        <w:rPr>
          <w:rFonts w:hint="eastAsia" w:ascii="宋体" w:hAnsi="宋体" w:eastAsia="宋体" w:cs="宋体"/>
          <w:b/>
          <w:color w:val="auto"/>
          <w:kern w:val="0"/>
          <w:sz w:val="32"/>
          <w:szCs w:val="32"/>
        </w:rPr>
      </w:pPr>
    </w:p>
    <w:p w14:paraId="45A1D9EB">
      <w:pPr>
        <w:jc w:val="center"/>
        <w:rPr>
          <w:rFonts w:hint="eastAsia" w:ascii="宋体" w:hAnsi="宋体" w:eastAsia="宋体" w:cs="宋体"/>
          <w:b/>
          <w:color w:val="auto"/>
          <w:kern w:val="0"/>
          <w:sz w:val="32"/>
          <w:szCs w:val="32"/>
        </w:rPr>
      </w:pPr>
    </w:p>
    <w:p w14:paraId="4D1800CA">
      <w:pPr>
        <w:jc w:val="center"/>
        <w:rPr>
          <w:rFonts w:hint="eastAsia" w:ascii="宋体" w:hAnsi="宋体" w:eastAsia="宋体" w:cs="宋体"/>
          <w:b/>
          <w:color w:val="auto"/>
          <w:kern w:val="0"/>
          <w:sz w:val="32"/>
          <w:szCs w:val="32"/>
        </w:rPr>
      </w:pPr>
    </w:p>
    <w:p w14:paraId="31BADF42">
      <w:pPr>
        <w:jc w:val="center"/>
        <w:rPr>
          <w:rFonts w:hint="eastAsia" w:ascii="宋体" w:hAnsi="宋体" w:eastAsia="宋体" w:cs="宋体"/>
          <w:b/>
          <w:color w:val="auto"/>
          <w:kern w:val="0"/>
          <w:sz w:val="32"/>
          <w:szCs w:val="32"/>
        </w:rPr>
      </w:pPr>
    </w:p>
    <w:p w14:paraId="6E5BF4F4">
      <w:pPr>
        <w:jc w:val="center"/>
        <w:rPr>
          <w:rFonts w:hint="eastAsia" w:ascii="宋体" w:hAnsi="宋体" w:eastAsia="宋体" w:cs="宋体"/>
          <w:b/>
          <w:color w:val="auto"/>
          <w:kern w:val="0"/>
          <w:sz w:val="32"/>
          <w:szCs w:val="32"/>
        </w:rPr>
      </w:pPr>
    </w:p>
    <w:p w14:paraId="7BF3C556">
      <w:pPr>
        <w:jc w:val="center"/>
        <w:rPr>
          <w:rFonts w:hint="eastAsia" w:ascii="宋体" w:hAnsi="宋体" w:eastAsia="宋体" w:cs="宋体"/>
          <w:b/>
          <w:color w:val="auto"/>
          <w:kern w:val="0"/>
          <w:sz w:val="32"/>
          <w:szCs w:val="32"/>
        </w:rPr>
      </w:pPr>
    </w:p>
    <w:p w14:paraId="2DB8135D">
      <w:pPr>
        <w:jc w:val="center"/>
        <w:rPr>
          <w:rFonts w:hint="eastAsia" w:ascii="宋体" w:hAnsi="宋体" w:eastAsia="宋体" w:cs="宋体"/>
          <w:b/>
          <w:color w:val="auto"/>
          <w:kern w:val="0"/>
          <w:sz w:val="32"/>
          <w:szCs w:val="32"/>
        </w:rPr>
      </w:pPr>
      <w:r>
        <w:rPr>
          <w:rFonts w:hint="eastAsia" w:ascii="宋体" w:hAnsi="宋体" w:eastAsia="宋体" w:cs="宋体"/>
          <w:b/>
          <w:color w:val="auto"/>
          <w:kern w:val="0"/>
          <w:sz w:val="32"/>
          <w:szCs w:val="32"/>
        </w:rPr>
        <w:t>附件3  初次报价一览表</w:t>
      </w:r>
    </w:p>
    <w:p w14:paraId="4A7E5967">
      <w:pPr>
        <w:spacing w:line="360" w:lineRule="auto"/>
        <w:rPr>
          <w:rFonts w:hint="eastAsia" w:ascii="宋体" w:hAnsi="宋体" w:eastAsia="宋体" w:cs="宋体"/>
          <w:color w:val="auto"/>
          <w:sz w:val="24"/>
        </w:rPr>
      </w:pPr>
      <w:r>
        <w:rPr>
          <w:rFonts w:hint="eastAsia" w:ascii="宋体" w:hAnsi="宋体" w:eastAsia="宋体" w:cs="宋体"/>
          <w:color w:val="auto"/>
          <w:sz w:val="28"/>
          <w:szCs w:val="28"/>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项目</w:t>
      </w:r>
      <w:r>
        <w:rPr>
          <w:rFonts w:hint="eastAsia" w:ascii="宋体" w:hAnsi="宋体" w:eastAsia="宋体" w:cs="宋体"/>
          <w:color w:val="auto"/>
          <w:sz w:val="24"/>
        </w:rPr>
        <w:t>编号：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货币单位：</w:t>
      </w:r>
      <w:r>
        <w:rPr>
          <w:rFonts w:hint="eastAsia" w:ascii="宋体" w:hAnsi="宋体" w:eastAsia="宋体" w:cs="宋体"/>
          <w:color w:val="auto"/>
          <w:sz w:val="24"/>
          <w:lang w:eastAsia="zh-CN"/>
        </w:rPr>
        <w:t>元</w:t>
      </w:r>
    </w:p>
    <w:tbl>
      <w:tblPr>
        <w:tblStyle w:val="24"/>
        <w:tblW w:w="928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58"/>
        <w:gridCol w:w="6728"/>
      </w:tblGrid>
      <w:tr w14:paraId="529BE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558" w:type="dxa"/>
            <w:noWrap w:val="0"/>
            <w:vAlign w:val="center"/>
          </w:tcPr>
          <w:p w14:paraId="7D8D3B8C">
            <w:pPr>
              <w:keepNext w:val="0"/>
              <w:keepLines w:val="0"/>
              <w:suppressLineNumbers w:val="0"/>
              <w:spacing w:before="0" w:beforeAutospacing="0" w:after="0" w:afterAutospacing="0"/>
              <w:ind w:left="0" w:right="0"/>
              <w:jc w:val="center"/>
              <w:rPr>
                <w:rFonts w:hint="default" w:ascii="宋体"/>
                <w:color w:val="auto"/>
                <w:sz w:val="24"/>
              </w:rPr>
            </w:pPr>
            <w:r>
              <w:rPr>
                <w:rFonts w:hint="eastAsia" w:ascii="宋体" w:hAnsi="宋体" w:cs="宋体"/>
                <w:color w:val="auto"/>
                <w:sz w:val="24"/>
              </w:rPr>
              <w:t>项目名称</w:t>
            </w:r>
          </w:p>
        </w:tc>
        <w:tc>
          <w:tcPr>
            <w:tcW w:w="6728" w:type="dxa"/>
            <w:noWrap w:val="0"/>
            <w:vAlign w:val="center"/>
          </w:tcPr>
          <w:p w14:paraId="37B49A00">
            <w:pPr>
              <w:keepNext w:val="0"/>
              <w:keepLines w:val="0"/>
              <w:suppressLineNumbers w:val="0"/>
              <w:spacing w:before="0" w:beforeAutospacing="0" w:after="0" w:afterAutospacing="0"/>
              <w:ind w:left="0" w:right="0"/>
              <w:jc w:val="center"/>
              <w:rPr>
                <w:rFonts w:hint="default" w:ascii="宋体"/>
                <w:color w:val="auto"/>
                <w:sz w:val="24"/>
              </w:rPr>
            </w:pPr>
          </w:p>
        </w:tc>
      </w:tr>
      <w:tr w14:paraId="7764D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558" w:type="dxa"/>
            <w:noWrap w:val="0"/>
            <w:vAlign w:val="center"/>
          </w:tcPr>
          <w:p w14:paraId="32876F7A">
            <w:pPr>
              <w:keepNext w:val="0"/>
              <w:keepLines w:val="0"/>
              <w:suppressLineNumbers w:val="0"/>
              <w:spacing w:before="0" w:beforeAutospacing="0" w:after="0" w:afterAutospacing="0"/>
              <w:ind w:left="0" w:right="0"/>
              <w:jc w:val="center"/>
              <w:rPr>
                <w:rFonts w:hint="eastAsia" w:ascii="宋体" w:hAnsi="宋体" w:eastAsia="宋体" w:cs="宋体"/>
                <w:color w:val="auto"/>
                <w:sz w:val="24"/>
                <w:lang w:val="en-US" w:eastAsia="zh-CN"/>
              </w:rPr>
            </w:pPr>
            <w:r>
              <w:rPr>
                <w:rFonts w:hint="eastAsia" w:ascii="宋体" w:hAnsi="宋体" w:cs="宋体"/>
                <w:color w:val="auto"/>
                <w:sz w:val="24"/>
                <w:lang w:val="en-US" w:eastAsia="zh-CN"/>
              </w:rPr>
              <w:t>包   号</w:t>
            </w:r>
          </w:p>
        </w:tc>
        <w:tc>
          <w:tcPr>
            <w:tcW w:w="6728" w:type="dxa"/>
            <w:noWrap w:val="0"/>
            <w:vAlign w:val="center"/>
          </w:tcPr>
          <w:p w14:paraId="360B9729">
            <w:pPr>
              <w:keepNext w:val="0"/>
              <w:keepLines w:val="0"/>
              <w:suppressLineNumbers w:val="0"/>
              <w:spacing w:before="0" w:beforeAutospacing="0" w:after="0" w:afterAutospacing="0"/>
              <w:ind w:left="0" w:right="0"/>
              <w:jc w:val="center"/>
              <w:rPr>
                <w:rFonts w:hint="default" w:ascii="宋体"/>
                <w:color w:val="auto"/>
                <w:sz w:val="24"/>
              </w:rPr>
            </w:pPr>
          </w:p>
        </w:tc>
      </w:tr>
      <w:tr w14:paraId="6C04F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558" w:type="dxa"/>
            <w:noWrap w:val="0"/>
            <w:vAlign w:val="center"/>
          </w:tcPr>
          <w:p w14:paraId="69F290B5">
            <w:pPr>
              <w:keepNext w:val="0"/>
              <w:keepLines w:val="0"/>
              <w:suppressLineNumbers w:val="0"/>
              <w:spacing w:before="0" w:beforeAutospacing="0" w:after="0" w:afterAutospacing="0"/>
              <w:ind w:left="0" w:right="0"/>
              <w:jc w:val="center"/>
              <w:rPr>
                <w:rFonts w:hint="default" w:ascii="宋体"/>
                <w:color w:val="auto"/>
                <w:sz w:val="24"/>
              </w:rPr>
            </w:pPr>
            <w:r>
              <w:rPr>
                <w:rFonts w:hint="eastAsia" w:ascii="宋体" w:hAnsi="宋体" w:cs="仿宋"/>
                <w:color w:val="auto"/>
                <w:sz w:val="24"/>
              </w:rPr>
              <w:t>供应商</w:t>
            </w:r>
          </w:p>
        </w:tc>
        <w:tc>
          <w:tcPr>
            <w:tcW w:w="6728" w:type="dxa"/>
            <w:noWrap w:val="0"/>
            <w:vAlign w:val="center"/>
          </w:tcPr>
          <w:p w14:paraId="0F270E0D">
            <w:pPr>
              <w:keepNext w:val="0"/>
              <w:keepLines w:val="0"/>
              <w:suppressLineNumbers w:val="0"/>
              <w:spacing w:before="0" w:beforeAutospacing="0" w:after="0" w:afterAutospacing="0"/>
              <w:ind w:left="0" w:right="0"/>
              <w:jc w:val="center"/>
              <w:rPr>
                <w:rFonts w:hint="default" w:ascii="宋体"/>
                <w:color w:val="auto"/>
                <w:sz w:val="24"/>
              </w:rPr>
            </w:pPr>
          </w:p>
        </w:tc>
      </w:tr>
      <w:tr w14:paraId="3BB5B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558" w:type="dxa"/>
            <w:noWrap w:val="0"/>
            <w:vAlign w:val="center"/>
          </w:tcPr>
          <w:p w14:paraId="0F84D561">
            <w:pPr>
              <w:keepNext w:val="0"/>
              <w:keepLines w:val="0"/>
              <w:suppressLineNumbers w:val="0"/>
              <w:spacing w:before="0" w:beforeAutospacing="0" w:after="0" w:afterAutospacing="0"/>
              <w:ind w:left="0" w:right="0"/>
              <w:jc w:val="center"/>
              <w:rPr>
                <w:rFonts w:hint="default" w:ascii="宋体"/>
                <w:color w:val="auto"/>
                <w:sz w:val="24"/>
              </w:rPr>
            </w:pPr>
            <w:r>
              <w:rPr>
                <w:rFonts w:hint="eastAsia" w:ascii="宋体"/>
                <w:color w:val="auto"/>
                <w:sz w:val="24"/>
                <w:lang w:val="en-US" w:eastAsia="zh-CN"/>
              </w:rPr>
              <w:t>投标</w:t>
            </w:r>
            <w:r>
              <w:rPr>
                <w:rFonts w:hint="eastAsia" w:ascii="宋体"/>
                <w:color w:val="auto"/>
                <w:sz w:val="24"/>
              </w:rPr>
              <w:t>报价</w:t>
            </w:r>
          </w:p>
        </w:tc>
        <w:tc>
          <w:tcPr>
            <w:tcW w:w="6728" w:type="dxa"/>
            <w:noWrap w:val="0"/>
            <w:vAlign w:val="center"/>
          </w:tcPr>
          <w:p w14:paraId="35E97487">
            <w:pPr>
              <w:pStyle w:val="8"/>
              <w:keepNext w:val="0"/>
              <w:keepLines w:val="0"/>
              <w:suppressLineNumbers w:val="0"/>
              <w:spacing w:before="0" w:beforeAutospacing="0" w:after="0" w:afterAutospacing="0"/>
              <w:ind w:right="0"/>
              <w:rPr>
                <w:rFonts w:hint="default" w:eastAsia="宋体"/>
                <w:color w:val="auto"/>
              </w:rPr>
            </w:pPr>
          </w:p>
        </w:tc>
      </w:tr>
      <w:tr w14:paraId="69410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558" w:type="dxa"/>
            <w:noWrap w:val="0"/>
            <w:vAlign w:val="center"/>
          </w:tcPr>
          <w:p w14:paraId="487A5A66">
            <w:pPr>
              <w:keepNext w:val="0"/>
              <w:keepLines w:val="0"/>
              <w:suppressLineNumbers w:val="0"/>
              <w:spacing w:before="0" w:beforeAutospacing="0" w:after="0" w:afterAutospacing="0"/>
              <w:ind w:left="0" w:right="0"/>
              <w:jc w:val="center"/>
              <w:rPr>
                <w:rFonts w:hint="default" w:ascii="宋体"/>
                <w:color w:val="auto"/>
                <w:sz w:val="24"/>
              </w:rPr>
            </w:pPr>
            <w:r>
              <w:rPr>
                <w:rFonts w:hint="eastAsia" w:ascii="宋体" w:hAnsi="宋体" w:cs="宋体"/>
                <w:color w:val="auto"/>
                <w:sz w:val="24"/>
              </w:rPr>
              <w:t>服务期限</w:t>
            </w:r>
          </w:p>
        </w:tc>
        <w:tc>
          <w:tcPr>
            <w:tcW w:w="6728" w:type="dxa"/>
            <w:noWrap w:val="0"/>
            <w:vAlign w:val="center"/>
          </w:tcPr>
          <w:p w14:paraId="5FFE6432">
            <w:pPr>
              <w:keepNext w:val="0"/>
              <w:keepLines w:val="0"/>
              <w:suppressLineNumbers w:val="0"/>
              <w:spacing w:before="0" w:beforeAutospacing="0" w:after="0" w:afterAutospacing="0"/>
              <w:ind w:left="0" w:right="0"/>
              <w:rPr>
                <w:rFonts w:hint="default" w:ascii="宋体"/>
                <w:color w:val="auto"/>
                <w:sz w:val="24"/>
                <w:u w:val="single"/>
              </w:rPr>
            </w:pPr>
          </w:p>
        </w:tc>
      </w:tr>
      <w:tr w14:paraId="3F9BF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558" w:type="dxa"/>
            <w:noWrap w:val="0"/>
            <w:vAlign w:val="center"/>
          </w:tcPr>
          <w:p w14:paraId="49D29DCE">
            <w:pPr>
              <w:keepNext w:val="0"/>
              <w:keepLines w:val="0"/>
              <w:suppressLineNumbers w:val="0"/>
              <w:spacing w:before="0" w:beforeAutospacing="0" w:after="0" w:afterAutospacing="0"/>
              <w:ind w:left="0" w:right="0"/>
              <w:jc w:val="center"/>
              <w:rPr>
                <w:rFonts w:hint="default" w:ascii="宋体"/>
                <w:color w:val="auto"/>
                <w:sz w:val="24"/>
              </w:rPr>
            </w:pPr>
            <w:r>
              <w:rPr>
                <w:rFonts w:hint="eastAsia" w:ascii="宋体" w:hAnsi="宋体" w:cs="宋体"/>
                <w:color w:val="auto"/>
                <w:sz w:val="24"/>
              </w:rPr>
              <w:t>投标有效期</w:t>
            </w:r>
          </w:p>
        </w:tc>
        <w:tc>
          <w:tcPr>
            <w:tcW w:w="6728" w:type="dxa"/>
            <w:noWrap w:val="0"/>
            <w:vAlign w:val="center"/>
          </w:tcPr>
          <w:p w14:paraId="1E7B1F43">
            <w:pPr>
              <w:keepNext w:val="0"/>
              <w:keepLines w:val="0"/>
              <w:suppressLineNumbers w:val="0"/>
              <w:spacing w:before="0" w:beforeAutospacing="0" w:after="0" w:afterAutospacing="0"/>
              <w:ind w:left="0" w:right="0"/>
              <w:rPr>
                <w:rFonts w:hint="default" w:ascii="宋体"/>
                <w:color w:val="auto"/>
                <w:sz w:val="24"/>
                <w:u w:val="single"/>
              </w:rPr>
            </w:pPr>
          </w:p>
        </w:tc>
      </w:tr>
      <w:tr w14:paraId="2863C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trPr>
        <w:tc>
          <w:tcPr>
            <w:tcW w:w="2558" w:type="dxa"/>
            <w:noWrap w:val="0"/>
            <w:vAlign w:val="center"/>
          </w:tcPr>
          <w:p w14:paraId="7B588C64">
            <w:pPr>
              <w:keepNext w:val="0"/>
              <w:keepLines w:val="0"/>
              <w:suppressLineNumbers w:val="0"/>
              <w:spacing w:before="0" w:beforeAutospacing="0" w:after="0" w:afterAutospacing="0"/>
              <w:ind w:left="0" w:right="0"/>
              <w:jc w:val="center"/>
              <w:rPr>
                <w:rFonts w:hint="default" w:ascii="宋体"/>
                <w:color w:val="auto"/>
                <w:sz w:val="24"/>
              </w:rPr>
            </w:pPr>
            <w:r>
              <w:rPr>
                <w:rFonts w:hint="eastAsia" w:ascii="宋体" w:hAnsi="宋体" w:cs="宋体"/>
                <w:color w:val="auto"/>
                <w:sz w:val="24"/>
              </w:rPr>
              <w:t>备注</w:t>
            </w:r>
          </w:p>
        </w:tc>
        <w:tc>
          <w:tcPr>
            <w:tcW w:w="6728" w:type="dxa"/>
            <w:noWrap w:val="0"/>
            <w:vAlign w:val="center"/>
          </w:tcPr>
          <w:p w14:paraId="21A8B385">
            <w:pPr>
              <w:keepNext w:val="0"/>
              <w:keepLines w:val="0"/>
              <w:suppressLineNumbers w:val="0"/>
              <w:spacing w:before="0" w:beforeAutospacing="0" w:after="0" w:afterAutospacing="0"/>
              <w:ind w:left="0" w:right="0"/>
              <w:jc w:val="center"/>
              <w:rPr>
                <w:rFonts w:hint="default" w:ascii="宋体"/>
                <w:color w:val="auto"/>
                <w:sz w:val="24"/>
              </w:rPr>
            </w:pPr>
          </w:p>
          <w:p w14:paraId="7B476DFE">
            <w:pPr>
              <w:keepNext w:val="0"/>
              <w:keepLines w:val="0"/>
              <w:suppressLineNumbers w:val="0"/>
              <w:spacing w:before="0" w:beforeAutospacing="0" w:after="0" w:afterAutospacing="0"/>
              <w:ind w:left="0" w:right="0"/>
              <w:jc w:val="center"/>
              <w:rPr>
                <w:rFonts w:hint="default" w:ascii="宋体"/>
                <w:color w:val="auto"/>
                <w:sz w:val="24"/>
              </w:rPr>
            </w:pPr>
          </w:p>
        </w:tc>
      </w:tr>
    </w:tbl>
    <w:p w14:paraId="5C767584">
      <w:pPr>
        <w:widowControl/>
        <w:shd w:val="clear" w:color="auto" w:fill="FFFFFF"/>
        <w:spacing w:before="50" w:after="50" w:line="360" w:lineRule="auto"/>
        <w:ind w:firstLine="480"/>
        <w:jc w:val="left"/>
        <w:rPr>
          <w:rFonts w:ascii="宋体" w:hAnsi="宋体" w:cs="宋体"/>
          <w:color w:val="auto"/>
          <w:kern w:val="0"/>
          <w:sz w:val="24"/>
        </w:rPr>
      </w:pPr>
      <w:r>
        <w:rPr>
          <w:rFonts w:hint="eastAsia" w:ascii="宋体" w:hAnsi="宋体" w:cs="宋体"/>
          <w:color w:val="auto"/>
          <w:kern w:val="0"/>
          <w:sz w:val="24"/>
        </w:rPr>
        <w:t>注: 1、报价一经涂改，应在涂改处加盖单位公章或供应商代表签字或盖章，否则其响应作无效响应处理。</w:t>
      </w:r>
    </w:p>
    <w:p w14:paraId="3500BCED">
      <w:pPr>
        <w:widowControl/>
        <w:shd w:val="clear" w:color="auto" w:fill="FFFFFF"/>
        <w:spacing w:before="50" w:after="50" w:line="360" w:lineRule="auto"/>
        <w:ind w:firstLine="480"/>
        <w:jc w:val="left"/>
        <w:rPr>
          <w:rFonts w:ascii="宋体" w:hAnsi="宋体" w:cs="宋体"/>
          <w:color w:val="auto"/>
          <w:kern w:val="0"/>
          <w:sz w:val="24"/>
        </w:rPr>
      </w:pPr>
      <w:r>
        <w:rPr>
          <w:rFonts w:hint="eastAsia" w:ascii="宋体" w:hAnsi="宋体" w:cs="宋体"/>
          <w:color w:val="auto"/>
          <w:kern w:val="0"/>
          <w:sz w:val="24"/>
        </w:rPr>
        <w:t>2、谈判费用为完成本项目服务内容产生的所有费用。</w:t>
      </w:r>
    </w:p>
    <w:p w14:paraId="6763FE94">
      <w:pPr>
        <w:widowControl/>
        <w:shd w:val="clear" w:color="auto" w:fill="FFFFFF"/>
        <w:spacing w:before="50" w:after="50" w:line="360" w:lineRule="auto"/>
        <w:ind w:firstLine="480"/>
        <w:jc w:val="left"/>
        <w:rPr>
          <w:rFonts w:ascii="宋体" w:hAnsi="宋体" w:cs="宋体"/>
          <w:color w:val="auto"/>
          <w:kern w:val="0"/>
          <w:sz w:val="24"/>
        </w:rPr>
      </w:pPr>
      <w:r>
        <w:rPr>
          <w:rFonts w:hint="eastAsia" w:ascii="宋体" w:hAnsi="宋体" w:cs="宋体"/>
          <w:color w:val="auto"/>
          <w:kern w:val="0"/>
          <w:sz w:val="24"/>
        </w:rPr>
        <w:t>3、若认为符合价格折扣条件的，在 “备注”栏内注明符合何种折扣条件，以方便谈判小组评审。</w:t>
      </w:r>
    </w:p>
    <w:p w14:paraId="3CA258D8">
      <w:pPr>
        <w:spacing w:line="360" w:lineRule="auto"/>
        <w:ind w:firstLine="480" w:firstLineChars="200"/>
        <w:rPr>
          <w:rFonts w:hint="eastAsia" w:ascii="宋体" w:hAnsi="宋体" w:cs="宋体"/>
          <w:color w:val="auto"/>
          <w:kern w:val="0"/>
          <w:sz w:val="24"/>
        </w:rPr>
      </w:pPr>
      <w:r>
        <w:rPr>
          <w:rFonts w:hint="eastAsia" w:ascii="宋体" w:hAnsi="宋体" w:cs="宋体"/>
          <w:color w:val="auto"/>
          <w:kern w:val="0"/>
          <w:sz w:val="24"/>
        </w:rPr>
        <w:t xml:space="preserve">4、供应商按格式填列，不得自行更改，否则引起的不利后果由供应商承担。   </w:t>
      </w:r>
    </w:p>
    <w:p w14:paraId="605A7CB6">
      <w:pPr>
        <w:spacing w:line="360" w:lineRule="auto"/>
        <w:ind w:firstLine="480" w:firstLineChars="200"/>
        <w:rPr>
          <w:rFonts w:hint="eastAsia" w:ascii="宋体" w:hAnsi="宋体" w:cs="宋体"/>
          <w:color w:val="auto"/>
          <w:kern w:val="0"/>
          <w:sz w:val="24"/>
        </w:rPr>
      </w:pPr>
    </w:p>
    <w:p w14:paraId="6AECC2D6">
      <w:pPr>
        <w:spacing w:line="360" w:lineRule="auto"/>
        <w:ind w:firstLine="2640" w:firstLineChars="1100"/>
        <w:rPr>
          <w:rFonts w:hint="eastAsia" w:ascii="宋体" w:hAnsi="宋体" w:eastAsia="宋体" w:cs="宋体"/>
          <w:color w:val="auto"/>
          <w:sz w:val="24"/>
        </w:rPr>
      </w:pPr>
      <w:r>
        <w:rPr>
          <w:rFonts w:hint="eastAsia" w:ascii="宋体" w:hAnsi="宋体" w:eastAsia="宋体" w:cs="宋体"/>
          <w:color w:val="auto"/>
          <w:sz w:val="24"/>
        </w:rPr>
        <w:t xml:space="preserve">供应商代表签字：                 </w:t>
      </w:r>
    </w:p>
    <w:p w14:paraId="0EB764CF">
      <w:pPr>
        <w:spacing w:line="360" w:lineRule="auto"/>
        <w:jc w:val="both"/>
        <w:rPr>
          <w:rFonts w:hint="eastAsia" w:ascii="宋体" w:hAnsi="宋体" w:eastAsia="宋体" w:cs="宋体"/>
          <w:color w:val="auto"/>
          <w:sz w:val="24"/>
        </w:rPr>
      </w:pPr>
    </w:p>
    <w:p w14:paraId="340C9FED">
      <w:pPr>
        <w:spacing w:line="360" w:lineRule="auto"/>
        <w:ind w:firstLine="2640" w:firstLineChars="1100"/>
        <w:jc w:val="both"/>
        <w:rPr>
          <w:rFonts w:hint="eastAsia" w:ascii="宋体" w:hAnsi="宋体" w:eastAsia="宋体" w:cs="宋体"/>
          <w:color w:val="auto"/>
          <w:sz w:val="24"/>
        </w:rPr>
      </w:pPr>
      <w:r>
        <w:rPr>
          <w:rFonts w:hint="eastAsia" w:ascii="宋体" w:hAnsi="宋体" w:eastAsia="宋体" w:cs="宋体"/>
          <w:color w:val="auto"/>
          <w:sz w:val="24"/>
        </w:rPr>
        <w:t>供应商：  （全称并加盖公章）</w:t>
      </w:r>
    </w:p>
    <w:p w14:paraId="68342905">
      <w:pPr>
        <w:spacing w:line="360" w:lineRule="auto"/>
        <w:jc w:val="center"/>
        <w:rPr>
          <w:rFonts w:hint="eastAsia" w:ascii="宋体" w:hAnsi="宋体" w:eastAsia="宋体" w:cs="宋体"/>
          <w:color w:val="auto"/>
          <w:sz w:val="24"/>
        </w:rPr>
      </w:pPr>
    </w:p>
    <w:p w14:paraId="7211B1F8">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年    月    日</w:t>
      </w:r>
    </w:p>
    <w:p w14:paraId="20EB379C">
      <w:pPr>
        <w:jc w:val="center"/>
        <w:rPr>
          <w:rFonts w:hint="eastAsia" w:ascii="宋体" w:hAnsi="宋体" w:eastAsia="宋体" w:cs="宋体"/>
          <w:b/>
          <w:color w:val="auto"/>
          <w:kern w:val="0"/>
          <w:sz w:val="32"/>
          <w:szCs w:val="32"/>
        </w:rPr>
      </w:pPr>
    </w:p>
    <w:p w14:paraId="3F7436D5">
      <w:pPr>
        <w:jc w:val="center"/>
        <w:rPr>
          <w:rFonts w:hint="eastAsia" w:ascii="宋体" w:hAnsi="宋体" w:eastAsia="宋体" w:cs="宋体"/>
          <w:b/>
          <w:color w:val="auto"/>
          <w:kern w:val="0"/>
          <w:sz w:val="32"/>
          <w:szCs w:val="32"/>
        </w:rPr>
      </w:pPr>
    </w:p>
    <w:p w14:paraId="1E5812D4">
      <w:pPr>
        <w:jc w:val="center"/>
        <w:rPr>
          <w:rFonts w:hint="eastAsia" w:ascii="宋体" w:hAnsi="宋体" w:eastAsia="宋体" w:cs="宋体"/>
          <w:b/>
          <w:color w:val="auto"/>
          <w:kern w:val="0"/>
          <w:sz w:val="32"/>
          <w:szCs w:val="32"/>
        </w:rPr>
      </w:pPr>
    </w:p>
    <w:p w14:paraId="44800292">
      <w:pPr>
        <w:jc w:val="center"/>
        <w:rPr>
          <w:rFonts w:hint="eastAsia" w:ascii="宋体" w:hAnsi="宋体" w:eastAsia="宋体" w:cs="宋体"/>
          <w:b/>
          <w:color w:val="auto"/>
          <w:kern w:val="0"/>
          <w:sz w:val="32"/>
          <w:szCs w:val="32"/>
        </w:rPr>
      </w:pPr>
      <w:r>
        <w:rPr>
          <w:rFonts w:hint="eastAsia" w:ascii="宋体" w:hAnsi="宋体" w:eastAsia="宋体" w:cs="宋体"/>
          <w:b/>
          <w:color w:val="auto"/>
          <w:kern w:val="0"/>
          <w:sz w:val="32"/>
          <w:szCs w:val="32"/>
        </w:rPr>
        <w:t>附件4</w:t>
      </w:r>
      <w:r>
        <w:rPr>
          <w:rFonts w:hint="eastAsia" w:ascii="宋体" w:hAnsi="宋体" w:eastAsia="宋体" w:cs="宋体"/>
          <w:b/>
          <w:color w:val="auto"/>
          <w:kern w:val="0"/>
          <w:sz w:val="32"/>
          <w:szCs w:val="32"/>
          <w:lang w:val="en-US" w:eastAsia="zh-CN"/>
        </w:rPr>
        <w:t xml:space="preserve">  </w:t>
      </w:r>
      <w:r>
        <w:rPr>
          <w:rFonts w:hint="eastAsia" w:ascii="宋体" w:hAnsi="宋体" w:eastAsia="宋体" w:cs="宋体"/>
          <w:b/>
          <w:color w:val="auto"/>
          <w:kern w:val="0"/>
          <w:sz w:val="32"/>
          <w:szCs w:val="32"/>
        </w:rPr>
        <w:t>服务技术响应表</w:t>
      </w:r>
    </w:p>
    <w:p w14:paraId="7BC85888">
      <w:pPr>
        <w:rPr>
          <w:rFonts w:hint="eastAsia" w:ascii="宋体" w:hAnsi="宋体" w:eastAsia="宋体" w:cs="宋体"/>
          <w:color w:val="auto"/>
          <w:sz w:val="24"/>
          <w:szCs w:val="24"/>
        </w:rPr>
      </w:pPr>
      <w:r>
        <w:rPr>
          <w:rFonts w:hint="eastAsia" w:ascii="宋体" w:hAnsi="宋体" w:eastAsia="宋体" w:cs="宋体"/>
          <w:color w:val="auto"/>
          <w:sz w:val="24"/>
          <w:szCs w:val="24"/>
        </w:rPr>
        <w:t>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1A396BC0">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bl>
      <w:tblPr>
        <w:tblStyle w:val="24"/>
        <w:tblW w:w="93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3"/>
        <w:gridCol w:w="1689"/>
        <w:gridCol w:w="2409"/>
        <w:gridCol w:w="3927"/>
        <w:gridCol w:w="910"/>
      </w:tblGrid>
      <w:tr w14:paraId="521C8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1" w:hRule="atLeast"/>
        </w:trPr>
        <w:tc>
          <w:tcPr>
            <w:tcW w:w="463" w:type="dxa"/>
            <w:tcBorders>
              <w:top w:val="single" w:color="auto" w:sz="4" w:space="0"/>
              <w:left w:val="single" w:color="auto" w:sz="4" w:space="0"/>
              <w:bottom w:val="single" w:color="auto" w:sz="4" w:space="0"/>
              <w:right w:val="single" w:color="auto" w:sz="4" w:space="0"/>
            </w:tcBorders>
            <w:noWrap w:val="0"/>
            <w:vAlign w:val="top"/>
          </w:tcPr>
          <w:p w14:paraId="35D97755">
            <w:pPr>
              <w:keepNext w:val="0"/>
              <w:keepLines w:val="0"/>
              <w:suppressLineNumbers w:val="0"/>
              <w:spacing w:before="0" w:beforeAutospacing="0" w:after="0" w:afterAutospacing="0"/>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1689" w:type="dxa"/>
            <w:tcBorders>
              <w:top w:val="single" w:color="auto" w:sz="4" w:space="0"/>
              <w:left w:val="single" w:color="auto" w:sz="4" w:space="0"/>
              <w:bottom w:val="single" w:color="auto" w:sz="4" w:space="0"/>
              <w:right w:val="single" w:color="auto" w:sz="4" w:space="0"/>
            </w:tcBorders>
            <w:noWrap w:val="0"/>
            <w:vAlign w:val="top"/>
          </w:tcPr>
          <w:p w14:paraId="2B966E89">
            <w:pPr>
              <w:keepNext w:val="0"/>
              <w:keepLines w:val="0"/>
              <w:suppressLineNumbers w:val="0"/>
              <w:spacing w:before="0" w:beforeAutospacing="0" w:after="0" w:afterAutospacing="0"/>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服务名称</w:t>
            </w:r>
          </w:p>
        </w:tc>
        <w:tc>
          <w:tcPr>
            <w:tcW w:w="2409" w:type="dxa"/>
            <w:tcBorders>
              <w:top w:val="single" w:color="auto" w:sz="4" w:space="0"/>
              <w:left w:val="single" w:color="auto" w:sz="4" w:space="0"/>
              <w:bottom w:val="single" w:color="auto" w:sz="4" w:space="0"/>
              <w:right w:val="single" w:color="auto" w:sz="4" w:space="0"/>
            </w:tcBorders>
            <w:noWrap w:val="0"/>
            <w:vAlign w:val="top"/>
          </w:tcPr>
          <w:p w14:paraId="0EDD882E">
            <w:pPr>
              <w:keepNext w:val="0"/>
              <w:keepLines w:val="0"/>
              <w:suppressLineNumbers w:val="0"/>
              <w:spacing w:before="0" w:beforeAutospacing="0" w:after="0" w:afterAutospacing="0"/>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谈判文件要求</w:t>
            </w:r>
          </w:p>
        </w:tc>
        <w:tc>
          <w:tcPr>
            <w:tcW w:w="3927" w:type="dxa"/>
            <w:tcBorders>
              <w:top w:val="single" w:color="auto" w:sz="4" w:space="0"/>
              <w:left w:val="single" w:color="auto" w:sz="4" w:space="0"/>
              <w:bottom w:val="single" w:color="auto" w:sz="4" w:space="0"/>
              <w:right w:val="single" w:color="auto" w:sz="4" w:space="0"/>
            </w:tcBorders>
            <w:noWrap w:val="0"/>
            <w:vAlign w:val="top"/>
          </w:tcPr>
          <w:p w14:paraId="16D28A05">
            <w:pPr>
              <w:keepNext w:val="0"/>
              <w:keepLines w:val="0"/>
              <w:suppressLineNumbers w:val="0"/>
              <w:spacing w:before="0" w:beforeAutospacing="0" w:after="0" w:afterAutospacing="0"/>
              <w:ind w:left="0" w:right="0"/>
              <w:jc w:val="center"/>
              <w:rPr>
                <w:rFonts w:hint="eastAsia" w:ascii="宋体" w:hAnsi="宋体" w:eastAsia="宋体" w:cs="宋体"/>
                <w:b/>
                <w:bCs/>
                <w:color w:val="auto"/>
                <w:sz w:val="24"/>
                <w:szCs w:val="24"/>
              </w:rPr>
            </w:pPr>
            <w:r>
              <w:rPr>
                <w:rFonts w:hint="eastAsia" w:ascii="宋体" w:hAnsi="宋体" w:cs="宋体"/>
                <w:b/>
                <w:bCs/>
                <w:color w:val="auto"/>
                <w:sz w:val="24"/>
                <w:szCs w:val="24"/>
                <w:lang w:eastAsia="zh-CN"/>
              </w:rPr>
              <w:t>响应文件</w:t>
            </w:r>
            <w:r>
              <w:rPr>
                <w:rFonts w:hint="eastAsia" w:ascii="宋体" w:hAnsi="宋体" w:eastAsia="宋体" w:cs="宋体"/>
                <w:b/>
                <w:bCs/>
                <w:color w:val="auto"/>
                <w:sz w:val="24"/>
                <w:szCs w:val="24"/>
              </w:rPr>
              <w:t>响应</w:t>
            </w:r>
          </w:p>
        </w:tc>
        <w:tc>
          <w:tcPr>
            <w:tcW w:w="910" w:type="dxa"/>
            <w:tcBorders>
              <w:top w:val="single" w:color="auto" w:sz="4" w:space="0"/>
              <w:left w:val="single" w:color="auto" w:sz="4" w:space="0"/>
              <w:bottom w:val="single" w:color="auto" w:sz="4" w:space="0"/>
              <w:right w:val="single" w:color="auto" w:sz="4" w:space="0"/>
            </w:tcBorders>
            <w:noWrap w:val="0"/>
            <w:vAlign w:val="top"/>
          </w:tcPr>
          <w:p w14:paraId="0F6F1C90">
            <w:pPr>
              <w:keepNext w:val="0"/>
              <w:keepLines w:val="0"/>
              <w:suppressLineNumbers w:val="0"/>
              <w:spacing w:before="0" w:beforeAutospacing="0" w:after="0" w:afterAutospacing="0"/>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偏离情况</w:t>
            </w:r>
          </w:p>
        </w:tc>
      </w:tr>
      <w:tr w14:paraId="01087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463" w:type="dxa"/>
            <w:tcBorders>
              <w:top w:val="single" w:color="auto" w:sz="4" w:space="0"/>
              <w:left w:val="single" w:color="auto" w:sz="4" w:space="0"/>
              <w:bottom w:val="single" w:color="auto" w:sz="4" w:space="0"/>
              <w:right w:val="single" w:color="auto" w:sz="4" w:space="0"/>
            </w:tcBorders>
            <w:noWrap w:val="0"/>
            <w:vAlign w:val="top"/>
          </w:tcPr>
          <w:p w14:paraId="06630E47">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689" w:type="dxa"/>
            <w:tcBorders>
              <w:top w:val="single" w:color="auto" w:sz="4" w:space="0"/>
              <w:left w:val="single" w:color="auto" w:sz="4" w:space="0"/>
              <w:bottom w:val="single" w:color="auto" w:sz="4" w:space="0"/>
              <w:right w:val="single" w:color="auto" w:sz="4" w:space="0"/>
            </w:tcBorders>
            <w:noWrap w:val="0"/>
            <w:vAlign w:val="top"/>
          </w:tcPr>
          <w:p w14:paraId="14E71E1A">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2409" w:type="dxa"/>
            <w:tcBorders>
              <w:top w:val="single" w:color="auto" w:sz="4" w:space="0"/>
              <w:left w:val="single" w:color="auto" w:sz="4" w:space="0"/>
              <w:right w:val="single" w:color="auto" w:sz="4" w:space="0"/>
            </w:tcBorders>
            <w:noWrap w:val="0"/>
            <w:vAlign w:val="top"/>
          </w:tcPr>
          <w:p w14:paraId="22076C8B">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p>
        </w:tc>
        <w:tc>
          <w:tcPr>
            <w:tcW w:w="3927" w:type="dxa"/>
            <w:tcBorders>
              <w:top w:val="single" w:color="auto" w:sz="4" w:space="0"/>
              <w:left w:val="single" w:color="auto" w:sz="4" w:space="0"/>
              <w:right w:val="single" w:color="auto" w:sz="4" w:space="0"/>
            </w:tcBorders>
            <w:noWrap w:val="0"/>
            <w:vAlign w:val="top"/>
          </w:tcPr>
          <w:p w14:paraId="3CCA8235">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p>
        </w:tc>
        <w:tc>
          <w:tcPr>
            <w:tcW w:w="910" w:type="dxa"/>
            <w:tcBorders>
              <w:top w:val="single" w:color="auto" w:sz="4" w:space="0"/>
              <w:left w:val="single" w:color="auto" w:sz="4" w:space="0"/>
              <w:right w:val="single" w:color="auto" w:sz="4" w:space="0"/>
            </w:tcBorders>
            <w:noWrap w:val="0"/>
            <w:vAlign w:val="top"/>
          </w:tcPr>
          <w:p w14:paraId="75834B46">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p>
        </w:tc>
      </w:tr>
      <w:tr w14:paraId="27BB9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463" w:type="dxa"/>
            <w:tcBorders>
              <w:top w:val="single" w:color="auto" w:sz="4" w:space="0"/>
              <w:left w:val="single" w:color="auto" w:sz="4" w:space="0"/>
              <w:bottom w:val="single" w:color="auto" w:sz="4" w:space="0"/>
              <w:right w:val="single" w:color="auto" w:sz="4" w:space="0"/>
            </w:tcBorders>
            <w:noWrap w:val="0"/>
            <w:vAlign w:val="top"/>
          </w:tcPr>
          <w:p w14:paraId="3DE56716">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689" w:type="dxa"/>
            <w:tcBorders>
              <w:top w:val="single" w:color="auto" w:sz="4" w:space="0"/>
              <w:left w:val="single" w:color="auto" w:sz="4" w:space="0"/>
              <w:bottom w:val="single" w:color="auto" w:sz="4" w:space="0"/>
              <w:right w:val="single" w:color="auto" w:sz="4" w:space="0"/>
            </w:tcBorders>
            <w:noWrap w:val="0"/>
            <w:vAlign w:val="top"/>
          </w:tcPr>
          <w:p w14:paraId="056B0192">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2409" w:type="dxa"/>
            <w:tcBorders>
              <w:top w:val="single" w:color="auto" w:sz="4" w:space="0"/>
              <w:left w:val="single" w:color="auto" w:sz="4" w:space="0"/>
              <w:right w:val="single" w:color="auto" w:sz="4" w:space="0"/>
            </w:tcBorders>
            <w:noWrap w:val="0"/>
            <w:vAlign w:val="top"/>
          </w:tcPr>
          <w:p w14:paraId="78531F2F">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p>
        </w:tc>
        <w:tc>
          <w:tcPr>
            <w:tcW w:w="3927" w:type="dxa"/>
            <w:tcBorders>
              <w:top w:val="single" w:color="auto" w:sz="4" w:space="0"/>
              <w:left w:val="single" w:color="auto" w:sz="4" w:space="0"/>
              <w:right w:val="single" w:color="auto" w:sz="4" w:space="0"/>
            </w:tcBorders>
            <w:noWrap w:val="0"/>
            <w:vAlign w:val="top"/>
          </w:tcPr>
          <w:p w14:paraId="11FD4C8A">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p>
        </w:tc>
        <w:tc>
          <w:tcPr>
            <w:tcW w:w="910" w:type="dxa"/>
            <w:tcBorders>
              <w:top w:val="single" w:color="auto" w:sz="4" w:space="0"/>
              <w:left w:val="single" w:color="auto" w:sz="4" w:space="0"/>
              <w:right w:val="single" w:color="auto" w:sz="4" w:space="0"/>
            </w:tcBorders>
            <w:noWrap w:val="0"/>
            <w:vAlign w:val="top"/>
          </w:tcPr>
          <w:p w14:paraId="6876779F">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p>
        </w:tc>
      </w:tr>
      <w:tr w14:paraId="4B92B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463" w:type="dxa"/>
            <w:tcBorders>
              <w:top w:val="single" w:color="auto" w:sz="4" w:space="0"/>
              <w:left w:val="single" w:color="auto" w:sz="4" w:space="0"/>
              <w:bottom w:val="single" w:color="auto" w:sz="4" w:space="0"/>
              <w:right w:val="single" w:color="auto" w:sz="4" w:space="0"/>
            </w:tcBorders>
            <w:noWrap w:val="0"/>
            <w:vAlign w:val="top"/>
          </w:tcPr>
          <w:p w14:paraId="009FCDD8">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689" w:type="dxa"/>
            <w:tcBorders>
              <w:top w:val="single" w:color="auto" w:sz="4" w:space="0"/>
              <w:left w:val="single" w:color="auto" w:sz="4" w:space="0"/>
              <w:bottom w:val="single" w:color="auto" w:sz="4" w:space="0"/>
              <w:right w:val="single" w:color="auto" w:sz="4" w:space="0"/>
            </w:tcBorders>
            <w:noWrap w:val="0"/>
            <w:vAlign w:val="top"/>
          </w:tcPr>
          <w:p w14:paraId="29F0BAB0">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2409" w:type="dxa"/>
            <w:tcBorders>
              <w:top w:val="single" w:color="auto" w:sz="4" w:space="0"/>
              <w:left w:val="single" w:color="auto" w:sz="4" w:space="0"/>
              <w:right w:val="single" w:color="auto" w:sz="4" w:space="0"/>
            </w:tcBorders>
            <w:noWrap w:val="0"/>
            <w:vAlign w:val="top"/>
          </w:tcPr>
          <w:p w14:paraId="397B9C2A">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p>
        </w:tc>
        <w:tc>
          <w:tcPr>
            <w:tcW w:w="3927" w:type="dxa"/>
            <w:tcBorders>
              <w:top w:val="single" w:color="auto" w:sz="4" w:space="0"/>
              <w:left w:val="single" w:color="auto" w:sz="4" w:space="0"/>
              <w:right w:val="single" w:color="auto" w:sz="4" w:space="0"/>
            </w:tcBorders>
            <w:noWrap w:val="0"/>
            <w:vAlign w:val="top"/>
          </w:tcPr>
          <w:p w14:paraId="2CCB9A46">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p>
        </w:tc>
        <w:tc>
          <w:tcPr>
            <w:tcW w:w="910" w:type="dxa"/>
            <w:tcBorders>
              <w:top w:val="single" w:color="auto" w:sz="4" w:space="0"/>
              <w:left w:val="single" w:color="auto" w:sz="4" w:space="0"/>
              <w:right w:val="single" w:color="auto" w:sz="4" w:space="0"/>
            </w:tcBorders>
            <w:noWrap w:val="0"/>
            <w:vAlign w:val="top"/>
          </w:tcPr>
          <w:p w14:paraId="410E2706">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p>
        </w:tc>
      </w:tr>
    </w:tbl>
    <w:p w14:paraId="4E8D476F">
      <w:pPr>
        <w:rPr>
          <w:rFonts w:hint="eastAsia" w:ascii="宋体" w:hAnsi="宋体" w:eastAsia="宋体" w:cs="宋体"/>
          <w:b/>
          <w:color w:val="auto"/>
          <w:sz w:val="24"/>
          <w:szCs w:val="24"/>
        </w:rPr>
      </w:pPr>
      <w:r>
        <w:rPr>
          <w:rFonts w:hint="eastAsia" w:ascii="宋体" w:hAnsi="宋体" w:eastAsia="宋体" w:cs="宋体"/>
          <w:color w:val="auto"/>
          <w:sz w:val="24"/>
          <w:szCs w:val="24"/>
        </w:rPr>
        <w:t>注：供应商必须如实完整填写表格， “偏离情况”是指“正偏离”、“负偏离”或“无偏离”。</w:t>
      </w:r>
    </w:p>
    <w:p w14:paraId="12156256">
      <w:pPr>
        <w:spacing w:line="360" w:lineRule="auto"/>
        <w:ind w:firstLine="482" w:firstLineChars="200"/>
        <w:rPr>
          <w:rFonts w:hint="eastAsia" w:ascii="宋体" w:hAnsi="宋体" w:eastAsia="宋体" w:cs="宋体"/>
          <w:b/>
          <w:color w:val="auto"/>
          <w:sz w:val="24"/>
          <w:szCs w:val="24"/>
        </w:rPr>
      </w:pPr>
    </w:p>
    <w:p w14:paraId="332294E2">
      <w:pPr>
        <w:widowControl/>
        <w:wordWrap w:val="0"/>
        <w:spacing w:before="100" w:beforeAutospacing="1" w:after="100" w:afterAutospacing="1" w:line="360" w:lineRule="auto"/>
        <w:jc w:val="left"/>
        <w:rPr>
          <w:rFonts w:hint="eastAsia" w:ascii="宋体" w:hAnsi="宋体" w:eastAsia="宋体" w:cs="宋体"/>
          <w:color w:val="auto"/>
          <w:kern w:val="0"/>
          <w:sz w:val="24"/>
        </w:rPr>
      </w:pPr>
    </w:p>
    <w:p w14:paraId="1459E327">
      <w:pPr>
        <w:widowControl/>
        <w:wordWrap w:val="0"/>
        <w:spacing w:before="100" w:beforeAutospacing="1" w:after="100" w:afterAutospacing="1" w:line="360" w:lineRule="auto"/>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供应商代表签字： </w:t>
      </w:r>
      <w:r>
        <w:rPr>
          <w:rFonts w:hint="eastAsia" w:ascii="宋体" w:hAnsi="宋体" w:eastAsia="宋体" w:cs="宋体"/>
          <w:color w:val="auto"/>
          <w:kern w:val="0"/>
          <w:sz w:val="24"/>
          <w:u w:val="single"/>
        </w:rPr>
        <w:t xml:space="preserve">                </w:t>
      </w:r>
    </w:p>
    <w:p w14:paraId="3F429064">
      <w:pPr>
        <w:widowControl/>
        <w:wordWrap w:val="0"/>
        <w:spacing w:before="100" w:beforeAutospacing="1" w:after="100" w:afterAutospacing="1" w:line="360" w:lineRule="auto"/>
        <w:jc w:val="left"/>
        <w:rPr>
          <w:rFonts w:hint="eastAsia" w:ascii="宋体" w:hAnsi="宋体" w:eastAsia="宋体" w:cs="宋体"/>
          <w:color w:val="auto"/>
          <w:kern w:val="0"/>
          <w:sz w:val="24"/>
        </w:rPr>
      </w:pPr>
      <w:r>
        <w:rPr>
          <w:rFonts w:hint="eastAsia" w:ascii="宋体" w:hAnsi="宋体" w:eastAsia="宋体" w:cs="宋体"/>
          <w:color w:val="auto"/>
          <w:kern w:val="0"/>
          <w:sz w:val="24"/>
        </w:rPr>
        <w:t>供应商：</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（全称并加盖公章）</w:t>
      </w:r>
    </w:p>
    <w:p w14:paraId="1F096C6B">
      <w:pPr>
        <w:widowControl/>
        <w:wordWrap w:val="0"/>
        <w:spacing w:before="100" w:beforeAutospacing="1" w:after="100" w:afterAutospacing="1" w:line="360" w:lineRule="auto"/>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                                 </w:t>
      </w:r>
    </w:p>
    <w:p w14:paraId="5D893333">
      <w:pPr>
        <w:widowControl/>
        <w:spacing w:before="100" w:beforeAutospacing="1" w:after="100" w:afterAutospacing="1" w:line="360" w:lineRule="auto"/>
        <w:jc w:val="center"/>
        <w:rPr>
          <w:rFonts w:hint="eastAsia" w:ascii="宋体" w:hAnsi="宋体" w:eastAsia="宋体" w:cs="宋体"/>
          <w:color w:val="auto"/>
          <w:kern w:val="0"/>
          <w:sz w:val="24"/>
        </w:rPr>
      </w:pPr>
      <w:r>
        <w:rPr>
          <w:rFonts w:hint="eastAsia" w:ascii="宋体" w:hAnsi="宋体" w:eastAsia="宋体" w:cs="宋体"/>
          <w:color w:val="auto"/>
          <w:kern w:val="0"/>
          <w:sz w:val="24"/>
        </w:rPr>
        <w:t xml:space="preserve"> </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 xml:space="preserve">年 </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 xml:space="preserve">月 </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p>
    <w:p w14:paraId="19770883">
      <w:pPr>
        <w:widowControl/>
        <w:spacing w:before="100" w:beforeAutospacing="1" w:after="100" w:afterAutospacing="1" w:line="360" w:lineRule="auto"/>
        <w:jc w:val="center"/>
        <w:rPr>
          <w:rFonts w:hint="eastAsia" w:ascii="宋体" w:hAnsi="宋体" w:eastAsia="宋体" w:cs="宋体"/>
          <w:b/>
          <w:color w:val="auto"/>
          <w:kern w:val="0"/>
          <w:sz w:val="24"/>
        </w:rPr>
      </w:pPr>
    </w:p>
    <w:p w14:paraId="57D3ECE2">
      <w:pPr>
        <w:widowControl/>
        <w:spacing w:before="100" w:beforeAutospacing="1" w:after="100" w:afterAutospacing="1" w:line="460" w:lineRule="exact"/>
        <w:jc w:val="center"/>
        <w:rPr>
          <w:rFonts w:hint="eastAsia" w:ascii="宋体" w:hAnsi="宋体" w:eastAsia="宋体" w:cs="宋体"/>
          <w:b/>
          <w:color w:val="auto"/>
          <w:kern w:val="0"/>
          <w:sz w:val="32"/>
          <w:szCs w:val="32"/>
        </w:rPr>
      </w:pPr>
    </w:p>
    <w:p w14:paraId="64FF0CDC">
      <w:pPr>
        <w:rPr>
          <w:rFonts w:hint="eastAsia" w:ascii="宋体" w:hAnsi="宋体" w:eastAsia="宋体" w:cs="宋体"/>
          <w:b/>
          <w:color w:val="auto"/>
          <w:kern w:val="0"/>
          <w:sz w:val="32"/>
          <w:szCs w:val="32"/>
        </w:rPr>
      </w:pPr>
      <w:r>
        <w:rPr>
          <w:rFonts w:hint="eastAsia" w:ascii="宋体" w:hAnsi="宋体" w:eastAsia="宋体" w:cs="宋体"/>
          <w:b/>
          <w:color w:val="auto"/>
          <w:kern w:val="0"/>
          <w:sz w:val="32"/>
          <w:szCs w:val="32"/>
        </w:rPr>
        <w:br w:type="page"/>
      </w:r>
    </w:p>
    <w:p w14:paraId="4983727C">
      <w:pPr>
        <w:widowControl/>
        <w:spacing w:before="100" w:beforeAutospacing="1" w:after="100" w:afterAutospacing="1" w:line="460" w:lineRule="exact"/>
        <w:jc w:val="center"/>
        <w:rPr>
          <w:rFonts w:hint="eastAsia" w:ascii="宋体" w:hAnsi="宋体" w:eastAsia="宋体" w:cs="宋体"/>
          <w:b/>
          <w:color w:val="auto"/>
          <w:kern w:val="0"/>
          <w:sz w:val="32"/>
          <w:szCs w:val="32"/>
        </w:rPr>
      </w:pPr>
      <w:r>
        <w:rPr>
          <w:rFonts w:hint="eastAsia" w:ascii="宋体" w:hAnsi="宋体" w:eastAsia="宋体" w:cs="宋体"/>
          <w:b/>
          <w:color w:val="auto"/>
          <w:kern w:val="0"/>
          <w:sz w:val="32"/>
          <w:szCs w:val="32"/>
        </w:rPr>
        <w:t>附件</w:t>
      </w:r>
      <w:r>
        <w:rPr>
          <w:rFonts w:hint="eastAsia" w:ascii="宋体" w:hAnsi="宋体" w:cs="宋体"/>
          <w:b/>
          <w:color w:val="auto"/>
          <w:kern w:val="0"/>
          <w:sz w:val="32"/>
          <w:szCs w:val="32"/>
          <w:lang w:val="en-US" w:eastAsia="zh-CN"/>
        </w:rPr>
        <w:t>5</w:t>
      </w:r>
      <w:r>
        <w:rPr>
          <w:rFonts w:hint="eastAsia" w:ascii="宋体" w:hAnsi="宋体" w:eastAsia="宋体" w:cs="宋体"/>
          <w:b/>
          <w:color w:val="auto"/>
          <w:kern w:val="0"/>
          <w:sz w:val="32"/>
          <w:szCs w:val="32"/>
        </w:rPr>
        <w:t xml:space="preserve">  商务响应表</w:t>
      </w:r>
    </w:p>
    <w:p w14:paraId="43403226">
      <w:pPr>
        <w:spacing w:line="360" w:lineRule="auto"/>
        <w:rPr>
          <w:rFonts w:hint="eastAsia" w:ascii="宋体" w:hAnsi="宋体" w:eastAsia="宋体" w:cs="宋体"/>
          <w:b/>
          <w:bCs/>
          <w:color w:val="auto"/>
          <w:sz w:val="24"/>
        </w:rPr>
      </w:pPr>
      <w:r>
        <w:rPr>
          <w:rFonts w:hint="eastAsia" w:ascii="宋体" w:hAnsi="宋体" w:eastAsia="宋体" w:cs="宋体"/>
          <w:color w:val="auto"/>
          <w:sz w:val="24"/>
        </w:rPr>
        <w:t>项目编号：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99"/>
        <w:gridCol w:w="1946"/>
        <w:gridCol w:w="1315"/>
        <w:gridCol w:w="1893"/>
      </w:tblGrid>
      <w:tr w14:paraId="0617A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3299" w:type="dxa"/>
            <w:vAlign w:val="center"/>
          </w:tcPr>
          <w:p w14:paraId="3836862E">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4"/>
              </w:rPr>
            </w:pPr>
            <w:r>
              <w:rPr>
                <w:rFonts w:hint="eastAsia" w:ascii="宋体" w:hAnsi="宋体" w:eastAsia="宋体" w:cs="宋体"/>
                <w:b/>
                <w:bCs/>
                <w:color w:val="auto"/>
                <w:sz w:val="24"/>
              </w:rPr>
              <w:t>项目</w:t>
            </w:r>
          </w:p>
        </w:tc>
        <w:tc>
          <w:tcPr>
            <w:tcW w:w="1946" w:type="dxa"/>
            <w:vAlign w:val="center"/>
          </w:tcPr>
          <w:p w14:paraId="581657CE">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4"/>
              </w:rPr>
            </w:pPr>
            <w:r>
              <w:rPr>
                <w:rFonts w:hint="eastAsia" w:ascii="宋体" w:hAnsi="宋体" w:eastAsia="宋体" w:cs="宋体"/>
                <w:b/>
                <w:bCs/>
                <w:color w:val="auto"/>
                <w:sz w:val="24"/>
              </w:rPr>
              <w:t>谈判文件要求</w:t>
            </w:r>
          </w:p>
        </w:tc>
        <w:tc>
          <w:tcPr>
            <w:tcW w:w="1315" w:type="dxa"/>
            <w:vAlign w:val="center"/>
          </w:tcPr>
          <w:p w14:paraId="75A63E5B">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4"/>
              </w:rPr>
            </w:pPr>
            <w:r>
              <w:rPr>
                <w:rFonts w:hint="eastAsia" w:ascii="宋体" w:hAnsi="宋体" w:eastAsia="宋体" w:cs="宋体"/>
                <w:b/>
                <w:bCs/>
                <w:color w:val="auto"/>
                <w:sz w:val="24"/>
              </w:rPr>
              <w:t>是否响应</w:t>
            </w:r>
          </w:p>
        </w:tc>
        <w:tc>
          <w:tcPr>
            <w:tcW w:w="1893" w:type="dxa"/>
            <w:vAlign w:val="center"/>
          </w:tcPr>
          <w:p w14:paraId="504655BE">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4"/>
              </w:rPr>
            </w:pPr>
            <w:r>
              <w:rPr>
                <w:rFonts w:hint="eastAsia" w:ascii="宋体" w:hAnsi="宋体" w:eastAsia="宋体" w:cs="宋体"/>
                <w:b/>
                <w:bCs/>
                <w:color w:val="auto"/>
                <w:sz w:val="24"/>
              </w:rPr>
              <w:t>供应商的承诺或说明</w:t>
            </w:r>
          </w:p>
        </w:tc>
      </w:tr>
      <w:tr w14:paraId="665BC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3299" w:type="dxa"/>
          </w:tcPr>
          <w:p w14:paraId="164188CF">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rPr>
            </w:pPr>
          </w:p>
        </w:tc>
        <w:tc>
          <w:tcPr>
            <w:tcW w:w="1946" w:type="dxa"/>
          </w:tcPr>
          <w:p w14:paraId="3873C5C0">
            <w:pPr>
              <w:keepNext w:val="0"/>
              <w:keepLines w:val="0"/>
              <w:suppressLineNumbers w:val="0"/>
              <w:spacing w:before="0" w:beforeAutospacing="0" w:after="0" w:afterAutospacing="0" w:line="360" w:lineRule="auto"/>
              <w:ind w:left="0" w:right="0"/>
              <w:rPr>
                <w:rFonts w:hint="eastAsia" w:ascii="宋体" w:hAnsi="宋体" w:eastAsia="宋体" w:cs="宋体"/>
                <w:b/>
                <w:bCs/>
                <w:color w:val="auto"/>
                <w:sz w:val="24"/>
              </w:rPr>
            </w:pPr>
          </w:p>
        </w:tc>
        <w:tc>
          <w:tcPr>
            <w:tcW w:w="1315" w:type="dxa"/>
          </w:tcPr>
          <w:p w14:paraId="2A4E5A43">
            <w:pPr>
              <w:keepNext w:val="0"/>
              <w:keepLines w:val="0"/>
              <w:suppressLineNumbers w:val="0"/>
              <w:spacing w:before="0" w:beforeAutospacing="0" w:after="0" w:afterAutospacing="0" w:line="360" w:lineRule="auto"/>
              <w:ind w:left="0" w:right="0"/>
              <w:rPr>
                <w:rFonts w:hint="eastAsia" w:ascii="宋体" w:hAnsi="宋体" w:eastAsia="宋体" w:cs="宋体"/>
                <w:b/>
                <w:bCs/>
                <w:color w:val="auto"/>
                <w:sz w:val="24"/>
              </w:rPr>
            </w:pPr>
          </w:p>
        </w:tc>
        <w:tc>
          <w:tcPr>
            <w:tcW w:w="1893" w:type="dxa"/>
          </w:tcPr>
          <w:p w14:paraId="13F405C0">
            <w:pPr>
              <w:keepNext w:val="0"/>
              <w:keepLines w:val="0"/>
              <w:suppressLineNumbers w:val="0"/>
              <w:spacing w:before="0" w:beforeAutospacing="0" w:after="0" w:afterAutospacing="0" w:line="360" w:lineRule="auto"/>
              <w:ind w:left="0" w:right="0"/>
              <w:rPr>
                <w:rFonts w:hint="eastAsia" w:ascii="宋体" w:hAnsi="宋体" w:eastAsia="宋体" w:cs="宋体"/>
                <w:b/>
                <w:bCs/>
                <w:color w:val="auto"/>
                <w:sz w:val="24"/>
              </w:rPr>
            </w:pPr>
          </w:p>
        </w:tc>
      </w:tr>
      <w:tr w14:paraId="66D3F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3299" w:type="dxa"/>
          </w:tcPr>
          <w:p w14:paraId="4860F2BB">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rPr>
            </w:pPr>
          </w:p>
        </w:tc>
        <w:tc>
          <w:tcPr>
            <w:tcW w:w="1946" w:type="dxa"/>
          </w:tcPr>
          <w:p w14:paraId="1E1239F6">
            <w:pPr>
              <w:keepNext w:val="0"/>
              <w:keepLines w:val="0"/>
              <w:suppressLineNumbers w:val="0"/>
              <w:spacing w:before="0" w:beforeAutospacing="0" w:after="0" w:afterAutospacing="0" w:line="360" w:lineRule="auto"/>
              <w:ind w:left="0" w:right="0"/>
              <w:rPr>
                <w:rFonts w:hint="eastAsia" w:ascii="宋体" w:hAnsi="宋体" w:eastAsia="宋体" w:cs="宋体"/>
                <w:b/>
                <w:bCs/>
                <w:color w:val="auto"/>
                <w:sz w:val="24"/>
              </w:rPr>
            </w:pPr>
          </w:p>
        </w:tc>
        <w:tc>
          <w:tcPr>
            <w:tcW w:w="1315" w:type="dxa"/>
          </w:tcPr>
          <w:p w14:paraId="431EA8FD">
            <w:pPr>
              <w:keepNext w:val="0"/>
              <w:keepLines w:val="0"/>
              <w:suppressLineNumbers w:val="0"/>
              <w:spacing w:before="0" w:beforeAutospacing="0" w:after="0" w:afterAutospacing="0" w:line="360" w:lineRule="auto"/>
              <w:ind w:left="0" w:right="0"/>
              <w:rPr>
                <w:rFonts w:hint="eastAsia" w:ascii="宋体" w:hAnsi="宋体" w:eastAsia="宋体" w:cs="宋体"/>
                <w:b/>
                <w:bCs/>
                <w:color w:val="auto"/>
                <w:sz w:val="24"/>
              </w:rPr>
            </w:pPr>
          </w:p>
        </w:tc>
        <w:tc>
          <w:tcPr>
            <w:tcW w:w="1893" w:type="dxa"/>
          </w:tcPr>
          <w:p w14:paraId="091295DB">
            <w:pPr>
              <w:keepNext w:val="0"/>
              <w:keepLines w:val="0"/>
              <w:suppressLineNumbers w:val="0"/>
              <w:spacing w:before="0" w:beforeAutospacing="0" w:after="0" w:afterAutospacing="0" w:line="360" w:lineRule="auto"/>
              <w:ind w:left="0" w:right="0"/>
              <w:rPr>
                <w:rFonts w:hint="eastAsia" w:ascii="宋体" w:hAnsi="宋体" w:eastAsia="宋体" w:cs="宋体"/>
                <w:b/>
                <w:bCs/>
                <w:color w:val="auto"/>
                <w:sz w:val="24"/>
              </w:rPr>
            </w:pPr>
          </w:p>
        </w:tc>
      </w:tr>
      <w:tr w14:paraId="100A7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3299" w:type="dxa"/>
          </w:tcPr>
          <w:p w14:paraId="70BA0534">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rPr>
            </w:pPr>
          </w:p>
        </w:tc>
        <w:tc>
          <w:tcPr>
            <w:tcW w:w="1946" w:type="dxa"/>
          </w:tcPr>
          <w:p w14:paraId="12320E47">
            <w:pPr>
              <w:keepNext w:val="0"/>
              <w:keepLines w:val="0"/>
              <w:suppressLineNumbers w:val="0"/>
              <w:spacing w:before="0" w:beforeAutospacing="0" w:after="0" w:afterAutospacing="0" w:line="360" w:lineRule="auto"/>
              <w:ind w:left="0" w:right="0"/>
              <w:rPr>
                <w:rFonts w:hint="eastAsia" w:ascii="宋体" w:hAnsi="宋体" w:eastAsia="宋体" w:cs="宋体"/>
                <w:b/>
                <w:bCs/>
                <w:color w:val="auto"/>
                <w:sz w:val="24"/>
              </w:rPr>
            </w:pPr>
          </w:p>
        </w:tc>
        <w:tc>
          <w:tcPr>
            <w:tcW w:w="1315" w:type="dxa"/>
          </w:tcPr>
          <w:p w14:paraId="7D7AE3B6">
            <w:pPr>
              <w:keepNext w:val="0"/>
              <w:keepLines w:val="0"/>
              <w:suppressLineNumbers w:val="0"/>
              <w:spacing w:before="0" w:beforeAutospacing="0" w:after="0" w:afterAutospacing="0" w:line="360" w:lineRule="auto"/>
              <w:ind w:left="0" w:right="0"/>
              <w:rPr>
                <w:rFonts w:hint="eastAsia" w:ascii="宋体" w:hAnsi="宋体" w:eastAsia="宋体" w:cs="宋体"/>
                <w:b/>
                <w:bCs/>
                <w:color w:val="auto"/>
                <w:sz w:val="24"/>
              </w:rPr>
            </w:pPr>
          </w:p>
        </w:tc>
        <w:tc>
          <w:tcPr>
            <w:tcW w:w="1893" w:type="dxa"/>
          </w:tcPr>
          <w:p w14:paraId="6E7E6D0B">
            <w:pPr>
              <w:keepNext w:val="0"/>
              <w:keepLines w:val="0"/>
              <w:suppressLineNumbers w:val="0"/>
              <w:spacing w:before="0" w:beforeAutospacing="0" w:after="0" w:afterAutospacing="0" w:line="360" w:lineRule="auto"/>
              <w:ind w:left="0" w:right="0"/>
              <w:rPr>
                <w:rFonts w:hint="eastAsia" w:ascii="宋体" w:hAnsi="宋体" w:eastAsia="宋体" w:cs="宋体"/>
                <w:b/>
                <w:bCs/>
                <w:color w:val="auto"/>
                <w:sz w:val="24"/>
              </w:rPr>
            </w:pPr>
          </w:p>
        </w:tc>
      </w:tr>
      <w:tr w14:paraId="6688B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3299" w:type="dxa"/>
          </w:tcPr>
          <w:p w14:paraId="61CC487B">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rPr>
            </w:pPr>
          </w:p>
        </w:tc>
        <w:tc>
          <w:tcPr>
            <w:tcW w:w="1946" w:type="dxa"/>
          </w:tcPr>
          <w:p w14:paraId="62488202">
            <w:pPr>
              <w:keepNext w:val="0"/>
              <w:keepLines w:val="0"/>
              <w:suppressLineNumbers w:val="0"/>
              <w:spacing w:before="0" w:beforeAutospacing="0" w:after="0" w:afterAutospacing="0" w:line="360" w:lineRule="auto"/>
              <w:ind w:left="0" w:right="0"/>
              <w:rPr>
                <w:rFonts w:hint="eastAsia" w:ascii="宋体" w:hAnsi="宋体" w:eastAsia="宋体" w:cs="宋体"/>
                <w:b/>
                <w:bCs/>
                <w:color w:val="auto"/>
                <w:sz w:val="24"/>
              </w:rPr>
            </w:pPr>
          </w:p>
        </w:tc>
        <w:tc>
          <w:tcPr>
            <w:tcW w:w="1315" w:type="dxa"/>
          </w:tcPr>
          <w:p w14:paraId="47AC4206">
            <w:pPr>
              <w:keepNext w:val="0"/>
              <w:keepLines w:val="0"/>
              <w:suppressLineNumbers w:val="0"/>
              <w:spacing w:before="0" w:beforeAutospacing="0" w:after="0" w:afterAutospacing="0" w:line="360" w:lineRule="auto"/>
              <w:ind w:left="0" w:right="0"/>
              <w:rPr>
                <w:rFonts w:hint="eastAsia" w:ascii="宋体" w:hAnsi="宋体" w:eastAsia="宋体" w:cs="宋体"/>
                <w:b/>
                <w:bCs/>
                <w:color w:val="auto"/>
                <w:sz w:val="24"/>
              </w:rPr>
            </w:pPr>
          </w:p>
        </w:tc>
        <w:tc>
          <w:tcPr>
            <w:tcW w:w="1893" w:type="dxa"/>
          </w:tcPr>
          <w:p w14:paraId="0DDCB9EB">
            <w:pPr>
              <w:keepNext w:val="0"/>
              <w:keepLines w:val="0"/>
              <w:suppressLineNumbers w:val="0"/>
              <w:spacing w:before="0" w:beforeAutospacing="0" w:after="0" w:afterAutospacing="0" w:line="360" w:lineRule="auto"/>
              <w:ind w:left="0" w:right="0"/>
              <w:rPr>
                <w:rFonts w:hint="eastAsia" w:ascii="宋体" w:hAnsi="宋体" w:eastAsia="宋体" w:cs="宋体"/>
                <w:b/>
                <w:bCs/>
                <w:color w:val="auto"/>
                <w:sz w:val="24"/>
              </w:rPr>
            </w:pPr>
          </w:p>
        </w:tc>
      </w:tr>
      <w:tr w14:paraId="56965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3299" w:type="dxa"/>
          </w:tcPr>
          <w:p w14:paraId="1F435187">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rPr>
            </w:pPr>
          </w:p>
        </w:tc>
        <w:tc>
          <w:tcPr>
            <w:tcW w:w="1946" w:type="dxa"/>
          </w:tcPr>
          <w:p w14:paraId="6A0865B1">
            <w:pPr>
              <w:keepNext w:val="0"/>
              <w:keepLines w:val="0"/>
              <w:suppressLineNumbers w:val="0"/>
              <w:spacing w:before="0" w:beforeAutospacing="0" w:after="0" w:afterAutospacing="0" w:line="360" w:lineRule="auto"/>
              <w:ind w:left="0" w:right="0"/>
              <w:rPr>
                <w:rFonts w:hint="eastAsia" w:ascii="宋体" w:hAnsi="宋体" w:eastAsia="宋体" w:cs="宋体"/>
                <w:b/>
                <w:bCs/>
                <w:color w:val="auto"/>
                <w:sz w:val="24"/>
              </w:rPr>
            </w:pPr>
          </w:p>
        </w:tc>
        <w:tc>
          <w:tcPr>
            <w:tcW w:w="1315" w:type="dxa"/>
          </w:tcPr>
          <w:p w14:paraId="67AB14A6">
            <w:pPr>
              <w:keepNext w:val="0"/>
              <w:keepLines w:val="0"/>
              <w:suppressLineNumbers w:val="0"/>
              <w:spacing w:before="0" w:beforeAutospacing="0" w:after="0" w:afterAutospacing="0" w:line="360" w:lineRule="auto"/>
              <w:ind w:left="0" w:right="0"/>
              <w:rPr>
                <w:rFonts w:hint="eastAsia" w:ascii="宋体" w:hAnsi="宋体" w:eastAsia="宋体" w:cs="宋体"/>
                <w:b/>
                <w:bCs/>
                <w:color w:val="auto"/>
                <w:sz w:val="24"/>
              </w:rPr>
            </w:pPr>
          </w:p>
        </w:tc>
        <w:tc>
          <w:tcPr>
            <w:tcW w:w="1893" w:type="dxa"/>
          </w:tcPr>
          <w:p w14:paraId="72610930">
            <w:pPr>
              <w:keepNext w:val="0"/>
              <w:keepLines w:val="0"/>
              <w:suppressLineNumbers w:val="0"/>
              <w:spacing w:before="0" w:beforeAutospacing="0" w:after="0" w:afterAutospacing="0" w:line="360" w:lineRule="auto"/>
              <w:ind w:left="0" w:right="0"/>
              <w:rPr>
                <w:rFonts w:hint="eastAsia" w:ascii="宋体" w:hAnsi="宋体" w:eastAsia="宋体" w:cs="宋体"/>
                <w:b/>
                <w:bCs/>
                <w:color w:val="auto"/>
                <w:sz w:val="24"/>
              </w:rPr>
            </w:pPr>
          </w:p>
        </w:tc>
      </w:tr>
      <w:tr w14:paraId="6E6A7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3299" w:type="dxa"/>
          </w:tcPr>
          <w:p w14:paraId="368EB022">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rPr>
            </w:pPr>
          </w:p>
        </w:tc>
        <w:tc>
          <w:tcPr>
            <w:tcW w:w="1946" w:type="dxa"/>
          </w:tcPr>
          <w:p w14:paraId="1382075F">
            <w:pPr>
              <w:keepNext w:val="0"/>
              <w:keepLines w:val="0"/>
              <w:suppressLineNumbers w:val="0"/>
              <w:spacing w:before="0" w:beforeAutospacing="0" w:after="0" w:afterAutospacing="0" w:line="360" w:lineRule="auto"/>
              <w:ind w:left="0" w:right="0"/>
              <w:rPr>
                <w:rFonts w:hint="eastAsia" w:ascii="宋体" w:hAnsi="宋体" w:eastAsia="宋体" w:cs="宋体"/>
                <w:b/>
                <w:bCs/>
                <w:color w:val="auto"/>
                <w:sz w:val="24"/>
              </w:rPr>
            </w:pPr>
          </w:p>
        </w:tc>
        <w:tc>
          <w:tcPr>
            <w:tcW w:w="1315" w:type="dxa"/>
          </w:tcPr>
          <w:p w14:paraId="4B6128E8">
            <w:pPr>
              <w:keepNext w:val="0"/>
              <w:keepLines w:val="0"/>
              <w:suppressLineNumbers w:val="0"/>
              <w:spacing w:before="0" w:beforeAutospacing="0" w:after="0" w:afterAutospacing="0" w:line="360" w:lineRule="auto"/>
              <w:ind w:left="0" w:right="0"/>
              <w:rPr>
                <w:rFonts w:hint="eastAsia" w:ascii="宋体" w:hAnsi="宋体" w:eastAsia="宋体" w:cs="宋体"/>
                <w:b/>
                <w:bCs/>
                <w:color w:val="auto"/>
                <w:sz w:val="24"/>
              </w:rPr>
            </w:pPr>
          </w:p>
        </w:tc>
        <w:tc>
          <w:tcPr>
            <w:tcW w:w="1893" w:type="dxa"/>
          </w:tcPr>
          <w:p w14:paraId="0362B65E">
            <w:pPr>
              <w:keepNext w:val="0"/>
              <w:keepLines w:val="0"/>
              <w:suppressLineNumbers w:val="0"/>
              <w:spacing w:before="0" w:beforeAutospacing="0" w:after="0" w:afterAutospacing="0" w:line="360" w:lineRule="auto"/>
              <w:ind w:left="0" w:right="0"/>
              <w:rPr>
                <w:rFonts w:hint="eastAsia" w:ascii="宋体" w:hAnsi="宋体" w:eastAsia="宋体" w:cs="宋体"/>
                <w:b/>
                <w:bCs/>
                <w:color w:val="auto"/>
                <w:sz w:val="24"/>
              </w:rPr>
            </w:pPr>
          </w:p>
        </w:tc>
      </w:tr>
      <w:tr w14:paraId="4CB96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3299" w:type="dxa"/>
          </w:tcPr>
          <w:p w14:paraId="7584846D">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rPr>
            </w:pPr>
          </w:p>
        </w:tc>
        <w:tc>
          <w:tcPr>
            <w:tcW w:w="1946" w:type="dxa"/>
          </w:tcPr>
          <w:p w14:paraId="21EE4C07">
            <w:pPr>
              <w:keepNext w:val="0"/>
              <w:keepLines w:val="0"/>
              <w:suppressLineNumbers w:val="0"/>
              <w:spacing w:before="0" w:beforeAutospacing="0" w:after="0" w:afterAutospacing="0" w:line="360" w:lineRule="auto"/>
              <w:ind w:left="0" w:right="0"/>
              <w:rPr>
                <w:rFonts w:hint="eastAsia" w:ascii="宋体" w:hAnsi="宋体" w:eastAsia="宋体" w:cs="宋体"/>
                <w:b/>
                <w:bCs/>
                <w:color w:val="auto"/>
                <w:sz w:val="24"/>
              </w:rPr>
            </w:pPr>
          </w:p>
        </w:tc>
        <w:tc>
          <w:tcPr>
            <w:tcW w:w="1315" w:type="dxa"/>
          </w:tcPr>
          <w:p w14:paraId="36825FDA">
            <w:pPr>
              <w:keepNext w:val="0"/>
              <w:keepLines w:val="0"/>
              <w:suppressLineNumbers w:val="0"/>
              <w:spacing w:before="0" w:beforeAutospacing="0" w:after="0" w:afterAutospacing="0" w:line="360" w:lineRule="auto"/>
              <w:ind w:left="0" w:right="0"/>
              <w:rPr>
                <w:rFonts w:hint="eastAsia" w:ascii="宋体" w:hAnsi="宋体" w:eastAsia="宋体" w:cs="宋体"/>
                <w:b/>
                <w:bCs/>
                <w:color w:val="auto"/>
                <w:sz w:val="24"/>
              </w:rPr>
            </w:pPr>
          </w:p>
        </w:tc>
        <w:tc>
          <w:tcPr>
            <w:tcW w:w="1893" w:type="dxa"/>
          </w:tcPr>
          <w:p w14:paraId="759BB434">
            <w:pPr>
              <w:keepNext w:val="0"/>
              <w:keepLines w:val="0"/>
              <w:suppressLineNumbers w:val="0"/>
              <w:spacing w:before="0" w:beforeAutospacing="0" w:after="0" w:afterAutospacing="0" w:line="360" w:lineRule="auto"/>
              <w:ind w:left="0" w:right="0"/>
              <w:rPr>
                <w:rFonts w:hint="eastAsia" w:ascii="宋体" w:hAnsi="宋体" w:eastAsia="宋体" w:cs="宋体"/>
                <w:b/>
                <w:bCs/>
                <w:color w:val="auto"/>
                <w:sz w:val="24"/>
              </w:rPr>
            </w:pPr>
          </w:p>
        </w:tc>
      </w:tr>
      <w:tr w14:paraId="1EDBC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3299" w:type="dxa"/>
          </w:tcPr>
          <w:p w14:paraId="27658A88">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rPr>
            </w:pPr>
            <w:r>
              <w:rPr>
                <w:rFonts w:hint="eastAsia" w:ascii="宋体" w:hAnsi="宋体" w:eastAsia="宋体" w:cs="宋体"/>
                <w:color w:val="auto"/>
                <w:sz w:val="24"/>
              </w:rPr>
              <w:t>……</w:t>
            </w:r>
          </w:p>
        </w:tc>
        <w:tc>
          <w:tcPr>
            <w:tcW w:w="1946" w:type="dxa"/>
          </w:tcPr>
          <w:p w14:paraId="3AF0DA34">
            <w:pPr>
              <w:keepNext w:val="0"/>
              <w:keepLines w:val="0"/>
              <w:suppressLineNumbers w:val="0"/>
              <w:spacing w:before="0" w:beforeAutospacing="0" w:after="0" w:afterAutospacing="0" w:line="360" w:lineRule="auto"/>
              <w:ind w:left="0" w:right="0"/>
              <w:rPr>
                <w:rFonts w:hint="eastAsia" w:ascii="宋体" w:hAnsi="宋体" w:eastAsia="宋体" w:cs="宋体"/>
                <w:b/>
                <w:bCs/>
                <w:color w:val="auto"/>
                <w:sz w:val="24"/>
              </w:rPr>
            </w:pPr>
          </w:p>
        </w:tc>
        <w:tc>
          <w:tcPr>
            <w:tcW w:w="1315" w:type="dxa"/>
          </w:tcPr>
          <w:p w14:paraId="35B1222B">
            <w:pPr>
              <w:keepNext w:val="0"/>
              <w:keepLines w:val="0"/>
              <w:suppressLineNumbers w:val="0"/>
              <w:spacing w:before="0" w:beforeAutospacing="0" w:after="0" w:afterAutospacing="0" w:line="360" w:lineRule="auto"/>
              <w:ind w:left="0" w:right="0"/>
              <w:rPr>
                <w:rFonts w:hint="eastAsia" w:ascii="宋体" w:hAnsi="宋体" w:eastAsia="宋体" w:cs="宋体"/>
                <w:b/>
                <w:bCs/>
                <w:color w:val="auto"/>
                <w:sz w:val="24"/>
              </w:rPr>
            </w:pPr>
          </w:p>
        </w:tc>
        <w:tc>
          <w:tcPr>
            <w:tcW w:w="1893" w:type="dxa"/>
          </w:tcPr>
          <w:p w14:paraId="2D84EE46">
            <w:pPr>
              <w:keepNext w:val="0"/>
              <w:keepLines w:val="0"/>
              <w:suppressLineNumbers w:val="0"/>
              <w:spacing w:before="0" w:beforeAutospacing="0" w:after="0" w:afterAutospacing="0" w:line="360" w:lineRule="auto"/>
              <w:ind w:left="0" w:right="0"/>
              <w:rPr>
                <w:rFonts w:hint="eastAsia" w:ascii="宋体" w:hAnsi="宋体" w:eastAsia="宋体" w:cs="宋体"/>
                <w:b/>
                <w:bCs/>
                <w:color w:val="auto"/>
                <w:sz w:val="24"/>
              </w:rPr>
            </w:pPr>
          </w:p>
        </w:tc>
      </w:tr>
    </w:tbl>
    <w:p w14:paraId="0F2F2007">
      <w:pPr>
        <w:spacing w:line="360" w:lineRule="auto"/>
        <w:rPr>
          <w:rFonts w:hint="eastAsia" w:ascii="宋体" w:hAnsi="宋体" w:eastAsia="宋体" w:cs="宋体"/>
          <w:color w:val="auto"/>
          <w:sz w:val="24"/>
        </w:rPr>
      </w:pPr>
    </w:p>
    <w:p w14:paraId="0F213FE1">
      <w:pPr>
        <w:spacing w:line="360" w:lineRule="auto"/>
        <w:rPr>
          <w:rFonts w:hint="eastAsia" w:ascii="宋体" w:hAnsi="宋体" w:eastAsia="宋体" w:cs="宋体"/>
          <w:color w:val="auto"/>
          <w:sz w:val="24"/>
        </w:rPr>
      </w:pPr>
    </w:p>
    <w:p w14:paraId="645CF2E2">
      <w:pPr>
        <w:spacing w:line="360" w:lineRule="auto"/>
        <w:rPr>
          <w:rFonts w:hint="eastAsia" w:ascii="宋体" w:hAnsi="宋体" w:eastAsia="宋体" w:cs="宋体"/>
          <w:b/>
          <w:color w:val="auto"/>
          <w:sz w:val="24"/>
        </w:rPr>
      </w:pPr>
      <w:r>
        <w:rPr>
          <w:rFonts w:hint="eastAsia" w:ascii="宋体" w:hAnsi="宋体" w:eastAsia="宋体" w:cs="宋体"/>
          <w:b/>
          <w:color w:val="auto"/>
          <w:sz w:val="24"/>
        </w:rPr>
        <w:t>供应商应按谈判文件第二章商务要求逐项填写并响应，否则为无效投标</w:t>
      </w:r>
    </w:p>
    <w:p w14:paraId="012EEFB3">
      <w:pPr>
        <w:spacing w:line="360" w:lineRule="auto"/>
        <w:rPr>
          <w:rFonts w:hint="eastAsia" w:ascii="宋体" w:hAnsi="宋体" w:eastAsia="宋体" w:cs="宋体"/>
          <w:b/>
          <w:color w:val="auto"/>
          <w:sz w:val="24"/>
        </w:rPr>
      </w:pPr>
    </w:p>
    <w:p w14:paraId="02A94A20">
      <w:pPr>
        <w:widowControl/>
        <w:wordWrap w:val="0"/>
        <w:spacing w:before="100" w:beforeAutospacing="1" w:after="100" w:afterAutospacing="1" w:line="360" w:lineRule="auto"/>
        <w:jc w:val="left"/>
        <w:rPr>
          <w:rFonts w:hint="eastAsia" w:ascii="宋体" w:hAnsi="宋体" w:eastAsia="宋体" w:cs="宋体"/>
          <w:color w:val="auto"/>
          <w:kern w:val="0"/>
          <w:sz w:val="24"/>
        </w:rPr>
      </w:pPr>
    </w:p>
    <w:p w14:paraId="41ECAB1D">
      <w:pPr>
        <w:widowControl/>
        <w:wordWrap w:val="0"/>
        <w:spacing w:before="100" w:beforeAutospacing="1" w:after="100" w:afterAutospacing="1" w:line="360" w:lineRule="auto"/>
        <w:jc w:val="left"/>
        <w:rPr>
          <w:rFonts w:hint="eastAsia" w:ascii="宋体" w:hAnsi="宋体" w:eastAsia="宋体" w:cs="宋体"/>
          <w:color w:val="auto"/>
          <w:kern w:val="0"/>
          <w:sz w:val="24"/>
          <w:u w:val="single"/>
        </w:rPr>
      </w:pPr>
      <w:r>
        <w:rPr>
          <w:rFonts w:hint="eastAsia" w:ascii="宋体" w:hAnsi="宋体" w:eastAsia="宋体" w:cs="宋体"/>
          <w:color w:val="auto"/>
          <w:kern w:val="0"/>
          <w:sz w:val="24"/>
        </w:rPr>
        <w:t xml:space="preserve">供应商代表签字： </w:t>
      </w:r>
      <w:r>
        <w:rPr>
          <w:rFonts w:hint="eastAsia" w:ascii="宋体" w:hAnsi="宋体" w:eastAsia="宋体" w:cs="宋体"/>
          <w:color w:val="auto"/>
          <w:kern w:val="0"/>
          <w:sz w:val="24"/>
          <w:u w:val="single"/>
        </w:rPr>
        <w:t xml:space="preserve">                </w:t>
      </w:r>
    </w:p>
    <w:p w14:paraId="59D1D2CA">
      <w:pPr>
        <w:widowControl/>
        <w:wordWrap w:val="0"/>
        <w:spacing w:before="100" w:beforeAutospacing="1" w:after="100" w:afterAutospacing="1" w:line="360" w:lineRule="auto"/>
        <w:jc w:val="left"/>
        <w:rPr>
          <w:rFonts w:hint="eastAsia" w:ascii="宋体" w:hAnsi="宋体" w:eastAsia="宋体" w:cs="宋体"/>
          <w:color w:val="auto"/>
          <w:kern w:val="0"/>
          <w:sz w:val="24"/>
        </w:rPr>
      </w:pPr>
      <w:r>
        <w:rPr>
          <w:rFonts w:hint="eastAsia" w:ascii="宋体" w:hAnsi="宋体" w:eastAsia="宋体" w:cs="宋体"/>
          <w:color w:val="auto"/>
          <w:kern w:val="0"/>
          <w:sz w:val="24"/>
        </w:rPr>
        <w:t>供应商：</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 xml:space="preserve">   （全称并加盖公章）</w:t>
      </w:r>
    </w:p>
    <w:p w14:paraId="2285EC7D">
      <w:pPr>
        <w:widowControl/>
        <w:spacing w:before="100" w:beforeAutospacing="1" w:after="100" w:afterAutospacing="1" w:line="360" w:lineRule="auto"/>
        <w:ind w:firstLine="240" w:firstLineChars="100"/>
        <w:rPr>
          <w:rFonts w:hint="eastAsia" w:ascii="宋体" w:hAnsi="宋体" w:eastAsia="宋体" w:cs="宋体"/>
          <w:color w:val="auto"/>
          <w:kern w:val="0"/>
          <w:sz w:val="24"/>
          <w:u w:val="single"/>
        </w:rPr>
      </w:pPr>
    </w:p>
    <w:p w14:paraId="217FB2A1">
      <w:pPr>
        <w:widowControl/>
        <w:spacing w:before="100" w:beforeAutospacing="1" w:after="100" w:afterAutospacing="1" w:line="360" w:lineRule="auto"/>
        <w:ind w:firstLine="1440" w:firstLineChars="600"/>
        <w:rPr>
          <w:rFonts w:hint="eastAsia" w:ascii="宋体" w:hAnsi="宋体" w:eastAsia="宋体" w:cs="宋体"/>
          <w:color w:val="auto"/>
          <w:kern w:val="0"/>
          <w:sz w:val="24"/>
        </w:rPr>
      </w:pP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 xml:space="preserve">年 </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 xml:space="preserve">月 </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p>
    <w:p w14:paraId="4CDD5780">
      <w:pPr>
        <w:widowControl/>
        <w:wordWrap w:val="0"/>
        <w:spacing w:before="100" w:beforeAutospacing="1" w:after="100" w:afterAutospacing="1" w:line="460" w:lineRule="exact"/>
        <w:ind w:firstLine="640" w:firstLineChars="200"/>
        <w:jc w:val="left"/>
        <w:rPr>
          <w:rFonts w:hint="eastAsia" w:ascii="宋体" w:hAnsi="宋体" w:eastAsia="宋体" w:cs="宋体"/>
          <w:color w:val="auto"/>
          <w:kern w:val="0"/>
          <w:sz w:val="32"/>
          <w:szCs w:val="32"/>
        </w:rPr>
      </w:pPr>
    </w:p>
    <w:p w14:paraId="6DB7A623">
      <w:pPr>
        <w:jc w:val="center"/>
        <w:rPr>
          <w:rFonts w:hint="eastAsia" w:ascii="宋体" w:hAnsi="宋体" w:eastAsia="宋体" w:cs="宋体"/>
          <w:b/>
          <w:color w:val="auto"/>
          <w:kern w:val="0"/>
          <w:sz w:val="32"/>
          <w:szCs w:val="32"/>
        </w:rPr>
      </w:pPr>
    </w:p>
    <w:p w14:paraId="4808FEBA">
      <w:pPr>
        <w:jc w:val="center"/>
        <w:rPr>
          <w:rFonts w:hint="eastAsia" w:ascii="宋体" w:hAnsi="宋体" w:eastAsia="宋体" w:cs="宋体"/>
          <w:b/>
          <w:color w:val="auto"/>
          <w:kern w:val="0"/>
          <w:sz w:val="32"/>
          <w:szCs w:val="32"/>
        </w:rPr>
      </w:pPr>
      <w:r>
        <w:rPr>
          <w:rFonts w:hint="eastAsia" w:ascii="宋体" w:hAnsi="宋体" w:eastAsia="宋体" w:cs="宋体"/>
          <w:b/>
          <w:color w:val="auto"/>
          <w:kern w:val="0"/>
          <w:sz w:val="32"/>
          <w:szCs w:val="32"/>
        </w:rPr>
        <w:t>附件</w:t>
      </w:r>
      <w:r>
        <w:rPr>
          <w:rFonts w:hint="eastAsia" w:ascii="宋体" w:hAnsi="宋体" w:cs="宋体"/>
          <w:b/>
          <w:color w:val="auto"/>
          <w:kern w:val="0"/>
          <w:sz w:val="32"/>
          <w:szCs w:val="32"/>
          <w:lang w:val="en-US" w:eastAsia="zh-CN"/>
        </w:rPr>
        <w:t>6</w:t>
      </w:r>
      <w:r>
        <w:rPr>
          <w:rFonts w:hint="eastAsia" w:ascii="宋体" w:hAnsi="宋体" w:eastAsia="宋体" w:cs="宋体"/>
          <w:b/>
          <w:color w:val="auto"/>
          <w:kern w:val="0"/>
          <w:sz w:val="32"/>
          <w:szCs w:val="32"/>
        </w:rPr>
        <w:t xml:space="preserve">  法定代表人身份证明</w:t>
      </w:r>
    </w:p>
    <w:p w14:paraId="4B26C90A">
      <w:pPr>
        <w:spacing w:line="360" w:lineRule="auto"/>
        <w:rPr>
          <w:rFonts w:hint="eastAsia" w:ascii="宋体" w:hAnsi="宋体" w:eastAsia="宋体" w:cs="宋体"/>
          <w:bCs/>
          <w:color w:val="auto"/>
          <w:sz w:val="24"/>
        </w:rPr>
      </w:pPr>
      <w:r>
        <w:rPr>
          <w:rFonts w:hint="eastAsia" w:ascii="宋体" w:hAnsi="宋体" w:eastAsia="宋体" w:cs="宋体"/>
          <w:bCs/>
          <w:color w:val="auto"/>
          <w:sz w:val="24"/>
        </w:rPr>
        <w:t>供应商名称：</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 </w:t>
      </w:r>
    </w:p>
    <w:p w14:paraId="7EEAD4FB">
      <w:pPr>
        <w:spacing w:line="360" w:lineRule="auto"/>
        <w:rPr>
          <w:rFonts w:hint="eastAsia" w:ascii="宋体" w:hAnsi="宋体" w:eastAsia="宋体" w:cs="宋体"/>
          <w:bCs/>
          <w:color w:val="auto"/>
          <w:sz w:val="24"/>
        </w:rPr>
      </w:pPr>
      <w:r>
        <w:rPr>
          <w:rFonts w:hint="eastAsia" w:ascii="宋体" w:hAnsi="宋体" w:eastAsia="宋体" w:cs="宋体"/>
          <w:bCs/>
          <w:color w:val="auto"/>
          <w:sz w:val="24"/>
        </w:rPr>
        <w:t>地址：</w:t>
      </w:r>
      <w:r>
        <w:rPr>
          <w:rFonts w:hint="eastAsia" w:ascii="宋体" w:hAnsi="宋体" w:eastAsia="宋体" w:cs="宋体"/>
          <w:bCs/>
          <w:color w:val="auto"/>
          <w:sz w:val="24"/>
          <w:u w:val="single"/>
        </w:rPr>
        <w:t xml:space="preserve">                                                  </w:t>
      </w:r>
    </w:p>
    <w:p w14:paraId="53D35B73">
      <w:pPr>
        <w:spacing w:line="360" w:lineRule="auto"/>
        <w:rPr>
          <w:rFonts w:hint="eastAsia" w:ascii="宋体" w:hAnsi="宋体" w:eastAsia="宋体" w:cs="宋体"/>
          <w:bCs/>
          <w:color w:val="auto"/>
          <w:sz w:val="24"/>
        </w:rPr>
      </w:pPr>
      <w:r>
        <w:rPr>
          <w:rFonts w:hint="eastAsia" w:ascii="宋体" w:hAnsi="宋体" w:eastAsia="宋体" w:cs="宋体"/>
          <w:bCs/>
          <w:color w:val="auto"/>
          <w:sz w:val="24"/>
        </w:rPr>
        <w:t>成立时间：</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年</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月</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日</w:t>
      </w:r>
    </w:p>
    <w:p w14:paraId="767EF206">
      <w:pPr>
        <w:spacing w:line="360" w:lineRule="auto"/>
        <w:rPr>
          <w:rFonts w:hint="eastAsia" w:ascii="宋体" w:hAnsi="宋体" w:eastAsia="宋体" w:cs="宋体"/>
          <w:bCs/>
          <w:color w:val="auto"/>
          <w:sz w:val="24"/>
          <w:u w:val="single"/>
        </w:rPr>
      </w:pPr>
      <w:r>
        <w:rPr>
          <w:rFonts w:hint="eastAsia" w:ascii="宋体" w:hAnsi="宋体" w:eastAsia="宋体" w:cs="宋体"/>
          <w:bCs/>
          <w:color w:val="auto"/>
          <w:sz w:val="24"/>
        </w:rPr>
        <w:t>经营期限：</w:t>
      </w:r>
      <w:r>
        <w:rPr>
          <w:rFonts w:hint="eastAsia" w:ascii="宋体" w:hAnsi="宋体" w:eastAsia="宋体" w:cs="宋体"/>
          <w:bCs/>
          <w:color w:val="auto"/>
          <w:sz w:val="24"/>
          <w:u w:val="single"/>
        </w:rPr>
        <w:t xml:space="preserve">                                              </w:t>
      </w:r>
    </w:p>
    <w:p w14:paraId="3098ABEF">
      <w:pPr>
        <w:spacing w:line="360" w:lineRule="auto"/>
        <w:rPr>
          <w:rFonts w:hint="eastAsia" w:ascii="宋体" w:hAnsi="宋体" w:eastAsia="宋体" w:cs="宋体"/>
          <w:bCs/>
          <w:color w:val="auto"/>
          <w:sz w:val="24"/>
        </w:rPr>
      </w:pPr>
      <w:r>
        <w:rPr>
          <w:rFonts w:hint="eastAsia" w:ascii="宋体" w:hAnsi="宋体" w:eastAsia="宋体" w:cs="宋体"/>
          <w:bCs/>
          <w:color w:val="auto"/>
          <w:sz w:val="24"/>
        </w:rPr>
        <w:t>姓名：</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，性别：</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，年龄：</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，职务：</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系  </w:t>
      </w:r>
      <w:r>
        <w:rPr>
          <w:rFonts w:hint="eastAsia" w:ascii="宋体" w:hAnsi="宋体" w:eastAsia="宋体" w:cs="宋体"/>
          <w:bCs/>
          <w:color w:val="auto"/>
          <w:sz w:val="24"/>
          <w:u w:val="single"/>
        </w:rPr>
        <w:t>（供应商名称）</w:t>
      </w:r>
      <w:r>
        <w:rPr>
          <w:rFonts w:hint="eastAsia" w:ascii="宋体" w:hAnsi="宋体" w:eastAsia="宋体" w:cs="宋体"/>
          <w:bCs/>
          <w:color w:val="auto"/>
          <w:sz w:val="24"/>
        </w:rPr>
        <w:t>的法定代表人。</w:t>
      </w:r>
    </w:p>
    <w:p w14:paraId="239A53F4">
      <w:pPr>
        <w:spacing w:line="360" w:lineRule="auto"/>
        <w:ind w:firstLine="600" w:firstLineChars="250"/>
        <w:rPr>
          <w:rFonts w:hint="eastAsia" w:ascii="宋体" w:hAnsi="宋体" w:eastAsia="宋体" w:cs="宋体"/>
          <w:bCs/>
          <w:color w:val="auto"/>
          <w:sz w:val="24"/>
        </w:rPr>
      </w:pPr>
      <w:r>
        <w:rPr>
          <w:rFonts w:hint="eastAsia" w:ascii="宋体" w:hAnsi="宋体" w:eastAsia="宋体" w:cs="宋体"/>
          <w:bCs/>
          <w:color w:val="auto"/>
          <w:sz w:val="24"/>
        </w:rPr>
        <w:t>特此证明。</w:t>
      </w:r>
    </w:p>
    <w:p w14:paraId="283180CB">
      <w:pPr>
        <w:spacing w:line="360" w:lineRule="auto"/>
        <w:jc w:val="center"/>
        <w:rPr>
          <w:rFonts w:hint="eastAsia" w:ascii="宋体" w:hAnsi="宋体" w:eastAsia="宋体" w:cs="宋体"/>
          <w:bCs/>
          <w:color w:val="auto"/>
          <w:sz w:val="24"/>
        </w:rPr>
      </w:pPr>
    </w:p>
    <w:p w14:paraId="51F9565C">
      <w:pPr>
        <w:spacing w:line="360" w:lineRule="auto"/>
        <w:rPr>
          <w:rFonts w:hint="eastAsia" w:ascii="宋体" w:hAnsi="宋体" w:eastAsia="宋体" w:cs="宋体"/>
          <w:color w:val="auto"/>
          <w:sz w:val="24"/>
        </w:rPr>
      </w:pPr>
      <w:r>
        <w:rPr>
          <w:rFonts w:hint="eastAsia" w:ascii="宋体" w:hAnsi="宋体" w:eastAsia="宋体" w:cs="宋体"/>
          <w:bCs/>
          <w:color w:val="auto"/>
          <w:sz w:val="24"/>
        </w:rPr>
        <w:t>附：</w:t>
      </w:r>
      <w:r>
        <w:rPr>
          <w:rFonts w:hint="eastAsia" w:ascii="宋体" w:hAnsi="宋体" w:eastAsia="宋体" w:cs="宋体"/>
          <w:bCs/>
          <w:color w:val="auto"/>
          <w:kern w:val="0"/>
          <w:sz w:val="24"/>
        </w:rPr>
        <w:t>法定代表人</w:t>
      </w:r>
      <w:r>
        <w:rPr>
          <w:rFonts w:hint="eastAsia" w:ascii="宋体" w:hAnsi="宋体" w:eastAsia="宋体" w:cs="宋体"/>
          <w:color w:val="auto"/>
          <w:sz w:val="24"/>
        </w:rPr>
        <w:t>身份证扫描件</w:t>
      </w:r>
      <w:r>
        <w:rPr>
          <w:rFonts w:hint="eastAsia" w:ascii="宋体" w:hAnsi="宋体" w:eastAsia="宋体" w:cs="宋体"/>
          <w:color w:val="auto"/>
          <w:sz w:val="24"/>
          <w:lang w:val="zh-CN"/>
        </w:rPr>
        <w:t>（二代身份证需正反面）</w:t>
      </w:r>
    </w:p>
    <w:p w14:paraId="5460F359">
      <w:pPr>
        <w:widowControl/>
        <w:shd w:val="clear" w:color="auto" w:fill="FFFFFF"/>
        <w:spacing w:line="360" w:lineRule="auto"/>
        <w:rPr>
          <w:rFonts w:hint="eastAsia" w:ascii="宋体" w:hAnsi="宋体" w:eastAsia="宋体" w:cs="宋体"/>
          <w:color w:val="auto"/>
          <w:kern w:val="0"/>
          <w:sz w:val="24"/>
        </w:rPr>
      </w:pPr>
      <w:r>
        <w:rPr>
          <w:rFonts w:hint="eastAsia" w:ascii="宋体" w:hAnsi="宋体" w:eastAsia="宋体" w:cs="宋体"/>
          <w:color w:val="auto"/>
          <w:sz w:val="24"/>
        </w:rPr>
        <mc:AlternateContent>
          <mc:Choice Requires="wps">
            <w:drawing>
              <wp:anchor distT="0" distB="0" distL="114300" distR="114300" simplePos="0" relativeHeight="251661312" behindDoc="0" locked="0" layoutInCell="1" allowOverlap="1">
                <wp:simplePos x="0" y="0"/>
                <wp:positionH relativeFrom="column">
                  <wp:posOffset>2543175</wp:posOffset>
                </wp:positionH>
                <wp:positionV relativeFrom="paragraph">
                  <wp:posOffset>238125</wp:posOffset>
                </wp:positionV>
                <wp:extent cx="2393315" cy="1681480"/>
                <wp:effectExtent l="5080" t="4445" r="20955" b="9525"/>
                <wp:wrapNone/>
                <wp:docPr id="8" name="流程图: 可选过程 8"/>
                <wp:cNvGraphicFramePr/>
                <a:graphic xmlns:a="http://schemas.openxmlformats.org/drawingml/2006/main">
                  <a:graphicData uri="http://schemas.microsoft.com/office/word/2010/wordprocessingShape">
                    <wps:wsp>
                      <wps:cNvSpPr>
                        <a:spLocks noChangeArrowheads="1"/>
                      </wps:cNvSpPr>
                      <wps:spPr bwMode="auto">
                        <a:xfrm>
                          <a:off x="0" y="0"/>
                          <a:ext cx="3297555" cy="2113915"/>
                        </a:xfrm>
                        <a:prstGeom prst="flowChartAlternateProcess">
                          <a:avLst/>
                        </a:prstGeom>
                        <a:solidFill>
                          <a:srgbClr val="FFFFFF"/>
                        </a:solidFill>
                        <a:ln w="9525">
                          <a:solidFill>
                            <a:srgbClr val="000000"/>
                          </a:solidFill>
                          <a:miter lim="800000"/>
                        </a:ln>
                        <a:effectLst/>
                      </wps:spPr>
                      <wps:txbx>
                        <w:txbxContent>
                          <w:p w14:paraId="4791E063">
                            <w:pPr>
                              <w:jc w:val="center"/>
                              <w:rPr>
                                <w:rFonts w:ascii="仿宋" w:hAnsi="仿宋" w:eastAsia="仿宋" w:cs="仿宋"/>
                                <w:sz w:val="24"/>
                              </w:rPr>
                            </w:pPr>
                            <w:r>
                              <w:rPr>
                                <w:rFonts w:hint="eastAsia" w:ascii="仿宋" w:hAnsi="仿宋" w:eastAsia="仿宋" w:cs="仿宋"/>
                                <w:sz w:val="24"/>
                              </w:rPr>
                              <w:t>身份证背面扫描件贴于此处</w:t>
                            </w: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200.25pt;margin-top:18.75pt;height:132.4pt;width:188.45pt;z-index:251661312;mso-width-relative:page;mso-height-relative:page;" fillcolor="#FFFFFF" filled="t" stroked="t" coordsize="21600,21600" o:gfxdata="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DsH6X3YAAAACgEAAA8AAAAAAAAAAQAgAAAAIgAAAGRycy9kb3ducmV2LnhtbFBLAQIU&#10;ABQAAAAIAIdO4kAJs/lJZQIAAK8EAAAOAAAAAAAAAAEAIAAAACcBAABkcnMvZTJvRG9jLnhtbFBL&#10;BQYAAAAABgAGAFkBAAD+BQAAAAA=&#10;">
                <v:fill on="t" focussize="0,0"/>
                <v:stroke color="#000000" miterlimit="8" joinstyle="miter"/>
                <v:imagedata o:title=""/>
                <o:lock v:ext="edit" aspectratio="f"/>
                <v:textbox>
                  <w:txbxContent>
                    <w:p w14:paraId="4791E063">
                      <w:pPr>
                        <w:jc w:val="center"/>
                        <w:rPr>
                          <w:rFonts w:ascii="仿宋" w:hAnsi="仿宋" w:eastAsia="仿宋" w:cs="仿宋"/>
                          <w:sz w:val="24"/>
                        </w:rPr>
                      </w:pPr>
                      <w:r>
                        <w:rPr>
                          <w:rFonts w:hint="eastAsia" w:ascii="仿宋" w:hAnsi="仿宋" w:eastAsia="仿宋" w:cs="仿宋"/>
                          <w:sz w:val="24"/>
                        </w:rPr>
                        <w:t>身份证背面扫描件贴于此处</w:t>
                      </w:r>
                    </w:p>
                  </w:txbxContent>
                </v:textbox>
              </v:shape>
            </w:pict>
          </mc:Fallback>
        </mc:AlternateContent>
      </w:r>
      <w:r>
        <w:rPr>
          <w:rFonts w:hint="eastAsia" w:ascii="宋体" w:hAnsi="宋体" w:eastAsia="宋体" w:cs="宋体"/>
          <w:color w:val="auto"/>
          <w:sz w:val="24"/>
        </w:rPr>
        <mc:AlternateContent>
          <mc:Choice Requires="wps">
            <w:drawing>
              <wp:anchor distT="0" distB="0" distL="114300" distR="114300" simplePos="0" relativeHeight="251660288" behindDoc="0" locked="0" layoutInCell="1" allowOverlap="1">
                <wp:simplePos x="0" y="0"/>
                <wp:positionH relativeFrom="column">
                  <wp:posOffset>-2540</wp:posOffset>
                </wp:positionH>
                <wp:positionV relativeFrom="paragraph">
                  <wp:posOffset>228600</wp:posOffset>
                </wp:positionV>
                <wp:extent cx="2440940" cy="1681480"/>
                <wp:effectExtent l="5080" t="4445" r="11430" b="9525"/>
                <wp:wrapNone/>
                <wp:docPr id="9" name="流程图: 可选过程 9"/>
                <wp:cNvGraphicFramePr/>
                <a:graphic xmlns:a="http://schemas.openxmlformats.org/drawingml/2006/main">
                  <a:graphicData uri="http://schemas.microsoft.com/office/word/2010/wordprocessingShape">
                    <wps:wsp>
                      <wps:cNvSpPr>
                        <a:spLocks noChangeArrowheads="1"/>
                      </wps:cNvSpPr>
                      <wps:spPr bwMode="auto">
                        <a:xfrm>
                          <a:off x="0" y="0"/>
                          <a:ext cx="3297555" cy="2113915"/>
                        </a:xfrm>
                        <a:prstGeom prst="flowChartAlternateProcess">
                          <a:avLst/>
                        </a:prstGeom>
                        <a:solidFill>
                          <a:srgbClr val="FFFFFF"/>
                        </a:solidFill>
                        <a:ln w="9525">
                          <a:solidFill>
                            <a:srgbClr val="000000"/>
                          </a:solidFill>
                          <a:miter lim="800000"/>
                        </a:ln>
                        <a:effectLst/>
                      </wps:spPr>
                      <wps:txbx>
                        <w:txbxContent>
                          <w:p w14:paraId="6393E2F8">
                            <w:pPr>
                              <w:jc w:val="center"/>
                              <w:rPr>
                                <w:rFonts w:ascii="仿宋" w:hAnsi="仿宋" w:eastAsia="仿宋" w:cs="仿宋"/>
                                <w:sz w:val="24"/>
                              </w:rPr>
                            </w:pPr>
                            <w:r>
                              <w:rPr>
                                <w:rFonts w:hint="eastAsia" w:ascii="仿宋" w:hAnsi="仿宋" w:eastAsia="仿宋" w:cs="仿宋"/>
                                <w:sz w:val="24"/>
                              </w:rPr>
                              <w:t>身份证正面扫描件贴于此处</w:t>
                            </w: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0.2pt;margin-top:18pt;height:132.4pt;width:192.2pt;z-index:251660288;mso-width-relative:page;mso-height-relative:page;" fillcolor="#FFFFFF" filled="t" stroked="t" coordsize="21600,21600" o:gfxdata="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BhubiM1gAAAAgBAAAPAAAAAAAAAAEAIAAAACIAAABkcnMvZG93bnJldi54bWxQSwECFAAU&#10;AAAACACHTuJA/WYXO2UCAACvBAAADgAAAAAAAAABACAAAAAlAQAAZHJzL2Uyb0RvYy54bWxQSwUG&#10;AAAAAAYABgBZAQAA/AUAAAAA&#10;">
                <v:fill on="t" focussize="0,0"/>
                <v:stroke color="#000000" miterlimit="8" joinstyle="miter"/>
                <v:imagedata o:title=""/>
                <o:lock v:ext="edit" aspectratio="f"/>
                <v:textbox>
                  <w:txbxContent>
                    <w:p w14:paraId="6393E2F8">
                      <w:pPr>
                        <w:jc w:val="center"/>
                        <w:rPr>
                          <w:rFonts w:ascii="仿宋" w:hAnsi="仿宋" w:eastAsia="仿宋" w:cs="仿宋"/>
                          <w:sz w:val="24"/>
                        </w:rPr>
                      </w:pPr>
                      <w:r>
                        <w:rPr>
                          <w:rFonts w:hint="eastAsia" w:ascii="仿宋" w:hAnsi="仿宋" w:eastAsia="仿宋" w:cs="仿宋"/>
                          <w:sz w:val="24"/>
                        </w:rPr>
                        <w:t>身份证正面扫描件贴于此处</w:t>
                      </w:r>
                    </w:p>
                  </w:txbxContent>
                </v:textbox>
              </v:shape>
            </w:pict>
          </mc:Fallback>
        </mc:AlternateContent>
      </w:r>
    </w:p>
    <w:p w14:paraId="64741CC5">
      <w:pPr>
        <w:widowControl/>
        <w:shd w:val="clear" w:color="auto" w:fill="FFFFFF"/>
        <w:spacing w:line="360" w:lineRule="auto"/>
        <w:ind w:firstLine="2880" w:firstLineChars="1200"/>
        <w:rPr>
          <w:rFonts w:hint="eastAsia" w:ascii="宋体" w:hAnsi="宋体" w:eastAsia="宋体" w:cs="宋体"/>
          <w:color w:val="auto"/>
          <w:kern w:val="0"/>
          <w:sz w:val="24"/>
        </w:rPr>
      </w:pPr>
    </w:p>
    <w:p w14:paraId="079151F5">
      <w:pPr>
        <w:widowControl/>
        <w:shd w:val="clear" w:color="auto" w:fill="FFFFFF"/>
        <w:spacing w:line="360" w:lineRule="auto"/>
        <w:ind w:firstLine="2880" w:firstLineChars="1200"/>
        <w:rPr>
          <w:rFonts w:hint="eastAsia" w:ascii="宋体" w:hAnsi="宋体" w:eastAsia="宋体" w:cs="宋体"/>
          <w:color w:val="auto"/>
          <w:kern w:val="0"/>
          <w:sz w:val="24"/>
        </w:rPr>
      </w:pPr>
    </w:p>
    <w:p w14:paraId="102BE236">
      <w:pPr>
        <w:widowControl/>
        <w:shd w:val="clear" w:color="auto" w:fill="FFFFFF"/>
        <w:spacing w:line="360" w:lineRule="auto"/>
        <w:ind w:firstLine="2880" w:firstLineChars="1200"/>
        <w:rPr>
          <w:rFonts w:hint="eastAsia" w:ascii="宋体" w:hAnsi="宋体" w:eastAsia="宋体" w:cs="宋体"/>
          <w:color w:val="auto"/>
          <w:kern w:val="0"/>
          <w:sz w:val="24"/>
        </w:rPr>
      </w:pPr>
    </w:p>
    <w:p w14:paraId="5B95EE8B">
      <w:pPr>
        <w:pStyle w:val="12"/>
        <w:spacing w:line="360" w:lineRule="auto"/>
        <w:rPr>
          <w:rFonts w:hint="eastAsia" w:ascii="宋体" w:hAnsi="宋体" w:eastAsia="宋体" w:cs="宋体"/>
          <w:color w:val="auto"/>
          <w:kern w:val="0"/>
        </w:rPr>
      </w:pPr>
    </w:p>
    <w:p w14:paraId="75A6033F">
      <w:pPr>
        <w:spacing w:line="360" w:lineRule="auto"/>
        <w:rPr>
          <w:rFonts w:hint="eastAsia" w:ascii="宋体" w:hAnsi="宋体" w:eastAsia="宋体" w:cs="宋体"/>
          <w:color w:val="auto"/>
          <w:kern w:val="0"/>
          <w:sz w:val="28"/>
        </w:rPr>
      </w:pPr>
    </w:p>
    <w:p w14:paraId="7B6B717A">
      <w:pPr>
        <w:rPr>
          <w:rFonts w:hint="eastAsia" w:ascii="宋体" w:hAnsi="宋体" w:eastAsia="宋体" w:cs="宋体"/>
          <w:bCs/>
          <w:color w:val="auto"/>
          <w:sz w:val="28"/>
          <w:szCs w:val="28"/>
        </w:rPr>
      </w:pPr>
    </w:p>
    <w:p w14:paraId="6F8F1223">
      <w:pPr>
        <w:rPr>
          <w:rFonts w:hint="eastAsia" w:ascii="宋体" w:hAnsi="宋体" w:eastAsia="宋体" w:cs="宋体"/>
          <w:b/>
          <w:color w:val="auto"/>
          <w:sz w:val="24"/>
        </w:rPr>
      </w:pPr>
    </w:p>
    <w:p w14:paraId="5799E8D6">
      <w:pPr>
        <w:rPr>
          <w:rFonts w:hint="eastAsia" w:ascii="宋体" w:hAnsi="宋体" w:eastAsia="宋体" w:cs="宋体"/>
          <w:b/>
          <w:color w:val="auto"/>
          <w:sz w:val="24"/>
        </w:rPr>
      </w:pPr>
      <w:r>
        <w:rPr>
          <w:rFonts w:hint="eastAsia" w:ascii="宋体" w:hAnsi="宋体" w:eastAsia="宋体" w:cs="宋体"/>
          <w:b/>
          <w:color w:val="auto"/>
          <w:sz w:val="24"/>
        </w:rPr>
        <w:t>供应商：</w:t>
      </w:r>
      <w:r>
        <w:rPr>
          <w:rFonts w:hint="eastAsia" w:ascii="宋体" w:hAnsi="宋体" w:eastAsia="宋体" w:cs="宋体"/>
          <w:b/>
          <w:color w:val="auto"/>
          <w:sz w:val="24"/>
          <w:u w:val="single"/>
        </w:rPr>
        <w:t xml:space="preserve">                       </w:t>
      </w:r>
      <w:r>
        <w:rPr>
          <w:rFonts w:hint="eastAsia" w:ascii="宋体" w:hAnsi="宋体" w:eastAsia="宋体" w:cs="宋体"/>
          <w:b/>
          <w:color w:val="auto"/>
          <w:sz w:val="24"/>
        </w:rPr>
        <w:t>（全称并加盖公章）</w:t>
      </w:r>
    </w:p>
    <w:p w14:paraId="749D6F5D">
      <w:pPr>
        <w:rPr>
          <w:rFonts w:hint="eastAsia" w:ascii="宋体" w:hAnsi="宋体" w:eastAsia="宋体" w:cs="宋体"/>
          <w:b/>
          <w:color w:val="auto"/>
          <w:sz w:val="24"/>
        </w:rPr>
      </w:pPr>
    </w:p>
    <w:p w14:paraId="0C36BF8F">
      <w:pPr>
        <w:rPr>
          <w:rFonts w:hint="eastAsia" w:ascii="宋体" w:hAnsi="宋体" w:eastAsia="宋体" w:cs="宋体"/>
          <w:b/>
          <w:color w:val="auto"/>
          <w:sz w:val="24"/>
        </w:rPr>
      </w:pPr>
      <w:r>
        <w:rPr>
          <w:rFonts w:hint="eastAsia" w:ascii="宋体" w:hAnsi="宋体" w:eastAsia="宋体" w:cs="宋体"/>
          <w:b/>
          <w:color w:val="auto"/>
          <w:sz w:val="24"/>
        </w:rPr>
        <w:t xml:space="preserve">                                 </w:t>
      </w:r>
    </w:p>
    <w:p w14:paraId="28F47275">
      <w:pPr>
        <w:rPr>
          <w:rFonts w:hint="eastAsia" w:ascii="宋体" w:hAnsi="宋体" w:eastAsia="宋体" w:cs="宋体"/>
          <w:b/>
          <w:color w:val="auto"/>
          <w:sz w:val="24"/>
        </w:rPr>
      </w:pPr>
    </w:p>
    <w:p w14:paraId="379FBB51">
      <w:pPr>
        <w:rPr>
          <w:rFonts w:hint="eastAsia" w:ascii="宋体" w:hAnsi="宋体" w:eastAsia="宋体" w:cs="宋体"/>
          <w:b/>
          <w:color w:val="auto"/>
          <w:sz w:val="24"/>
        </w:rPr>
      </w:pPr>
    </w:p>
    <w:p w14:paraId="1C236A89">
      <w:pPr>
        <w:rPr>
          <w:rFonts w:hint="eastAsia" w:ascii="宋体" w:hAnsi="宋体" w:eastAsia="宋体" w:cs="宋体"/>
          <w:b/>
          <w:color w:val="auto"/>
          <w:sz w:val="24"/>
        </w:rPr>
      </w:pPr>
      <w:r>
        <w:rPr>
          <w:rFonts w:hint="eastAsia" w:ascii="宋体" w:hAnsi="宋体" w:eastAsia="宋体" w:cs="宋体"/>
          <w:b/>
          <w:color w:val="auto"/>
          <w:sz w:val="24"/>
        </w:rPr>
        <w:t xml:space="preserve">                                             年    月    日</w:t>
      </w:r>
    </w:p>
    <w:p w14:paraId="4B6FA07D">
      <w:pPr>
        <w:rPr>
          <w:rFonts w:hint="eastAsia" w:ascii="宋体" w:hAnsi="宋体" w:eastAsia="宋体" w:cs="宋体"/>
          <w:bCs/>
          <w:color w:val="auto"/>
          <w:sz w:val="28"/>
          <w:szCs w:val="28"/>
        </w:rPr>
      </w:pPr>
    </w:p>
    <w:p w14:paraId="6E1241C4">
      <w:pPr>
        <w:rPr>
          <w:rFonts w:hint="eastAsia" w:ascii="宋体" w:hAnsi="宋体" w:eastAsia="宋体" w:cs="宋体"/>
          <w:bCs/>
          <w:color w:val="auto"/>
          <w:sz w:val="28"/>
          <w:szCs w:val="28"/>
        </w:rPr>
      </w:pPr>
    </w:p>
    <w:p w14:paraId="5DE540A3">
      <w:pPr>
        <w:jc w:val="center"/>
        <w:rPr>
          <w:rFonts w:hint="eastAsia" w:ascii="宋体" w:hAnsi="宋体" w:eastAsia="宋体" w:cs="宋体"/>
          <w:b/>
          <w:color w:val="auto"/>
          <w:kern w:val="0"/>
          <w:sz w:val="32"/>
          <w:szCs w:val="32"/>
        </w:rPr>
      </w:pPr>
    </w:p>
    <w:p w14:paraId="49266A7A">
      <w:pPr>
        <w:jc w:val="center"/>
        <w:rPr>
          <w:rFonts w:hint="eastAsia" w:ascii="宋体" w:hAnsi="宋体" w:eastAsia="宋体" w:cs="宋体"/>
          <w:b/>
          <w:color w:val="auto"/>
          <w:kern w:val="0"/>
          <w:sz w:val="32"/>
          <w:szCs w:val="32"/>
        </w:rPr>
      </w:pPr>
    </w:p>
    <w:p w14:paraId="504580D8">
      <w:pPr>
        <w:jc w:val="center"/>
        <w:rPr>
          <w:rFonts w:hint="eastAsia" w:ascii="宋体" w:hAnsi="宋体" w:eastAsia="宋体" w:cs="宋体"/>
          <w:b/>
          <w:color w:val="auto"/>
          <w:kern w:val="0"/>
          <w:sz w:val="32"/>
          <w:szCs w:val="32"/>
        </w:rPr>
      </w:pPr>
    </w:p>
    <w:p w14:paraId="4659DBA9">
      <w:pPr>
        <w:jc w:val="center"/>
        <w:rPr>
          <w:rFonts w:hint="eastAsia" w:ascii="宋体" w:hAnsi="宋体" w:eastAsia="宋体" w:cs="宋体"/>
          <w:b/>
          <w:color w:val="auto"/>
          <w:kern w:val="0"/>
          <w:sz w:val="32"/>
          <w:szCs w:val="32"/>
        </w:rPr>
      </w:pPr>
      <w:r>
        <w:rPr>
          <w:rFonts w:hint="eastAsia" w:ascii="宋体" w:hAnsi="宋体" w:eastAsia="宋体" w:cs="宋体"/>
          <w:b/>
          <w:color w:val="auto"/>
          <w:kern w:val="0"/>
          <w:sz w:val="32"/>
          <w:szCs w:val="32"/>
        </w:rPr>
        <w:t>附件</w:t>
      </w:r>
      <w:r>
        <w:rPr>
          <w:rFonts w:hint="eastAsia" w:ascii="宋体" w:hAnsi="宋体" w:cs="宋体"/>
          <w:b/>
          <w:color w:val="auto"/>
          <w:kern w:val="0"/>
          <w:sz w:val="32"/>
          <w:szCs w:val="32"/>
          <w:lang w:val="en-US" w:eastAsia="zh-CN"/>
        </w:rPr>
        <w:t>7</w:t>
      </w:r>
      <w:r>
        <w:rPr>
          <w:rFonts w:hint="eastAsia" w:ascii="宋体" w:hAnsi="宋体" w:eastAsia="宋体" w:cs="宋体"/>
          <w:b/>
          <w:color w:val="auto"/>
          <w:kern w:val="0"/>
          <w:sz w:val="32"/>
          <w:szCs w:val="32"/>
        </w:rPr>
        <w:t xml:space="preserve">   法定代表人授权书</w:t>
      </w:r>
    </w:p>
    <w:p w14:paraId="7EDBD737">
      <w:pPr>
        <w:spacing w:line="360" w:lineRule="auto"/>
        <w:rPr>
          <w:rFonts w:hint="eastAsia" w:ascii="宋体" w:hAnsi="宋体" w:eastAsia="宋体" w:cs="宋体"/>
          <w:bCs/>
          <w:color w:val="auto"/>
          <w:sz w:val="24"/>
        </w:rPr>
      </w:pPr>
      <w:r>
        <w:rPr>
          <w:rFonts w:hint="eastAsia" w:ascii="宋体" w:hAnsi="宋体" w:eastAsia="宋体" w:cs="宋体"/>
          <w:bCs/>
          <w:color w:val="auto"/>
          <w:sz w:val="24"/>
          <w:u w:val="single"/>
        </w:rPr>
        <w:t xml:space="preserve">致：          </w:t>
      </w:r>
      <w:r>
        <w:rPr>
          <w:rFonts w:hint="eastAsia" w:ascii="宋体" w:hAnsi="宋体" w:eastAsia="宋体" w:cs="宋体"/>
          <w:bCs/>
          <w:color w:val="auto"/>
          <w:sz w:val="24"/>
        </w:rPr>
        <w:t>（采购代理机构）：</w:t>
      </w:r>
    </w:p>
    <w:p w14:paraId="149E1271">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我</w:t>
      </w:r>
      <w:r>
        <w:rPr>
          <w:rFonts w:hint="eastAsia" w:ascii="宋体" w:hAnsi="宋体" w:eastAsia="宋体" w:cs="宋体"/>
          <w:bCs/>
          <w:color w:val="auto"/>
          <w:sz w:val="24"/>
          <w:u w:val="single"/>
        </w:rPr>
        <w:t>（姓名）</w:t>
      </w:r>
      <w:r>
        <w:rPr>
          <w:rFonts w:hint="eastAsia" w:ascii="宋体" w:hAnsi="宋体" w:eastAsia="宋体" w:cs="宋体"/>
          <w:bCs/>
          <w:color w:val="auto"/>
          <w:sz w:val="24"/>
        </w:rPr>
        <w:t>系</w:t>
      </w:r>
      <w:r>
        <w:rPr>
          <w:rFonts w:hint="eastAsia" w:ascii="宋体" w:hAnsi="宋体" w:eastAsia="宋体" w:cs="宋体"/>
          <w:bCs/>
          <w:color w:val="auto"/>
          <w:sz w:val="24"/>
          <w:u w:val="single"/>
        </w:rPr>
        <w:t>（供应商名称）</w:t>
      </w:r>
      <w:r>
        <w:rPr>
          <w:rFonts w:hint="eastAsia" w:ascii="宋体" w:hAnsi="宋体" w:eastAsia="宋体" w:cs="宋体"/>
          <w:bCs/>
          <w:color w:val="auto"/>
          <w:sz w:val="24"/>
        </w:rPr>
        <w:t>的法定代表人，现委托</w:t>
      </w:r>
      <w:r>
        <w:rPr>
          <w:rFonts w:hint="eastAsia" w:ascii="宋体" w:hAnsi="宋体" w:eastAsia="宋体" w:cs="宋体"/>
          <w:bCs/>
          <w:color w:val="auto"/>
          <w:sz w:val="24"/>
          <w:u w:val="single"/>
        </w:rPr>
        <w:t xml:space="preserve">     （</w:t>
      </w:r>
      <w:r>
        <w:rPr>
          <w:rFonts w:hint="eastAsia" w:ascii="宋体" w:hAnsi="宋体" w:cs="宋体"/>
          <w:bCs/>
          <w:color w:val="auto"/>
          <w:sz w:val="24"/>
          <w:u w:val="single"/>
          <w:lang w:val="en-US" w:eastAsia="zh-CN"/>
        </w:rPr>
        <w:t>签名</w:t>
      </w:r>
      <w:r>
        <w:rPr>
          <w:rFonts w:hint="eastAsia" w:ascii="宋体" w:hAnsi="宋体" w:eastAsia="宋体" w:cs="宋体"/>
          <w:bCs/>
          <w:color w:val="auto"/>
          <w:sz w:val="24"/>
          <w:u w:val="single"/>
        </w:rPr>
        <w:t>）</w:t>
      </w:r>
      <w:r>
        <w:rPr>
          <w:rFonts w:hint="eastAsia" w:ascii="宋体" w:hAnsi="宋体" w:eastAsia="宋体" w:cs="宋体"/>
          <w:bCs/>
          <w:color w:val="auto"/>
          <w:sz w:val="24"/>
        </w:rPr>
        <w:t xml:space="preserve">为我方代理人。代理人根据本授权，以我方的名义参加 </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项目（项目编号：</w:t>
      </w:r>
      <w:r>
        <w:rPr>
          <w:rFonts w:hint="eastAsia" w:ascii="宋体" w:hAnsi="宋体" w:eastAsia="宋体" w:cs="宋体"/>
          <w:bCs/>
          <w:color w:val="auto"/>
          <w:sz w:val="24"/>
          <w:u w:val="single"/>
        </w:rPr>
        <w:t xml:space="preserve">          </w:t>
      </w:r>
      <w:r>
        <w:rPr>
          <w:rFonts w:hint="eastAsia" w:ascii="宋体" w:hAnsi="宋体" w:cs="宋体"/>
          <w:color w:val="auto"/>
          <w:sz w:val="24"/>
          <w:u w:val="none"/>
          <w:lang w:val="en-US" w:eastAsia="zh-CN"/>
        </w:rPr>
        <w:t>包号：</w:t>
      </w:r>
      <w:r>
        <w:rPr>
          <w:rFonts w:hint="eastAsia" w:ascii="宋体" w:hAnsi="宋体" w:cs="宋体"/>
          <w:color w:val="auto"/>
          <w:sz w:val="24"/>
          <w:u w:val="single"/>
          <w:lang w:val="en-US" w:eastAsia="zh-CN"/>
        </w:rPr>
        <w:t xml:space="preserve">    </w:t>
      </w:r>
      <w:r>
        <w:rPr>
          <w:rFonts w:hint="eastAsia" w:ascii="宋体" w:hAnsi="宋体" w:eastAsia="宋体" w:cs="宋体"/>
          <w:bCs/>
          <w:color w:val="auto"/>
          <w:sz w:val="24"/>
        </w:rPr>
        <w:t>）的投标活动，并代表我方全权办理针对上述项目的投标、开标、评标、签约等具体事务和签署相关文件。</w:t>
      </w:r>
    </w:p>
    <w:p w14:paraId="40D01752">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我方对代理人的签名负全部责任。在撤销授权的书面通知以前，本授权书一直有效。代理人在授权书有效期内签署的所有文件不因授权的撤销而失效。</w:t>
      </w:r>
    </w:p>
    <w:p w14:paraId="25ED7B3C">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如果本次采购活动现场变更采购方式，本授权书有效。代理人无转委托权。</w:t>
      </w:r>
    </w:p>
    <w:p w14:paraId="1DAC8C5A">
      <w:pPr>
        <w:spacing w:line="360" w:lineRule="auto"/>
        <w:rPr>
          <w:rFonts w:hint="eastAsia" w:ascii="宋体" w:hAnsi="宋体" w:eastAsia="宋体" w:cs="宋体"/>
          <w:bCs/>
          <w:color w:val="auto"/>
          <w:sz w:val="24"/>
        </w:rPr>
      </w:pPr>
      <w:r>
        <w:rPr>
          <w:rFonts w:hint="eastAsia" w:ascii="宋体" w:hAnsi="宋体" w:eastAsia="宋体" w:cs="宋体"/>
          <w:bCs/>
          <w:color w:val="auto"/>
          <w:sz w:val="24"/>
        </w:rPr>
        <w:t>委托期限：</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                 </w:t>
      </w:r>
    </w:p>
    <w:p w14:paraId="73331C11">
      <w:pPr>
        <w:spacing w:line="360" w:lineRule="auto"/>
        <w:rPr>
          <w:rFonts w:hint="eastAsia" w:ascii="宋体" w:hAnsi="宋体" w:eastAsia="宋体" w:cs="宋体"/>
          <w:bCs/>
          <w:color w:val="auto"/>
          <w:sz w:val="24"/>
          <w:u w:val="single"/>
        </w:rPr>
      </w:pPr>
      <w:r>
        <w:rPr>
          <w:rFonts w:hint="eastAsia" w:ascii="宋体" w:hAnsi="宋体" w:eastAsia="宋体" w:cs="宋体"/>
          <w:bCs/>
          <w:color w:val="auto"/>
          <w:sz w:val="24"/>
        </w:rPr>
        <w:t>委托代理人签名：</w:t>
      </w:r>
      <w:r>
        <w:rPr>
          <w:rFonts w:hint="eastAsia" w:ascii="宋体" w:hAnsi="宋体" w:eastAsia="宋体" w:cs="宋体"/>
          <w:bCs/>
          <w:color w:val="auto"/>
          <w:sz w:val="24"/>
          <w:u w:val="single"/>
        </w:rPr>
        <w:t xml:space="preserve">                </w:t>
      </w:r>
      <w:r>
        <w:rPr>
          <w:rFonts w:hint="eastAsia" w:ascii="宋体" w:hAnsi="宋体" w:cs="宋体"/>
          <w:bCs/>
          <w:color w:val="auto"/>
          <w:sz w:val="24"/>
          <w:u w:val="single"/>
          <w:lang w:val="en-US" w:eastAsia="zh-CN"/>
        </w:rPr>
        <w:t xml:space="preserve">  </w:t>
      </w:r>
      <w:r>
        <w:rPr>
          <w:rFonts w:hint="eastAsia" w:ascii="宋体" w:hAnsi="宋体" w:eastAsia="宋体" w:cs="宋体"/>
          <w:bCs/>
          <w:color w:val="auto"/>
          <w:sz w:val="24"/>
        </w:rPr>
        <w:t>法定代表人签名：</w:t>
      </w:r>
      <w:r>
        <w:rPr>
          <w:rFonts w:hint="eastAsia" w:ascii="宋体" w:hAnsi="宋体" w:eastAsia="宋体" w:cs="宋体"/>
          <w:bCs/>
          <w:color w:val="auto"/>
          <w:sz w:val="24"/>
          <w:u w:val="single"/>
        </w:rPr>
        <w:t xml:space="preserve">           </w:t>
      </w:r>
    </w:p>
    <w:p w14:paraId="6132D0CF">
      <w:pPr>
        <w:spacing w:line="360" w:lineRule="auto"/>
        <w:rPr>
          <w:rFonts w:hint="eastAsia" w:ascii="宋体" w:hAnsi="宋体" w:eastAsia="宋体" w:cs="宋体"/>
          <w:bCs/>
          <w:color w:val="auto"/>
          <w:sz w:val="24"/>
          <w:u w:val="single"/>
        </w:rPr>
      </w:pPr>
      <w:r>
        <w:rPr>
          <w:rFonts w:hint="eastAsia" w:ascii="宋体" w:hAnsi="宋体" w:eastAsia="宋体" w:cs="宋体"/>
          <w:bCs/>
          <w:color w:val="auto"/>
          <w:sz w:val="24"/>
        </w:rPr>
        <w:t>职务：</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        职务：</w:t>
      </w:r>
      <w:r>
        <w:rPr>
          <w:rFonts w:hint="eastAsia" w:ascii="宋体" w:hAnsi="宋体" w:eastAsia="宋体" w:cs="宋体"/>
          <w:bCs/>
          <w:color w:val="auto"/>
          <w:sz w:val="24"/>
          <w:u w:val="single"/>
        </w:rPr>
        <w:t xml:space="preserve">               </w:t>
      </w:r>
    </w:p>
    <w:p w14:paraId="3C82418C">
      <w:pPr>
        <w:spacing w:line="360" w:lineRule="auto"/>
        <w:rPr>
          <w:rFonts w:hint="eastAsia" w:ascii="宋体" w:hAnsi="宋体" w:eastAsia="宋体" w:cs="宋体"/>
          <w:bCs/>
          <w:color w:val="auto"/>
          <w:sz w:val="24"/>
          <w:u w:val="single"/>
        </w:rPr>
      </w:pPr>
      <w:r>
        <w:rPr>
          <w:rFonts w:hint="eastAsia" w:ascii="宋体" w:hAnsi="宋体" w:eastAsia="宋体" w:cs="宋体"/>
          <w:bCs/>
          <w:color w:val="auto"/>
          <w:sz w:val="24"/>
        </w:rPr>
        <w:t>委托代理人身份证号码：</w:t>
      </w:r>
      <w:r>
        <w:rPr>
          <w:rFonts w:hint="eastAsia" w:ascii="宋体" w:hAnsi="宋体" w:eastAsia="宋体" w:cs="宋体"/>
          <w:bCs/>
          <w:color w:val="auto"/>
          <w:sz w:val="24"/>
          <w:u w:val="single"/>
        </w:rPr>
        <w:t xml:space="preserve">                                      </w:t>
      </w:r>
    </w:p>
    <w:p w14:paraId="18AB59CC">
      <w:pPr>
        <w:spacing w:line="360" w:lineRule="auto"/>
        <w:jc w:val="center"/>
        <w:rPr>
          <w:rFonts w:hint="eastAsia" w:ascii="宋体" w:hAnsi="宋体" w:eastAsia="宋体" w:cs="宋体"/>
          <w:bCs/>
          <w:color w:val="auto"/>
          <w:sz w:val="24"/>
        </w:rPr>
      </w:pPr>
    </w:p>
    <w:p w14:paraId="6BC42AED">
      <w:pPr>
        <w:spacing w:line="360" w:lineRule="auto"/>
        <w:rPr>
          <w:rFonts w:hint="eastAsia" w:ascii="宋体" w:hAnsi="宋体" w:eastAsia="宋体" w:cs="宋体"/>
          <w:bCs/>
          <w:color w:val="auto"/>
          <w:sz w:val="24"/>
        </w:rPr>
      </w:pPr>
      <w:r>
        <w:rPr>
          <w:rFonts w:hint="eastAsia" w:ascii="宋体" w:hAnsi="宋体" w:eastAsia="宋体" w:cs="宋体"/>
          <w:bCs/>
          <w:color w:val="auto"/>
          <w:sz w:val="24"/>
        </w:rPr>
        <w:t>附：委托代理人身份证扫描件</w:t>
      </w:r>
      <w:r>
        <w:rPr>
          <w:rFonts w:hint="eastAsia" w:ascii="宋体" w:hAnsi="宋体" w:eastAsia="宋体" w:cs="宋体"/>
          <w:bCs/>
          <w:color w:val="auto"/>
          <w:sz w:val="24"/>
          <w:lang w:val="zh-CN"/>
        </w:rPr>
        <w:t>（二代身份证需正反面）</w:t>
      </w:r>
    </w:p>
    <w:p w14:paraId="3AF92331">
      <w:pPr>
        <w:widowControl/>
        <w:shd w:val="clear" w:color="auto" w:fill="FFFFFF"/>
        <w:spacing w:line="360" w:lineRule="auto"/>
        <w:rPr>
          <w:rFonts w:hint="eastAsia" w:ascii="宋体" w:hAnsi="宋体" w:eastAsia="宋体" w:cs="宋体"/>
          <w:color w:val="auto"/>
          <w:kern w:val="0"/>
          <w:sz w:val="24"/>
        </w:rPr>
      </w:pPr>
      <w:r>
        <w:rPr>
          <w:rFonts w:hint="eastAsia" w:ascii="宋体" w:hAnsi="宋体" w:eastAsia="宋体" w:cs="宋体"/>
          <w:color w:val="auto"/>
          <w:sz w:val="24"/>
        </w:rPr>
        <mc:AlternateContent>
          <mc:Choice Requires="wps">
            <w:drawing>
              <wp:anchor distT="0" distB="0" distL="114300" distR="114300" simplePos="0" relativeHeight="251663360" behindDoc="0" locked="0" layoutInCell="1" allowOverlap="1">
                <wp:simplePos x="0" y="0"/>
                <wp:positionH relativeFrom="column">
                  <wp:posOffset>2543175</wp:posOffset>
                </wp:positionH>
                <wp:positionV relativeFrom="paragraph">
                  <wp:posOffset>238125</wp:posOffset>
                </wp:positionV>
                <wp:extent cx="2393315" cy="1681480"/>
                <wp:effectExtent l="5080" t="4445" r="20955" b="9525"/>
                <wp:wrapNone/>
                <wp:docPr id="2" name="流程图: 可选过程 8"/>
                <wp:cNvGraphicFramePr/>
                <a:graphic xmlns:a="http://schemas.openxmlformats.org/drawingml/2006/main">
                  <a:graphicData uri="http://schemas.microsoft.com/office/word/2010/wordprocessingShape">
                    <wps:wsp>
                      <wps:cNvSpPr>
                        <a:spLocks noChangeArrowheads="1"/>
                      </wps:cNvSpPr>
                      <wps:spPr bwMode="auto">
                        <a:xfrm>
                          <a:off x="0" y="0"/>
                          <a:ext cx="3297555" cy="2113915"/>
                        </a:xfrm>
                        <a:prstGeom prst="flowChartAlternateProcess">
                          <a:avLst/>
                        </a:prstGeom>
                        <a:solidFill>
                          <a:srgbClr val="FFFFFF"/>
                        </a:solidFill>
                        <a:ln w="9525">
                          <a:solidFill>
                            <a:srgbClr val="000000"/>
                          </a:solidFill>
                          <a:miter lim="800000"/>
                        </a:ln>
                        <a:effectLst/>
                      </wps:spPr>
                      <wps:txbx>
                        <w:txbxContent>
                          <w:p w14:paraId="0B831F96">
                            <w:pPr>
                              <w:jc w:val="center"/>
                              <w:rPr>
                                <w:rFonts w:ascii="仿宋" w:hAnsi="仿宋" w:eastAsia="仿宋" w:cs="仿宋"/>
                                <w:sz w:val="24"/>
                              </w:rPr>
                            </w:pPr>
                            <w:r>
                              <w:rPr>
                                <w:rFonts w:hint="eastAsia" w:ascii="仿宋" w:hAnsi="仿宋" w:eastAsia="仿宋" w:cs="仿宋"/>
                                <w:sz w:val="24"/>
                              </w:rPr>
                              <w:t>身份证背面扫描件贴于此处</w:t>
                            </w:r>
                          </w:p>
                        </w:txbxContent>
                      </wps:txbx>
                      <wps:bodyPr rot="0" vert="horz" wrap="square" lIns="91440" tIns="45720" rIns="91440" bIns="45720" anchor="t" anchorCtr="0" upright="1">
                        <a:noAutofit/>
                      </wps:bodyPr>
                    </wps:wsp>
                  </a:graphicData>
                </a:graphic>
              </wp:anchor>
            </w:drawing>
          </mc:Choice>
          <mc:Fallback>
            <w:pict>
              <v:shape id="流程图: 可选过程 8" o:spid="_x0000_s1026" o:spt="176" type="#_x0000_t176" style="position:absolute;left:0pt;margin-left:200.25pt;margin-top:18.75pt;height:132.4pt;width:188.45pt;z-index:251663360;mso-width-relative:page;mso-height-relative:page;" fillcolor="#FFFFFF" filled="t" stroked="t" coordsize="21600,21600" o:gfxdata="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DsH6X3YAAAACgEAAA8AAAAAAAAAAQAgAAAAIgAAAGRycy9kb3ducmV2LnhtbFBLAQIU&#10;ABQAAAAIAIdO4kDgf6n2ZQIAAK8EAAAOAAAAAAAAAAEAIAAAACcBAABkcnMvZTJvRG9jLnhtbFBL&#10;BQYAAAAABgAGAFkBAAD+BQAAAAA=&#10;">
                <v:fill on="t" focussize="0,0"/>
                <v:stroke color="#000000" miterlimit="8" joinstyle="miter"/>
                <v:imagedata o:title=""/>
                <o:lock v:ext="edit" aspectratio="f"/>
                <v:textbox>
                  <w:txbxContent>
                    <w:p w14:paraId="0B831F96">
                      <w:pPr>
                        <w:jc w:val="center"/>
                        <w:rPr>
                          <w:rFonts w:ascii="仿宋" w:hAnsi="仿宋" w:eastAsia="仿宋" w:cs="仿宋"/>
                          <w:sz w:val="24"/>
                        </w:rPr>
                      </w:pPr>
                      <w:r>
                        <w:rPr>
                          <w:rFonts w:hint="eastAsia" w:ascii="仿宋" w:hAnsi="仿宋" w:eastAsia="仿宋" w:cs="仿宋"/>
                          <w:sz w:val="24"/>
                        </w:rPr>
                        <w:t>身份证背面扫描件贴于此处</w:t>
                      </w:r>
                    </w:p>
                  </w:txbxContent>
                </v:textbox>
              </v:shape>
            </w:pict>
          </mc:Fallback>
        </mc:AlternateContent>
      </w:r>
      <w:r>
        <w:rPr>
          <w:rFonts w:hint="eastAsia" w:ascii="宋体" w:hAnsi="宋体" w:eastAsia="宋体" w:cs="宋体"/>
          <w:color w:val="auto"/>
          <w:sz w:val="24"/>
        </w:rPr>
        <mc:AlternateContent>
          <mc:Choice Requires="wps">
            <w:drawing>
              <wp:anchor distT="0" distB="0" distL="114300" distR="114300" simplePos="0" relativeHeight="251662336" behindDoc="0" locked="0" layoutInCell="1" allowOverlap="1">
                <wp:simplePos x="0" y="0"/>
                <wp:positionH relativeFrom="column">
                  <wp:posOffset>-2540</wp:posOffset>
                </wp:positionH>
                <wp:positionV relativeFrom="paragraph">
                  <wp:posOffset>228600</wp:posOffset>
                </wp:positionV>
                <wp:extent cx="2440940" cy="1681480"/>
                <wp:effectExtent l="5080" t="4445" r="11430" b="9525"/>
                <wp:wrapNone/>
                <wp:docPr id="1" name="流程图: 可选过程 9"/>
                <wp:cNvGraphicFramePr/>
                <a:graphic xmlns:a="http://schemas.openxmlformats.org/drawingml/2006/main">
                  <a:graphicData uri="http://schemas.microsoft.com/office/word/2010/wordprocessingShape">
                    <wps:wsp>
                      <wps:cNvSpPr>
                        <a:spLocks noChangeArrowheads="1"/>
                      </wps:cNvSpPr>
                      <wps:spPr bwMode="auto">
                        <a:xfrm>
                          <a:off x="0" y="0"/>
                          <a:ext cx="3297555" cy="2113915"/>
                        </a:xfrm>
                        <a:prstGeom prst="flowChartAlternateProcess">
                          <a:avLst/>
                        </a:prstGeom>
                        <a:solidFill>
                          <a:srgbClr val="FFFFFF"/>
                        </a:solidFill>
                        <a:ln w="9525">
                          <a:solidFill>
                            <a:srgbClr val="000000"/>
                          </a:solidFill>
                          <a:miter lim="800000"/>
                        </a:ln>
                        <a:effectLst/>
                      </wps:spPr>
                      <wps:txbx>
                        <w:txbxContent>
                          <w:p w14:paraId="4599580B">
                            <w:pPr>
                              <w:jc w:val="center"/>
                              <w:rPr>
                                <w:rFonts w:ascii="仿宋" w:hAnsi="仿宋" w:eastAsia="仿宋" w:cs="仿宋"/>
                                <w:sz w:val="24"/>
                              </w:rPr>
                            </w:pPr>
                            <w:r>
                              <w:rPr>
                                <w:rFonts w:hint="eastAsia" w:ascii="仿宋" w:hAnsi="仿宋" w:eastAsia="仿宋" w:cs="仿宋"/>
                                <w:sz w:val="24"/>
                              </w:rPr>
                              <w:t>身份证正面扫描件贴于此处</w:t>
                            </w:r>
                          </w:p>
                        </w:txbxContent>
                      </wps:txbx>
                      <wps:bodyPr rot="0" vert="horz" wrap="square" lIns="91440" tIns="45720" rIns="91440" bIns="45720" anchor="t" anchorCtr="0" upright="1">
                        <a:noAutofit/>
                      </wps:bodyPr>
                    </wps:wsp>
                  </a:graphicData>
                </a:graphic>
              </wp:anchor>
            </w:drawing>
          </mc:Choice>
          <mc:Fallback>
            <w:pict>
              <v:shape id="流程图: 可选过程 9" o:spid="_x0000_s1026" o:spt="176" type="#_x0000_t176" style="position:absolute;left:0pt;margin-left:-0.2pt;margin-top:18pt;height:132.4pt;width:192.2pt;z-index:251662336;mso-width-relative:page;mso-height-relative:page;" fillcolor="#FFFFFF" filled="t" stroked="t" coordsize="21600,21600" o:gfxdata="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BhubiM1gAAAAgBAAAPAAAAAAAAAAEAIAAAACIAAABkcnMvZG93bnJldi54bWxQSwECFAAU&#10;AAAACACHTuJAtj7SFGUCAACvBAAADgAAAAAAAAABACAAAAAlAQAAZHJzL2Uyb0RvYy54bWxQSwUG&#10;AAAAAAYABgBZAQAA/AUAAAAA&#10;">
                <v:fill on="t" focussize="0,0"/>
                <v:stroke color="#000000" miterlimit="8" joinstyle="miter"/>
                <v:imagedata o:title=""/>
                <o:lock v:ext="edit" aspectratio="f"/>
                <v:textbox>
                  <w:txbxContent>
                    <w:p w14:paraId="4599580B">
                      <w:pPr>
                        <w:jc w:val="center"/>
                        <w:rPr>
                          <w:rFonts w:ascii="仿宋" w:hAnsi="仿宋" w:eastAsia="仿宋" w:cs="仿宋"/>
                          <w:sz w:val="24"/>
                        </w:rPr>
                      </w:pPr>
                      <w:r>
                        <w:rPr>
                          <w:rFonts w:hint="eastAsia" w:ascii="仿宋" w:hAnsi="仿宋" w:eastAsia="仿宋" w:cs="仿宋"/>
                          <w:sz w:val="24"/>
                        </w:rPr>
                        <w:t>身份证正面扫描件贴于此处</w:t>
                      </w:r>
                    </w:p>
                  </w:txbxContent>
                </v:textbox>
              </v:shape>
            </w:pict>
          </mc:Fallback>
        </mc:AlternateContent>
      </w:r>
    </w:p>
    <w:p w14:paraId="1D8BF55D">
      <w:pPr>
        <w:widowControl/>
        <w:shd w:val="clear" w:color="auto" w:fill="FFFFFF"/>
        <w:spacing w:line="360" w:lineRule="auto"/>
        <w:ind w:firstLine="2880" w:firstLineChars="1200"/>
        <w:rPr>
          <w:rFonts w:hint="eastAsia" w:ascii="宋体" w:hAnsi="宋体" w:eastAsia="宋体" w:cs="宋体"/>
          <w:color w:val="auto"/>
          <w:kern w:val="0"/>
          <w:sz w:val="24"/>
        </w:rPr>
      </w:pPr>
    </w:p>
    <w:p w14:paraId="2BB6B674">
      <w:pPr>
        <w:widowControl/>
        <w:shd w:val="clear" w:color="auto" w:fill="FFFFFF"/>
        <w:spacing w:line="360" w:lineRule="auto"/>
        <w:ind w:firstLine="2880" w:firstLineChars="1200"/>
        <w:rPr>
          <w:rFonts w:hint="eastAsia" w:ascii="宋体" w:hAnsi="宋体" w:eastAsia="宋体" w:cs="宋体"/>
          <w:color w:val="auto"/>
          <w:kern w:val="0"/>
          <w:sz w:val="24"/>
        </w:rPr>
      </w:pPr>
    </w:p>
    <w:p w14:paraId="703C35D9">
      <w:pPr>
        <w:widowControl/>
        <w:shd w:val="clear" w:color="auto" w:fill="FFFFFF"/>
        <w:spacing w:line="360" w:lineRule="auto"/>
        <w:ind w:firstLine="2880" w:firstLineChars="1200"/>
        <w:rPr>
          <w:rFonts w:hint="eastAsia" w:ascii="宋体" w:hAnsi="宋体" w:eastAsia="宋体" w:cs="宋体"/>
          <w:color w:val="auto"/>
          <w:kern w:val="0"/>
          <w:sz w:val="24"/>
        </w:rPr>
      </w:pPr>
    </w:p>
    <w:p w14:paraId="7071702F">
      <w:pPr>
        <w:pStyle w:val="12"/>
        <w:spacing w:line="360" w:lineRule="auto"/>
        <w:rPr>
          <w:rFonts w:hint="eastAsia" w:ascii="宋体" w:hAnsi="宋体" w:eastAsia="宋体" w:cs="宋体"/>
          <w:color w:val="auto"/>
          <w:kern w:val="0"/>
        </w:rPr>
      </w:pPr>
    </w:p>
    <w:p w14:paraId="5D672F37">
      <w:pPr>
        <w:spacing w:line="360" w:lineRule="auto"/>
        <w:rPr>
          <w:rFonts w:hint="eastAsia" w:ascii="宋体" w:hAnsi="宋体" w:eastAsia="宋体" w:cs="宋体"/>
          <w:color w:val="auto"/>
          <w:kern w:val="0"/>
          <w:sz w:val="28"/>
        </w:rPr>
      </w:pPr>
    </w:p>
    <w:p w14:paraId="72737D7E">
      <w:pPr>
        <w:spacing w:line="360" w:lineRule="auto"/>
        <w:rPr>
          <w:rFonts w:hint="eastAsia" w:ascii="宋体" w:hAnsi="宋体" w:eastAsia="宋体" w:cs="宋体"/>
          <w:b/>
          <w:color w:val="auto"/>
          <w:sz w:val="24"/>
        </w:rPr>
      </w:pPr>
    </w:p>
    <w:p w14:paraId="2CDF6B29">
      <w:pPr>
        <w:spacing w:line="360" w:lineRule="auto"/>
        <w:rPr>
          <w:rFonts w:hint="eastAsia" w:ascii="宋体" w:hAnsi="宋体" w:eastAsia="宋体" w:cs="宋体"/>
          <w:b/>
          <w:color w:val="auto"/>
          <w:sz w:val="24"/>
        </w:rPr>
      </w:pPr>
    </w:p>
    <w:p w14:paraId="1D752D44">
      <w:pPr>
        <w:spacing w:line="360" w:lineRule="auto"/>
        <w:rPr>
          <w:rFonts w:hint="eastAsia" w:ascii="宋体" w:hAnsi="宋体" w:eastAsia="宋体" w:cs="宋体"/>
          <w:b/>
          <w:color w:val="auto"/>
          <w:sz w:val="24"/>
        </w:rPr>
      </w:pPr>
      <w:r>
        <w:rPr>
          <w:rFonts w:hint="eastAsia" w:ascii="宋体" w:hAnsi="宋体" w:eastAsia="宋体" w:cs="宋体"/>
          <w:b/>
          <w:color w:val="auto"/>
          <w:sz w:val="24"/>
        </w:rPr>
        <w:t>供应商：</w:t>
      </w:r>
      <w:r>
        <w:rPr>
          <w:rFonts w:hint="eastAsia" w:ascii="宋体" w:hAnsi="宋体" w:eastAsia="宋体" w:cs="宋体"/>
          <w:b/>
          <w:color w:val="auto"/>
          <w:sz w:val="24"/>
          <w:u w:val="single"/>
        </w:rPr>
        <w:t xml:space="preserve">                       </w:t>
      </w:r>
      <w:r>
        <w:rPr>
          <w:rFonts w:hint="eastAsia" w:ascii="宋体" w:hAnsi="宋体" w:eastAsia="宋体" w:cs="宋体"/>
          <w:b/>
          <w:color w:val="auto"/>
          <w:sz w:val="24"/>
        </w:rPr>
        <w:t>（全称并加盖公章）</w:t>
      </w:r>
    </w:p>
    <w:p w14:paraId="099B0A80">
      <w:pPr>
        <w:spacing w:line="360" w:lineRule="auto"/>
        <w:rPr>
          <w:rFonts w:hint="eastAsia" w:ascii="宋体" w:hAnsi="宋体" w:eastAsia="宋体" w:cs="宋体"/>
          <w:b/>
          <w:color w:val="auto"/>
          <w:sz w:val="24"/>
        </w:rPr>
      </w:pPr>
    </w:p>
    <w:p w14:paraId="4627A2D4">
      <w:pP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                                 </w:t>
      </w:r>
    </w:p>
    <w:p w14:paraId="2ADC37A7">
      <w:pP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                                             年    月    日</w:t>
      </w:r>
    </w:p>
    <w:p w14:paraId="3B10018E">
      <w:pPr>
        <w:jc w:val="center"/>
        <w:rPr>
          <w:rFonts w:hint="eastAsia" w:ascii="宋体" w:hAnsi="宋体" w:eastAsia="宋体" w:cs="宋体"/>
          <w:b/>
          <w:color w:val="auto"/>
          <w:kern w:val="0"/>
          <w:sz w:val="32"/>
          <w:szCs w:val="32"/>
        </w:rPr>
      </w:pPr>
    </w:p>
    <w:p w14:paraId="0E597B1F">
      <w:pPr>
        <w:jc w:val="center"/>
        <w:rPr>
          <w:rFonts w:hint="eastAsia" w:ascii="宋体" w:hAnsi="宋体" w:eastAsia="宋体" w:cs="宋体"/>
          <w:b/>
          <w:color w:val="auto"/>
          <w:kern w:val="0"/>
          <w:sz w:val="32"/>
          <w:szCs w:val="32"/>
        </w:rPr>
      </w:pPr>
      <w:r>
        <w:rPr>
          <w:rFonts w:hint="eastAsia" w:ascii="宋体" w:hAnsi="宋体" w:eastAsia="宋体" w:cs="宋体"/>
          <w:b/>
          <w:color w:val="auto"/>
          <w:kern w:val="0"/>
          <w:sz w:val="32"/>
          <w:szCs w:val="32"/>
        </w:rPr>
        <w:t>附件</w:t>
      </w:r>
      <w:r>
        <w:rPr>
          <w:rFonts w:hint="eastAsia" w:ascii="宋体" w:hAnsi="宋体" w:cs="宋体"/>
          <w:b/>
          <w:color w:val="auto"/>
          <w:kern w:val="0"/>
          <w:sz w:val="32"/>
          <w:szCs w:val="32"/>
          <w:lang w:val="en-US" w:eastAsia="zh-CN"/>
        </w:rPr>
        <w:t>8</w:t>
      </w:r>
      <w:r>
        <w:rPr>
          <w:rFonts w:hint="eastAsia" w:ascii="宋体" w:hAnsi="宋体" w:eastAsia="宋体" w:cs="宋体"/>
          <w:b/>
          <w:color w:val="auto"/>
          <w:kern w:val="0"/>
          <w:sz w:val="32"/>
          <w:szCs w:val="32"/>
        </w:rPr>
        <w:t xml:space="preserve"> 　证明文件</w:t>
      </w:r>
    </w:p>
    <w:p w14:paraId="297C00F2">
      <w:pPr>
        <w:jc w:val="center"/>
        <w:rPr>
          <w:rFonts w:hint="eastAsia" w:ascii="宋体" w:hAnsi="宋体" w:eastAsia="宋体" w:cs="宋体"/>
          <w:bCs/>
          <w:color w:val="auto"/>
          <w:sz w:val="28"/>
          <w:szCs w:val="28"/>
        </w:rPr>
      </w:pPr>
      <w:r>
        <w:rPr>
          <w:rFonts w:hint="eastAsia" w:ascii="宋体" w:hAnsi="宋体" w:eastAsia="宋体" w:cs="宋体"/>
          <w:bCs/>
          <w:color w:val="auto"/>
          <w:sz w:val="28"/>
          <w:szCs w:val="28"/>
        </w:rPr>
        <w:t>（供应商可根据实际情况自行提供）</w:t>
      </w:r>
    </w:p>
    <w:p w14:paraId="0B5F5381">
      <w:pPr>
        <w:pStyle w:val="22"/>
        <w:ind w:firstLine="210"/>
        <w:rPr>
          <w:rFonts w:hint="eastAsia" w:ascii="宋体" w:hAnsi="宋体" w:eastAsia="宋体" w:cs="宋体"/>
          <w:color w:val="auto"/>
        </w:rPr>
      </w:pPr>
    </w:p>
    <w:p w14:paraId="6EEBEB54">
      <w:pPr>
        <w:widowControl/>
        <w:wordWrap w:val="0"/>
        <w:snapToGrid w:val="0"/>
        <w:spacing w:line="46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1.本项目的特定资格要求。</w:t>
      </w:r>
    </w:p>
    <w:p w14:paraId="03C662F0">
      <w:pPr>
        <w:pStyle w:val="15"/>
        <w:rPr>
          <w:rFonts w:hint="eastAsia" w:ascii="宋体" w:hAnsi="宋体" w:eastAsia="宋体" w:cs="宋体"/>
          <w:color w:val="auto"/>
          <w:kern w:val="0"/>
          <w:sz w:val="24"/>
        </w:rPr>
      </w:pPr>
    </w:p>
    <w:p w14:paraId="76F95859">
      <w:pPr>
        <w:pStyle w:val="21"/>
        <w:shd w:val="clear" w:color="auto" w:fill="FFFFFF"/>
        <w:spacing w:before="0" w:beforeAutospacing="0" w:after="0" w:afterAutospacing="0" w:line="360" w:lineRule="auto"/>
        <w:ind w:firstLine="482" w:firstLineChars="200"/>
        <w:rPr>
          <w:rFonts w:hint="eastAsia" w:ascii="宋体" w:hAnsi="宋体" w:eastAsia="宋体" w:cs="宋体"/>
          <w:bCs/>
          <w:iCs/>
          <w:color w:val="auto"/>
          <w:lang w:bidi="ar"/>
        </w:rPr>
      </w:pPr>
      <w:r>
        <w:rPr>
          <w:rFonts w:hint="eastAsia" w:ascii="宋体" w:hAnsi="宋体" w:eastAsia="宋体" w:cs="宋体"/>
          <w:b/>
          <w:color w:val="auto"/>
        </w:rPr>
        <w:t>2.商务技术证明文件</w:t>
      </w:r>
      <w:r>
        <w:rPr>
          <w:rFonts w:hint="eastAsia" w:ascii="宋体" w:hAnsi="宋体" w:eastAsia="宋体" w:cs="宋体"/>
          <w:bCs/>
          <w:iCs/>
          <w:color w:val="auto"/>
          <w:lang w:bidi="ar"/>
        </w:rPr>
        <w:t>：供应商应根据采购需求要求，提供相关商务技术证明文件。</w:t>
      </w:r>
    </w:p>
    <w:p w14:paraId="032D7626">
      <w:pPr>
        <w:rPr>
          <w:rFonts w:hint="eastAsia" w:ascii="宋体" w:hAnsi="宋体" w:eastAsia="宋体" w:cs="宋体"/>
          <w:b/>
          <w:color w:val="auto"/>
          <w:kern w:val="0"/>
          <w:sz w:val="32"/>
          <w:szCs w:val="32"/>
        </w:rPr>
      </w:pPr>
    </w:p>
    <w:p w14:paraId="232A012B">
      <w:pPr>
        <w:rPr>
          <w:rFonts w:hint="eastAsia" w:ascii="宋体" w:hAnsi="宋体" w:eastAsia="宋体" w:cs="宋体"/>
          <w:b/>
          <w:color w:val="auto"/>
          <w:kern w:val="0"/>
          <w:sz w:val="32"/>
          <w:szCs w:val="32"/>
        </w:rPr>
      </w:pPr>
    </w:p>
    <w:p w14:paraId="738D6D2D">
      <w:pPr>
        <w:rPr>
          <w:rFonts w:hint="eastAsia" w:ascii="宋体" w:hAnsi="宋体" w:eastAsia="宋体" w:cs="宋体"/>
          <w:b/>
          <w:color w:val="auto"/>
          <w:kern w:val="0"/>
          <w:sz w:val="32"/>
          <w:szCs w:val="32"/>
        </w:rPr>
      </w:pPr>
    </w:p>
    <w:p w14:paraId="0828EC9D">
      <w:pPr>
        <w:jc w:val="center"/>
        <w:rPr>
          <w:rFonts w:hint="eastAsia" w:ascii="宋体" w:hAnsi="宋体" w:eastAsia="宋体" w:cs="宋体"/>
          <w:b/>
          <w:color w:val="auto"/>
          <w:kern w:val="0"/>
          <w:sz w:val="32"/>
          <w:szCs w:val="32"/>
        </w:rPr>
      </w:pPr>
    </w:p>
    <w:p w14:paraId="45B68809">
      <w:pPr>
        <w:jc w:val="center"/>
        <w:rPr>
          <w:rFonts w:hint="eastAsia" w:ascii="宋体" w:hAnsi="宋体" w:eastAsia="宋体" w:cs="宋体"/>
          <w:b/>
          <w:color w:val="auto"/>
          <w:kern w:val="0"/>
          <w:sz w:val="32"/>
          <w:szCs w:val="32"/>
        </w:rPr>
      </w:pPr>
    </w:p>
    <w:p w14:paraId="136347D2">
      <w:pPr>
        <w:jc w:val="center"/>
        <w:rPr>
          <w:rFonts w:hint="eastAsia" w:ascii="宋体" w:hAnsi="宋体" w:eastAsia="宋体" w:cs="宋体"/>
          <w:b/>
          <w:color w:val="auto"/>
          <w:kern w:val="0"/>
          <w:sz w:val="32"/>
          <w:szCs w:val="32"/>
        </w:rPr>
      </w:pPr>
    </w:p>
    <w:p w14:paraId="1EA39F80">
      <w:pPr>
        <w:jc w:val="center"/>
        <w:rPr>
          <w:rFonts w:hint="eastAsia" w:ascii="宋体" w:hAnsi="宋体" w:eastAsia="宋体" w:cs="宋体"/>
          <w:b/>
          <w:color w:val="auto"/>
          <w:kern w:val="0"/>
          <w:sz w:val="32"/>
          <w:szCs w:val="32"/>
        </w:rPr>
      </w:pPr>
    </w:p>
    <w:p w14:paraId="2FB46908">
      <w:pPr>
        <w:jc w:val="center"/>
        <w:rPr>
          <w:rFonts w:hint="eastAsia" w:ascii="宋体" w:hAnsi="宋体" w:eastAsia="宋体" w:cs="宋体"/>
          <w:b/>
          <w:color w:val="auto"/>
          <w:kern w:val="0"/>
          <w:sz w:val="32"/>
          <w:szCs w:val="32"/>
        </w:rPr>
      </w:pPr>
    </w:p>
    <w:p w14:paraId="0C5B69CE">
      <w:pPr>
        <w:jc w:val="center"/>
        <w:rPr>
          <w:rFonts w:hint="eastAsia" w:ascii="宋体" w:hAnsi="宋体" w:eastAsia="宋体" w:cs="宋体"/>
          <w:b/>
          <w:color w:val="auto"/>
          <w:kern w:val="0"/>
          <w:sz w:val="32"/>
          <w:szCs w:val="32"/>
        </w:rPr>
      </w:pPr>
    </w:p>
    <w:p w14:paraId="6D761538">
      <w:pPr>
        <w:jc w:val="center"/>
        <w:rPr>
          <w:rFonts w:hint="eastAsia" w:ascii="宋体" w:hAnsi="宋体" w:eastAsia="宋体" w:cs="宋体"/>
          <w:b/>
          <w:color w:val="auto"/>
          <w:kern w:val="0"/>
          <w:sz w:val="32"/>
          <w:szCs w:val="32"/>
        </w:rPr>
      </w:pPr>
    </w:p>
    <w:p w14:paraId="48C9BA2D">
      <w:pPr>
        <w:jc w:val="center"/>
        <w:rPr>
          <w:rFonts w:hint="eastAsia" w:ascii="宋体" w:hAnsi="宋体" w:eastAsia="宋体" w:cs="宋体"/>
          <w:b/>
          <w:color w:val="auto"/>
          <w:kern w:val="0"/>
          <w:sz w:val="32"/>
          <w:szCs w:val="32"/>
        </w:rPr>
      </w:pPr>
    </w:p>
    <w:p w14:paraId="75D66E0A">
      <w:pPr>
        <w:jc w:val="center"/>
        <w:rPr>
          <w:rFonts w:hint="eastAsia" w:ascii="宋体" w:hAnsi="宋体" w:eastAsia="宋体" w:cs="宋体"/>
          <w:b/>
          <w:color w:val="auto"/>
          <w:kern w:val="0"/>
          <w:sz w:val="32"/>
          <w:szCs w:val="32"/>
        </w:rPr>
      </w:pPr>
    </w:p>
    <w:p w14:paraId="2C9B36F0">
      <w:pPr>
        <w:jc w:val="center"/>
        <w:rPr>
          <w:rFonts w:hint="eastAsia" w:ascii="宋体" w:hAnsi="宋体" w:eastAsia="宋体" w:cs="宋体"/>
          <w:b/>
          <w:color w:val="auto"/>
          <w:kern w:val="0"/>
          <w:sz w:val="32"/>
          <w:szCs w:val="32"/>
        </w:rPr>
      </w:pPr>
    </w:p>
    <w:p w14:paraId="7FC3C18E">
      <w:pPr>
        <w:jc w:val="center"/>
        <w:rPr>
          <w:rFonts w:hint="eastAsia" w:ascii="宋体" w:hAnsi="宋体" w:eastAsia="宋体" w:cs="宋体"/>
          <w:b/>
          <w:color w:val="auto"/>
          <w:kern w:val="0"/>
          <w:sz w:val="32"/>
          <w:szCs w:val="32"/>
        </w:rPr>
      </w:pPr>
    </w:p>
    <w:p w14:paraId="78B5D420">
      <w:pPr>
        <w:jc w:val="center"/>
        <w:rPr>
          <w:rFonts w:hint="eastAsia" w:ascii="宋体" w:hAnsi="宋体" w:eastAsia="宋体" w:cs="宋体"/>
          <w:b/>
          <w:color w:val="auto"/>
          <w:kern w:val="0"/>
          <w:sz w:val="32"/>
          <w:szCs w:val="32"/>
        </w:rPr>
      </w:pPr>
    </w:p>
    <w:p w14:paraId="301BB2CD">
      <w:pPr>
        <w:jc w:val="center"/>
        <w:rPr>
          <w:rFonts w:hint="eastAsia" w:ascii="宋体" w:hAnsi="宋体" w:eastAsia="宋体" w:cs="宋体"/>
          <w:b/>
          <w:color w:val="auto"/>
          <w:kern w:val="0"/>
          <w:sz w:val="32"/>
          <w:szCs w:val="32"/>
        </w:rPr>
      </w:pPr>
    </w:p>
    <w:p w14:paraId="5769007A">
      <w:pPr>
        <w:jc w:val="center"/>
        <w:rPr>
          <w:rFonts w:hint="eastAsia" w:ascii="宋体" w:hAnsi="宋体" w:eastAsia="宋体" w:cs="宋体"/>
          <w:b/>
          <w:color w:val="auto"/>
          <w:kern w:val="0"/>
          <w:sz w:val="32"/>
          <w:szCs w:val="32"/>
          <w:lang w:eastAsia="zh-CN"/>
        </w:rPr>
      </w:pPr>
      <w:r>
        <w:rPr>
          <w:rFonts w:hint="eastAsia" w:ascii="宋体" w:hAnsi="宋体" w:eastAsia="宋体" w:cs="宋体"/>
          <w:b/>
          <w:color w:val="auto"/>
          <w:kern w:val="0"/>
          <w:sz w:val="32"/>
          <w:szCs w:val="32"/>
        </w:rPr>
        <w:t>附件9</w:t>
      </w:r>
      <w:r>
        <w:rPr>
          <w:rFonts w:hint="eastAsia" w:ascii="宋体" w:hAnsi="宋体" w:eastAsia="宋体" w:cs="宋体"/>
          <w:b/>
          <w:color w:val="auto"/>
          <w:kern w:val="0"/>
          <w:sz w:val="32"/>
          <w:szCs w:val="32"/>
          <w:lang w:val="en-US" w:eastAsia="zh-CN"/>
        </w:rPr>
        <w:t xml:space="preserve">  </w:t>
      </w:r>
      <w:r>
        <w:rPr>
          <w:rFonts w:hint="eastAsia" w:ascii="宋体" w:hAnsi="宋体" w:cs="宋体"/>
          <w:b/>
          <w:color w:val="auto"/>
          <w:kern w:val="0"/>
          <w:sz w:val="32"/>
          <w:szCs w:val="32"/>
          <w:lang w:eastAsia="zh-CN"/>
        </w:rPr>
        <w:t>拟派项目负责人</w:t>
      </w:r>
    </w:p>
    <w:p w14:paraId="2D6AF1A8">
      <w:pPr>
        <w:jc w:val="center"/>
        <w:rPr>
          <w:rFonts w:ascii="宋体" w:hAnsi="宋体"/>
          <w:b/>
          <w:color w:val="auto"/>
          <w:sz w:val="24"/>
        </w:rPr>
      </w:pPr>
      <w:r>
        <w:rPr>
          <w:rFonts w:hint="eastAsia" w:ascii="宋体" w:hAnsi="宋体"/>
          <w:b/>
          <w:color w:val="auto"/>
          <w:sz w:val="24"/>
        </w:rPr>
        <w:t>（附证书复印件）</w:t>
      </w:r>
    </w:p>
    <w:p w14:paraId="37438D00">
      <w:pPr>
        <w:spacing w:line="360" w:lineRule="auto"/>
        <w:rPr>
          <w:rFonts w:ascii="宋体" w:hAnsi="宋体" w:cs="宋体"/>
          <w:color w:val="auto"/>
          <w:sz w:val="24"/>
        </w:rPr>
      </w:pPr>
    </w:p>
    <w:p w14:paraId="6104EC4B">
      <w:pPr>
        <w:spacing w:line="360" w:lineRule="auto"/>
        <w:rPr>
          <w:rFonts w:ascii="宋体" w:hAnsi="宋体" w:cs="仿宋"/>
          <w:color w:val="auto"/>
          <w:sz w:val="24"/>
        </w:rPr>
      </w:pPr>
    </w:p>
    <w:p w14:paraId="199CEE0E">
      <w:pPr>
        <w:pStyle w:val="22"/>
        <w:rPr>
          <w:rFonts w:ascii="宋体" w:hAnsi="宋体" w:cs="仿宋"/>
          <w:color w:val="auto"/>
          <w:sz w:val="24"/>
        </w:rPr>
      </w:pPr>
    </w:p>
    <w:p w14:paraId="27FA779F">
      <w:pPr>
        <w:pStyle w:val="23"/>
        <w:rPr>
          <w:rFonts w:ascii="宋体" w:hAnsi="宋体" w:cs="仿宋"/>
          <w:color w:val="auto"/>
          <w:sz w:val="24"/>
        </w:rPr>
      </w:pPr>
    </w:p>
    <w:p w14:paraId="6AAAE23F">
      <w:pPr>
        <w:rPr>
          <w:rFonts w:ascii="宋体" w:hAnsi="宋体" w:cs="仿宋"/>
          <w:color w:val="auto"/>
          <w:sz w:val="24"/>
        </w:rPr>
      </w:pPr>
    </w:p>
    <w:p w14:paraId="72DC2DCA">
      <w:pPr>
        <w:pStyle w:val="22"/>
        <w:rPr>
          <w:rFonts w:ascii="宋体" w:hAnsi="宋体" w:cs="仿宋"/>
          <w:color w:val="auto"/>
          <w:sz w:val="24"/>
        </w:rPr>
      </w:pPr>
    </w:p>
    <w:p w14:paraId="4E973594">
      <w:pPr>
        <w:pStyle w:val="23"/>
        <w:rPr>
          <w:rFonts w:ascii="宋体" w:hAnsi="宋体" w:cs="仿宋"/>
          <w:color w:val="auto"/>
          <w:sz w:val="24"/>
        </w:rPr>
      </w:pPr>
    </w:p>
    <w:p w14:paraId="5F4B5813">
      <w:pPr>
        <w:rPr>
          <w:rFonts w:ascii="宋体" w:hAnsi="宋体" w:cs="仿宋"/>
          <w:color w:val="auto"/>
          <w:sz w:val="24"/>
        </w:rPr>
      </w:pPr>
    </w:p>
    <w:p w14:paraId="0F9106B5">
      <w:pPr>
        <w:pStyle w:val="22"/>
        <w:rPr>
          <w:rFonts w:ascii="宋体" w:hAnsi="宋体" w:cs="仿宋"/>
          <w:color w:val="auto"/>
          <w:sz w:val="24"/>
        </w:rPr>
      </w:pPr>
    </w:p>
    <w:p w14:paraId="49505207">
      <w:pPr>
        <w:pStyle w:val="23"/>
        <w:rPr>
          <w:rFonts w:ascii="宋体" w:hAnsi="宋体" w:cs="仿宋"/>
          <w:color w:val="auto"/>
          <w:sz w:val="24"/>
        </w:rPr>
      </w:pPr>
    </w:p>
    <w:p w14:paraId="35C189CC">
      <w:pPr>
        <w:rPr>
          <w:rFonts w:ascii="宋体" w:hAnsi="宋体" w:cs="仿宋"/>
          <w:color w:val="auto"/>
          <w:sz w:val="24"/>
        </w:rPr>
      </w:pPr>
    </w:p>
    <w:p w14:paraId="7D87C5F2">
      <w:pPr>
        <w:pStyle w:val="22"/>
        <w:rPr>
          <w:rFonts w:ascii="宋体" w:hAnsi="宋体" w:cs="仿宋"/>
          <w:color w:val="auto"/>
          <w:sz w:val="24"/>
        </w:rPr>
      </w:pPr>
    </w:p>
    <w:p w14:paraId="241F0F32">
      <w:pPr>
        <w:pStyle w:val="23"/>
        <w:rPr>
          <w:rFonts w:ascii="宋体" w:hAnsi="宋体" w:cs="仿宋"/>
          <w:color w:val="auto"/>
          <w:sz w:val="24"/>
        </w:rPr>
      </w:pPr>
    </w:p>
    <w:p w14:paraId="70241747">
      <w:pPr>
        <w:rPr>
          <w:rFonts w:ascii="宋体" w:hAnsi="宋体" w:cs="仿宋"/>
          <w:color w:val="auto"/>
          <w:sz w:val="24"/>
        </w:rPr>
      </w:pPr>
    </w:p>
    <w:p w14:paraId="5EC92112">
      <w:pPr>
        <w:pStyle w:val="22"/>
        <w:rPr>
          <w:rFonts w:ascii="宋体" w:hAnsi="宋体" w:cs="仿宋"/>
          <w:color w:val="auto"/>
          <w:sz w:val="24"/>
        </w:rPr>
      </w:pPr>
    </w:p>
    <w:p w14:paraId="79430FAD">
      <w:pPr>
        <w:pStyle w:val="23"/>
        <w:rPr>
          <w:rFonts w:ascii="宋体" w:hAnsi="宋体" w:cs="仿宋"/>
          <w:color w:val="auto"/>
          <w:sz w:val="24"/>
        </w:rPr>
      </w:pPr>
    </w:p>
    <w:p w14:paraId="04F0800F">
      <w:pPr>
        <w:rPr>
          <w:color w:val="auto"/>
        </w:rPr>
      </w:pPr>
    </w:p>
    <w:p w14:paraId="3DFBCBA5">
      <w:pPr>
        <w:spacing w:line="360" w:lineRule="auto"/>
        <w:rPr>
          <w:rFonts w:ascii="宋体" w:hAnsi="宋体" w:cs="仿宋"/>
          <w:color w:val="auto"/>
          <w:sz w:val="24"/>
          <w:u w:val="single"/>
        </w:rPr>
      </w:pPr>
      <w:r>
        <w:rPr>
          <w:rFonts w:hint="eastAsia" w:ascii="宋体" w:hAnsi="宋体" w:cs="仿宋"/>
          <w:color w:val="auto"/>
          <w:sz w:val="24"/>
        </w:rPr>
        <w:t xml:space="preserve">供应商代表签字： </w:t>
      </w:r>
    </w:p>
    <w:p w14:paraId="15458C5A">
      <w:pPr>
        <w:spacing w:line="360" w:lineRule="auto"/>
        <w:rPr>
          <w:rFonts w:ascii="宋体" w:hAnsi="宋体" w:cs="仿宋"/>
          <w:color w:val="auto"/>
          <w:sz w:val="24"/>
          <w:u w:val="single"/>
        </w:rPr>
      </w:pPr>
      <w:r>
        <w:rPr>
          <w:rFonts w:hint="eastAsia" w:ascii="宋体" w:hAnsi="宋体" w:cs="仿宋"/>
          <w:color w:val="auto"/>
          <w:sz w:val="24"/>
        </w:rPr>
        <w:t>供应商</w:t>
      </w:r>
      <w:r>
        <w:rPr>
          <w:rFonts w:hint="eastAsia" w:ascii="宋体" w:hAnsi="宋体" w:cs="仿宋"/>
          <w:color w:val="auto"/>
          <w:sz w:val="24"/>
          <w:u w:val="none"/>
        </w:rPr>
        <w:t>：</w:t>
      </w:r>
      <w:r>
        <w:rPr>
          <w:rFonts w:hint="eastAsia" w:ascii="宋体" w:hAnsi="宋体" w:cs="仿宋"/>
          <w:color w:val="auto"/>
          <w:sz w:val="24"/>
          <w:u w:val="single"/>
        </w:rPr>
        <w:t xml:space="preserve">                  </w:t>
      </w:r>
      <w:r>
        <w:rPr>
          <w:rFonts w:hint="eastAsia" w:ascii="宋体" w:hAnsi="宋体" w:cs="仿宋"/>
          <w:color w:val="auto"/>
          <w:sz w:val="24"/>
          <w:u w:val="none"/>
        </w:rPr>
        <w:t>（</w:t>
      </w:r>
      <w:r>
        <w:rPr>
          <w:rFonts w:hint="eastAsia" w:ascii="宋体" w:hAnsi="宋体" w:cs="仿宋"/>
          <w:color w:val="auto"/>
          <w:sz w:val="24"/>
        </w:rPr>
        <w:t>全称并加盖公章）</w:t>
      </w:r>
    </w:p>
    <w:p w14:paraId="7048658A">
      <w:pPr>
        <w:spacing w:line="360" w:lineRule="auto"/>
        <w:jc w:val="right"/>
        <w:rPr>
          <w:rFonts w:ascii="宋体" w:hAnsi="宋体" w:cs="仿宋"/>
          <w:color w:val="auto"/>
          <w:sz w:val="24"/>
        </w:rPr>
      </w:pPr>
      <w:r>
        <w:rPr>
          <w:rFonts w:hint="eastAsia" w:ascii="宋体" w:hAnsi="宋体" w:cs="仿宋"/>
          <w:color w:val="auto"/>
          <w:sz w:val="24"/>
        </w:rPr>
        <w:t xml:space="preserve"> 年   月   日</w:t>
      </w:r>
    </w:p>
    <w:p w14:paraId="3899CEC7">
      <w:pPr>
        <w:jc w:val="center"/>
        <w:rPr>
          <w:rFonts w:ascii="宋体" w:hAnsi="宋体" w:cs="仿宋"/>
          <w:b/>
          <w:color w:val="auto"/>
          <w:kern w:val="0"/>
          <w:sz w:val="28"/>
          <w:szCs w:val="28"/>
        </w:rPr>
      </w:pPr>
      <w:bookmarkStart w:id="13" w:name="_Toc316897618"/>
      <w:bookmarkStart w:id="14" w:name="_Toc320872143"/>
      <w:r>
        <w:rPr>
          <w:rFonts w:hint="eastAsia" w:ascii="宋体" w:hAnsi="宋体" w:cs="仿宋"/>
          <w:b/>
          <w:color w:val="auto"/>
          <w:kern w:val="0"/>
          <w:sz w:val="28"/>
          <w:szCs w:val="28"/>
        </w:rPr>
        <w:br w:type="page"/>
      </w:r>
      <w:r>
        <w:rPr>
          <w:rFonts w:hint="eastAsia" w:ascii="宋体" w:hAnsi="宋体" w:eastAsia="宋体" w:cs="宋体"/>
          <w:b/>
          <w:color w:val="auto"/>
          <w:kern w:val="0"/>
          <w:sz w:val="32"/>
          <w:szCs w:val="32"/>
        </w:rPr>
        <w:t>附件10</w:t>
      </w:r>
      <w:r>
        <w:rPr>
          <w:rFonts w:hint="eastAsia" w:ascii="宋体" w:hAnsi="宋体" w:eastAsia="宋体" w:cs="宋体"/>
          <w:b/>
          <w:color w:val="auto"/>
          <w:kern w:val="0"/>
          <w:sz w:val="32"/>
          <w:szCs w:val="32"/>
          <w:lang w:val="en-US" w:eastAsia="zh-CN"/>
        </w:rPr>
        <w:t xml:space="preserve"> </w:t>
      </w:r>
      <w:r>
        <w:rPr>
          <w:rFonts w:hint="eastAsia" w:ascii="宋体" w:hAnsi="宋体" w:eastAsia="宋体" w:cs="宋体"/>
          <w:b/>
          <w:color w:val="auto"/>
          <w:kern w:val="0"/>
          <w:sz w:val="32"/>
          <w:szCs w:val="32"/>
        </w:rPr>
        <w:t>拟投入本项目部主要人员组成情况表</w:t>
      </w:r>
    </w:p>
    <w:p w14:paraId="3DD8DDB3">
      <w:pPr>
        <w:jc w:val="center"/>
        <w:rPr>
          <w:rFonts w:ascii="宋体" w:hAnsi="宋体" w:cs="仿宋"/>
          <w:b/>
          <w:color w:val="auto"/>
          <w:kern w:val="0"/>
          <w:sz w:val="32"/>
          <w:szCs w:val="32"/>
        </w:rPr>
      </w:pPr>
    </w:p>
    <w:bookmarkEnd w:id="13"/>
    <w:bookmarkEnd w:id="14"/>
    <w:tbl>
      <w:tblPr>
        <w:tblStyle w:val="24"/>
        <w:tblW w:w="95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2"/>
        <w:gridCol w:w="540"/>
        <w:gridCol w:w="540"/>
        <w:gridCol w:w="540"/>
        <w:gridCol w:w="992"/>
        <w:gridCol w:w="808"/>
        <w:gridCol w:w="1260"/>
        <w:gridCol w:w="900"/>
        <w:gridCol w:w="900"/>
        <w:gridCol w:w="1080"/>
        <w:gridCol w:w="1425"/>
      </w:tblGrid>
      <w:tr w14:paraId="5CF8F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4" w:hRule="atLeast"/>
          <w:jc w:val="center"/>
        </w:trPr>
        <w:tc>
          <w:tcPr>
            <w:tcW w:w="522" w:type="dxa"/>
            <w:vMerge w:val="restart"/>
            <w:noWrap w:val="0"/>
            <w:vAlign w:val="center"/>
          </w:tcPr>
          <w:p w14:paraId="4AEAA595">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r>
              <w:rPr>
                <w:rFonts w:hint="eastAsia" w:ascii="宋体" w:hAnsi="宋体" w:cs="仿宋"/>
                <w:color w:val="auto"/>
                <w:sz w:val="24"/>
              </w:rPr>
              <w:t>拟设职务</w:t>
            </w:r>
          </w:p>
        </w:tc>
        <w:tc>
          <w:tcPr>
            <w:tcW w:w="540" w:type="dxa"/>
            <w:vMerge w:val="restart"/>
            <w:noWrap w:val="0"/>
            <w:vAlign w:val="center"/>
          </w:tcPr>
          <w:p w14:paraId="0D47E358">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r>
              <w:rPr>
                <w:rFonts w:hint="eastAsia" w:ascii="宋体" w:hAnsi="宋体" w:cs="仿宋"/>
                <w:color w:val="auto"/>
                <w:sz w:val="24"/>
              </w:rPr>
              <w:t>姓名</w:t>
            </w:r>
          </w:p>
        </w:tc>
        <w:tc>
          <w:tcPr>
            <w:tcW w:w="540" w:type="dxa"/>
            <w:vMerge w:val="restart"/>
            <w:noWrap w:val="0"/>
            <w:vAlign w:val="center"/>
          </w:tcPr>
          <w:p w14:paraId="3E41B8B1">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r>
              <w:rPr>
                <w:rFonts w:hint="eastAsia" w:ascii="宋体" w:hAnsi="宋体" w:cs="仿宋"/>
                <w:color w:val="auto"/>
                <w:sz w:val="24"/>
              </w:rPr>
              <w:t>性别</w:t>
            </w:r>
          </w:p>
        </w:tc>
        <w:tc>
          <w:tcPr>
            <w:tcW w:w="540" w:type="dxa"/>
            <w:vMerge w:val="restart"/>
            <w:noWrap w:val="0"/>
            <w:vAlign w:val="center"/>
          </w:tcPr>
          <w:p w14:paraId="53EADA3F">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r>
              <w:rPr>
                <w:rFonts w:hint="eastAsia" w:ascii="宋体" w:hAnsi="宋体" w:cs="仿宋"/>
                <w:color w:val="auto"/>
                <w:sz w:val="24"/>
              </w:rPr>
              <w:t>年龄</w:t>
            </w:r>
          </w:p>
        </w:tc>
        <w:tc>
          <w:tcPr>
            <w:tcW w:w="992" w:type="dxa"/>
            <w:vMerge w:val="restart"/>
            <w:noWrap w:val="0"/>
            <w:vAlign w:val="center"/>
          </w:tcPr>
          <w:p w14:paraId="74CDE2C7">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r>
              <w:rPr>
                <w:rFonts w:hint="eastAsia" w:ascii="宋体" w:hAnsi="宋体" w:cs="仿宋"/>
                <w:color w:val="auto"/>
                <w:sz w:val="24"/>
              </w:rPr>
              <w:t>文化</w:t>
            </w:r>
          </w:p>
          <w:p w14:paraId="1D97B237">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r>
              <w:rPr>
                <w:rFonts w:hint="eastAsia" w:ascii="宋体" w:hAnsi="宋体" w:cs="仿宋"/>
                <w:color w:val="auto"/>
                <w:sz w:val="24"/>
              </w:rPr>
              <w:t>程度</w:t>
            </w:r>
          </w:p>
        </w:tc>
        <w:tc>
          <w:tcPr>
            <w:tcW w:w="808" w:type="dxa"/>
            <w:vMerge w:val="restart"/>
            <w:noWrap w:val="0"/>
            <w:vAlign w:val="center"/>
          </w:tcPr>
          <w:p w14:paraId="00FEA64D">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r>
              <w:rPr>
                <w:rFonts w:hint="eastAsia" w:ascii="宋体" w:hAnsi="宋体" w:cs="仿宋"/>
                <w:color w:val="auto"/>
                <w:sz w:val="24"/>
              </w:rPr>
              <w:t>从事</w:t>
            </w:r>
          </w:p>
          <w:p w14:paraId="2360F97A">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r>
              <w:rPr>
                <w:rFonts w:hint="eastAsia" w:ascii="宋体" w:hAnsi="宋体" w:cs="仿宋"/>
                <w:color w:val="auto"/>
                <w:sz w:val="24"/>
              </w:rPr>
              <w:t>专业</w:t>
            </w:r>
          </w:p>
        </w:tc>
        <w:tc>
          <w:tcPr>
            <w:tcW w:w="1260" w:type="dxa"/>
            <w:vMerge w:val="restart"/>
            <w:noWrap w:val="0"/>
            <w:vAlign w:val="center"/>
          </w:tcPr>
          <w:p w14:paraId="2E73D2F0">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r>
              <w:rPr>
                <w:rFonts w:hint="eastAsia" w:ascii="宋体" w:hAnsi="宋体" w:cs="仿宋"/>
                <w:color w:val="auto"/>
                <w:sz w:val="24"/>
              </w:rPr>
              <w:t>从事</w:t>
            </w:r>
          </w:p>
          <w:p w14:paraId="753C88B3">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r>
              <w:rPr>
                <w:rFonts w:hint="eastAsia" w:ascii="宋体" w:hAnsi="宋体" w:cs="仿宋"/>
                <w:color w:val="auto"/>
                <w:sz w:val="24"/>
              </w:rPr>
              <w:t>工作年限</w:t>
            </w:r>
          </w:p>
        </w:tc>
        <w:tc>
          <w:tcPr>
            <w:tcW w:w="900" w:type="dxa"/>
            <w:vMerge w:val="restart"/>
            <w:noWrap w:val="0"/>
            <w:vAlign w:val="center"/>
          </w:tcPr>
          <w:p w14:paraId="3F10E9B5">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r>
              <w:rPr>
                <w:rFonts w:hint="eastAsia" w:ascii="宋体" w:hAnsi="宋体" w:cs="仿宋"/>
                <w:color w:val="auto"/>
                <w:sz w:val="24"/>
              </w:rPr>
              <w:t>职称</w:t>
            </w:r>
          </w:p>
        </w:tc>
        <w:tc>
          <w:tcPr>
            <w:tcW w:w="1980" w:type="dxa"/>
            <w:gridSpan w:val="2"/>
            <w:noWrap w:val="0"/>
            <w:vAlign w:val="center"/>
          </w:tcPr>
          <w:p w14:paraId="34AAEF1C">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r>
              <w:rPr>
                <w:rFonts w:hint="eastAsia" w:ascii="宋体" w:hAnsi="宋体" w:cs="仿宋"/>
                <w:color w:val="auto"/>
                <w:sz w:val="24"/>
              </w:rPr>
              <w:t>执业资格证书</w:t>
            </w:r>
          </w:p>
        </w:tc>
        <w:tc>
          <w:tcPr>
            <w:tcW w:w="1425" w:type="dxa"/>
            <w:vMerge w:val="restart"/>
            <w:noWrap w:val="0"/>
            <w:vAlign w:val="center"/>
          </w:tcPr>
          <w:p w14:paraId="1B3F58AA">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r>
              <w:rPr>
                <w:rFonts w:hint="eastAsia" w:ascii="宋体" w:hAnsi="宋体" w:cs="仿宋"/>
                <w:color w:val="auto"/>
                <w:sz w:val="24"/>
              </w:rPr>
              <w:t>本项目分工</w:t>
            </w:r>
          </w:p>
        </w:tc>
      </w:tr>
      <w:tr w14:paraId="75DCC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522" w:type="dxa"/>
            <w:vMerge w:val="continue"/>
            <w:noWrap w:val="0"/>
            <w:vAlign w:val="center"/>
          </w:tcPr>
          <w:p w14:paraId="2219C9A7">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p>
        </w:tc>
        <w:tc>
          <w:tcPr>
            <w:tcW w:w="540" w:type="dxa"/>
            <w:vMerge w:val="continue"/>
            <w:noWrap w:val="0"/>
            <w:vAlign w:val="center"/>
          </w:tcPr>
          <w:p w14:paraId="49CD326A">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p>
        </w:tc>
        <w:tc>
          <w:tcPr>
            <w:tcW w:w="540" w:type="dxa"/>
            <w:vMerge w:val="continue"/>
            <w:noWrap w:val="0"/>
            <w:vAlign w:val="center"/>
          </w:tcPr>
          <w:p w14:paraId="5351F069">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p>
        </w:tc>
        <w:tc>
          <w:tcPr>
            <w:tcW w:w="540" w:type="dxa"/>
            <w:vMerge w:val="continue"/>
            <w:noWrap w:val="0"/>
            <w:vAlign w:val="center"/>
          </w:tcPr>
          <w:p w14:paraId="4B06B19F">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p>
        </w:tc>
        <w:tc>
          <w:tcPr>
            <w:tcW w:w="992" w:type="dxa"/>
            <w:vMerge w:val="continue"/>
            <w:noWrap w:val="0"/>
            <w:vAlign w:val="center"/>
          </w:tcPr>
          <w:p w14:paraId="70467CC9">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p>
        </w:tc>
        <w:tc>
          <w:tcPr>
            <w:tcW w:w="808" w:type="dxa"/>
            <w:vMerge w:val="continue"/>
            <w:noWrap w:val="0"/>
            <w:vAlign w:val="center"/>
          </w:tcPr>
          <w:p w14:paraId="1CC5A922">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p>
        </w:tc>
        <w:tc>
          <w:tcPr>
            <w:tcW w:w="1260" w:type="dxa"/>
            <w:vMerge w:val="continue"/>
            <w:noWrap w:val="0"/>
            <w:vAlign w:val="center"/>
          </w:tcPr>
          <w:p w14:paraId="46CE547B">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p>
        </w:tc>
        <w:tc>
          <w:tcPr>
            <w:tcW w:w="900" w:type="dxa"/>
            <w:vMerge w:val="continue"/>
            <w:noWrap w:val="0"/>
            <w:vAlign w:val="center"/>
          </w:tcPr>
          <w:p w14:paraId="6E9EFAAC">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p>
        </w:tc>
        <w:tc>
          <w:tcPr>
            <w:tcW w:w="900" w:type="dxa"/>
            <w:noWrap w:val="0"/>
            <w:vAlign w:val="center"/>
          </w:tcPr>
          <w:p w14:paraId="73CEAE3D">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r>
              <w:rPr>
                <w:rFonts w:hint="eastAsia" w:ascii="宋体" w:hAnsi="宋体" w:cs="仿宋"/>
                <w:color w:val="auto"/>
                <w:sz w:val="24"/>
              </w:rPr>
              <w:t>类别</w:t>
            </w:r>
          </w:p>
        </w:tc>
        <w:tc>
          <w:tcPr>
            <w:tcW w:w="1080" w:type="dxa"/>
            <w:noWrap w:val="0"/>
            <w:vAlign w:val="center"/>
          </w:tcPr>
          <w:p w14:paraId="2882AEB7">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r>
              <w:rPr>
                <w:rFonts w:hint="eastAsia" w:ascii="宋体" w:hAnsi="宋体" w:cs="仿宋"/>
                <w:color w:val="auto"/>
                <w:sz w:val="24"/>
              </w:rPr>
              <w:t>证号</w:t>
            </w:r>
          </w:p>
        </w:tc>
        <w:tc>
          <w:tcPr>
            <w:tcW w:w="1425" w:type="dxa"/>
            <w:vMerge w:val="continue"/>
            <w:noWrap w:val="0"/>
            <w:vAlign w:val="top"/>
          </w:tcPr>
          <w:p w14:paraId="5E4B25CF">
            <w:pPr>
              <w:keepNext w:val="0"/>
              <w:keepLines w:val="0"/>
              <w:suppressLineNumbers w:val="0"/>
              <w:snapToGrid w:val="0"/>
              <w:spacing w:before="0" w:beforeAutospacing="0" w:after="0" w:afterAutospacing="0" w:line="400" w:lineRule="exact"/>
              <w:ind w:left="0" w:right="0"/>
              <w:rPr>
                <w:rFonts w:hint="default" w:ascii="宋体" w:hAnsi="宋体" w:cs="仿宋"/>
                <w:color w:val="auto"/>
              </w:rPr>
            </w:pPr>
          </w:p>
        </w:tc>
      </w:tr>
      <w:tr w14:paraId="72CC0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8" w:hRule="atLeast"/>
          <w:jc w:val="center"/>
        </w:trPr>
        <w:tc>
          <w:tcPr>
            <w:tcW w:w="522" w:type="dxa"/>
            <w:noWrap w:val="0"/>
            <w:vAlign w:val="center"/>
          </w:tcPr>
          <w:p w14:paraId="01170840">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540" w:type="dxa"/>
            <w:noWrap w:val="0"/>
            <w:vAlign w:val="center"/>
          </w:tcPr>
          <w:p w14:paraId="7D6CECE3">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540" w:type="dxa"/>
            <w:noWrap w:val="0"/>
            <w:vAlign w:val="center"/>
          </w:tcPr>
          <w:p w14:paraId="5BC91C57">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540" w:type="dxa"/>
            <w:noWrap w:val="0"/>
            <w:vAlign w:val="center"/>
          </w:tcPr>
          <w:p w14:paraId="0A9782EB">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992" w:type="dxa"/>
            <w:noWrap w:val="0"/>
            <w:vAlign w:val="center"/>
          </w:tcPr>
          <w:p w14:paraId="059969B4">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808" w:type="dxa"/>
            <w:noWrap w:val="0"/>
            <w:vAlign w:val="center"/>
          </w:tcPr>
          <w:p w14:paraId="7F2B11E1">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1260" w:type="dxa"/>
            <w:noWrap w:val="0"/>
            <w:vAlign w:val="center"/>
          </w:tcPr>
          <w:p w14:paraId="36B15FE9">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900" w:type="dxa"/>
            <w:noWrap w:val="0"/>
            <w:vAlign w:val="center"/>
          </w:tcPr>
          <w:p w14:paraId="2FB27221">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900" w:type="dxa"/>
            <w:noWrap w:val="0"/>
            <w:vAlign w:val="center"/>
          </w:tcPr>
          <w:p w14:paraId="5AC9E6B6">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1080" w:type="dxa"/>
            <w:noWrap w:val="0"/>
            <w:vAlign w:val="center"/>
          </w:tcPr>
          <w:p w14:paraId="2D89657D">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1425" w:type="dxa"/>
            <w:noWrap w:val="0"/>
            <w:vAlign w:val="center"/>
          </w:tcPr>
          <w:p w14:paraId="6AB6364C">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r>
      <w:tr w14:paraId="50D2D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8" w:hRule="atLeast"/>
          <w:jc w:val="center"/>
        </w:trPr>
        <w:tc>
          <w:tcPr>
            <w:tcW w:w="522" w:type="dxa"/>
            <w:noWrap w:val="0"/>
            <w:vAlign w:val="center"/>
          </w:tcPr>
          <w:p w14:paraId="5F827DD8">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540" w:type="dxa"/>
            <w:noWrap w:val="0"/>
            <w:vAlign w:val="center"/>
          </w:tcPr>
          <w:p w14:paraId="0C79BA04">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540" w:type="dxa"/>
            <w:noWrap w:val="0"/>
            <w:vAlign w:val="center"/>
          </w:tcPr>
          <w:p w14:paraId="73D4BA1A">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540" w:type="dxa"/>
            <w:noWrap w:val="0"/>
            <w:vAlign w:val="center"/>
          </w:tcPr>
          <w:p w14:paraId="44101EC1">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992" w:type="dxa"/>
            <w:noWrap w:val="0"/>
            <w:vAlign w:val="center"/>
          </w:tcPr>
          <w:p w14:paraId="7D684116">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808" w:type="dxa"/>
            <w:noWrap w:val="0"/>
            <w:vAlign w:val="center"/>
          </w:tcPr>
          <w:p w14:paraId="36734632">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1260" w:type="dxa"/>
            <w:noWrap w:val="0"/>
            <w:vAlign w:val="center"/>
          </w:tcPr>
          <w:p w14:paraId="7BAE49BD">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900" w:type="dxa"/>
            <w:noWrap w:val="0"/>
            <w:vAlign w:val="center"/>
          </w:tcPr>
          <w:p w14:paraId="042D4BC5">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900" w:type="dxa"/>
            <w:noWrap w:val="0"/>
            <w:vAlign w:val="center"/>
          </w:tcPr>
          <w:p w14:paraId="74BEB692">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1080" w:type="dxa"/>
            <w:noWrap w:val="0"/>
            <w:vAlign w:val="center"/>
          </w:tcPr>
          <w:p w14:paraId="56295DB9">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1425" w:type="dxa"/>
            <w:noWrap w:val="0"/>
            <w:vAlign w:val="center"/>
          </w:tcPr>
          <w:p w14:paraId="35B5E62D">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r>
      <w:tr w14:paraId="74665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8" w:hRule="atLeast"/>
          <w:jc w:val="center"/>
        </w:trPr>
        <w:tc>
          <w:tcPr>
            <w:tcW w:w="522" w:type="dxa"/>
            <w:noWrap w:val="0"/>
            <w:vAlign w:val="center"/>
          </w:tcPr>
          <w:p w14:paraId="65E458E0">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540" w:type="dxa"/>
            <w:noWrap w:val="0"/>
            <w:vAlign w:val="center"/>
          </w:tcPr>
          <w:p w14:paraId="42891521">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540" w:type="dxa"/>
            <w:noWrap w:val="0"/>
            <w:vAlign w:val="center"/>
          </w:tcPr>
          <w:p w14:paraId="0E062334">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540" w:type="dxa"/>
            <w:noWrap w:val="0"/>
            <w:vAlign w:val="center"/>
          </w:tcPr>
          <w:p w14:paraId="0C5B06A6">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992" w:type="dxa"/>
            <w:noWrap w:val="0"/>
            <w:vAlign w:val="center"/>
          </w:tcPr>
          <w:p w14:paraId="14AFC49A">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808" w:type="dxa"/>
            <w:noWrap w:val="0"/>
            <w:vAlign w:val="center"/>
          </w:tcPr>
          <w:p w14:paraId="33CF5DA6">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1260" w:type="dxa"/>
            <w:noWrap w:val="0"/>
            <w:vAlign w:val="center"/>
          </w:tcPr>
          <w:p w14:paraId="7A3622FF">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900" w:type="dxa"/>
            <w:noWrap w:val="0"/>
            <w:vAlign w:val="center"/>
          </w:tcPr>
          <w:p w14:paraId="61E97736">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900" w:type="dxa"/>
            <w:noWrap w:val="0"/>
            <w:vAlign w:val="center"/>
          </w:tcPr>
          <w:p w14:paraId="53263E8D">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1080" w:type="dxa"/>
            <w:noWrap w:val="0"/>
            <w:vAlign w:val="center"/>
          </w:tcPr>
          <w:p w14:paraId="2A4002F6">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1425" w:type="dxa"/>
            <w:noWrap w:val="0"/>
            <w:vAlign w:val="center"/>
          </w:tcPr>
          <w:p w14:paraId="0CB2E9C1">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r>
      <w:tr w14:paraId="44572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8" w:hRule="atLeast"/>
          <w:jc w:val="center"/>
        </w:trPr>
        <w:tc>
          <w:tcPr>
            <w:tcW w:w="522" w:type="dxa"/>
            <w:noWrap w:val="0"/>
            <w:vAlign w:val="center"/>
          </w:tcPr>
          <w:p w14:paraId="769D11B9">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540" w:type="dxa"/>
            <w:noWrap w:val="0"/>
            <w:vAlign w:val="center"/>
          </w:tcPr>
          <w:p w14:paraId="755EF4BC">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540" w:type="dxa"/>
            <w:noWrap w:val="0"/>
            <w:vAlign w:val="center"/>
          </w:tcPr>
          <w:p w14:paraId="2F4FA7D8">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540" w:type="dxa"/>
            <w:noWrap w:val="0"/>
            <w:vAlign w:val="center"/>
          </w:tcPr>
          <w:p w14:paraId="4BB62FC3">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992" w:type="dxa"/>
            <w:noWrap w:val="0"/>
            <w:vAlign w:val="center"/>
          </w:tcPr>
          <w:p w14:paraId="2595576B">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808" w:type="dxa"/>
            <w:noWrap w:val="0"/>
            <w:vAlign w:val="center"/>
          </w:tcPr>
          <w:p w14:paraId="0BED28F8">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1260" w:type="dxa"/>
            <w:noWrap w:val="0"/>
            <w:vAlign w:val="center"/>
          </w:tcPr>
          <w:p w14:paraId="0EB9A6B9">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900" w:type="dxa"/>
            <w:noWrap w:val="0"/>
            <w:vAlign w:val="center"/>
          </w:tcPr>
          <w:p w14:paraId="34A8019C">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900" w:type="dxa"/>
            <w:noWrap w:val="0"/>
            <w:vAlign w:val="center"/>
          </w:tcPr>
          <w:p w14:paraId="61328756">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1080" w:type="dxa"/>
            <w:noWrap w:val="0"/>
            <w:vAlign w:val="center"/>
          </w:tcPr>
          <w:p w14:paraId="2A9E293C">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1425" w:type="dxa"/>
            <w:noWrap w:val="0"/>
            <w:vAlign w:val="center"/>
          </w:tcPr>
          <w:p w14:paraId="7216EBC8">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r>
      <w:tr w14:paraId="290A3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8" w:hRule="atLeast"/>
          <w:jc w:val="center"/>
        </w:trPr>
        <w:tc>
          <w:tcPr>
            <w:tcW w:w="522" w:type="dxa"/>
            <w:noWrap w:val="0"/>
            <w:vAlign w:val="center"/>
          </w:tcPr>
          <w:p w14:paraId="1FACBF5C">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540" w:type="dxa"/>
            <w:noWrap w:val="0"/>
            <w:vAlign w:val="center"/>
          </w:tcPr>
          <w:p w14:paraId="5FA365B5">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540" w:type="dxa"/>
            <w:noWrap w:val="0"/>
            <w:vAlign w:val="center"/>
          </w:tcPr>
          <w:p w14:paraId="1DEFFB0E">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540" w:type="dxa"/>
            <w:noWrap w:val="0"/>
            <w:vAlign w:val="center"/>
          </w:tcPr>
          <w:p w14:paraId="4FFE86A1">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992" w:type="dxa"/>
            <w:noWrap w:val="0"/>
            <w:vAlign w:val="center"/>
          </w:tcPr>
          <w:p w14:paraId="30B07579">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808" w:type="dxa"/>
            <w:noWrap w:val="0"/>
            <w:vAlign w:val="center"/>
          </w:tcPr>
          <w:p w14:paraId="0DF14016">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1260" w:type="dxa"/>
            <w:noWrap w:val="0"/>
            <w:vAlign w:val="center"/>
          </w:tcPr>
          <w:p w14:paraId="49C3A4BF">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900" w:type="dxa"/>
            <w:noWrap w:val="0"/>
            <w:vAlign w:val="center"/>
          </w:tcPr>
          <w:p w14:paraId="4637471A">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900" w:type="dxa"/>
            <w:noWrap w:val="0"/>
            <w:vAlign w:val="center"/>
          </w:tcPr>
          <w:p w14:paraId="453168CA">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1080" w:type="dxa"/>
            <w:noWrap w:val="0"/>
            <w:vAlign w:val="center"/>
          </w:tcPr>
          <w:p w14:paraId="54DA2C6A">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1425" w:type="dxa"/>
            <w:noWrap w:val="0"/>
            <w:vAlign w:val="center"/>
          </w:tcPr>
          <w:p w14:paraId="0262D42B">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r>
      <w:tr w14:paraId="0C94C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8" w:hRule="atLeast"/>
          <w:jc w:val="center"/>
        </w:trPr>
        <w:tc>
          <w:tcPr>
            <w:tcW w:w="522" w:type="dxa"/>
            <w:noWrap w:val="0"/>
            <w:vAlign w:val="center"/>
          </w:tcPr>
          <w:p w14:paraId="34488617">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540" w:type="dxa"/>
            <w:noWrap w:val="0"/>
            <w:vAlign w:val="center"/>
          </w:tcPr>
          <w:p w14:paraId="754D9468">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540" w:type="dxa"/>
            <w:noWrap w:val="0"/>
            <w:vAlign w:val="center"/>
          </w:tcPr>
          <w:p w14:paraId="212A5E5F">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540" w:type="dxa"/>
            <w:noWrap w:val="0"/>
            <w:vAlign w:val="center"/>
          </w:tcPr>
          <w:p w14:paraId="7FEA8538">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992" w:type="dxa"/>
            <w:noWrap w:val="0"/>
            <w:vAlign w:val="center"/>
          </w:tcPr>
          <w:p w14:paraId="056D341B">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808" w:type="dxa"/>
            <w:noWrap w:val="0"/>
            <w:vAlign w:val="center"/>
          </w:tcPr>
          <w:p w14:paraId="7DAF7ABB">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1260" w:type="dxa"/>
            <w:noWrap w:val="0"/>
            <w:vAlign w:val="center"/>
          </w:tcPr>
          <w:p w14:paraId="4B7933C3">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900" w:type="dxa"/>
            <w:noWrap w:val="0"/>
            <w:vAlign w:val="center"/>
          </w:tcPr>
          <w:p w14:paraId="4A1BA543">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900" w:type="dxa"/>
            <w:noWrap w:val="0"/>
            <w:vAlign w:val="center"/>
          </w:tcPr>
          <w:p w14:paraId="2D86FDBA">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1080" w:type="dxa"/>
            <w:noWrap w:val="0"/>
            <w:vAlign w:val="center"/>
          </w:tcPr>
          <w:p w14:paraId="798575C0">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1425" w:type="dxa"/>
            <w:noWrap w:val="0"/>
            <w:vAlign w:val="center"/>
          </w:tcPr>
          <w:p w14:paraId="1ED00FD7">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r>
    </w:tbl>
    <w:p w14:paraId="48BEA129">
      <w:pPr>
        <w:spacing w:line="540" w:lineRule="exact"/>
        <w:ind w:firstLine="120" w:firstLineChars="50"/>
        <w:rPr>
          <w:rFonts w:ascii="宋体" w:hAnsi="宋体" w:cs="仿宋"/>
          <w:color w:val="auto"/>
          <w:sz w:val="24"/>
        </w:rPr>
      </w:pPr>
      <w:r>
        <w:rPr>
          <w:rFonts w:hint="eastAsia" w:ascii="宋体" w:hAnsi="宋体" w:cs="仿宋"/>
          <w:color w:val="auto"/>
          <w:sz w:val="24"/>
        </w:rPr>
        <w:t>附：职称．资格证书复印件</w:t>
      </w:r>
    </w:p>
    <w:p w14:paraId="7584F5C5">
      <w:pPr>
        <w:spacing w:line="540" w:lineRule="exact"/>
        <w:ind w:firstLine="120" w:firstLineChars="50"/>
        <w:rPr>
          <w:rFonts w:ascii="仿宋" w:hAnsi="仿宋" w:eastAsia="仿宋" w:cs="仿宋"/>
          <w:color w:val="auto"/>
          <w:sz w:val="24"/>
        </w:rPr>
      </w:pPr>
    </w:p>
    <w:p w14:paraId="61F94C62">
      <w:pPr>
        <w:pStyle w:val="22"/>
        <w:ind w:firstLine="240"/>
        <w:rPr>
          <w:rFonts w:ascii="仿宋" w:hAnsi="仿宋" w:eastAsia="仿宋" w:cs="仿宋"/>
          <w:color w:val="auto"/>
          <w:sz w:val="24"/>
        </w:rPr>
      </w:pPr>
    </w:p>
    <w:p w14:paraId="210F0716">
      <w:pPr>
        <w:pStyle w:val="22"/>
        <w:ind w:firstLine="240"/>
        <w:rPr>
          <w:rFonts w:ascii="仿宋" w:hAnsi="仿宋" w:eastAsia="仿宋" w:cs="仿宋"/>
          <w:color w:val="auto"/>
          <w:sz w:val="24"/>
        </w:rPr>
      </w:pPr>
    </w:p>
    <w:p w14:paraId="3ACAD8C1">
      <w:pPr>
        <w:spacing w:line="360" w:lineRule="auto"/>
        <w:rPr>
          <w:rFonts w:ascii="宋体" w:hAnsi="宋体" w:cs="仿宋"/>
          <w:color w:val="auto"/>
          <w:sz w:val="24"/>
          <w:u w:val="single"/>
        </w:rPr>
      </w:pPr>
      <w:r>
        <w:rPr>
          <w:rFonts w:hint="eastAsia" w:ascii="宋体" w:hAnsi="宋体" w:cs="仿宋"/>
          <w:color w:val="auto"/>
          <w:sz w:val="24"/>
        </w:rPr>
        <w:t xml:space="preserve">供应商代表签字： </w:t>
      </w:r>
    </w:p>
    <w:p w14:paraId="3B5BA18B">
      <w:pPr>
        <w:spacing w:line="360" w:lineRule="auto"/>
        <w:rPr>
          <w:rFonts w:ascii="宋体" w:hAnsi="宋体" w:cs="仿宋"/>
          <w:color w:val="auto"/>
          <w:sz w:val="24"/>
          <w:u w:val="single"/>
        </w:rPr>
      </w:pPr>
      <w:r>
        <w:rPr>
          <w:rFonts w:hint="eastAsia" w:ascii="宋体" w:hAnsi="宋体" w:cs="仿宋"/>
          <w:color w:val="auto"/>
          <w:sz w:val="24"/>
        </w:rPr>
        <w:t>供应商</w:t>
      </w:r>
      <w:r>
        <w:rPr>
          <w:rFonts w:hint="eastAsia" w:ascii="宋体" w:hAnsi="宋体" w:cs="仿宋"/>
          <w:color w:val="auto"/>
          <w:sz w:val="24"/>
          <w:u w:val="none"/>
        </w:rPr>
        <w:t>：</w:t>
      </w:r>
      <w:r>
        <w:rPr>
          <w:rFonts w:hint="eastAsia" w:ascii="宋体" w:hAnsi="宋体" w:cs="仿宋"/>
          <w:color w:val="auto"/>
          <w:sz w:val="24"/>
          <w:u w:val="single"/>
        </w:rPr>
        <w:t xml:space="preserve">                  </w:t>
      </w:r>
      <w:r>
        <w:rPr>
          <w:rFonts w:hint="eastAsia" w:ascii="宋体" w:hAnsi="宋体" w:cs="仿宋"/>
          <w:color w:val="auto"/>
          <w:sz w:val="24"/>
          <w:u w:val="none"/>
        </w:rPr>
        <w:t>（</w:t>
      </w:r>
      <w:r>
        <w:rPr>
          <w:rFonts w:hint="eastAsia" w:ascii="宋体" w:hAnsi="宋体" w:cs="仿宋"/>
          <w:color w:val="auto"/>
          <w:sz w:val="24"/>
        </w:rPr>
        <w:t>全称并加盖公章）</w:t>
      </w:r>
    </w:p>
    <w:p w14:paraId="2180A122">
      <w:pPr>
        <w:spacing w:line="360" w:lineRule="auto"/>
        <w:jc w:val="right"/>
        <w:rPr>
          <w:rFonts w:ascii="宋体" w:hAnsi="宋体" w:cs="仿宋"/>
          <w:color w:val="auto"/>
          <w:sz w:val="24"/>
        </w:rPr>
      </w:pPr>
      <w:r>
        <w:rPr>
          <w:rFonts w:hint="eastAsia" w:ascii="宋体" w:hAnsi="宋体" w:cs="仿宋"/>
          <w:color w:val="auto"/>
          <w:sz w:val="24"/>
        </w:rPr>
        <w:t xml:space="preserve"> 年   月   日</w:t>
      </w:r>
    </w:p>
    <w:p w14:paraId="2FB9CB05">
      <w:pPr>
        <w:jc w:val="center"/>
        <w:rPr>
          <w:rFonts w:hint="eastAsia" w:ascii="宋体" w:hAnsi="宋体" w:eastAsia="宋体" w:cs="宋体"/>
          <w:b/>
          <w:color w:val="auto"/>
          <w:kern w:val="0"/>
          <w:sz w:val="32"/>
          <w:szCs w:val="32"/>
        </w:rPr>
      </w:pPr>
      <w:bookmarkStart w:id="15" w:name="_Toc320872144"/>
      <w:r>
        <w:rPr>
          <w:rFonts w:hint="eastAsia" w:ascii="宋体" w:hAnsi="宋体" w:cs="仿宋"/>
          <w:color w:val="auto"/>
        </w:rPr>
        <w:br w:type="page"/>
      </w:r>
      <w:bookmarkEnd w:id="15"/>
    </w:p>
    <w:p w14:paraId="1726D927">
      <w:pPr>
        <w:jc w:val="center"/>
        <w:rPr>
          <w:rFonts w:hint="eastAsia" w:ascii="宋体" w:hAnsi="宋体" w:eastAsia="宋体" w:cs="宋体"/>
          <w:b/>
          <w:color w:val="auto"/>
          <w:kern w:val="0"/>
          <w:sz w:val="32"/>
          <w:szCs w:val="32"/>
          <w:lang w:eastAsia="zh-CN"/>
        </w:rPr>
      </w:pPr>
      <w:r>
        <w:rPr>
          <w:rFonts w:hint="eastAsia" w:ascii="宋体" w:hAnsi="宋体" w:eastAsia="宋体" w:cs="宋体"/>
          <w:b/>
          <w:color w:val="auto"/>
          <w:kern w:val="0"/>
          <w:sz w:val="32"/>
          <w:szCs w:val="32"/>
        </w:rPr>
        <w:t>附件11</w:t>
      </w:r>
      <w:r>
        <w:rPr>
          <w:rFonts w:hint="eastAsia" w:ascii="宋体" w:hAnsi="宋体" w:eastAsia="宋体" w:cs="宋体"/>
          <w:b/>
          <w:color w:val="auto"/>
          <w:kern w:val="0"/>
          <w:sz w:val="32"/>
          <w:szCs w:val="32"/>
          <w:lang w:val="en-US" w:eastAsia="zh-CN"/>
        </w:rPr>
        <w:t xml:space="preserve">  </w:t>
      </w:r>
      <w:r>
        <w:rPr>
          <w:rFonts w:hint="eastAsia" w:ascii="宋体" w:hAnsi="宋体" w:cs="宋体"/>
          <w:b/>
          <w:color w:val="auto"/>
          <w:kern w:val="0"/>
          <w:sz w:val="32"/>
          <w:szCs w:val="32"/>
          <w:lang w:eastAsia="zh-CN"/>
        </w:rPr>
        <w:t>技术服务方案</w:t>
      </w:r>
    </w:p>
    <w:p w14:paraId="7BB88004">
      <w:pPr>
        <w:snapToGrid w:val="0"/>
        <w:spacing w:line="460" w:lineRule="exact"/>
        <w:jc w:val="center"/>
        <w:rPr>
          <w:rFonts w:ascii="宋体" w:hAnsi="宋体" w:cs="宋体"/>
          <w:b/>
          <w:color w:val="auto"/>
          <w:kern w:val="0"/>
          <w:sz w:val="32"/>
          <w:szCs w:val="32"/>
        </w:rPr>
      </w:pPr>
    </w:p>
    <w:p w14:paraId="18754F0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4"/>
          <w:szCs w:val="24"/>
          <w:lang w:eastAsia="zh-CN"/>
        </w:rPr>
        <w:t>（供应商根据竞争性谈判文件技术要求</w:t>
      </w:r>
      <w:r>
        <w:rPr>
          <w:rFonts w:hint="eastAsia" w:ascii="宋体" w:hAnsi="宋体" w:cs="宋体"/>
          <w:color w:val="auto"/>
          <w:kern w:val="0"/>
          <w:sz w:val="24"/>
          <w:szCs w:val="24"/>
          <w:lang w:val="en-US" w:eastAsia="zh-CN"/>
        </w:rPr>
        <w:t>编制</w:t>
      </w:r>
      <w:r>
        <w:rPr>
          <w:rFonts w:hint="eastAsia" w:ascii="宋体" w:hAnsi="宋体" w:cs="宋体"/>
          <w:color w:val="auto"/>
          <w:kern w:val="0"/>
          <w:sz w:val="24"/>
          <w:szCs w:val="24"/>
          <w:lang w:eastAsia="zh-CN"/>
        </w:rPr>
        <w:t>技术服务方案</w:t>
      </w:r>
      <w:r>
        <w:rPr>
          <w:rFonts w:hint="eastAsia" w:ascii="宋体" w:hAnsi="宋体" w:eastAsia="宋体" w:cs="宋体"/>
          <w:color w:val="auto"/>
          <w:kern w:val="0"/>
          <w:sz w:val="24"/>
          <w:szCs w:val="24"/>
          <w:lang w:eastAsia="zh-CN"/>
        </w:rPr>
        <w:t>，但不能存在严重不科学、不合理之处，否则按未实质性响应竞争性谈判文件进行处理，供应商代表签字并加盖公章）</w:t>
      </w:r>
    </w:p>
    <w:p w14:paraId="20D98FA4">
      <w:pPr>
        <w:jc w:val="center"/>
        <w:rPr>
          <w:rFonts w:hint="eastAsia" w:ascii="宋体" w:hAnsi="宋体" w:eastAsia="宋体" w:cs="宋体"/>
          <w:color w:val="auto"/>
          <w:kern w:val="0"/>
          <w:sz w:val="28"/>
          <w:szCs w:val="28"/>
        </w:rPr>
      </w:pPr>
    </w:p>
    <w:p w14:paraId="6F4AFA44">
      <w:pPr>
        <w:jc w:val="center"/>
        <w:rPr>
          <w:rFonts w:hint="eastAsia" w:ascii="宋体" w:hAnsi="宋体" w:eastAsia="宋体" w:cs="宋体"/>
          <w:color w:val="auto"/>
          <w:kern w:val="0"/>
          <w:sz w:val="28"/>
          <w:szCs w:val="28"/>
        </w:rPr>
      </w:pPr>
    </w:p>
    <w:p w14:paraId="69C874E6">
      <w:pPr>
        <w:jc w:val="center"/>
        <w:rPr>
          <w:rFonts w:hint="eastAsia" w:ascii="宋体" w:hAnsi="宋体" w:eastAsia="宋体" w:cs="宋体"/>
          <w:color w:val="auto"/>
          <w:kern w:val="0"/>
          <w:sz w:val="28"/>
          <w:szCs w:val="28"/>
        </w:rPr>
      </w:pPr>
    </w:p>
    <w:p w14:paraId="7DDCB455">
      <w:pPr>
        <w:jc w:val="center"/>
        <w:rPr>
          <w:rFonts w:hint="eastAsia" w:ascii="宋体" w:hAnsi="宋体" w:eastAsia="宋体" w:cs="宋体"/>
          <w:color w:val="auto"/>
          <w:kern w:val="0"/>
          <w:sz w:val="28"/>
          <w:szCs w:val="28"/>
        </w:rPr>
      </w:pPr>
    </w:p>
    <w:p w14:paraId="737AD02E">
      <w:pPr>
        <w:jc w:val="center"/>
        <w:rPr>
          <w:rFonts w:hint="eastAsia" w:ascii="宋体" w:hAnsi="宋体" w:eastAsia="宋体" w:cs="宋体"/>
          <w:color w:val="auto"/>
          <w:kern w:val="0"/>
          <w:sz w:val="28"/>
          <w:szCs w:val="28"/>
        </w:rPr>
      </w:pPr>
    </w:p>
    <w:p w14:paraId="17AC0FBA">
      <w:pPr>
        <w:jc w:val="center"/>
        <w:rPr>
          <w:rFonts w:hint="eastAsia" w:ascii="宋体" w:hAnsi="宋体" w:eastAsia="宋体" w:cs="宋体"/>
          <w:color w:val="auto"/>
          <w:kern w:val="0"/>
          <w:sz w:val="28"/>
          <w:szCs w:val="28"/>
        </w:rPr>
      </w:pPr>
    </w:p>
    <w:p w14:paraId="2D2D2767">
      <w:pPr>
        <w:jc w:val="center"/>
        <w:rPr>
          <w:rFonts w:hint="eastAsia" w:ascii="宋体" w:hAnsi="宋体" w:eastAsia="宋体" w:cs="宋体"/>
          <w:color w:val="auto"/>
          <w:kern w:val="0"/>
          <w:sz w:val="28"/>
          <w:szCs w:val="28"/>
        </w:rPr>
      </w:pPr>
    </w:p>
    <w:p w14:paraId="3DBC138C">
      <w:pPr>
        <w:jc w:val="center"/>
        <w:rPr>
          <w:rFonts w:hint="eastAsia" w:ascii="宋体" w:hAnsi="宋体" w:eastAsia="宋体" w:cs="宋体"/>
          <w:color w:val="auto"/>
          <w:kern w:val="0"/>
          <w:sz w:val="28"/>
          <w:szCs w:val="28"/>
        </w:rPr>
      </w:pPr>
    </w:p>
    <w:p w14:paraId="756F9D9A">
      <w:pPr>
        <w:jc w:val="center"/>
        <w:rPr>
          <w:rFonts w:hint="eastAsia" w:ascii="宋体" w:hAnsi="宋体" w:eastAsia="宋体" w:cs="宋体"/>
          <w:color w:val="auto"/>
          <w:kern w:val="0"/>
          <w:sz w:val="28"/>
          <w:szCs w:val="28"/>
        </w:rPr>
      </w:pPr>
    </w:p>
    <w:p w14:paraId="4330B345">
      <w:pPr>
        <w:jc w:val="center"/>
        <w:rPr>
          <w:rFonts w:hint="eastAsia" w:ascii="宋体" w:hAnsi="宋体" w:eastAsia="宋体" w:cs="宋体"/>
          <w:color w:val="auto"/>
          <w:kern w:val="0"/>
          <w:sz w:val="28"/>
          <w:szCs w:val="28"/>
        </w:rPr>
      </w:pPr>
    </w:p>
    <w:p w14:paraId="3553238F">
      <w:pPr>
        <w:jc w:val="center"/>
        <w:rPr>
          <w:rFonts w:hint="eastAsia" w:ascii="宋体" w:hAnsi="宋体" w:eastAsia="宋体" w:cs="宋体"/>
          <w:color w:val="auto"/>
          <w:kern w:val="0"/>
          <w:sz w:val="28"/>
          <w:szCs w:val="28"/>
        </w:rPr>
      </w:pPr>
    </w:p>
    <w:p w14:paraId="73773A22">
      <w:pPr>
        <w:jc w:val="center"/>
        <w:rPr>
          <w:rFonts w:hint="eastAsia" w:ascii="宋体" w:hAnsi="宋体" w:eastAsia="宋体" w:cs="宋体"/>
          <w:color w:val="auto"/>
          <w:kern w:val="0"/>
          <w:sz w:val="28"/>
          <w:szCs w:val="28"/>
        </w:rPr>
      </w:pPr>
    </w:p>
    <w:p w14:paraId="4F067263">
      <w:pPr>
        <w:jc w:val="center"/>
        <w:rPr>
          <w:rFonts w:hint="eastAsia" w:ascii="宋体" w:hAnsi="宋体" w:eastAsia="宋体" w:cs="宋体"/>
          <w:color w:val="auto"/>
          <w:kern w:val="0"/>
          <w:sz w:val="28"/>
          <w:szCs w:val="28"/>
        </w:rPr>
      </w:pPr>
    </w:p>
    <w:p w14:paraId="7CA73833">
      <w:pPr>
        <w:pStyle w:val="22"/>
        <w:rPr>
          <w:rFonts w:hint="eastAsia" w:ascii="宋体" w:hAnsi="宋体" w:eastAsia="宋体" w:cs="宋体"/>
          <w:color w:val="auto"/>
          <w:kern w:val="0"/>
          <w:sz w:val="28"/>
          <w:szCs w:val="28"/>
        </w:rPr>
      </w:pPr>
    </w:p>
    <w:p w14:paraId="06C280E3">
      <w:pPr>
        <w:pStyle w:val="23"/>
        <w:rPr>
          <w:rFonts w:hint="eastAsia" w:ascii="宋体" w:hAnsi="宋体" w:eastAsia="宋体" w:cs="宋体"/>
          <w:color w:val="auto"/>
          <w:kern w:val="0"/>
          <w:sz w:val="28"/>
          <w:szCs w:val="28"/>
        </w:rPr>
      </w:pPr>
    </w:p>
    <w:p w14:paraId="2D99BBA6">
      <w:pPr>
        <w:rPr>
          <w:rFonts w:hint="eastAsia" w:ascii="宋体" w:hAnsi="宋体" w:eastAsia="宋体" w:cs="宋体"/>
          <w:color w:val="auto"/>
          <w:kern w:val="0"/>
          <w:sz w:val="28"/>
          <w:szCs w:val="28"/>
        </w:rPr>
      </w:pPr>
    </w:p>
    <w:p w14:paraId="30AB51BB">
      <w:pPr>
        <w:pStyle w:val="22"/>
        <w:rPr>
          <w:rFonts w:hint="eastAsia"/>
        </w:rPr>
      </w:pPr>
    </w:p>
    <w:p w14:paraId="3CB81A95">
      <w:pPr>
        <w:snapToGrid w:val="0"/>
        <w:spacing w:line="460" w:lineRule="exact"/>
        <w:rPr>
          <w:rFonts w:hint="eastAsia" w:ascii="宋体" w:hAnsi="宋体" w:eastAsia="宋体" w:cs="宋体"/>
          <w:b/>
          <w:color w:val="auto"/>
          <w:kern w:val="0"/>
          <w:sz w:val="32"/>
          <w:szCs w:val="32"/>
        </w:rPr>
      </w:pPr>
    </w:p>
    <w:p w14:paraId="6FF41BD3">
      <w:pPr>
        <w:snapToGrid w:val="0"/>
        <w:spacing w:line="460" w:lineRule="exact"/>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附件12</w:t>
      </w:r>
      <w:r>
        <w:rPr>
          <w:rFonts w:hint="eastAsia" w:ascii="宋体" w:hAnsi="宋体" w:eastAsia="宋体" w:cs="宋体"/>
          <w:b/>
          <w:color w:val="auto"/>
          <w:sz w:val="30"/>
          <w:szCs w:val="30"/>
          <w:lang w:val="en-US" w:eastAsia="zh-CN"/>
        </w:rPr>
        <w:t xml:space="preserve">  </w:t>
      </w:r>
      <w:r>
        <w:rPr>
          <w:rFonts w:hint="eastAsia" w:ascii="宋体" w:hAnsi="宋体" w:eastAsia="宋体" w:cs="宋体"/>
          <w:b/>
          <w:color w:val="auto"/>
          <w:sz w:val="30"/>
          <w:szCs w:val="30"/>
        </w:rPr>
        <w:t>中小企业声明函（只需符合条件的供应商提供）</w:t>
      </w:r>
    </w:p>
    <w:p w14:paraId="57065B6B">
      <w:pPr>
        <w:pStyle w:val="2"/>
        <w:spacing w:before="162"/>
        <w:rPr>
          <w:rFonts w:hint="eastAsia" w:ascii="宋体" w:hAnsi="宋体" w:eastAsia="宋体" w:cs="宋体"/>
          <w:b w:val="0"/>
          <w:color w:val="auto"/>
          <w:sz w:val="24"/>
        </w:rPr>
      </w:pPr>
      <w:r>
        <w:rPr>
          <w:rFonts w:hint="eastAsia" w:ascii="宋体" w:hAnsi="宋体" w:eastAsia="宋体" w:cs="宋体"/>
          <w:color w:val="auto"/>
          <w:sz w:val="28"/>
          <w:szCs w:val="28"/>
        </w:rPr>
        <w:t>1</w:t>
      </w:r>
      <w:r>
        <w:rPr>
          <w:rFonts w:hint="eastAsia" w:ascii="宋体" w:hAnsi="宋体" w:eastAsia="宋体" w:cs="宋体"/>
          <w:color w:val="auto"/>
          <w:sz w:val="28"/>
          <w:szCs w:val="28"/>
          <w:lang w:val="en-US"/>
        </w:rPr>
        <w:t>2</w:t>
      </w:r>
      <w:r>
        <w:rPr>
          <w:rFonts w:hint="eastAsia" w:ascii="宋体" w:hAnsi="宋体" w:eastAsia="宋体" w:cs="宋体"/>
          <w:color w:val="auto"/>
          <w:sz w:val="28"/>
          <w:szCs w:val="28"/>
        </w:rPr>
        <w:t>.1中小企业声明函（</w:t>
      </w:r>
      <w:r>
        <w:rPr>
          <w:rFonts w:hint="eastAsia" w:ascii="宋体" w:hAnsi="宋体" w:eastAsia="宋体" w:cs="宋体"/>
          <w:color w:val="auto"/>
          <w:sz w:val="28"/>
          <w:szCs w:val="28"/>
          <w:lang w:val="en-US"/>
        </w:rPr>
        <w:t>服务</w:t>
      </w:r>
      <w:r>
        <w:rPr>
          <w:rFonts w:hint="eastAsia" w:ascii="宋体" w:hAnsi="宋体" w:eastAsia="宋体" w:cs="宋体"/>
          <w:color w:val="auto"/>
          <w:sz w:val="28"/>
          <w:szCs w:val="28"/>
        </w:rPr>
        <w:t>）</w:t>
      </w:r>
    </w:p>
    <w:p w14:paraId="6F192F39">
      <w:pPr>
        <w:pStyle w:val="15"/>
        <w:spacing w:line="360" w:lineRule="auto"/>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rPr>
        <w:t>本公司（联合体）郑重声明，根据《政府采购促进中小企业发展管理办法》（财库﹝2020﹞46 号）的规定，本公司（联合体）参加（单位名称）的（项目名称）采购活动，</w:t>
      </w:r>
      <w:r>
        <w:rPr>
          <w:rFonts w:hint="eastAsia" w:ascii="宋体" w:hAnsi="宋体" w:eastAsia="宋体" w:cs="宋体"/>
          <w:color w:val="auto"/>
          <w:sz w:val="24"/>
          <w:lang w:eastAsia="zh-CN"/>
        </w:rPr>
        <w:t>工程的施工单位全部为符合政策要求的中小企业（或者：服务全部由符合政策要求的中小企业承接）。相关企业（含联合体中的中小企业、签订分包意向协议的中小企 业）的具体情况如下：</w:t>
      </w:r>
    </w:p>
    <w:p w14:paraId="775288E6">
      <w:pPr>
        <w:pStyle w:val="15"/>
        <w:numPr>
          <w:ilvl w:val="0"/>
          <w:numId w:val="0"/>
        </w:numPr>
        <w:ind w:left="540" w:leftChars="0"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u w:val="single"/>
          <w:lang w:val="en-US" w:eastAsia="zh-CN"/>
        </w:rPr>
        <w:t>1.</w:t>
      </w:r>
      <w:r>
        <w:rPr>
          <w:rFonts w:hint="eastAsia" w:ascii="宋体" w:hAnsi="宋体" w:eastAsia="宋体" w:cs="宋体"/>
          <w:color w:val="auto"/>
          <w:sz w:val="24"/>
          <w:u w:val="single"/>
          <w:lang w:eastAsia="zh-CN"/>
        </w:rPr>
        <w:t>（标的名称）</w:t>
      </w:r>
      <w:r>
        <w:rPr>
          <w:rFonts w:hint="eastAsia" w:ascii="宋体" w:hAnsi="宋体" w:eastAsia="宋体" w:cs="宋体"/>
          <w:color w:val="auto"/>
          <w:sz w:val="24"/>
          <w:lang w:eastAsia="zh-CN"/>
        </w:rPr>
        <w:t>，属于</w:t>
      </w:r>
      <w:r>
        <w:rPr>
          <w:rFonts w:hint="eastAsia" w:ascii="宋体" w:hAnsi="宋体" w:eastAsia="宋体" w:cs="宋体"/>
          <w:color w:val="auto"/>
          <w:sz w:val="24"/>
          <w:u w:val="single"/>
          <w:lang w:eastAsia="zh-CN"/>
        </w:rPr>
        <w:t>（</w:t>
      </w:r>
      <w:r>
        <w:rPr>
          <w:rFonts w:hint="eastAsia" w:ascii="宋体" w:hAnsi="宋体" w:eastAsia="宋体" w:cs="宋体"/>
          <w:color w:val="auto"/>
          <w:sz w:val="24"/>
          <w:u w:val="single"/>
        </w:rPr>
        <w:t>采购文件</w:t>
      </w:r>
      <w:r>
        <w:rPr>
          <w:rFonts w:hint="eastAsia" w:ascii="宋体" w:hAnsi="宋体" w:eastAsia="宋体" w:cs="宋体"/>
          <w:color w:val="auto"/>
          <w:sz w:val="24"/>
          <w:u w:val="single"/>
          <w:lang w:eastAsia="zh-CN"/>
        </w:rPr>
        <w:t>中明确的所属行业）</w:t>
      </w:r>
      <w:r>
        <w:rPr>
          <w:rFonts w:hint="eastAsia" w:ascii="宋体" w:hAnsi="宋体" w:eastAsia="宋体" w:cs="宋体"/>
          <w:color w:val="auto"/>
          <w:sz w:val="24"/>
          <w:lang w:eastAsia="zh-CN"/>
        </w:rPr>
        <w:t>；承建（承接）企业为</w:t>
      </w:r>
      <w:r>
        <w:rPr>
          <w:rFonts w:hint="eastAsia" w:ascii="宋体" w:hAnsi="宋体" w:eastAsia="宋体" w:cs="宋体"/>
          <w:color w:val="auto"/>
          <w:sz w:val="24"/>
          <w:u w:val="single"/>
          <w:lang w:eastAsia="zh-CN"/>
        </w:rPr>
        <w:t>（企业名称）</w:t>
      </w:r>
      <w:r>
        <w:rPr>
          <w:rFonts w:hint="eastAsia" w:ascii="宋体" w:hAnsi="宋体" w:eastAsia="宋体" w:cs="宋体"/>
          <w:color w:val="auto"/>
          <w:sz w:val="24"/>
          <w:lang w:eastAsia="zh-CN"/>
        </w:rPr>
        <w:t>，从业人员</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eastAsia="zh-CN"/>
        </w:rPr>
        <w:t>人，营业收入为</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eastAsia="zh-CN"/>
        </w:rPr>
        <w:t>万元，资产总额为</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eastAsia="zh-CN"/>
        </w:rPr>
        <w:t xml:space="preserve">万元，属于（中型企业、小型企业、微型企业）； </w:t>
      </w:r>
    </w:p>
    <w:p w14:paraId="369C6555">
      <w:pPr>
        <w:pStyle w:val="15"/>
        <w:numPr>
          <w:ilvl w:val="0"/>
          <w:numId w:val="0"/>
        </w:numPr>
        <w:ind w:left="540" w:leftChars="0"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u w:val="single"/>
          <w:lang w:val="en-US" w:eastAsia="zh-CN"/>
        </w:rPr>
        <w:t>2.</w:t>
      </w:r>
      <w:r>
        <w:rPr>
          <w:rFonts w:hint="eastAsia" w:ascii="宋体" w:hAnsi="宋体" w:eastAsia="宋体" w:cs="宋体"/>
          <w:color w:val="auto"/>
          <w:sz w:val="24"/>
          <w:u w:val="single"/>
          <w:lang w:eastAsia="zh-CN"/>
        </w:rPr>
        <w:t>（标的名称）</w:t>
      </w:r>
      <w:r>
        <w:rPr>
          <w:rFonts w:hint="eastAsia" w:ascii="宋体" w:hAnsi="宋体" w:eastAsia="宋体" w:cs="宋体"/>
          <w:color w:val="auto"/>
          <w:sz w:val="24"/>
          <w:lang w:eastAsia="zh-CN"/>
        </w:rPr>
        <w:t>，属于</w:t>
      </w:r>
      <w:r>
        <w:rPr>
          <w:rFonts w:hint="eastAsia" w:ascii="宋体" w:hAnsi="宋体" w:eastAsia="宋体" w:cs="宋体"/>
          <w:color w:val="auto"/>
          <w:sz w:val="24"/>
          <w:u w:val="single"/>
          <w:lang w:eastAsia="zh-CN"/>
        </w:rPr>
        <w:t>（</w:t>
      </w:r>
      <w:r>
        <w:rPr>
          <w:rFonts w:hint="eastAsia" w:ascii="宋体" w:hAnsi="宋体" w:eastAsia="宋体" w:cs="宋体"/>
          <w:color w:val="auto"/>
          <w:sz w:val="24"/>
          <w:u w:val="single"/>
        </w:rPr>
        <w:t>采购文件</w:t>
      </w:r>
      <w:r>
        <w:rPr>
          <w:rFonts w:hint="eastAsia" w:ascii="宋体" w:hAnsi="宋体" w:eastAsia="宋体" w:cs="宋体"/>
          <w:color w:val="auto"/>
          <w:sz w:val="24"/>
          <w:u w:val="single"/>
          <w:lang w:eastAsia="zh-CN"/>
        </w:rPr>
        <w:t>中明确的所属行业）</w:t>
      </w:r>
      <w:r>
        <w:rPr>
          <w:rFonts w:hint="eastAsia" w:ascii="宋体" w:hAnsi="宋体" w:eastAsia="宋体" w:cs="宋体"/>
          <w:color w:val="auto"/>
          <w:sz w:val="24"/>
          <w:lang w:eastAsia="zh-CN"/>
        </w:rPr>
        <w:t>；承建（承接）企业为</w:t>
      </w:r>
      <w:r>
        <w:rPr>
          <w:rFonts w:hint="eastAsia" w:ascii="宋体" w:hAnsi="宋体" w:eastAsia="宋体" w:cs="宋体"/>
          <w:color w:val="auto"/>
          <w:sz w:val="24"/>
          <w:u w:val="single"/>
          <w:lang w:eastAsia="zh-CN"/>
        </w:rPr>
        <w:t>（企业名称）</w:t>
      </w:r>
      <w:r>
        <w:rPr>
          <w:rFonts w:hint="eastAsia" w:ascii="宋体" w:hAnsi="宋体" w:eastAsia="宋体" w:cs="宋体"/>
          <w:color w:val="auto"/>
          <w:sz w:val="24"/>
          <w:lang w:eastAsia="zh-CN"/>
        </w:rPr>
        <w:t>，从业人员</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eastAsia="zh-CN"/>
        </w:rPr>
        <w:t>人，营业收入为</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eastAsia="zh-CN"/>
        </w:rPr>
        <w:t>万元，资产总额为</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eastAsia="zh-CN"/>
        </w:rPr>
        <w:t xml:space="preserve">万元，属于（中型企业、小型企业、微型企业）； </w:t>
      </w:r>
    </w:p>
    <w:p w14:paraId="42214483">
      <w:pPr>
        <w:pStyle w:val="15"/>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w:t>
      </w:r>
    </w:p>
    <w:p w14:paraId="7C24A829">
      <w:pPr>
        <w:pStyle w:val="15"/>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以上企业，不属于大企业的分支机构，不存在控股股东为大企业的情形，也不存在与大企业的负责人为同一人的情形。</w:t>
      </w:r>
    </w:p>
    <w:p w14:paraId="654F2C9C">
      <w:pPr>
        <w:pStyle w:val="15"/>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本企业对上述声明内容的真实性负责。如有虚假，将依法承担相应责任。                     </w:t>
      </w:r>
    </w:p>
    <w:p w14:paraId="56757E7D">
      <w:pPr>
        <w:pStyle w:val="15"/>
        <w:spacing w:line="360" w:lineRule="auto"/>
        <w:ind w:firstLine="3840" w:firstLineChars="1600"/>
        <w:rPr>
          <w:rFonts w:hint="eastAsia" w:ascii="宋体" w:hAnsi="宋体" w:eastAsia="宋体" w:cs="宋体"/>
          <w:color w:val="auto"/>
          <w:sz w:val="24"/>
        </w:rPr>
      </w:pPr>
      <w:r>
        <w:rPr>
          <w:rFonts w:hint="eastAsia" w:ascii="宋体" w:hAnsi="宋体" w:eastAsia="宋体" w:cs="宋体"/>
          <w:color w:val="auto"/>
          <w:sz w:val="24"/>
        </w:rPr>
        <w:t>企业名称（盖章）：</w:t>
      </w:r>
    </w:p>
    <w:p w14:paraId="57BCBECF">
      <w:pPr>
        <w:pStyle w:val="1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日期：</w:t>
      </w:r>
    </w:p>
    <w:p w14:paraId="00093A73">
      <w:pPr>
        <w:pStyle w:val="15"/>
        <w:rPr>
          <w:rFonts w:hint="eastAsia" w:ascii="宋体" w:hAnsi="宋体" w:eastAsia="宋体" w:cs="宋体"/>
          <w:color w:val="auto"/>
          <w:sz w:val="22"/>
        </w:rPr>
      </w:pPr>
      <w:r>
        <w:rPr>
          <w:rFonts w:hint="eastAsia" w:ascii="宋体" w:hAnsi="宋体" w:eastAsia="宋体" w:cs="宋体"/>
          <w:color w:val="auto"/>
          <w:sz w:val="22"/>
        </w:rPr>
        <w:t>从业人员、营业收入、资产总额填报上一年度数据，无上一年度数据的新成立企业可不填报。</w:t>
      </w:r>
    </w:p>
    <w:p w14:paraId="559B12AD">
      <w:pPr>
        <w:widowControl/>
        <w:shd w:val="clear" w:color="auto" w:fill="FFFFFF"/>
        <w:spacing w:line="460" w:lineRule="atLeast"/>
        <w:ind w:left="3959" w:leftChars="228" w:hanging="3480" w:hangingChars="1450"/>
        <w:rPr>
          <w:rFonts w:ascii="仿宋" w:hAnsi="仿宋" w:eastAsia="仿宋" w:cs="仿宋"/>
          <w:color w:val="auto"/>
          <w:kern w:val="0"/>
          <w:sz w:val="24"/>
        </w:rPr>
      </w:pPr>
    </w:p>
    <w:p w14:paraId="5A089519">
      <w:pPr>
        <w:jc w:val="left"/>
        <w:rPr>
          <w:rFonts w:ascii="仿宋_GB2312" w:hAnsi="仿宋_GB2312" w:eastAsia="仿宋_GB2312" w:cs="仿宋_GB2312"/>
          <w:color w:val="auto"/>
          <w:sz w:val="24"/>
        </w:rPr>
      </w:pPr>
    </w:p>
    <w:p w14:paraId="684D7035">
      <w:pPr>
        <w:ind w:firstLine="560" w:firstLineChars="200"/>
        <w:rPr>
          <w:rFonts w:hint="eastAsia" w:ascii="宋体" w:hAnsi="宋体" w:eastAsia="宋体" w:cs="宋体"/>
          <w:bCs/>
          <w:color w:val="auto"/>
          <w:sz w:val="28"/>
          <w:szCs w:val="28"/>
        </w:rPr>
      </w:pPr>
      <w:r>
        <w:rPr>
          <w:rFonts w:hint="eastAsia" w:ascii="宋体" w:hAnsi="宋体" w:eastAsia="宋体" w:cs="宋体"/>
          <w:color w:val="auto"/>
          <w:sz w:val="28"/>
          <w:szCs w:val="28"/>
        </w:rPr>
        <w:t>12.2</w:t>
      </w:r>
      <w:r>
        <w:rPr>
          <w:rFonts w:hint="eastAsia" w:ascii="宋体" w:hAnsi="宋体" w:eastAsia="宋体" w:cs="宋体"/>
          <w:bCs/>
          <w:color w:val="auto"/>
          <w:sz w:val="28"/>
          <w:szCs w:val="28"/>
        </w:rPr>
        <w:t>残疾人福利性单位声明函（格式）</w:t>
      </w:r>
    </w:p>
    <w:p w14:paraId="280D1FBD">
      <w:pPr>
        <w:ind w:firstLine="560" w:firstLineChars="200"/>
        <w:rPr>
          <w:rFonts w:hint="eastAsia" w:ascii="宋体" w:hAnsi="宋体" w:eastAsia="宋体" w:cs="宋体"/>
          <w:bCs/>
          <w:color w:val="auto"/>
          <w:sz w:val="28"/>
          <w:szCs w:val="28"/>
        </w:rPr>
      </w:pPr>
      <w:r>
        <w:rPr>
          <w:rFonts w:hint="eastAsia" w:ascii="宋体" w:hAnsi="宋体" w:eastAsia="宋体" w:cs="宋体"/>
          <w:bCs/>
          <w:color w:val="auto"/>
          <w:sz w:val="28"/>
          <w:szCs w:val="28"/>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7ADBEE5">
      <w:pPr>
        <w:ind w:firstLine="560" w:firstLineChars="200"/>
        <w:rPr>
          <w:rFonts w:hint="eastAsia" w:ascii="宋体" w:hAnsi="宋体" w:eastAsia="宋体" w:cs="宋体"/>
          <w:bCs/>
          <w:color w:val="auto"/>
          <w:sz w:val="28"/>
          <w:szCs w:val="28"/>
        </w:rPr>
      </w:pPr>
      <w:r>
        <w:rPr>
          <w:rFonts w:hint="eastAsia" w:ascii="宋体" w:hAnsi="宋体" w:eastAsia="宋体" w:cs="宋体"/>
          <w:bCs/>
          <w:color w:val="auto"/>
          <w:sz w:val="28"/>
          <w:szCs w:val="28"/>
        </w:rPr>
        <w:t>本单位对上述声明的真实性负责。如有虚假，将依法承担相应责任。</w:t>
      </w:r>
    </w:p>
    <w:p w14:paraId="58F3B460">
      <w:pPr>
        <w:ind w:firstLine="1120" w:firstLineChars="400"/>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供应商：            （全称并加盖公章）  </w:t>
      </w:r>
    </w:p>
    <w:p w14:paraId="7E221189">
      <w:pPr>
        <w:ind w:firstLine="560" w:firstLineChars="200"/>
        <w:rPr>
          <w:rFonts w:hint="eastAsia" w:ascii="宋体" w:hAnsi="宋体" w:eastAsia="宋体" w:cs="宋体"/>
          <w:bCs/>
          <w:color w:val="auto"/>
          <w:sz w:val="28"/>
          <w:szCs w:val="28"/>
        </w:rPr>
      </w:pPr>
    </w:p>
    <w:p w14:paraId="3BA4F516">
      <w:pPr>
        <w:jc w:val="left"/>
        <w:rPr>
          <w:rFonts w:hint="eastAsia" w:ascii="宋体" w:hAnsi="宋体" w:eastAsia="宋体" w:cs="宋体"/>
          <w:color w:val="auto"/>
          <w:sz w:val="28"/>
          <w:szCs w:val="28"/>
        </w:rPr>
      </w:pPr>
    </w:p>
    <w:p w14:paraId="19F8C008">
      <w:pPr>
        <w:jc w:val="left"/>
        <w:rPr>
          <w:rFonts w:hint="eastAsia" w:ascii="宋体" w:hAnsi="宋体" w:eastAsia="宋体" w:cs="宋体"/>
          <w:color w:val="auto"/>
          <w:sz w:val="28"/>
          <w:szCs w:val="28"/>
        </w:rPr>
      </w:pPr>
    </w:p>
    <w:p w14:paraId="4B4D2468">
      <w:pPr>
        <w:rPr>
          <w:rFonts w:hint="eastAsia" w:ascii="宋体" w:hAnsi="宋体" w:eastAsia="宋体" w:cs="宋体"/>
          <w:b/>
          <w:color w:val="auto"/>
          <w:sz w:val="28"/>
          <w:szCs w:val="28"/>
        </w:rPr>
      </w:pPr>
      <w:r>
        <w:rPr>
          <w:rFonts w:hint="eastAsia" w:ascii="宋体" w:hAnsi="宋体" w:eastAsia="宋体" w:cs="宋体"/>
          <w:b/>
          <w:color w:val="auto"/>
          <w:sz w:val="28"/>
          <w:szCs w:val="28"/>
        </w:rPr>
        <w:br w:type="page"/>
      </w:r>
    </w:p>
    <w:p w14:paraId="7CE060E1">
      <w:pPr>
        <w:pStyle w:val="22"/>
        <w:rPr>
          <w:rFonts w:hint="eastAsia"/>
          <w:color w:val="auto"/>
        </w:rPr>
      </w:pPr>
    </w:p>
    <w:p w14:paraId="15984743">
      <w:pPr>
        <w:jc w:val="center"/>
        <w:rPr>
          <w:rFonts w:hint="eastAsia" w:ascii="宋体" w:hAnsi="宋体" w:eastAsia="宋体" w:cs="宋体"/>
          <w:b/>
          <w:color w:val="auto"/>
          <w:kern w:val="0"/>
          <w:sz w:val="32"/>
          <w:szCs w:val="32"/>
        </w:rPr>
      </w:pPr>
      <w:r>
        <w:rPr>
          <w:rFonts w:hint="eastAsia" w:ascii="宋体" w:hAnsi="宋体" w:eastAsia="宋体" w:cs="宋体"/>
          <w:b/>
          <w:color w:val="auto"/>
          <w:kern w:val="0"/>
          <w:sz w:val="32"/>
          <w:szCs w:val="32"/>
        </w:rPr>
        <w:t>附件1</w:t>
      </w:r>
      <w:r>
        <w:rPr>
          <w:rFonts w:hint="eastAsia" w:ascii="宋体" w:hAnsi="宋体" w:cs="宋体"/>
          <w:b/>
          <w:color w:val="auto"/>
          <w:kern w:val="0"/>
          <w:sz w:val="32"/>
          <w:szCs w:val="32"/>
          <w:lang w:val="en-US" w:eastAsia="zh-CN"/>
        </w:rPr>
        <w:t>3</w:t>
      </w:r>
      <w:r>
        <w:rPr>
          <w:rFonts w:hint="eastAsia" w:ascii="宋体" w:hAnsi="宋体" w:eastAsia="宋体" w:cs="宋体"/>
          <w:b/>
          <w:color w:val="auto"/>
          <w:kern w:val="0"/>
          <w:sz w:val="32"/>
          <w:szCs w:val="32"/>
        </w:rPr>
        <w:t>供应商自觉抵制政府采购领域商业贿赂行为承诺书</w:t>
      </w:r>
    </w:p>
    <w:p w14:paraId="695C7041">
      <w:pPr>
        <w:rPr>
          <w:rFonts w:hint="eastAsia" w:ascii="宋体" w:hAnsi="宋体" w:eastAsia="宋体" w:cs="宋体"/>
          <w:color w:val="auto"/>
          <w:spacing w:val="-20"/>
          <w:kern w:val="0"/>
          <w:sz w:val="28"/>
          <w:szCs w:val="28"/>
        </w:rPr>
      </w:pPr>
    </w:p>
    <w:p w14:paraId="2F9ACE73">
      <w:pPr>
        <w:spacing w:line="360" w:lineRule="auto"/>
        <w:rPr>
          <w:rFonts w:hint="eastAsia" w:ascii="宋体" w:hAnsi="宋体" w:eastAsia="宋体" w:cs="宋体"/>
          <w:bCs/>
          <w:color w:val="auto"/>
          <w:sz w:val="24"/>
        </w:rPr>
      </w:pPr>
      <w:r>
        <w:rPr>
          <w:rFonts w:hint="eastAsia" w:ascii="宋体" w:hAnsi="宋体" w:eastAsia="宋体" w:cs="宋体"/>
          <w:bCs/>
          <w:color w:val="auto"/>
          <w:sz w:val="24"/>
        </w:rPr>
        <w:t>致：</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采购代理机构）：</w:t>
      </w:r>
    </w:p>
    <w:p w14:paraId="6511D0BB">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进一步规范政府采购行为，营造公平竞争的政府采购市场环境，维护政府采购制度良好声誉，在参与贵单位组织的采购活动中，我方庄重承诺：</w:t>
      </w:r>
    </w:p>
    <w:p w14:paraId="22329DDD">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一、依法参与采购活动，遵纪守法，诚信经营，公平竞争。</w:t>
      </w:r>
    </w:p>
    <w:p w14:paraId="0D05FD43">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二、不向采购人、</w:t>
      </w:r>
      <w:bookmarkStart w:id="16" w:name="_Hlk60129490"/>
      <w:r>
        <w:rPr>
          <w:rFonts w:hint="eastAsia" w:ascii="宋体" w:hAnsi="宋体" w:eastAsia="宋体" w:cs="宋体"/>
          <w:bCs/>
          <w:color w:val="auto"/>
          <w:sz w:val="24"/>
        </w:rPr>
        <w:t>采购代理机构</w:t>
      </w:r>
      <w:bookmarkEnd w:id="16"/>
      <w:r>
        <w:rPr>
          <w:rFonts w:hint="eastAsia" w:ascii="宋体" w:hAnsi="宋体" w:eastAsia="宋体" w:cs="宋体"/>
          <w:bCs/>
          <w:color w:val="auto"/>
          <w:sz w:val="24"/>
        </w:rPr>
        <w:t>和评审专家提供任何形式的商业贿赂，对索取或接受商业贿赂的单位和个人，及时向财政部门和纪检监察机关举报。</w:t>
      </w:r>
    </w:p>
    <w:p w14:paraId="7B86CE7C">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三、不以提供虚假资质文件等形式参与采购活动，不以虚假材料谋取成交。</w:t>
      </w:r>
    </w:p>
    <w:p w14:paraId="68950728">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四、不采取不正当手段诋毁、排挤其它供应商，与其它参与采购活动的供应商保持良性的竞争关系。</w:t>
      </w:r>
    </w:p>
    <w:p w14:paraId="00C97BFC">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五、不与采购人、采购代理机构和评审专家恶意串通，自觉维护政府采购公平竞争的市场秩序。</w:t>
      </w:r>
    </w:p>
    <w:p w14:paraId="5372C9A7">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六、不与其它供应商串通采取围标、陪标等商业欺诈手段谋取成交，积极维护国家利益、社会公共利益和采购人的合法权益。</w:t>
      </w:r>
    </w:p>
    <w:p w14:paraId="02F120BB">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七、严格履行政府采购合同约定义务，不在政府采购合同执行过程中采取降低质量或标准、减少数量、拖延交付时间等方式损害采购人的利益，并自觉承担违约责任。</w:t>
      </w:r>
    </w:p>
    <w:p w14:paraId="68F75420">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八、自觉接受并积极配合相关监督部门实施的监督检查，如实反映情况，及时提供有关证明材料。</w:t>
      </w:r>
    </w:p>
    <w:p w14:paraId="41CEDC4F">
      <w:pPr>
        <w:spacing w:line="360" w:lineRule="auto"/>
        <w:ind w:firstLine="480" w:firstLineChars="200"/>
        <w:jc w:val="left"/>
        <w:rPr>
          <w:rFonts w:hint="eastAsia" w:ascii="宋体" w:hAnsi="宋体" w:eastAsia="宋体" w:cs="宋体"/>
          <w:bCs/>
          <w:color w:val="auto"/>
          <w:sz w:val="24"/>
        </w:rPr>
      </w:pPr>
    </w:p>
    <w:p w14:paraId="0CBEBD5A">
      <w:pPr>
        <w:spacing w:line="360" w:lineRule="auto"/>
        <w:rPr>
          <w:rFonts w:hint="eastAsia" w:ascii="宋体" w:hAnsi="宋体" w:eastAsia="宋体" w:cs="宋体"/>
          <w:b/>
          <w:color w:val="auto"/>
          <w:sz w:val="24"/>
          <w:u w:val="single"/>
        </w:rPr>
      </w:pPr>
      <w:r>
        <w:rPr>
          <w:rFonts w:hint="eastAsia" w:ascii="宋体" w:hAnsi="宋体" w:eastAsia="宋体" w:cs="宋体"/>
          <w:b/>
          <w:color w:val="auto"/>
          <w:sz w:val="24"/>
        </w:rPr>
        <w:t>供应商代表签字：</w:t>
      </w:r>
    </w:p>
    <w:p w14:paraId="12C188E2">
      <w:pPr>
        <w:spacing w:line="360" w:lineRule="auto"/>
        <w:rPr>
          <w:rFonts w:hint="eastAsia" w:ascii="宋体" w:hAnsi="宋体" w:eastAsia="宋体" w:cs="宋体"/>
          <w:b/>
          <w:color w:val="auto"/>
          <w:sz w:val="24"/>
        </w:rPr>
      </w:pPr>
    </w:p>
    <w:p w14:paraId="4B055B3F">
      <w:pPr>
        <w:spacing w:line="360" w:lineRule="auto"/>
        <w:rPr>
          <w:rFonts w:hint="eastAsia" w:ascii="宋体" w:hAnsi="宋体" w:eastAsia="宋体" w:cs="宋体"/>
          <w:b/>
          <w:color w:val="auto"/>
          <w:sz w:val="24"/>
        </w:rPr>
      </w:pPr>
      <w:r>
        <w:rPr>
          <w:rFonts w:hint="eastAsia" w:ascii="宋体" w:hAnsi="宋体" w:eastAsia="宋体" w:cs="宋体"/>
          <w:b/>
          <w:color w:val="auto"/>
          <w:sz w:val="24"/>
        </w:rPr>
        <w:t>供应商：（全称并加盖公章）</w:t>
      </w:r>
    </w:p>
    <w:p w14:paraId="438FE811">
      <w:pPr>
        <w:spacing w:line="360" w:lineRule="auto"/>
        <w:rPr>
          <w:rFonts w:hint="eastAsia" w:ascii="宋体" w:hAnsi="宋体" w:eastAsia="宋体" w:cs="宋体"/>
          <w:b/>
          <w:color w:val="auto"/>
          <w:sz w:val="24"/>
        </w:rPr>
      </w:pPr>
    </w:p>
    <w:p w14:paraId="7F119FD9">
      <w:pP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                                             年    月    日</w:t>
      </w:r>
    </w:p>
    <w:p w14:paraId="588BD8DC">
      <w:pPr>
        <w:spacing w:line="360" w:lineRule="auto"/>
        <w:jc w:val="center"/>
        <w:rPr>
          <w:rFonts w:hint="eastAsia" w:ascii="宋体" w:hAnsi="宋体" w:eastAsia="宋体" w:cs="宋体"/>
          <w:b/>
          <w:color w:val="auto"/>
          <w:kern w:val="0"/>
          <w:sz w:val="32"/>
          <w:szCs w:val="32"/>
        </w:rPr>
      </w:pPr>
    </w:p>
    <w:p w14:paraId="19DBBA3E">
      <w:pPr>
        <w:jc w:val="center"/>
        <w:rPr>
          <w:rFonts w:hint="eastAsia" w:ascii="宋体" w:hAnsi="宋体" w:eastAsia="宋体" w:cs="宋体"/>
          <w:b/>
          <w:color w:val="auto"/>
          <w:kern w:val="0"/>
          <w:sz w:val="32"/>
          <w:szCs w:val="32"/>
        </w:rPr>
      </w:pPr>
      <w:r>
        <w:rPr>
          <w:rFonts w:hint="eastAsia" w:ascii="宋体" w:hAnsi="宋体" w:eastAsia="宋体" w:cs="宋体"/>
          <w:b/>
          <w:color w:val="auto"/>
          <w:kern w:val="0"/>
          <w:sz w:val="32"/>
          <w:szCs w:val="32"/>
        </w:rPr>
        <w:t>附件1</w:t>
      </w:r>
      <w:r>
        <w:rPr>
          <w:rFonts w:hint="eastAsia" w:ascii="宋体" w:hAnsi="宋体" w:cs="宋体"/>
          <w:b/>
          <w:color w:val="auto"/>
          <w:kern w:val="0"/>
          <w:sz w:val="32"/>
          <w:szCs w:val="32"/>
          <w:lang w:val="en-US" w:eastAsia="zh-CN"/>
        </w:rPr>
        <w:t>4</w:t>
      </w:r>
      <w:r>
        <w:rPr>
          <w:rFonts w:hint="eastAsia" w:ascii="宋体" w:hAnsi="宋体" w:eastAsia="宋体" w:cs="宋体"/>
          <w:b/>
          <w:color w:val="auto"/>
          <w:kern w:val="0"/>
          <w:sz w:val="32"/>
          <w:szCs w:val="32"/>
        </w:rPr>
        <w:t xml:space="preserve">  汝南县政府采购供应商信用承诺函 </w:t>
      </w:r>
    </w:p>
    <w:p w14:paraId="334D6CB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致(采购人或政府采购代理机构)</w:t>
      </w:r>
      <w:r>
        <w:rPr>
          <w:rFonts w:hint="eastAsia" w:ascii="宋体" w:hAnsi="宋体" w:eastAsia="宋体" w:cs="宋体"/>
          <w:bCs/>
          <w:color w:val="auto"/>
          <w:sz w:val="24"/>
          <w:szCs w:val="24"/>
          <w:lang w:eastAsia="zh-CN"/>
        </w:rPr>
        <w:t>：</w:t>
      </w:r>
    </w:p>
    <w:p w14:paraId="4A7898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单位名称(自然人姓名)</w:t>
      </w:r>
      <w:r>
        <w:rPr>
          <w:rFonts w:hint="eastAsia" w:ascii="宋体" w:hAnsi="宋体" w:eastAsia="宋体" w:cs="宋体"/>
          <w:bCs/>
          <w:color w:val="auto"/>
          <w:sz w:val="24"/>
          <w:szCs w:val="24"/>
          <w:lang w:eastAsia="zh-CN"/>
        </w:rPr>
        <w:t>：</w:t>
      </w:r>
    </w:p>
    <w:p w14:paraId="344E5F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统一社会信用代码(身份证号码)</w:t>
      </w:r>
      <w:r>
        <w:rPr>
          <w:rFonts w:hint="eastAsia" w:ascii="宋体" w:hAnsi="宋体" w:eastAsia="宋体" w:cs="宋体"/>
          <w:bCs/>
          <w:color w:val="auto"/>
          <w:sz w:val="24"/>
          <w:szCs w:val="24"/>
          <w:lang w:eastAsia="zh-CN"/>
        </w:rPr>
        <w:t>：</w:t>
      </w:r>
    </w:p>
    <w:p w14:paraId="35447B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法定代表人(负责人)</w:t>
      </w:r>
      <w:r>
        <w:rPr>
          <w:rFonts w:hint="eastAsia" w:ascii="宋体" w:hAnsi="宋体" w:eastAsia="宋体" w:cs="宋体"/>
          <w:bCs/>
          <w:color w:val="auto"/>
          <w:sz w:val="24"/>
          <w:szCs w:val="24"/>
          <w:lang w:eastAsia="zh-CN"/>
        </w:rPr>
        <w:t>：</w:t>
      </w:r>
    </w:p>
    <w:p w14:paraId="4D7773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联系地址和电话</w:t>
      </w:r>
      <w:r>
        <w:rPr>
          <w:rFonts w:hint="eastAsia" w:ascii="宋体" w:hAnsi="宋体" w:eastAsia="宋体" w:cs="宋体"/>
          <w:bCs/>
          <w:color w:val="auto"/>
          <w:sz w:val="24"/>
          <w:szCs w:val="24"/>
          <w:lang w:eastAsia="zh-CN"/>
        </w:rPr>
        <w:t>：</w:t>
      </w:r>
    </w:p>
    <w:p w14:paraId="4047CEF2">
      <w:pPr>
        <w:spacing w:line="360" w:lineRule="auto"/>
        <w:ind w:firstLine="480" w:firstLineChars="200"/>
        <w:rPr>
          <w:rFonts w:hint="eastAsia" w:ascii="宋体" w:hAnsi="宋体" w:eastAsia="宋体" w:cs="宋体"/>
          <w:bCs/>
          <w:color w:val="auto"/>
          <w:sz w:val="24"/>
          <w:lang w:eastAsia="zh-CN"/>
        </w:rPr>
      </w:pPr>
      <w:r>
        <w:rPr>
          <w:rFonts w:hint="eastAsia" w:ascii="宋体" w:hAnsi="宋体" w:eastAsia="宋体" w:cs="宋体"/>
          <w:bCs/>
          <w:color w:val="auto"/>
          <w:sz w:val="24"/>
        </w:rPr>
        <w:t>我单位(本人)自愿参加本次政府采购活动，严格遵守《中华人民共和国政府采购法》及相关法律法规，坚守公开、公平、公正和诚实信用的原则，依法诚信经营，无条件遵守本次政府采购活动的各项规定。我单位(本人)郑重承诺，我单位(本人)符合《中华人民共和国政府采购法》第二十二条规定的条件</w:t>
      </w:r>
      <w:r>
        <w:rPr>
          <w:rFonts w:hint="eastAsia" w:ascii="宋体" w:hAnsi="宋体" w:cs="宋体"/>
          <w:bCs/>
          <w:color w:val="auto"/>
          <w:sz w:val="24"/>
          <w:lang w:eastAsia="zh-CN"/>
        </w:rPr>
        <w:t>：</w:t>
      </w:r>
    </w:p>
    <w:p w14:paraId="0727FE8D">
      <w:pPr>
        <w:spacing w:line="360" w:lineRule="auto"/>
        <w:ind w:firstLine="480" w:firstLineChars="200"/>
        <w:rPr>
          <w:rFonts w:hint="eastAsia" w:ascii="宋体" w:hAnsi="宋体" w:eastAsia="宋体" w:cs="宋体"/>
          <w:bCs/>
          <w:color w:val="auto"/>
          <w:sz w:val="24"/>
          <w:lang w:eastAsia="zh-CN"/>
        </w:rPr>
      </w:pPr>
      <w:r>
        <w:rPr>
          <w:rFonts w:hint="eastAsia" w:ascii="宋体" w:hAnsi="宋体" w:eastAsia="宋体" w:cs="宋体"/>
          <w:bCs/>
          <w:color w:val="auto"/>
          <w:sz w:val="24"/>
        </w:rPr>
        <w:t>(一)具有独立承担民事责任的能力</w:t>
      </w:r>
      <w:r>
        <w:rPr>
          <w:rFonts w:hint="eastAsia" w:ascii="宋体" w:hAnsi="宋体" w:cs="宋体"/>
          <w:bCs/>
          <w:color w:val="auto"/>
          <w:sz w:val="24"/>
          <w:lang w:eastAsia="zh-CN"/>
        </w:rPr>
        <w:t>；</w:t>
      </w:r>
    </w:p>
    <w:p w14:paraId="406FABBE">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(二)具有良好的商业信誉和健全的财务会计制度；</w:t>
      </w:r>
    </w:p>
    <w:p w14:paraId="7E182ACC">
      <w:pPr>
        <w:spacing w:line="360" w:lineRule="auto"/>
        <w:ind w:firstLine="480" w:firstLineChars="200"/>
        <w:rPr>
          <w:rFonts w:hint="eastAsia" w:ascii="宋体" w:hAnsi="宋体" w:eastAsia="宋体" w:cs="宋体"/>
          <w:bCs/>
          <w:color w:val="auto"/>
          <w:sz w:val="24"/>
          <w:lang w:eastAsia="zh-CN"/>
        </w:rPr>
      </w:pPr>
      <w:r>
        <w:rPr>
          <w:rFonts w:hint="eastAsia" w:ascii="宋体" w:hAnsi="宋体" w:eastAsia="宋体" w:cs="宋体"/>
          <w:bCs/>
          <w:color w:val="auto"/>
          <w:sz w:val="24"/>
        </w:rPr>
        <w:t>(三)具有履行合同所必需的设备和专业技术能力</w:t>
      </w:r>
      <w:r>
        <w:rPr>
          <w:rFonts w:hint="eastAsia" w:ascii="宋体" w:hAnsi="宋体" w:cs="宋体"/>
          <w:bCs/>
          <w:color w:val="auto"/>
          <w:sz w:val="24"/>
          <w:lang w:eastAsia="zh-CN"/>
        </w:rPr>
        <w:t>；</w:t>
      </w:r>
    </w:p>
    <w:p w14:paraId="7A4E6022">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(四)有依法缴纳税收和社会保障资金的良好记录；</w:t>
      </w:r>
    </w:p>
    <w:p w14:paraId="1FA34A48">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(五)参加政府采购活动前三年内，在经营活动中没有重大违法记录；</w:t>
      </w:r>
    </w:p>
    <w:p w14:paraId="760408F2">
      <w:pPr>
        <w:spacing w:line="360" w:lineRule="auto"/>
        <w:ind w:firstLine="480" w:firstLineChars="200"/>
        <w:rPr>
          <w:rFonts w:hint="eastAsia" w:ascii="宋体" w:hAnsi="宋体" w:eastAsia="宋体" w:cs="宋体"/>
          <w:bCs/>
          <w:color w:val="auto"/>
          <w:sz w:val="24"/>
          <w:lang w:eastAsia="zh-CN"/>
        </w:rPr>
      </w:pPr>
      <w:r>
        <w:rPr>
          <w:rFonts w:hint="eastAsia" w:ascii="宋体" w:hAnsi="宋体" w:eastAsia="宋体" w:cs="宋体"/>
          <w:bCs/>
          <w:color w:val="auto"/>
          <w:sz w:val="24"/>
        </w:rPr>
        <w:t>(六)未被列入严重失信主体名单、失信被执行人、</w:t>
      </w:r>
      <w:r>
        <w:rPr>
          <w:rFonts w:hint="eastAsia" w:ascii="宋体" w:hAnsi="宋体" w:eastAsia="宋体" w:cs="宋体"/>
          <w:color w:val="auto"/>
          <w:kern w:val="0"/>
          <w:sz w:val="24"/>
        </w:rPr>
        <w:t>税收违法失信主体</w:t>
      </w:r>
      <w:r>
        <w:rPr>
          <w:rFonts w:hint="eastAsia" w:ascii="宋体" w:hAnsi="宋体" w:eastAsia="宋体" w:cs="宋体"/>
          <w:bCs/>
          <w:color w:val="auto"/>
          <w:sz w:val="24"/>
        </w:rPr>
        <w:t>、政府采购严重违法失信行为记录名单，未曾作出虚假承诺</w:t>
      </w:r>
      <w:r>
        <w:rPr>
          <w:rFonts w:hint="eastAsia" w:ascii="宋体" w:hAnsi="宋体" w:cs="宋体"/>
          <w:bCs/>
          <w:color w:val="auto"/>
          <w:sz w:val="24"/>
          <w:lang w:eastAsia="zh-CN"/>
        </w:rPr>
        <w:t>；</w:t>
      </w:r>
    </w:p>
    <w:p w14:paraId="62A8B482">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(七)符合法律、行政法规规定的其他条件。</w:t>
      </w:r>
    </w:p>
    <w:p w14:paraId="223E12E5">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我单位(本人)保证上述承诺事项的真实性，如有弄虚作假或其他违法违规行为，愿意承担一切法律责任，并承担因此所造成的一切损失。</w:t>
      </w:r>
    </w:p>
    <w:p w14:paraId="6967F30F">
      <w:pPr>
        <w:spacing w:line="360" w:lineRule="auto"/>
        <w:ind w:firstLine="480" w:firstLineChars="200"/>
        <w:rPr>
          <w:rFonts w:hint="eastAsia" w:ascii="宋体" w:hAnsi="宋体" w:eastAsia="宋体" w:cs="宋体"/>
          <w:bCs/>
          <w:color w:val="auto"/>
          <w:sz w:val="24"/>
        </w:rPr>
      </w:pPr>
    </w:p>
    <w:p w14:paraId="795891B5">
      <w:pPr>
        <w:spacing w:line="360" w:lineRule="auto"/>
        <w:ind w:firstLine="480" w:firstLineChars="200"/>
        <w:jc w:val="center"/>
        <w:rPr>
          <w:rFonts w:hint="eastAsia" w:ascii="宋体" w:hAnsi="宋体" w:eastAsia="宋体" w:cs="宋体"/>
          <w:bCs/>
          <w:color w:val="auto"/>
          <w:sz w:val="24"/>
          <w:lang w:eastAsia="zh-CN"/>
        </w:rPr>
      </w:pPr>
      <w:r>
        <w:rPr>
          <w:rFonts w:hint="eastAsia" w:ascii="宋体" w:hAnsi="宋体" w:eastAsia="宋体" w:cs="宋体"/>
          <w:bCs/>
          <w:color w:val="auto"/>
          <w:sz w:val="24"/>
        </w:rPr>
        <w:t>供应商名称(盖章)</w:t>
      </w:r>
      <w:r>
        <w:rPr>
          <w:rFonts w:hint="eastAsia" w:ascii="宋体" w:hAnsi="宋体" w:cs="宋体"/>
          <w:bCs/>
          <w:color w:val="auto"/>
          <w:sz w:val="24"/>
          <w:lang w:eastAsia="zh-CN"/>
        </w:rPr>
        <w:t>：</w:t>
      </w:r>
    </w:p>
    <w:p w14:paraId="149C5548">
      <w:pPr>
        <w:spacing w:line="360" w:lineRule="auto"/>
        <w:ind w:firstLine="480" w:firstLineChars="200"/>
        <w:jc w:val="right"/>
        <w:rPr>
          <w:rFonts w:hint="eastAsia" w:ascii="宋体" w:hAnsi="宋体" w:eastAsia="宋体" w:cs="宋体"/>
          <w:bCs/>
          <w:color w:val="auto"/>
          <w:sz w:val="24"/>
          <w:lang w:eastAsia="zh-CN"/>
        </w:rPr>
      </w:pPr>
      <w:r>
        <w:rPr>
          <w:rFonts w:hint="eastAsia" w:ascii="宋体" w:hAnsi="宋体" w:eastAsia="宋体" w:cs="宋体"/>
          <w:bCs/>
          <w:color w:val="auto"/>
          <w:sz w:val="24"/>
        </w:rPr>
        <w:t>法定代表人、负责人、自然人或授权代表(签字)</w:t>
      </w:r>
      <w:r>
        <w:rPr>
          <w:rFonts w:hint="eastAsia" w:ascii="宋体" w:hAnsi="宋体" w:cs="宋体"/>
          <w:bCs/>
          <w:color w:val="auto"/>
          <w:sz w:val="24"/>
          <w:lang w:eastAsia="zh-CN"/>
        </w:rPr>
        <w:t>：</w:t>
      </w:r>
    </w:p>
    <w:p w14:paraId="669A6007">
      <w:pPr>
        <w:spacing w:line="360" w:lineRule="auto"/>
        <w:ind w:firstLine="480" w:firstLineChars="200"/>
        <w:jc w:val="center"/>
        <w:rPr>
          <w:rFonts w:hint="eastAsia" w:ascii="宋体" w:hAnsi="宋体" w:eastAsia="宋体" w:cs="宋体"/>
          <w:bCs/>
          <w:color w:val="auto"/>
          <w:sz w:val="24"/>
          <w:lang w:eastAsia="zh-CN"/>
        </w:rPr>
      </w:pPr>
      <w:r>
        <w:rPr>
          <w:rFonts w:hint="eastAsia" w:ascii="宋体" w:hAnsi="宋体" w:eastAsia="宋体" w:cs="宋体"/>
          <w:bCs/>
          <w:color w:val="auto"/>
          <w:sz w:val="24"/>
        </w:rPr>
        <w:t>日期</w:t>
      </w:r>
      <w:r>
        <w:rPr>
          <w:rFonts w:hint="eastAsia" w:ascii="宋体" w:hAnsi="宋体" w:cs="宋体"/>
          <w:bCs/>
          <w:color w:val="auto"/>
          <w:sz w:val="24"/>
          <w:lang w:eastAsia="zh-CN"/>
        </w:rPr>
        <w:t>：</w:t>
      </w:r>
    </w:p>
    <w:p w14:paraId="58CD9BCE">
      <w:pPr>
        <w:spacing w:line="360" w:lineRule="auto"/>
        <w:ind w:firstLine="480" w:firstLineChars="200"/>
        <w:rPr>
          <w:rFonts w:hint="eastAsia" w:ascii="宋体" w:hAnsi="宋体" w:eastAsia="宋体" w:cs="宋体"/>
          <w:bCs/>
          <w:color w:val="auto"/>
          <w:sz w:val="24"/>
        </w:rPr>
      </w:pPr>
    </w:p>
    <w:p w14:paraId="478300DB">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注:1.供应商须在投标(响应性)文件中按此模板提供承诺函，未提供视为未实质性响应招标文件要求，按无效投标(响应)处理。</w:t>
      </w:r>
    </w:p>
    <w:p w14:paraId="3CC93050">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2.供应商的法定代表人或者授权代表的签字或盖章应真实、有效，如由投权代表签字或盖章的，应提供“法定代表人授权书”。</w:t>
      </w:r>
    </w:p>
    <w:p w14:paraId="7F4551CF">
      <w:pPr>
        <w:pStyle w:val="22"/>
        <w:ind w:firstLine="210"/>
        <w:rPr>
          <w:rFonts w:hint="eastAsia" w:ascii="宋体" w:hAnsi="宋体" w:eastAsia="宋体" w:cs="宋体"/>
          <w:color w:val="auto"/>
        </w:rPr>
      </w:pPr>
    </w:p>
    <w:p w14:paraId="01E4D60E">
      <w:pPr>
        <w:jc w:val="center"/>
        <w:rPr>
          <w:rFonts w:hint="eastAsia" w:ascii="宋体" w:hAnsi="宋体" w:eastAsia="宋体" w:cs="宋体"/>
          <w:b/>
          <w:color w:val="auto"/>
          <w:kern w:val="0"/>
          <w:sz w:val="32"/>
          <w:szCs w:val="32"/>
        </w:rPr>
      </w:pPr>
      <w:r>
        <w:rPr>
          <w:rFonts w:hint="eastAsia" w:ascii="宋体" w:hAnsi="宋体" w:eastAsia="宋体" w:cs="宋体"/>
          <w:b/>
          <w:color w:val="auto"/>
          <w:kern w:val="0"/>
          <w:sz w:val="32"/>
          <w:szCs w:val="32"/>
        </w:rPr>
        <w:t>附件1</w:t>
      </w:r>
      <w:r>
        <w:rPr>
          <w:rFonts w:hint="eastAsia" w:ascii="宋体" w:hAnsi="宋体" w:cs="宋体"/>
          <w:b/>
          <w:color w:val="auto"/>
          <w:kern w:val="0"/>
          <w:sz w:val="32"/>
          <w:szCs w:val="32"/>
          <w:lang w:val="en-US" w:eastAsia="zh-CN"/>
        </w:rPr>
        <w:t>5</w:t>
      </w:r>
      <w:r>
        <w:rPr>
          <w:rFonts w:hint="eastAsia" w:ascii="宋体" w:hAnsi="宋体" w:eastAsia="宋体" w:cs="宋体"/>
          <w:b/>
          <w:color w:val="auto"/>
          <w:kern w:val="0"/>
          <w:sz w:val="32"/>
          <w:szCs w:val="32"/>
        </w:rPr>
        <w:t xml:space="preserve"> 供应商认为需要说明的其它事项</w:t>
      </w:r>
    </w:p>
    <w:p w14:paraId="14B3943A">
      <w:pPr>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（格式自拟，供应商代表签字并加盖公章）</w:t>
      </w:r>
    </w:p>
    <w:p w14:paraId="047A953E">
      <w:pPr>
        <w:jc w:val="center"/>
        <w:rPr>
          <w:rFonts w:hint="eastAsia" w:ascii="宋体" w:hAnsi="宋体" w:eastAsia="宋体" w:cs="宋体"/>
          <w:b/>
          <w:color w:val="auto"/>
          <w:kern w:val="0"/>
          <w:sz w:val="32"/>
          <w:szCs w:val="32"/>
        </w:rPr>
      </w:pPr>
    </w:p>
    <w:p w14:paraId="6632BB05">
      <w:pPr>
        <w:pStyle w:val="22"/>
        <w:ind w:firstLine="321"/>
        <w:rPr>
          <w:rFonts w:hint="eastAsia" w:ascii="宋体" w:hAnsi="宋体" w:eastAsia="宋体" w:cs="宋体"/>
          <w:b/>
          <w:color w:val="auto"/>
          <w:kern w:val="0"/>
          <w:sz w:val="32"/>
          <w:szCs w:val="32"/>
        </w:rPr>
      </w:pPr>
    </w:p>
    <w:p w14:paraId="0669E047">
      <w:pPr>
        <w:rPr>
          <w:rFonts w:hint="eastAsia" w:ascii="宋体" w:hAnsi="宋体" w:eastAsia="宋体" w:cs="宋体"/>
          <w:b/>
          <w:color w:val="auto"/>
          <w:kern w:val="0"/>
          <w:sz w:val="32"/>
          <w:szCs w:val="32"/>
        </w:rPr>
      </w:pPr>
    </w:p>
    <w:p w14:paraId="273C0B73">
      <w:pPr>
        <w:pStyle w:val="22"/>
        <w:ind w:firstLine="321"/>
        <w:rPr>
          <w:rFonts w:hint="eastAsia" w:ascii="宋体" w:hAnsi="宋体" w:eastAsia="宋体" w:cs="宋体"/>
          <w:b/>
          <w:color w:val="auto"/>
          <w:kern w:val="0"/>
          <w:sz w:val="32"/>
          <w:szCs w:val="32"/>
        </w:rPr>
      </w:pPr>
    </w:p>
    <w:p w14:paraId="5E2D8460">
      <w:pPr>
        <w:rPr>
          <w:rFonts w:hint="eastAsia" w:ascii="宋体" w:hAnsi="宋体" w:eastAsia="宋体" w:cs="宋体"/>
          <w:b/>
          <w:color w:val="auto"/>
          <w:kern w:val="0"/>
          <w:sz w:val="32"/>
          <w:szCs w:val="32"/>
        </w:rPr>
      </w:pPr>
    </w:p>
    <w:p w14:paraId="282C93B4">
      <w:pPr>
        <w:pStyle w:val="22"/>
        <w:ind w:firstLine="321"/>
        <w:rPr>
          <w:rFonts w:hint="eastAsia" w:ascii="宋体" w:hAnsi="宋体" w:eastAsia="宋体" w:cs="宋体"/>
          <w:b/>
          <w:color w:val="auto"/>
          <w:kern w:val="0"/>
          <w:sz w:val="32"/>
          <w:szCs w:val="32"/>
        </w:rPr>
      </w:pPr>
    </w:p>
    <w:p w14:paraId="066972A5">
      <w:pPr>
        <w:rPr>
          <w:rFonts w:hint="eastAsia" w:ascii="宋体" w:hAnsi="宋体" w:eastAsia="宋体" w:cs="宋体"/>
          <w:b/>
          <w:color w:val="auto"/>
          <w:kern w:val="0"/>
          <w:sz w:val="32"/>
          <w:szCs w:val="32"/>
        </w:rPr>
      </w:pPr>
    </w:p>
    <w:p w14:paraId="0F3CA5AE">
      <w:pPr>
        <w:pStyle w:val="22"/>
        <w:ind w:firstLine="321"/>
        <w:rPr>
          <w:rFonts w:hint="eastAsia" w:ascii="宋体" w:hAnsi="宋体" w:eastAsia="宋体" w:cs="宋体"/>
          <w:b/>
          <w:color w:val="auto"/>
          <w:kern w:val="0"/>
          <w:sz w:val="32"/>
          <w:szCs w:val="32"/>
        </w:rPr>
      </w:pPr>
    </w:p>
    <w:p w14:paraId="7E1300D7">
      <w:pPr>
        <w:snapToGrid w:val="0"/>
        <w:spacing w:line="460" w:lineRule="exact"/>
        <w:jc w:val="center"/>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 </w:t>
      </w:r>
    </w:p>
    <w:p w14:paraId="6C323B3B">
      <w:pPr>
        <w:snapToGrid w:val="0"/>
        <w:spacing w:line="460" w:lineRule="exact"/>
        <w:jc w:val="center"/>
        <w:rPr>
          <w:rFonts w:hint="eastAsia" w:ascii="宋体" w:hAnsi="宋体" w:eastAsia="宋体" w:cs="宋体"/>
          <w:b/>
          <w:bCs/>
          <w:color w:val="auto"/>
          <w:sz w:val="30"/>
          <w:szCs w:val="30"/>
        </w:rPr>
      </w:pPr>
    </w:p>
    <w:p w14:paraId="7ED12ABA">
      <w:pPr>
        <w:snapToGrid w:val="0"/>
        <w:spacing w:line="460" w:lineRule="exact"/>
        <w:jc w:val="center"/>
        <w:rPr>
          <w:rFonts w:hint="eastAsia" w:ascii="宋体" w:hAnsi="宋体" w:eastAsia="宋体" w:cs="宋体"/>
          <w:b/>
          <w:bCs/>
          <w:color w:val="auto"/>
          <w:sz w:val="30"/>
          <w:szCs w:val="30"/>
        </w:rPr>
      </w:pPr>
    </w:p>
    <w:p w14:paraId="5B974B99">
      <w:pPr>
        <w:snapToGrid w:val="0"/>
        <w:spacing w:line="460" w:lineRule="exact"/>
        <w:jc w:val="center"/>
        <w:rPr>
          <w:rFonts w:hint="eastAsia" w:ascii="宋体" w:hAnsi="宋体" w:eastAsia="宋体" w:cs="宋体"/>
          <w:b/>
          <w:bCs/>
          <w:color w:val="auto"/>
          <w:sz w:val="30"/>
          <w:szCs w:val="30"/>
        </w:rPr>
      </w:pPr>
    </w:p>
    <w:p w14:paraId="28DB828C">
      <w:pPr>
        <w:snapToGrid w:val="0"/>
        <w:spacing w:line="460" w:lineRule="exact"/>
        <w:jc w:val="center"/>
        <w:rPr>
          <w:rFonts w:hint="eastAsia" w:ascii="宋体" w:hAnsi="宋体" w:eastAsia="宋体" w:cs="宋体"/>
          <w:b/>
          <w:bCs/>
          <w:color w:val="auto"/>
          <w:sz w:val="30"/>
          <w:szCs w:val="30"/>
        </w:rPr>
      </w:pPr>
    </w:p>
    <w:p w14:paraId="5A4DC01C">
      <w:pPr>
        <w:snapToGrid w:val="0"/>
        <w:spacing w:line="460" w:lineRule="exact"/>
        <w:jc w:val="center"/>
        <w:rPr>
          <w:rFonts w:hint="eastAsia" w:ascii="宋体" w:hAnsi="宋体" w:eastAsia="宋体" w:cs="宋体"/>
          <w:b/>
          <w:bCs/>
          <w:color w:val="auto"/>
          <w:sz w:val="30"/>
          <w:szCs w:val="30"/>
        </w:rPr>
      </w:pPr>
    </w:p>
    <w:p w14:paraId="33043036">
      <w:pPr>
        <w:snapToGrid w:val="0"/>
        <w:spacing w:line="460" w:lineRule="exact"/>
        <w:jc w:val="center"/>
        <w:rPr>
          <w:rFonts w:hint="eastAsia" w:ascii="宋体" w:hAnsi="宋体" w:eastAsia="宋体" w:cs="宋体"/>
          <w:b/>
          <w:bCs/>
          <w:color w:val="auto"/>
          <w:sz w:val="30"/>
          <w:szCs w:val="30"/>
        </w:rPr>
      </w:pPr>
    </w:p>
    <w:p w14:paraId="4A68EB57">
      <w:pPr>
        <w:snapToGrid w:val="0"/>
        <w:spacing w:line="460" w:lineRule="exact"/>
        <w:jc w:val="center"/>
        <w:rPr>
          <w:rFonts w:hint="eastAsia" w:ascii="宋体" w:hAnsi="宋体" w:eastAsia="宋体" w:cs="宋体"/>
          <w:b/>
          <w:bCs/>
          <w:color w:val="auto"/>
          <w:sz w:val="30"/>
          <w:szCs w:val="30"/>
        </w:rPr>
      </w:pPr>
    </w:p>
    <w:p w14:paraId="0CDCAE32">
      <w:pPr>
        <w:snapToGrid w:val="0"/>
        <w:spacing w:line="460" w:lineRule="exact"/>
        <w:jc w:val="center"/>
        <w:rPr>
          <w:rFonts w:hint="eastAsia" w:ascii="宋体" w:hAnsi="宋体" w:eastAsia="宋体" w:cs="宋体"/>
          <w:b/>
          <w:bCs/>
          <w:color w:val="auto"/>
          <w:sz w:val="30"/>
          <w:szCs w:val="30"/>
        </w:rPr>
      </w:pPr>
    </w:p>
    <w:p w14:paraId="3096AAEA">
      <w:pPr>
        <w:snapToGrid w:val="0"/>
        <w:spacing w:line="460" w:lineRule="exact"/>
        <w:jc w:val="center"/>
        <w:rPr>
          <w:rFonts w:hint="eastAsia" w:ascii="宋体" w:hAnsi="宋体" w:eastAsia="宋体" w:cs="宋体"/>
          <w:b/>
          <w:bCs/>
          <w:color w:val="auto"/>
          <w:sz w:val="30"/>
          <w:szCs w:val="30"/>
        </w:rPr>
      </w:pPr>
    </w:p>
    <w:p w14:paraId="5B9144EE">
      <w:pPr>
        <w:snapToGrid w:val="0"/>
        <w:spacing w:line="460" w:lineRule="exact"/>
        <w:jc w:val="center"/>
        <w:rPr>
          <w:rFonts w:hint="eastAsia" w:ascii="宋体" w:hAnsi="宋体" w:eastAsia="宋体" w:cs="宋体"/>
          <w:b/>
          <w:bCs/>
          <w:color w:val="auto"/>
          <w:sz w:val="30"/>
          <w:szCs w:val="30"/>
        </w:rPr>
      </w:pPr>
    </w:p>
    <w:p w14:paraId="64C8CA80">
      <w:pPr>
        <w:snapToGrid w:val="0"/>
        <w:spacing w:line="460" w:lineRule="exact"/>
        <w:jc w:val="center"/>
        <w:rPr>
          <w:rFonts w:hint="eastAsia" w:ascii="宋体" w:hAnsi="宋体" w:eastAsia="宋体" w:cs="宋体"/>
          <w:b/>
          <w:bCs/>
          <w:color w:val="auto"/>
          <w:sz w:val="30"/>
          <w:szCs w:val="30"/>
        </w:rPr>
      </w:pPr>
    </w:p>
    <w:p w14:paraId="78CA5CB9">
      <w:pPr>
        <w:snapToGrid w:val="0"/>
        <w:spacing w:line="460" w:lineRule="exact"/>
        <w:jc w:val="center"/>
        <w:rPr>
          <w:rFonts w:hint="eastAsia" w:ascii="宋体" w:hAnsi="宋体" w:eastAsia="宋体" w:cs="宋体"/>
          <w:b/>
          <w:bCs/>
          <w:color w:val="auto"/>
          <w:sz w:val="30"/>
          <w:szCs w:val="30"/>
        </w:rPr>
      </w:pPr>
    </w:p>
    <w:p w14:paraId="4A4D9E11">
      <w:pPr>
        <w:snapToGrid w:val="0"/>
        <w:spacing w:line="460" w:lineRule="exact"/>
        <w:jc w:val="center"/>
        <w:rPr>
          <w:rFonts w:hint="eastAsia" w:ascii="宋体" w:hAnsi="宋体" w:eastAsia="宋体" w:cs="宋体"/>
          <w:b/>
          <w:bCs/>
          <w:color w:val="auto"/>
          <w:sz w:val="30"/>
          <w:szCs w:val="30"/>
        </w:rPr>
      </w:pPr>
    </w:p>
    <w:p w14:paraId="027A65DA">
      <w:pPr>
        <w:snapToGrid w:val="0"/>
        <w:spacing w:line="460" w:lineRule="exact"/>
        <w:jc w:val="center"/>
        <w:rPr>
          <w:rFonts w:hint="eastAsia" w:ascii="宋体" w:hAnsi="宋体" w:eastAsia="宋体" w:cs="宋体"/>
          <w:b/>
          <w:bCs/>
          <w:color w:val="auto"/>
          <w:sz w:val="30"/>
          <w:szCs w:val="30"/>
        </w:rPr>
      </w:pPr>
    </w:p>
    <w:p w14:paraId="7FFB2A20">
      <w:pPr>
        <w:snapToGrid w:val="0"/>
        <w:spacing w:line="460" w:lineRule="exact"/>
        <w:jc w:val="center"/>
        <w:rPr>
          <w:rFonts w:hint="eastAsia" w:ascii="宋体" w:hAnsi="宋体" w:eastAsia="宋体" w:cs="宋体"/>
          <w:b/>
          <w:bCs/>
          <w:color w:val="auto"/>
          <w:sz w:val="30"/>
          <w:szCs w:val="30"/>
        </w:rPr>
      </w:pPr>
    </w:p>
    <w:p w14:paraId="1B7D1A18">
      <w:pPr>
        <w:snapToGrid w:val="0"/>
        <w:spacing w:line="460" w:lineRule="exact"/>
        <w:jc w:val="center"/>
        <w:rPr>
          <w:rFonts w:hint="eastAsia" w:ascii="宋体" w:hAnsi="宋体" w:eastAsia="宋体" w:cs="宋体"/>
          <w:b/>
          <w:color w:val="auto"/>
          <w:sz w:val="30"/>
          <w:szCs w:val="30"/>
        </w:rPr>
      </w:pPr>
      <w:r>
        <w:rPr>
          <w:rFonts w:hint="eastAsia" w:ascii="宋体" w:hAnsi="宋体" w:eastAsia="宋体" w:cs="宋体"/>
          <w:b/>
          <w:color w:val="auto"/>
          <w:kern w:val="0"/>
          <w:sz w:val="28"/>
          <w:szCs w:val="28"/>
        </w:rPr>
        <w:t xml:space="preserve"> </w:t>
      </w:r>
      <w:r>
        <w:rPr>
          <w:rFonts w:hint="eastAsia" w:ascii="宋体" w:hAnsi="宋体" w:eastAsia="宋体" w:cs="宋体"/>
          <w:b/>
          <w:color w:val="auto"/>
          <w:sz w:val="30"/>
          <w:szCs w:val="30"/>
        </w:rPr>
        <w:t>联合体协议书（</w:t>
      </w:r>
      <w:r>
        <w:rPr>
          <w:rFonts w:hint="eastAsia" w:ascii="宋体" w:hAnsi="宋体" w:eastAsia="宋体" w:cs="宋体"/>
          <w:b/>
          <w:color w:val="auto"/>
          <w:kern w:val="0"/>
          <w:sz w:val="28"/>
          <w:szCs w:val="28"/>
        </w:rPr>
        <w:t>只需符合条件的供应商提供</w:t>
      </w:r>
      <w:r>
        <w:rPr>
          <w:rFonts w:hint="eastAsia" w:ascii="宋体" w:hAnsi="宋体" w:eastAsia="宋体" w:cs="宋体"/>
          <w:b/>
          <w:color w:val="auto"/>
          <w:sz w:val="30"/>
          <w:szCs w:val="30"/>
        </w:rPr>
        <w:t>）</w:t>
      </w:r>
    </w:p>
    <w:p w14:paraId="4C206AF3">
      <w:pPr>
        <w:widowControl/>
        <w:spacing w:line="360" w:lineRule="auto"/>
        <w:ind w:left="480" w:hanging="480" w:hangingChars="200"/>
        <w:jc w:val="left"/>
        <w:rPr>
          <w:rFonts w:hint="eastAsia" w:ascii="宋体" w:hAnsi="宋体" w:eastAsia="宋体" w:cs="宋体"/>
          <w:color w:val="auto"/>
          <w:kern w:val="0"/>
          <w:sz w:val="24"/>
          <w:u w:val="single"/>
        </w:rPr>
      </w:pPr>
      <w:r>
        <w:rPr>
          <w:rFonts w:hint="eastAsia" w:ascii="宋体" w:hAnsi="宋体" w:eastAsia="宋体" w:cs="宋体"/>
          <w:color w:val="auto"/>
          <w:kern w:val="0"/>
          <w:sz w:val="24"/>
        </w:rPr>
        <w:t>甲方：</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法定代表人：</w:t>
      </w:r>
      <w:r>
        <w:rPr>
          <w:rFonts w:hint="eastAsia" w:ascii="宋体" w:hAnsi="宋体" w:eastAsia="宋体" w:cs="宋体"/>
          <w:color w:val="auto"/>
          <w:kern w:val="0"/>
          <w:sz w:val="24"/>
          <w:u w:val="single"/>
        </w:rPr>
        <w:t xml:space="preserve">                </w:t>
      </w:r>
    </w:p>
    <w:p w14:paraId="5D685DCB">
      <w:pPr>
        <w:widowControl/>
        <w:spacing w:line="360" w:lineRule="auto"/>
        <w:ind w:left="480" w:hanging="480" w:hangingChars="200"/>
        <w:jc w:val="left"/>
        <w:rPr>
          <w:rFonts w:hint="eastAsia" w:ascii="宋体" w:hAnsi="宋体" w:eastAsia="宋体" w:cs="宋体"/>
          <w:color w:val="auto"/>
          <w:kern w:val="0"/>
          <w:sz w:val="24"/>
          <w:u w:val="single"/>
        </w:rPr>
      </w:pPr>
      <w:r>
        <w:rPr>
          <w:rFonts w:hint="eastAsia" w:ascii="宋体" w:hAnsi="宋体" w:eastAsia="宋体" w:cs="宋体"/>
          <w:color w:val="auto"/>
          <w:kern w:val="0"/>
          <w:sz w:val="24"/>
        </w:rPr>
        <w:t>地址：</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电话：</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邮编：</w:t>
      </w:r>
      <w:r>
        <w:rPr>
          <w:rFonts w:hint="eastAsia" w:ascii="宋体" w:hAnsi="宋体" w:eastAsia="宋体" w:cs="宋体"/>
          <w:color w:val="auto"/>
          <w:kern w:val="0"/>
          <w:sz w:val="24"/>
          <w:u w:val="single"/>
        </w:rPr>
        <w:t xml:space="preserve">          </w:t>
      </w:r>
    </w:p>
    <w:p w14:paraId="5B3B6779">
      <w:pPr>
        <w:widowControl/>
        <w:spacing w:line="360" w:lineRule="auto"/>
        <w:ind w:left="480" w:hanging="480" w:hangingChars="200"/>
        <w:jc w:val="left"/>
        <w:rPr>
          <w:rFonts w:hint="eastAsia" w:ascii="宋体" w:hAnsi="宋体" w:eastAsia="宋体" w:cs="宋体"/>
          <w:color w:val="auto"/>
          <w:kern w:val="0"/>
          <w:sz w:val="24"/>
          <w:u w:val="single"/>
        </w:rPr>
      </w:pPr>
      <w:r>
        <w:rPr>
          <w:rFonts w:hint="eastAsia" w:ascii="宋体" w:hAnsi="宋体" w:eastAsia="宋体" w:cs="宋体"/>
          <w:color w:val="auto"/>
          <w:kern w:val="0"/>
          <w:sz w:val="24"/>
        </w:rPr>
        <w:t>乙方：</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法定代表人：</w:t>
      </w:r>
      <w:r>
        <w:rPr>
          <w:rFonts w:hint="eastAsia" w:ascii="宋体" w:hAnsi="宋体" w:eastAsia="宋体" w:cs="宋体"/>
          <w:color w:val="auto"/>
          <w:kern w:val="0"/>
          <w:sz w:val="24"/>
          <w:u w:val="single"/>
        </w:rPr>
        <w:t xml:space="preserve">                </w:t>
      </w:r>
    </w:p>
    <w:p w14:paraId="58B757F1">
      <w:pPr>
        <w:widowControl/>
        <w:spacing w:line="360" w:lineRule="auto"/>
        <w:ind w:left="480" w:hanging="480" w:hangingChars="200"/>
        <w:jc w:val="left"/>
        <w:rPr>
          <w:rFonts w:hint="eastAsia" w:ascii="宋体" w:hAnsi="宋体" w:eastAsia="宋体" w:cs="宋体"/>
          <w:color w:val="auto"/>
          <w:kern w:val="0"/>
          <w:sz w:val="24"/>
          <w:u w:val="single"/>
        </w:rPr>
      </w:pPr>
      <w:r>
        <w:rPr>
          <w:rFonts w:hint="eastAsia" w:ascii="宋体" w:hAnsi="宋体" w:eastAsia="宋体" w:cs="宋体"/>
          <w:color w:val="auto"/>
          <w:kern w:val="0"/>
          <w:sz w:val="24"/>
        </w:rPr>
        <w:t>地址：</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电话：</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邮编：</w:t>
      </w:r>
      <w:r>
        <w:rPr>
          <w:rFonts w:hint="eastAsia" w:ascii="宋体" w:hAnsi="宋体" w:eastAsia="宋体" w:cs="宋体"/>
          <w:color w:val="auto"/>
          <w:kern w:val="0"/>
          <w:sz w:val="24"/>
          <w:u w:val="single"/>
        </w:rPr>
        <w:t xml:space="preserve">          </w:t>
      </w:r>
    </w:p>
    <w:p w14:paraId="2CF4E867">
      <w:pPr>
        <w:widowControl/>
        <w:spacing w:line="360" w:lineRule="auto"/>
        <w:ind w:left="480" w:hanging="480" w:hangingChars="200"/>
        <w:jc w:val="left"/>
        <w:rPr>
          <w:rFonts w:hint="eastAsia" w:ascii="宋体" w:hAnsi="宋体" w:eastAsia="宋体" w:cs="宋体"/>
          <w:color w:val="auto"/>
          <w:kern w:val="0"/>
          <w:sz w:val="24"/>
          <w:u w:val="single"/>
        </w:rPr>
      </w:pPr>
      <w:r>
        <w:rPr>
          <w:rFonts w:hint="eastAsia" w:ascii="宋体" w:hAnsi="宋体" w:eastAsia="宋体" w:cs="宋体"/>
          <w:color w:val="auto"/>
          <w:kern w:val="0"/>
          <w:sz w:val="24"/>
        </w:rPr>
        <w:t>丙方：</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法定代表人：</w:t>
      </w:r>
      <w:r>
        <w:rPr>
          <w:rFonts w:hint="eastAsia" w:ascii="宋体" w:hAnsi="宋体" w:eastAsia="宋体" w:cs="宋体"/>
          <w:color w:val="auto"/>
          <w:kern w:val="0"/>
          <w:sz w:val="24"/>
          <w:u w:val="single"/>
        </w:rPr>
        <w:t xml:space="preserve">                </w:t>
      </w:r>
    </w:p>
    <w:p w14:paraId="14BA7374">
      <w:pPr>
        <w:widowControl/>
        <w:spacing w:line="360" w:lineRule="auto"/>
        <w:ind w:left="480" w:hanging="480" w:hangingChars="200"/>
        <w:jc w:val="left"/>
        <w:rPr>
          <w:rFonts w:hint="eastAsia" w:ascii="宋体" w:hAnsi="宋体" w:eastAsia="宋体" w:cs="宋体"/>
          <w:color w:val="auto"/>
          <w:kern w:val="0"/>
          <w:sz w:val="24"/>
          <w:u w:val="single"/>
        </w:rPr>
      </w:pPr>
      <w:r>
        <w:rPr>
          <w:rFonts w:hint="eastAsia" w:ascii="宋体" w:hAnsi="宋体" w:eastAsia="宋体" w:cs="宋体"/>
          <w:color w:val="auto"/>
          <w:kern w:val="0"/>
          <w:sz w:val="24"/>
        </w:rPr>
        <w:t>地址：</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电话：</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邮编：</w:t>
      </w:r>
      <w:r>
        <w:rPr>
          <w:rFonts w:hint="eastAsia" w:ascii="宋体" w:hAnsi="宋体" w:eastAsia="宋体" w:cs="宋体"/>
          <w:color w:val="auto"/>
          <w:kern w:val="0"/>
          <w:sz w:val="24"/>
          <w:u w:val="single"/>
        </w:rPr>
        <w:t xml:space="preserve">          </w:t>
      </w:r>
    </w:p>
    <w:p w14:paraId="3E4D8017">
      <w:pPr>
        <w:widowControl/>
        <w:spacing w:line="360" w:lineRule="auto"/>
        <w:ind w:left="480" w:hanging="480" w:hangingChars="200"/>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  缔约方依据《政府采购法》规定，按照采购文件（项目编号：     ）的要</w:t>
      </w:r>
    </w:p>
    <w:p w14:paraId="54148E05">
      <w:pPr>
        <w:widowControl/>
        <w:spacing w:line="360" w:lineRule="auto"/>
        <w:ind w:left="480" w:hanging="480" w:hangingChars="200"/>
        <w:jc w:val="left"/>
        <w:rPr>
          <w:rFonts w:hint="eastAsia" w:ascii="宋体" w:hAnsi="宋体" w:eastAsia="宋体" w:cs="宋体"/>
          <w:color w:val="auto"/>
          <w:kern w:val="0"/>
          <w:sz w:val="24"/>
        </w:rPr>
      </w:pPr>
      <w:r>
        <w:rPr>
          <w:rFonts w:hint="eastAsia" w:ascii="宋体" w:hAnsi="宋体" w:eastAsia="宋体" w:cs="宋体"/>
          <w:color w:val="auto"/>
          <w:kern w:val="0"/>
          <w:sz w:val="24"/>
        </w:rPr>
        <w:t>求，本着互利互惠、利益共享、风险共担的原则，经协商达成一致，就联合体投</w:t>
      </w:r>
    </w:p>
    <w:p w14:paraId="7DC59780">
      <w:pPr>
        <w:widowControl/>
        <w:spacing w:line="360" w:lineRule="auto"/>
        <w:ind w:left="480" w:hanging="480" w:hangingChars="200"/>
        <w:jc w:val="left"/>
        <w:rPr>
          <w:rFonts w:hint="eastAsia" w:ascii="宋体" w:hAnsi="宋体" w:eastAsia="宋体" w:cs="宋体"/>
          <w:color w:val="auto"/>
          <w:kern w:val="0"/>
          <w:sz w:val="24"/>
        </w:rPr>
      </w:pPr>
      <w:r>
        <w:rPr>
          <w:rFonts w:hint="eastAsia" w:ascii="宋体" w:hAnsi="宋体" w:eastAsia="宋体" w:cs="宋体"/>
          <w:color w:val="auto"/>
          <w:kern w:val="0"/>
          <w:sz w:val="24"/>
        </w:rPr>
        <w:t>标事宜签订本协议。</w:t>
      </w:r>
    </w:p>
    <w:p w14:paraId="37035837">
      <w:pPr>
        <w:widowControl/>
        <w:spacing w:line="360" w:lineRule="auto"/>
        <w:ind w:left="480" w:hanging="480" w:hangingChars="200"/>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    1.缔约方自愿组成</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项目投标联合体。</w:t>
      </w:r>
    </w:p>
    <w:p w14:paraId="21785848">
      <w:pPr>
        <w:widowControl/>
        <w:spacing w:line="360" w:lineRule="auto"/>
        <w:ind w:left="479" w:leftChars="228" w:firstLine="0" w:firstLineChars="0"/>
        <w:jc w:val="left"/>
        <w:rPr>
          <w:rFonts w:hint="eastAsia" w:ascii="宋体" w:hAnsi="宋体" w:eastAsia="宋体" w:cs="宋体"/>
          <w:color w:val="auto"/>
          <w:kern w:val="0"/>
          <w:sz w:val="24"/>
        </w:rPr>
      </w:pPr>
      <w:r>
        <w:rPr>
          <w:rFonts w:hint="eastAsia" w:ascii="宋体" w:hAnsi="宋体" w:eastAsia="宋体" w:cs="宋体"/>
          <w:color w:val="auto"/>
          <w:kern w:val="0"/>
          <w:sz w:val="24"/>
        </w:rPr>
        <w:t>2.缔约方基本情况：</w:t>
      </w:r>
    </w:p>
    <w:p w14:paraId="6289852E">
      <w:pPr>
        <w:widowControl/>
        <w:spacing w:line="360" w:lineRule="auto"/>
        <w:ind w:left="479" w:leftChars="228" w:firstLine="0" w:firstLineChars="0"/>
        <w:jc w:val="left"/>
        <w:rPr>
          <w:rFonts w:hint="eastAsia" w:ascii="宋体" w:hAnsi="宋体" w:eastAsia="宋体" w:cs="宋体"/>
          <w:color w:val="auto"/>
          <w:kern w:val="0"/>
          <w:sz w:val="24"/>
        </w:rPr>
      </w:pPr>
      <w:r>
        <w:rPr>
          <w:rFonts w:hint="eastAsia" w:ascii="宋体" w:hAnsi="宋体" w:eastAsia="宋体" w:cs="宋体"/>
          <w:color w:val="auto"/>
          <w:kern w:val="0"/>
          <w:sz w:val="24"/>
        </w:rPr>
        <w:t>2.1甲方：</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，注册资本：</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元，属于</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（大、中、小、微）</w:t>
      </w:r>
    </w:p>
    <w:p w14:paraId="1E292A8B">
      <w:pPr>
        <w:widowControl/>
        <w:spacing w:line="360" w:lineRule="auto"/>
        <w:ind w:left="480" w:hanging="480" w:hangingChars="200"/>
        <w:jc w:val="left"/>
        <w:rPr>
          <w:rFonts w:hint="eastAsia" w:ascii="宋体" w:hAnsi="宋体" w:eastAsia="宋体" w:cs="宋体"/>
          <w:color w:val="auto"/>
          <w:kern w:val="0"/>
          <w:sz w:val="24"/>
        </w:rPr>
      </w:pPr>
      <w:r>
        <w:rPr>
          <w:rFonts w:hint="eastAsia" w:ascii="宋体" w:hAnsi="宋体" w:eastAsia="宋体" w:cs="宋体"/>
          <w:color w:val="auto"/>
          <w:kern w:val="0"/>
          <w:sz w:val="24"/>
        </w:rPr>
        <w:t>型企业，主要生产/经营：</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，具有</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资质等</w:t>
      </w:r>
    </w:p>
    <w:p w14:paraId="20B3B6C3">
      <w:pPr>
        <w:widowControl/>
        <w:shd w:val="clear" w:color="auto" w:fill="FFFFFF"/>
        <w:spacing w:line="360" w:lineRule="auto"/>
        <w:ind w:left="480" w:hanging="480"/>
        <w:jc w:val="left"/>
        <w:rPr>
          <w:rFonts w:hint="eastAsia" w:ascii="宋体" w:hAnsi="宋体" w:eastAsia="宋体" w:cs="宋体"/>
          <w:color w:val="auto"/>
          <w:kern w:val="0"/>
          <w:sz w:val="24"/>
        </w:rPr>
      </w:pPr>
      <w:r>
        <w:rPr>
          <w:rFonts w:hint="eastAsia" w:ascii="宋体" w:hAnsi="宋体" w:eastAsia="宋体" w:cs="宋体"/>
          <w:color w:val="auto"/>
          <w:kern w:val="0"/>
          <w:sz w:val="24"/>
        </w:rPr>
        <w:t>级</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级，参与过</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等项目的建设。</w:t>
      </w:r>
    </w:p>
    <w:p w14:paraId="0DBBBCA6">
      <w:pPr>
        <w:widowControl/>
        <w:spacing w:line="360" w:lineRule="auto"/>
        <w:ind w:left="480" w:hanging="480" w:hangingChars="200"/>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    2.2 乙方：</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，注册资本：</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元，属于</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（大、中、小、微）</w:t>
      </w:r>
    </w:p>
    <w:p w14:paraId="227DDD1D">
      <w:pPr>
        <w:widowControl/>
        <w:spacing w:line="360" w:lineRule="auto"/>
        <w:ind w:left="480" w:hanging="480" w:hangingChars="200"/>
        <w:jc w:val="left"/>
        <w:rPr>
          <w:rFonts w:hint="eastAsia" w:ascii="宋体" w:hAnsi="宋体" w:eastAsia="宋体" w:cs="宋体"/>
          <w:color w:val="auto"/>
          <w:kern w:val="0"/>
          <w:sz w:val="24"/>
        </w:rPr>
      </w:pPr>
      <w:r>
        <w:rPr>
          <w:rFonts w:hint="eastAsia" w:ascii="宋体" w:hAnsi="宋体" w:eastAsia="宋体" w:cs="宋体"/>
          <w:color w:val="auto"/>
          <w:kern w:val="0"/>
          <w:sz w:val="24"/>
        </w:rPr>
        <w:t>型企业，主要生产/经营：</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，具有</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资质等</w:t>
      </w:r>
    </w:p>
    <w:p w14:paraId="54364625">
      <w:pPr>
        <w:widowControl/>
        <w:spacing w:line="360" w:lineRule="auto"/>
        <w:ind w:left="480" w:hanging="480" w:hangingChars="200"/>
        <w:jc w:val="left"/>
        <w:rPr>
          <w:rFonts w:hint="eastAsia" w:ascii="宋体" w:hAnsi="宋体" w:eastAsia="宋体" w:cs="宋体"/>
          <w:color w:val="auto"/>
          <w:kern w:val="0"/>
          <w:sz w:val="24"/>
        </w:rPr>
      </w:pPr>
      <w:r>
        <w:rPr>
          <w:rFonts w:hint="eastAsia" w:ascii="宋体" w:hAnsi="宋体" w:eastAsia="宋体" w:cs="宋体"/>
          <w:color w:val="auto"/>
          <w:kern w:val="0"/>
          <w:sz w:val="24"/>
        </w:rPr>
        <w:t>级</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级，参与过</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等项目的建设。</w:t>
      </w:r>
    </w:p>
    <w:p w14:paraId="1E65FDD0">
      <w:pPr>
        <w:widowControl/>
        <w:spacing w:line="360" w:lineRule="auto"/>
        <w:ind w:left="479" w:leftChars="228" w:firstLine="0" w:firstLineChars="0"/>
        <w:jc w:val="left"/>
        <w:rPr>
          <w:rFonts w:hint="eastAsia" w:ascii="宋体" w:hAnsi="宋体" w:eastAsia="宋体" w:cs="宋体"/>
          <w:color w:val="auto"/>
          <w:kern w:val="0"/>
          <w:sz w:val="24"/>
        </w:rPr>
      </w:pPr>
      <w:r>
        <w:rPr>
          <w:rFonts w:hint="eastAsia" w:ascii="宋体" w:hAnsi="宋体" w:eastAsia="宋体" w:cs="宋体"/>
          <w:color w:val="auto"/>
          <w:kern w:val="0"/>
          <w:sz w:val="24"/>
        </w:rPr>
        <w:t>2.3 丙方：</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，注册资本：</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元，属于</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（大、中、小、微）</w:t>
      </w:r>
    </w:p>
    <w:p w14:paraId="1875F867">
      <w:pPr>
        <w:widowControl/>
        <w:spacing w:line="360" w:lineRule="auto"/>
        <w:ind w:left="480" w:hanging="480" w:hangingChars="200"/>
        <w:jc w:val="left"/>
        <w:rPr>
          <w:rFonts w:hint="eastAsia" w:ascii="宋体" w:hAnsi="宋体" w:eastAsia="宋体" w:cs="宋体"/>
          <w:color w:val="auto"/>
          <w:kern w:val="0"/>
          <w:sz w:val="24"/>
        </w:rPr>
      </w:pPr>
      <w:r>
        <w:rPr>
          <w:rFonts w:hint="eastAsia" w:ascii="宋体" w:hAnsi="宋体" w:eastAsia="宋体" w:cs="宋体"/>
          <w:color w:val="auto"/>
          <w:kern w:val="0"/>
          <w:sz w:val="24"/>
        </w:rPr>
        <w:t>型企业，主要生产/经营：</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，具有</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资质等</w:t>
      </w:r>
    </w:p>
    <w:p w14:paraId="358D3201">
      <w:pPr>
        <w:widowControl/>
        <w:shd w:val="clear" w:color="auto" w:fill="FFFFFF"/>
        <w:spacing w:line="360" w:lineRule="auto"/>
        <w:ind w:left="480" w:hanging="480"/>
        <w:jc w:val="left"/>
        <w:rPr>
          <w:rFonts w:hint="eastAsia" w:ascii="宋体" w:hAnsi="宋体" w:eastAsia="宋体" w:cs="宋体"/>
          <w:color w:val="auto"/>
          <w:kern w:val="0"/>
          <w:sz w:val="24"/>
        </w:rPr>
      </w:pPr>
      <w:r>
        <w:rPr>
          <w:rFonts w:hint="eastAsia" w:ascii="宋体" w:hAnsi="宋体" w:eastAsia="宋体" w:cs="宋体"/>
          <w:color w:val="auto"/>
          <w:kern w:val="0"/>
          <w:sz w:val="24"/>
        </w:rPr>
        <w:t>级</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级，参与过</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等项目的建设。</w:t>
      </w:r>
    </w:p>
    <w:p w14:paraId="2446C1EF">
      <w:pPr>
        <w:widowControl/>
        <w:shd w:val="clear" w:color="auto" w:fill="FFFFFF"/>
        <w:spacing w:line="360" w:lineRule="auto"/>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3.甲方（乙方或丙方）为本联合体牵头人。</w:t>
      </w:r>
    </w:p>
    <w:p w14:paraId="2784BCF1">
      <w:pPr>
        <w:widowControl/>
        <w:shd w:val="clear" w:color="auto" w:fill="FFFFFF"/>
        <w:spacing w:line="360" w:lineRule="auto"/>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    4.联合体牵头人代表联合体各成员负责本采购项目投标文件编制和合同磋商活动，并代表联合体提交和接受相关的资料、信息及指示，并处理与之有关的一切事务，负责合同实施阶段的主持、组织和协调工作。</w:t>
      </w:r>
    </w:p>
    <w:p w14:paraId="6EE32BB7">
      <w:pPr>
        <w:widowControl/>
        <w:shd w:val="clear" w:color="auto" w:fill="FFFFFF"/>
        <w:spacing w:line="360" w:lineRule="auto"/>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    5.联合体各成员职责分工：</w:t>
      </w:r>
    </w:p>
    <w:p w14:paraId="7665F78E">
      <w:pPr>
        <w:widowControl/>
        <w:shd w:val="clear" w:color="auto" w:fill="FFFFFF"/>
        <w:spacing w:line="360" w:lineRule="auto"/>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    5.1 甲方承担该项目的</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工作，完成合同金额占联合体协议合同总金额</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%，其所发生的一切费用由甲方承担。</w:t>
      </w:r>
    </w:p>
    <w:p w14:paraId="2462BCB1">
      <w:pPr>
        <w:widowControl/>
        <w:shd w:val="clear" w:color="auto" w:fill="FFFFFF"/>
        <w:spacing w:line="360" w:lineRule="auto"/>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    5.2 乙方承担该项目的</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工作，完成合同金额占联合体协议合同总金额</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%，其所发生的一切费用由甲方承担。</w:t>
      </w:r>
    </w:p>
    <w:p w14:paraId="7DDD2B4B">
      <w:pPr>
        <w:widowControl/>
        <w:shd w:val="clear" w:color="auto" w:fill="FFFFFF"/>
        <w:spacing w:line="360" w:lineRule="auto"/>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    5.3 丙方承担该项目的</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工作，完成合同金额占联合体协议合同总金额</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%，其所发生的一切费用由甲方承担。</w:t>
      </w:r>
    </w:p>
    <w:p w14:paraId="27C2C038">
      <w:pPr>
        <w:widowControl/>
        <w:shd w:val="clear" w:color="auto" w:fill="FFFFFF"/>
        <w:spacing w:line="360" w:lineRule="auto"/>
        <w:jc w:val="left"/>
        <w:rPr>
          <w:rFonts w:hint="eastAsia" w:ascii="宋体" w:hAnsi="宋体" w:eastAsia="宋体" w:cs="宋体"/>
          <w:color w:val="auto"/>
          <w:kern w:val="0"/>
          <w:sz w:val="28"/>
          <w:szCs w:val="28"/>
        </w:rPr>
      </w:pPr>
      <w:r>
        <w:rPr>
          <w:rFonts w:hint="eastAsia" w:ascii="宋体" w:hAnsi="宋体" w:eastAsia="宋体" w:cs="宋体"/>
          <w:color w:val="auto"/>
          <w:kern w:val="0"/>
          <w:sz w:val="24"/>
        </w:rPr>
        <w:t xml:space="preserve">    6.联合体将严格按照采购文件的各项要求，递交投标文件，履行合同，并对外承担连带责任。</w:t>
      </w:r>
    </w:p>
    <w:p w14:paraId="2C4728BD">
      <w:pPr>
        <w:widowControl/>
        <w:shd w:val="clear" w:color="auto" w:fill="FFFFFF"/>
        <w:spacing w:line="360" w:lineRule="auto"/>
        <w:ind w:firstLine="480"/>
        <w:jc w:val="left"/>
        <w:rPr>
          <w:rFonts w:hint="eastAsia" w:ascii="宋体" w:hAnsi="宋体" w:eastAsia="宋体" w:cs="宋体"/>
          <w:color w:val="auto"/>
          <w:kern w:val="0"/>
          <w:sz w:val="24"/>
        </w:rPr>
      </w:pPr>
      <w:r>
        <w:rPr>
          <w:rFonts w:hint="eastAsia" w:ascii="宋体" w:hAnsi="宋体" w:eastAsia="宋体" w:cs="宋体"/>
          <w:color w:val="auto"/>
          <w:kern w:val="0"/>
          <w:sz w:val="24"/>
        </w:rPr>
        <w:t>7.本协议自签章之日起生效，到项目验收合格，采购人付清全部款项后失效。联合体未成交，该协议自行失效。</w:t>
      </w:r>
    </w:p>
    <w:p w14:paraId="0C2C92F3">
      <w:pPr>
        <w:widowControl/>
        <w:shd w:val="clear" w:color="auto" w:fill="FFFFFF"/>
        <w:spacing w:line="360" w:lineRule="auto"/>
        <w:ind w:firstLine="480"/>
        <w:jc w:val="left"/>
        <w:rPr>
          <w:rFonts w:hint="eastAsia" w:ascii="宋体" w:hAnsi="宋体" w:eastAsia="宋体" w:cs="宋体"/>
          <w:color w:val="auto"/>
          <w:kern w:val="0"/>
          <w:sz w:val="24"/>
        </w:rPr>
      </w:pPr>
      <w:r>
        <w:rPr>
          <w:rFonts w:hint="eastAsia" w:ascii="宋体" w:hAnsi="宋体" w:eastAsia="宋体" w:cs="宋体"/>
          <w:color w:val="auto"/>
          <w:kern w:val="0"/>
          <w:sz w:val="24"/>
        </w:rPr>
        <w:t>8.本协议一式</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份，缔约方各执</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份。</w:t>
      </w:r>
    </w:p>
    <w:p w14:paraId="596A1785">
      <w:pPr>
        <w:widowControl/>
        <w:shd w:val="clear" w:color="auto" w:fill="FFFFFF"/>
        <w:spacing w:line="360" w:lineRule="auto"/>
        <w:ind w:firstLine="480"/>
        <w:jc w:val="left"/>
        <w:rPr>
          <w:rFonts w:hint="eastAsia" w:ascii="宋体" w:hAnsi="宋体" w:eastAsia="宋体" w:cs="宋体"/>
          <w:color w:val="auto"/>
          <w:kern w:val="0"/>
          <w:sz w:val="24"/>
        </w:rPr>
      </w:pPr>
      <w:r>
        <w:rPr>
          <w:rFonts w:hint="eastAsia" w:ascii="宋体" w:hAnsi="宋体" w:eastAsia="宋体" w:cs="宋体"/>
          <w:color w:val="auto"/>
          <w:kern w:val="0"/>
          <w:sz w:val="24"/>
        </w:rPr>
        <w:t>甲方：（盖章 ）          法定代表人或委托代理人：</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 xml:space="preserve">（签字） </w:t>
      </w:r>
    </w:p>
    <w:p w14:paraId="07441103">
      <w:pPr>
        <w:widowControl/>
        <w:shd w:val="clear" w:color="auto" w:fill="FFFFFF"/>
        <w:spacing w:line="360" w:lineRule="auto"/>
        <w:ind w:firstLine="480"/>
        <w:jc w:val="left"/>
        <w:rPr>
          <w:rFonts w:hint="eastAsia" w:ascii="宋体" w:hAnsi="宋体" w:eastAsia="宋体" w:cs="宋体"/>
          <w:color w:val="auto"/>
          <w:kern w:val="0"/>
          <w:sz w:val="24"/>
        </w:rPr>
      </w:pPr>
      <w:r>
        <w:rPr>
          <w:rFonts w:hint="eastAsia" w:ascii="宋体" w:hAnsi="宋体" w:eastAsia="宋体" w:cs="宋体"/>
          <w:color w:val="auto"/>
          <w:kern w:val="0"/>
          <w:sz w:val="24"/>
        </w:rPr>
        <w:t>乙方：（盖章 ）         法定代表人或委托代理人：</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 xml:space="preserve">（签字） </w:t>
      </w:r>
    </w:p>
    <w:p w14:paraId="1278B643">
      <w:pPr>
        <w:widowControl/>
        <w:shd w:val="clear" w:color="auto" w:fill="FFFFFF"/>
        <w:spacing w:line="360" w:lineRule="auto"/>
        <w:ind w:firstLine="480"/>
        <w:jc w:val="left"/>
        <w:rPr>
          <w:rFonts w:hint="eastAsia" w:ascii="宋体" w:hAnsi="宋体" w:eastAsia="宋体" w:cs="宋体"/>
          <w:color w:val="auto"/>
          <w:kern w:val="0"/>
          <w:sz w:val="24"/>
        </w:rPr>
      </w:pPr>
      <w:r>
        <w:rPr>
          <w:rFonts w:hint="eastAsia" w:ascii="宋体" w:hAnsi="宋体" w:eastAsia="宋体" w:cs="宋体"/>
          <w:color w:val="auto"/>
          <w:kern w:val="0"/>
          <w:sz w:val="24"/>
        </w:rPr>
        <w:t>丙方：（盖章 ）         法定代表人或委托代理人：</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 xml:space="preserve">（签字） </w:t>
      </w:r>
    </w:p>
    <w:p w14:paraId="6CC5D966">
      <w:pPr>
        <w:widowControl/>
        <w:shd w:val="clear" w:color="auto" w:fill="FFFFFF"/>
        <w:spacing w:line="360" w:lineRule="auto"/>
        <w:ind w:firstLine="480"/>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  </w:t>
      </w:r>
    </w:p>
    <w:p w14:paraId="6BBAD103">
      <w:pPr>
        <w:widowControl/>
        <w:shd w:val="clear" w:color="auto" w:fill="FFFFFF"/>
        <w:spacing w:line="360" w:lineRule="auto"/>
        <w:ind w:firstLine="480"/>
        <w:jc w:val="left"/>
        <w:rPr>
          <w:rFonts w:hint="eastAsia" w:ascii="宋体" w:hAnsi="宋体" w:eastAsia="宋体" w:cs="宋体"/>
          <w:color w:val="auto"/>
          <w:kern w:val="0"/>
          <w:sz w:val="28"/>
          <w:szCs w:val="28"/>
        </w:rPr>
      </w:pPr>
      <w:r>
        <w:rPr>
          <w:rFonts w:hint="eastAsia" w:ascii="宋体" w:hAnsi="宋体" w:eastAsia="宋体" w:cs="宋体"/>
          <w:color w:val="auto"/>
          <w:kern w:val="0"/>
          <w:sz w:val="24"/>
        </w:rPr>
        <w:t xml:space="preserve">                                            年    月    日</w:t>
      </w:r>
    </w:p>
    <w:p w14:paraId="21971CAC">
      <w:pPr>
        <w:widowControl/>
        <w:shd w:val="clear" w:color="auto" w:fill="FFFFFF"/>
        <w:spacing w:line="360" w:lineRule="auto"/>
        <w:jc w:val="left"/>
        <w:rPr>
          <w:rFonts w:hint="eastAsia" w:ascii="宋体" w:hAnsi="宋体" w:eastAsia="宋体" w:cs="宋体"/>
          <w:b/>
          <w:bCs/>
          <w:color w:val="auto"/>
          <w:kern w:val="0"/>
          <w:sz w:val="24"/>
        </w:rPr>
      </w:pPr>
      <w:r>
        <w:rPr>
          <w:rFonts w:hint="eastAsia" w:ascii="宋体" w:hAnsi="宋体" w:eastAsia="宋体" w:cs="宋体"/>
          <w:color w:val="auto"/>
          <w:kern w:val="0"/>
          <w:szCs w:val="21"/>
        </w:rPr>
        <w:t>注：本协议书由委托代理人签字的，应附法定代表人签字的授权委托书。</w:t>
      </w:r>
    </w:p>
    <w:p w14:paraId="502E2B31">
      <w:pPr>
        <w:jc w:val="center"/>
        <w:rPr>
          <w:rFonts w:hint="eastAsia" w:ascii="宋体" w:hAnsi="宋体" w:eastAsia="宋体" w:cs="宋体"/>
          <w:b/>
          <w:color w:val="auto"/>
          <w:kern w:val="0"/>
          <w:sz w:val="32"/>
          <w:szCs w:val="32"/>
        </w:rPr>
      </w:pPr>
    </w:p>
    <w:p w14:paraId="1A8892D3">
      <w:pPr>
        <w:pStyle w:val="22"/>
        <w:ind w:firstLine="321"/>
        <w:rPr>
          <w:rFonts w:hint="eastAsia" w:ascii="宋体" w:hAnsi="宋体" w:eastAsia="宋体" w:cs="宋体"/>
          <w:b/>
          <w:color w:val="auto"/>
          <w:kern w:val="0"/>
          <w:sz w:val="32"/>
          <w:szCs w:val="32"/>
        </w:rPr>
      </w:pPr>
    </w:p>
    <w:p w14:paraId="610C7856">
      <w:pPr>
        <w:rPr>
          <w:rFonts w:hint="eastAsia" w:ascii="宋体" w:hAnsi="宋体" w:eastAsia="宋体" w:cs="宋体"/>
          <w:b/>
          <w:color w:val="auto"/>
          <w:kern w:val="0"/>
          <w:sz w:val="32"/>
          <w:szCs w:val="32"/>
        </w:rPr>
      </w:pPr>
    </w:p>
    <w:p w14:paraId="49616B54">
      <w:pPr>
        <w:pStyle w:val="22"/>
        <w:ind w:firstLine="321"/>
        <w:rPr>
          <w:rFonts w:hint="eastAsia" w:ascii="宋体" w:hAnsi="宋体" w:eastAsia="宋体" w:cs="宋体"/>
          <w:b/>
          <w:color w:val="auto"/>
          <w:kern w:val="0"/>
          <w:sz w:val="32"/>
          <w:szCs w:val="32"/>
        </w:rPr>
      </w:pPr>
    </w:p>
    <w:p w14:paraId="6AA45DE8">
      <w:pPr>
        <w:rPr>
          <w:rFonts w:hint="eastAsia" w:ascii="宋体" w:hAnsi="宋体" w:eastAsia="宋体" w:cs="宋体"/>
          <w:b/>
          <w:color w:val="auto"/>
          <w:kern w:val="0"/>
          <w:sz w:val="32"/>
          <w:szCs w:val="32"/>
        </w:rPr>
      </w:pPr>
    </w:p>
    <w:p w14:paraId="459DBDB2">
      <w:pPr>
        <w:pStyle w:val="22"/>
        <w:ind w:firstLine="321"/>
        <w:rPr>
          <w:rFonts w:hint="eastAsia" w:ascii="宋体" w:hAnsi="宋体" w:eastAsia="宋体" w:cs="宋体"/>
          <w:b/>
          <w:color w:val="auto"/>
          <w:kern w:val="0"/>
          <w:sz w:val="32"/>
          <w:szCs w:val="32"/>
        </w:rPr>
      </w:pPr>
    </w:p>
    <w:p w14:paraId="6FF6CC46">
      <w:pPr>
        <w:rPr>
          <w:rFonts w:hint="eastAsia" w:ascii="宋体" w:hAnsi="宋体" w:eastAsia="宋体" w:cs="宋体"/>
          <w:b/>
          <w:color w:val="auto"/>
          <w:kern w:val="0"/>
          <w:sz w:val="32"/>
          <w:szCs w:val="32"/>
        </w:rPr>
      </w:pPr>
    </w:p>
    <w:p w14:paraId="3A2C3015">
      <w:pPr>
        <w:rPr>
          <w:rFonts w:hint="eastAsia" w:ascii="宋体" w:hAnsi="宋体" w:eastAsia="宋体" w:cs="宋体"/>
          <w:b/>
          <w:color w:val="auto"/>
          <w:kern w:val="0"/>
          <w:sz w:val="32"/>
          <w:szCs w:val="32"/>
        </w:rPr>
      </w:pPr>
    </w:p>
    <w:p w14:paraId="18570631">
      <w:pPr>
        <w:rPr>
          <w:rFonts w:hint="eastAsia" w:ascii="宋体" w:hAnsi="宋体" w:eastAsia="宋体" w:cs="宋体"/>
          <w:b/>
          <w:color w:val="auto"/>
          <w:kern w:val="0"/>
          <w:sz w:val="32"/>
          <w:szCs w:val="32"/>
        </w:rPr>
      </w:pPr>
    </w:p>
    <w:p w14:paraId="594BB4DF">
      <w:pPr>
        <w:pStyle w:val="22"/>
        <w:ind w:firstLine="321"/>
        <w:rPr>
          <w:rFonts w:hint="eastAsia" w:ascii="宋体" w:hAnsi="宋体" w:eastAsia="宋体" w:cs="宋体"/>
          <w:b/>
          <w:color w:val="auto"/>
          <w:kern w:val="0"/>
          <w:sz w:val="32"/>
          <w:szCs w:val="32"/>
        </w:rPr>
      </w:pPr>
    </w:p>
    <w:p w14:paraId="3B8B6AD9">
      <w:pPr>
        <w:jc w:val="center"/>
        <w:rPr>
          <w:rFonts w:hint="eastAsia" w:ascii="宋体" w:hAnsi="宋体" w:eastAsia="宋体" w:cs="宋体"/>
          <w:b/>
          <w:color w:val="auto"/>
          <w:kern w:val="0"/>
          <w:sz w:val="32"/>
          <w:szCs w:val="32"/>
        </w:rPr>
      </w:pPr>
      <w:r>
        <w:rPr>
          <w:rFonts w:hint="eastAsia" w:ascii="宋体" w:hAnsi="宋体" w:eastAsia="宋体" w:cs="宋体"/>
          <w:b/>
          <w:color w:val="auto"/>
          <w:kern w:val="0"/>
          <w:sz w:val="32"/>
          <w:szCs w:val="32"/>
        </w:rPr>
        <w:t xml:space="preserve"> 政府采购履约担保函（</w:t>
      </w:r>
      <w:r>
        <w:rPr>
          <w:rFonts w:hint="eastAsia" w:ascii="宋体" w:hAnsi="宋体" w:eastAsia="宋体" w:cs="宋体"/>
          <w:b/>
          <w:color w:val="auto"/>
          <w:kern w:val="0"/>
          <w:sz w:val="28"/>
          <w:szCs w:val="28"/>
        </w:rPr>
        <w:t>只需符合条件的供应商提供</w:t>
      </w:r>
      <w:r>
        <w:rPr>
          <w:rFonts w:hint="eastAsia" w:ascii="宋体" w:hAnsi="宋体" w:eastAsia="宋体" w:cs="宋体"/>
          <w:b/>
          <w:color w:val="auto"/>
          <w:kern w:val="0"/>
          <w:sz w:val="32"/>
          <w:szCs w:val="32"/>
        </w:rPr>
        <w:t>）</w:t>
      </w:r>
    </w:p>
    <w:p w14:paraId="04C27677">
      <w:pPr>
        <w:spacing w:line="360" w:lineRule="auto"/>
        <w:ind w:firstLine="480" w:firstLineChars="200"/>
        <w:rPr>
          <w:rFonts w:hint="eastAsia" w:ascii="宋体" w:hAnsi="宋体" w:eastAsia="宋体" w:cs="宋体"/>
          <w:bCs/>
          <w:color w:val="auto"/>
          <w:sz w:val="24"/>
          <w:u w:val="single"/>
        </w:rPr>
      </w:pPr>
      <w:r>
        <w:rPr>
          <w:rFonts w:hint="eastAsia" w:ascii="宋体" w:hAnsi="宋体" w:eastAsia="宋体" w:cs="宋体"/>
          <w:bCs/>
          <w:color w:val="auto"/>
          <w:sz w:val="24"/>
        </w:rPr>
        <w:t>编号：</w:t>
      </w:r>
      <w:r>
        <w:rPr>
          <w:rFonts w:hint="eastAsia" w:ascii="宋体" w:hAnsi="宋体" w:eastAsia="宋体" w:cs="宋体"/>
          <w:bCs/>
          <w:color w:val="auto"/>
          <w:sz w:val="24"/>
          <w:u w:val="single"/>
        </w:rPr>
        <w:t xml:space="preserve">              </w:t>
      </w:r>
    </w:p>
    <w:p w14:paraId="3C96B4B9">
      <w:pPr>
        <w:spacing w:line="360" w:lineRule="auto"/>
        <w:ind w:firstLine="480" w:firstLineChars="200"/>
        <w:rPr>
          <w:rFonts w:hint="eastAsia" w:ascii="宋体" w:hAnsi="宋体" w:eastAsia="宋体" w:cs="宋体"/>
          <w:bCs/>
          <w:color w:val="auto"/>
          <w:sz w:val="24"/>
          <w:u w:val="single"/>
        </w:rPr>
      </w:pPr>
      <w:r>
        <w:rPr>
          <w:rFonts w:hint="eastAsia" w:ascii="宋体" w:hAnsi="宋体" w:eastAsia="宋体" w:cs="宋体"/>
          <w:bCs/>
          <w:color w:val="auto"/>
          <w:sz w:val="24"/>
        </w:rPr>
        <w:t>（采购人）：</w:t>
      </w:r>
      <w:r>
        <w:rPr>
          <w:rFonts w:hint="eastAsia" w:ascii="宋体" w:hAnsi="宋体" w:eastAsia="宋体" w:cs="宋体"/>
          <w:bCs/>
          <w:color w:val="auto"/>
          <w:sz w:val="24"/>
          <w:u w:val="single"/>
        </w:rPr>
        <w:t xml:space="preserve">                 </w:t>
      </w:r>
    </w:p>
    <w:p w14:paraId="0326B815">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鉴于你方与</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（以下简称供应商）于   年   月   日签订编号为</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 的《</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政府采购合同》（以下简称主合同），且依据该合同的约定，供应商应在   年   月   日前向你方交纳履约保证金，且可以履约担保函的形式交纳履约保证金。应供应商的申请，我方以保证的方式向你方提供如下履约保证金担保：</w:t>
      </w:r>
    </w:p>
    <w:p w14:paraId="257F069F">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一、保证责任的情形及保证金额</w:t>
      </w:r>
    </w:p>
    <w:p w14:paraId="0D2CB32A">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（一）在供应商出现下列情形之一时，我方承担保证责任：</w:t>
      </w:r>
    </w:p>
    <w:p w14:paraId="33F7FA4D">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1．将成交项目转让给他人，或者在投标文件中未说明，且未经采购人同意，将成交项目分包给他人的；</w:t>
      </w:r>
    </w:p>
    <w:p w14:paraId="638A254A">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2．主合同约定的应当缴纳履约保证金的情形:</w:t>
      </w:r>
    </w:p>
    <w:p w14:paraId="40C02002">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（1）未按主合同约定的质量、数量和期限供应货物/提供服务/完成工程的；</w:t>
      </w:r>
    </w:p>
    <w:p w14:paraId="740987FF">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（2）我方的保证范围是主合同约定的合同价款总额的   %，数额为      元（大写            ），币种为      。（即主合同履约保证金金额）</w:t>
      </w:r>
    </w:p>
    <w:p w14:paraId="76D465A8">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二、保证的方式及保证期间</w:t>
      </w:r>
    </w:p>
    <w:p w14:paraId="58F1E790">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我方保证的方式为：连带责任保证。</w:t>
      </w:r>
    </w:p>
    <w:p w14:paraId="527415D3">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我方保证的期间为：自本合同生效之日起至供应商按照主合同约定的供货/完工期限届满后     日内。</w:t>
      </w:r>
    </w:p>
    <w:p w14:paraId="0C4A25BE">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如果供应商未按主合同约定向贵方供应货物/提供服务/完成工程的，由我方在保证金额内向你方支付上述款项。</w:t>
      </w:r>
    </w:p>
    <w:p w14:paraId="0C2B09FC">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三、承担保证责任的程序</w:t>
      </w:r>
    </w:p>
    <w:p w14:paraId="1CC908B6">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1．你方要求我方承担保证责任的，应在本保函保证期间内向我方发出书面索赔通知。索赔通知应写明要求索赔的金额，支付款项应到达的帐号。并附有证明供应商违约事实的证明材料。</w:t>
      </w:r>
    </w:p>
    <w:p w14:paraId="11E7A6E4">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 xml:space="preserve"> 如果你方与供应商因货物质量问题产生争议，你方还需同时提供        部门出具的质量检测报告，或经诉讼（仲裁）程序裁决后的裁决书、调解书，本保证人即按照检测结果或裁决书、调解书决定是否承担保证责任。</w:t>
      </w:r>
    </w:p>
    <w:p w14:paraId="0C4125CA">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2．我方收到你方的书面索赔通知及相应证明材料，在    工作日内进行核定后按照本保函的承诺承担保证责任。</w:t>
      </w:r>
    </w:p>
    <w:p w14:paraId="1198E8EC">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四、保证责任的终止</w:t>
      </w:r>
    </w:p>
    <w:p w14:paraId="2AC147A1">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7B131A1B">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2．我方按照本保函向你方履行了保证责任后，自我方向你方支付款项（支付款项从我方账户划出）之日起，保证责任即终止。</w:t>
      </w:r>
    </w:p>
    <w:p w14:paraId="4932EE25">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3．按照法律法规的规定或出现应终止我方保证责任的其它情形的，我方在本保函项下的保证责任亦终止。</w:t>
      </w:r>
    </w:p>
    <w:p w14:paraId="01B2F724">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320456EF">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五、免责条款</w:t>
      </w:r>
    </w:p>
    <w:p w14:paraId="29E7EBDB">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1．因你方违反主合同约定致使供应商不能履行义务的，我方不承担保证责任。</w:t>
      </w:r>
    </w:p>
    <w:p w14:paraId="00625F4A">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2．依照法律法规的规定或你方与供应商的另行约定，全部或者部分免除供应商应缴纳的保证金义务的，我方亦免除相应的保证责任。</w:t>
      </w:r>
    </w:p>
    <w:p w14:paraId="0459A7E3">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3． 因不可抗力造成供应商不能履行供货义务的，我方不承担保证责任。</w:t>
      </w:r>
    </w:p>
    <w:p w14:paraId="089C56D0">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六、争议的解决</w:t>
      </w:r>
    </w:p>
    <w:p w14:paraId="73C6F4BD">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因本保函发生的纠纷，由你我双方协商解决，协商不成的，通过诉讼程序解决，诉讼管辖地法院为           法院。</w:t>
      </w:r>
    </w:p>
    <w:p w14:paraId="793F4077">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七、保函的生效</w:t>
      </w:r>
    </w:p>
    <w:p w14:paraId="171C7AD2">
      <w:pPr>
        <w:spacing w:line="360" w:lineRule="auto"/>
        <w:ind w:firstLine="480" w:firstLineChars="200"/>
        <w:rPr>
          <w:rFonts w:hint="eastAsia" w:ascii="宋体" w:hAnsi="宋体" w:eastAsia="宋体" w:cs="宋体"/>
          <w:color w:val="auto"/>
          <w:kern w:val="0"/>
          <w:sz w:val="24"/>
        </w:rPr>
      </w:pPr>
      <w:r>
        <w:rPr>
          <w:rFonts w:hint="eastAsia" w:ascii="宋体" w:hAnsi="宋体" w:eastAsia="宋体" w:cs="宋体"/>
          <w:bCs/>
          <w:color w:val="auto"/>
          <w:sz w:val="24"/>
        </w:rPr>
        <w:t>本保函自我方加盖公章之日起生效。</w:t>
      </w:r>
    </w:p>
    <w:p w14:paraId="7303F39E">
      <w:pPr>
        <w:widowControl/>
        <w:spacing w:line="360" w:lineRule="auto"/>
        <w:ind w:firstLine="480" w:firstLineChars="200"/>
        <w:jc w:val="left"/>
        <w:rPr>
          <w:rFonts w:hint="eastAsia" w:ascii="宋体" w:hAnsi="宋体" w:eastAsia="宋体" w:cs="宋体"/>
          <w:color w:val="auto"/>
          <w:kern w:val="0"/>
          <w:sz w:val="24"/>
        </w:rPr>
      </w:pPr>
    </w:p>
    <w:p w14:paraId="254D83F8">
      <w:pPr>
        <w:widowControl/>
        <w:spacing w:line="360" w:lineRule="auto"/>
        <w:ind w:firstLine="5280" w:firstLineChars="2200"/>
        <w:jc w:val="left"/>
        <w:rPr>
          <w:rFonts w:hint="eastAsia" w:ascii="宋体" w:hAnsi="宋体" w:eastAsia="宋体" w:cs="宋体"/>
          <w:color w:val="auto"/>
          <w:kern w:val="0"/>
          <w:sz w:val="24"/>
        </w:rPr>
      </w:pPr>
      <w:r>
        <w:rPr>
          <w:rFonts w:hint="eastAsia" w:ascii="宋体" w:hAnsi="宋体" w:eastAsia="宋体" w:cs="宋体"/>
          <w:color w:val="auto"/>
          <w:kern w:val="0"/>
          <w:sz w:val="24"/>
        </w:rPr>
        <w:t>保证人：（公章）</w:t>
      </w:r>
    </w:p>
    <w:p w14:paraId="1C9BFD87">
      <w:pPr>
        <w:widowControl/>
        <w:spacing w:line="360" w:lineRule="auto"/>
        <w:ind w:firstLine="5280" w:firstLineChars="2200"/>
        <w:jc w:val="left"/>
        <w:rPr>
          <w:rFonts w:hint="eastAsia" w:ascii="宋体" w:hAnsi="宋体" w:eastAsia="宋体" w:cs="宋体"/>
          <w:color w:val="auto"/>
          <w:kern w:val="0"/>
          <w:sz w:val="24"/>
        </w:rPr>
      </w:pPr>
      <w:r>
        <w:rPr>
          <w:rFonts w:hint="eastAsia" w:ascii="宋体" w:hAnsi="宋体" w:eastAsia="宋体" w:cs="宋体"/>
          <w:color w:val="auto"/>
          <w:kern w:val="0"/>
          <w:sz w:val="24"/>
        </w:rPr>
        <w:t>年   月    日</w:t>
      </w:r>
    </w:p>
    <w:p w14:paraId="4C4F2659">
      <w:pPr>
        <w:pStyle w:val="49"/>
        <w:spacing w:after="100" w:line="360" w:lineRule="auto"/>
        <w:ind w:firstLine="0"/>
        <w:rPr>
          <w:rFonts w:hint="eastAsia" w:ascii="宋体" w:hAnsi="宋体" w:eastAsia="宋体" w:cs="宋体"/>
          <w:b/>
          <w:bCs/>
          <w:color w:val="auto"/>
          <w:sz w:val="24"/>
          <w:szCs w:val="24"/>
        </w:rPr>
      </w:pPr>
    </w:p>
    <w:p w14:paraId="7F7853B2">
      <w:pPr>
        <w:rPr>
          <w:rFonts w:hint="eastAsia" w:ascii="宋体" w:hAnsi="宋体" w:eastAsia="宋体" w:cs="宋体"/>
          <w:b/>
          <w:color w:val="auto"/>
          <w:kern w:val="0"/>
          <w:sz w:val="32"/>
          <w:szCs w:val="32"/>
        </w:rPr>
      </w:pPr>
    </w:p>
    <w:p w14:paraId="1B700EA7">
      <w:pPr>
        <w:jc w:val="center"/>
        <w:rPr>
          <w:rFonts w:hint="eastAsia" w:ascii="宋体" w:hAnsi="宋体" w:eastAsia="宋体" w:cs="宋体"/>
          <w:b/>
          <w:color w:val="auto"/>
          <w:kern w:val="0"/>
          <w:sz w:val="32"/>
          <w:szCs w:val="32"/>
        </w:rPr>
      </w:pPr>
      <w:r>
        <w:rPr>
          <w:rFonts w:hint="eastAsia" w:ascii="宋体" w:hAnsi="宋体" w:eastAsia="宋体" w:cs="宋体"/>
          <w:b/>
          <w:color w:val="auto"/>
          <w:kern w:val="0"/>
          <w:sz w:val="32"/>
          <w:szCs w:val="32"/>
        </w:rPr>
        <w:t xml:space="preserve"> 汝南县政府采购专业信用</w:t>
      </w:r>
    </w:p>
    <w:p w14:paraId="02232C34">
      <w:pPr>
        <w:jc w:val="center"/>
        <w:rPr>
          <w:rFonts w:hint="eastAsia" w:ascii="宋体" w:hAnsi="宋体" w:eastAsia="宋体" w:cs="宋体"/>
          <w:b/>
          <w:color w:val="auto"/>
          <w:kern w:val="0"/>
          <w:sz w:val="32"/>
          <w:szCs w:val="32"/>
        </w:rPr>
      </w:pPr>
      <w:r>
        <w:rPr>
          <w:rFonts w:hint="eastAsia" w:ascii="宋体" w:hAnsi="宋体" w:eastAsia="宋体" w:cs="宋体"/>
          <w:b/>
          <w:color w:val="auto"/>
          <w:kern w:val="0"/>
          <w:sz w:val="32"/>
          <w:szCs w:val="32"/>
        </w:rPr>
        <w:t>担保机构联系方式（</w:t>
      </w:r>
      <w:r>
        <w:rPr>
          <w:rFonts w:hint="eastAsia" w:ascii="宋体" w:hAnsi="宋体" w:eastAsia="宋体" w:cs="宋体"/>
          <w:b/>
          <w:color w:val="auto"/>
          <w:kern w:val="0"/>
          <w:sz w:val="28"/>
          <w:szCs w:val="28"/>
        </w:rPr>
        <w:t>只需符合条件的供应商提供</w:t>
      </w:r>
      <w:r>
        <w:rPr>
          <w:rFonts w:hint="eastAsia" w:ascii="宋体" w:hAnsi="宋体" w:eastAsia="宋体" w:cs="宋体"/>
          <w:b/>
          <w:color w:val="auto"/>
          <w:kern w:val="0"/>
          <w:sz w:val="32"/>
          <w:szCs w:val="32"/>
        </w:rPr>
        <w:t>）</w:t>
      </w:r>
    </w:p>
    <w:p w14:paraId="300F1B43">
      <w:pPr>
        <w:pStyle w:val="49"/>
        <w:spacing w:after="260" w:line="240" w:lineRule="auto"/>
        <w:ind w:firstLine="0"/>
        <w:rPr>
          <w:rFonts w:hint="eastAsia" w:ascii="宋体" w:hAnsi="宋体" w:eastAsia="宋体" w:cs="宋体"/>
          <w:b/>
          <w:bCs/>
          <w:color w:val="auto"/>
          <w:sz w:val="32"/>
          <w:szCs w:val="32"/>
          <w:lang w:val="en-US" w:eastAsia="zh-CN"/>
        </w:rPr>
      </w:pPr>
    </w:p>
    <w:p w14:paraId="672F75D3">
      <w:pPr>
        <w:ind w:firstLine="482" w:firstLineChars="200"/>
        <w:rPr>
          <w:rFonts w:hint="eastAsia" w:ascii="宋体" w:hAnsi="宋体" w:eastAsia="宋体" w:cs="宋体"/>
          <w:color w:val="auto"/>
          <w:spacing w:val="-20"/>
          <w:kern w:val="0"/>
          <w:sz w:val="28"/>
          <w:szCs w:val="28"/>
          <w:lang w:val="zh-TW" w:eastAsia="zh-TW"/>
        </w:rPr>
      </w:pPr>
      <w:r>
        <w:rPr>
          <w:rFonts w:hint="eastAsia" w:ascii="宋体" w:hAnsi="宋体" w:eastAsia="宋体" w:cs="宋体"/>
          <w:b/>
          <w:bCs/>
          <w:color w:val="auto"/>
          <w:spacing w:val="-20"/>
          <w:kern w:val="0"/>
          <w:sz w:val="28"/>
          <w:szCs w:val="28"/>
        </w:rPr>
        <w:t>专业担保机构：</w:t>
      </w:r>
      <w:r>
        <w:rPr>
          <w:rFonts w:hint="eastAsia" w:ascii="宋体" w:hAnsi="宋体" w:eastAsia="宋体" w:cs="宋体"/>
          <w:color w:val="auto"/>
          <w:spacing w:val="-20"/>
          <w:kern w:val="0"/>
          <w:sz w:val="28"/>
          <w:szCs w:val="28"/>
          <w:lang w:val="zh-TW"/>
        </w:rPr>
        <w:t>汝南县</w:t>
      </w:r>
      <w:r>
        <w:rPr>
          <w:rFonts w:hint="eastAsia" w:ascii="宋体" w:hAnsi="宋体" w:eastAsia="宋体" w:cs="宋体"/>
          <w:color w:val="auto"/>
          <w:spacing w:val="-20"/>
          <w:kern w:val="0"/>
          <w:sz w:val="28"/>
          <w:szCs w:val="28"/>
          <w:lang w:val="zh-TW" w:eastAsia="zh-TW"/>
        </w:rPr>
        <w:t>中小企业担保有限公司</w:t>
      </w:r>
    </w:p>
    <w:p w14:paraId="1C3F70F8">
      <w:pPr>
        <w:ind w:firstLine="480" w:firstLineChars="200"/>
        <w:rPr>
          <w:rFonts w:hint="eastAsia" w:ascii="宋体" w:hAnsi="宋体" w:eastAsia="宋体" w:cs="宋体"/>
          <w:color w:val="auto"/>
          <w:spacing w:val="-20"/>
          <w:kern w:val="0"/>
          <w:sz w:val="28"/>
          <w:szCs w:val="28"/>
        </w:rPr>
      </w:pPr>
      <w:r>
        <w:rPr>
          <w:rFonts w:hint="eastAsia" w:ascii="宋体" w:hAnsi="宋体" w:eastAsia="宋体" w:cs="宋体"/>
          <w:color w:val="auto"/>
          <w:spacing w:val="-20"/>
          <w:kern w:val="0"/>
          <w:sz w:val="28"/>
          <w:szCs w:val="28"/>
          <w:lang w:val="zh-TW" w:eastAsia="zh-TW"/>
        </w:rPr>
        <w:t>联系人：</w:t>
      </w:r>
      <w:r>
        <w:rPr>
          <w:rFonts w:hint="eastAsia" w:ascii="宋体" w:hAnsi="宋体" w:eastAsia="宋体" w:cs="宋体"/>
          <w:color w:val="auto"/>
          <w:spacing w:val="-20"/>
          <w:kern w:val="0"/>
          <w:sz w:val="28"/>
          <w:szCs w:val="28"/>
        </w:rPr>
        <w:t>石先生</w:t>
      </w:r>
    </w:p>
    <w:p w14:paraId="352A1B54">
      <w:pPr>
        <w:ind w:firstLine="480" w:firstLineChars="200"/>
        <w:rPr>
          <w:rFonts w:hint="eastAsia" w:ascii="宋体" w:hAnsi="宋体" w:eastAsia="宋体" w:cs="宋体"/>
          <w:color w:val="auto"/>
          <w:spacing w:val="-20"/>
          <w:kern w:val="0"/>
          <w:sz w:val="28"/>
          <w:szCs w:val="28"/>
        </w:rPr>
      </w:pPr>
      <w:r>
        <w:rPr>
          <w:rFonts w:hint="eastAsia" w:ascii="宋体" w:hAnsi="宋体" w:eastAsia="宋体" w:cs="宋体"/>
          <w:color w:val="auto"/>
          <w:spacing w:val="-20"/>
          <w:kern w:val="0"/>
          <w:sz w:val="28"/>
          <w:szCs w:val="28"/>
          <w:lang w:val="zh-TW" w:eastAsia="zh-TW"/>
        </w:rPr>
        <w:t>联系电话：</w:t>
      </w:r>
      <w:r>
        <w:rPr>
          <w:rFonts w:hint="eastAsia" w:ascii="宋体" w:hAnsi="宋体" w:eastAsia="宋体" w:cs="宋体"/>
          <w:color w:val="auto"/>
          <w:spacing w:val="-20"/>
          <w:kern w:val="0"/>
          <w:sz w:val="28"/>
          <w:szCs w:val="28"/>
        </w:rPr>
        <w:t>13513988332</w:t>
      </w:r>
    </w:p>
    <w:p w14:paraId="60A2368E">
      <w:pPr>
        <w:widowControl/>
        <w:snapToGrid w:val="0"/>
        <w:spacing w:line="360" w:lineRule="auto"/>
        <w:rPr>
          <w:rFonts w:hint="eastAsia" w:ascii="宋体" w:hAnsi="宋体" w:eastAsia="宋体" w:cs="宋体"/>
          <w:b/>
          <w:bCs/>
          <w:color w:val="auto"/>
          <w:sz w:val="32"/>
          <w:szCs w:val="32"/>
          <w:lang w:bidi="zh-TW"/>
        </w:rPr>
      </w:pPr>
    </w:p>
    <w:p w14:paraId="609977B9">
      <w:pPr>
        <w:widowControl/>
        <w:snapToGrid w:val="0"/>
        <w:spacing w:line="360" w:lineRule="auto"/>
        <w:rPr>
          <w:rFonts w:hint="eastAsia" w:ascii="宋体" w:hAnsi="宋体" w:eastAsia="宋体" w:cs="宋体"/>
          <w:b/>
          <w:bCs/>
          <w:color w:val="auto"/>
          <w:sz w:val="32"/>
          <w:szCs w:val="32"/>
          <w:lang w:bidi="zh-TW"/>
        </w:rPr>
      </w:pPr>
    </w:p>
    <w:p w14:paraId="7A307339">
      <w:pPr>
        <w:ind w:firstLine="482" w:firstLineChars="200"/>
        <w:rPr>
          <w:rFonts w:hint="eastAsia" w:ascii="宋体" w:hAnsi="宋体" w:eastAsia="宋体" w:cs="宋体"/>
          <w:b/>
          <w:bCs/>
          <w:color w:val="auto"/>
          <w:spacing w:val="-20"/>
          <w:kern w:val="0"/>
          <w:sz w:val="28"/>
          <w:szCs w:val="28"/>
        </w:rPr>
      </w:pPr>
      <w:r>
        <w:rPr>
          <w:rFonts w:hint="eastAsia" w:ascii="宋体" w:hAnsi="宋体" w:eastAsia="宋体" w:cs="宋体"/>
          <w:b/>
          <w:bCs/>
          <w:color w:val="auto"/>
          <w:spacing w:val="-20"/>
          <w:kern w:val="0"/>
          <w:sz w:val="28"/>
          <w:szCs w:val="28"/>
        </w:rPr>
        <w:t>汝南县政府采购融资金融机构：</w:t>
      </w:r>
    </w:p>
    <w:p w14:paraId="25BD77F7">
      <w:pPr>
        <w:ind w:firstLine="480" w:firstLineChars="200"/>
        <w:rPr>
          <w:rFonts w:hint="eastAsia" w:ascii="宋体" w:hAnsi="宋体" w:eastAsia="宋体" w:cs="宋体"/>
          <w:color w:val="auto"/>
          <w:spacing w:val="-20"/>
          <w:kern w:val="0"/>
          <w:sz w:val="28"/>
          <w:szCs w:val="28"/>
        </w:rPr>
      </w:pPr>
      <w:r>
        <w:rPr>
          <w:rFonts w:hint="eastAsia" w:ascii="宋体" w:hAnsi="宋体" w:eastAsia="宋体" w:cs="宋体"/>
          <w:color w:val="auto"/>
          <w:spacing w:val="-20"/>
          <w:kern w:val="0"/>
          <w:sz w:val="28"/>
          <w:szCs w:val="28"/>
        </w:rPr>
        <w:t>河南汝南农村商业银行股份有限公司   杨慧翔  15836789216</w:t>
      </w:r>
    </w:p>
    <w:p w14:paraId="4CDEAF5A">
      <w:pPr>
        <w:ind w:firstLine="480" w:firstLineChars="200"/>
        <w:rPr>
          <w:rFonts w:hint="eastAsia" w:ascii="宋体" w:hAnsi="宋体" w:eastAsia="宋体" w:cs="宋体"/>
          <w:color w:val="auto"/>
          <w:spacing w:val="-20"/>
          <w:kern w:val="0"/>
          <w:sz w:val="28"/>
          <w:szCs w:val="28"/>
        </w:rPr>
      </w:pPr>
      <w:r>
        <w:rPr>
          <w:rFonts w:hint="eastAsia" w:ascii="宋体" w:hAnsi="宋体" w:eastAsia="宋体" w:cs="宋体"/>
          <w:color w:val="auto"/>
          <w:spacing w:val="-20"/>
          <w:kern w:val="0"/>
          <w:sz w:val="28"/>
          <w:szCs w:val="28"/>
        </w:rPr>
        <w:t>中原银行股份有限公司驻马店分行     卞留洋  13223852657</w:t>
      </w:r>
    </w:p>
    <w:p w14:paraId="605E690B">
      <w:pPr>
        <w:ind w:firstLine="480" w:firstLineChars="200"/>
        <w:rPr>
          <w:rFonts w:hint="eastAsia" w:ascii="宋体" w:hAnsi="宋体" w:eastAsia="宋体" w:cs="宋体"/>
          <w:color w:val="auto"/>
          <w:spacing w:val="-20"/>
          <w:kern w:val="0"/>
          <w:sz w:val="28"/>
          <w:szCs w:val="28"/>
        </w:rPr>
      </w:pPr>
      <w:r>
        <w:rPr>
          <w:rFonts w:hint="eastAsia" w:ascii="宋体" w:hAnsi="宋体" w:eastAsia="宋体" w:cs="宋体"/>
          <w:color w:val="auto"/>
          <w:spacing w:val="-20"/>
          <w:kern w:val="0"/>
          <w:sz w:val="28"/>
          <w:szCs w:val="28"/>
        </w:rPr>
        <w:t>中国建设银行股份有限公司汝南支行   王  祯  13137290095</w:t>
      </w:r>
    </w:p>
    <w:p w14:paraId="10304274">
      <w:pPr>
        <w:ind w:firstLine="480" w:firstLineChars="200"/>
        <w:rPr>
          <w:rFonts w:hint="eastAsia" w:ascii="宋体" w:hAnsi="宋体" w:eastAsia="宋体" w:cs="宋体"/>
          <w:color w:val="auto"/>
        </w:rPr>
      </w:pPr>
      <w:r>
        <w:rPr>
          <w:rFonts w:hint="eastAsia" w:ascii="宋体" w:hAnsi="宋体" w:eastAsia="宋体" w:cs="宋体"/>
          <w:color w:val="auto"/>
          <w:spacing w:val="-20"/>
          <w:kern w:val="0"/>
          <w:sz w:val="28"/>
          <w:szCs w:val="28"/>
        </w:rPr>
        <w:t>中国银行股份有限公司汝南支行       刘  宁  13903969677</w:t>
      </w:r>
    </w:p>
    <w:p w14:paraId="6800C5EC">
      <w:pPr>
        <w:rPr>
          <w:rFonts w:hint="eastAsia" w:ascii="宋体" w:hAnsi="宋体" w:eastAsia="宋体" w:cs="宋体"/>
          <w:color w:val="auto"/>
        </w:rPr>
      </w:pPr>
    </w:p>
    <w:p w14:paraId="4A89C7F6">
      <w:pPr>
        <w:pStyle w:val="23"/>
        <w:ind w:firstLine="0" w:firstLineChars="0"/>
        <w:rPr>
          <w:rFonts w:hint="eastAsia" w:ascii="宋体" w:hAnsi="宋体" w:eastAsia="宋体" w:cs="宋体"/>
          <w:color w:val="auto"/>
        </w:rPr>
      </w:pPr>
    </w:p>
    <w:p w14:paraId="00001A1C">
      <w:pPr>
        <w:pStyle w:val="23"/>
        <w:ind w:firstLine="0" w:firstLineChars="0"/>
        <w:rPr>
          <w:rFonts w:hint="eastAsia" w:ascii="宋体" w:hAnsi="宋体" w:eastAsia="宋体" w:cs="宋体"/>
          <w:color w:val="auto"/>
        </w:rPr>
      </w:pPr>
    </w:p>
    <w:sectPr>
      <w:footerReference r:id="rId8" w:type="first"/>
      <w:headerReference r:id="rId6" w:type="default"/>
      <w:footerReference r:id="rId7" w:type="default"/>
      <w:pgSz w:w="11906" w:h="16838"/>
      <w:pgMar w:top="1440" w:right="1803" w:bottom="1440" w:left="1803" w:header="851" w:footer="992" w:gutter="0"/>
      <w:pgNumType w:fmt="decimal"/>
      <w:cols w:space="720" w:num="1"/>
      <w:titlePg/>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D672397-5D41-42EF-8A6D-BA1DEE4CA42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embedRegular r:id="rId2" w:fontKey="{D07D886F-6EEA-49FF-84C2-A234CA9199DA}"/>
  </w:font>
  <w:font w:name="仿宋_GB2312">
    <w:panose1 w:val="02010609030101010101"/>
    <w:charset w:val="86"/>
    <w:family w:val="modern"/>
    <w:pitch w:val="default"/>
    <w:sig w:usb0="00000001" w:usb1="080E0000" w:usb2="00000000" w:usb3="00000000" w:csb0="00040000" w:csb1="00000000"/>
    <w:embedRegular r:id="rId3" w:fontKey="{C28E126B-6C8D-42D3-9ACF-359AEEDB6BDB}"/>
  </w:font>
  <w:font w:name="Cambria">
    <w:panose1 w:val="02040503050406030204"/>
    <w:charset w:val="00"/>
    <w:family w:val="roman"/>
    <w:pitch w:val="default"/>
    <w:sig w:usb0="E00006FF" w:usb1="420024FF" w:usb2="02000000" w:usb3="00000000" w:csb0="2000019F" w:csb1="00000000"/>
  </w:font>
  <w:font w:name="方正小标宋简体">
    <w:panose1 w:val="02000000000000000000"/>
    <w:charset w:val="86"/>
    <w:family w:val="auto"/>
    <w:pitch w:val="default"/>
    <w:sig w:usb0="00000001" w:usb1="08000000" w:usb2="00000000" w:usb3="00000000" w:csb0="00040000" w:csb1="00000000"/>
    <w:embedRegular r:id="rId4" w:fontKey="{BC86C9DC-A04A-40F7-BFFE-31568B55D688}"/>
  </w:font>
  <w:font w:name="WPSEMBED1">
    <w:panose1 w:val="02010609030101010101"/>
    <w:charset w:val="86"/>
    <w:family w:val="auto"/>
    <w:pitch w:val="default"/>
    <w:sig w:usb0="00000001" w:usb1="080E0000" w:usb2="00000000" w:usb3="00000000" w:csb0="00040000" w:csb1="00000000"/>
  </w:font>
  <w:font w:name="WPSEMBED2">
    <w:panose1 w:val="02000000000000000000"/>
    <w:charset w:val="86"/>
    <w:family w:val="auto"/>
    <w:pitch w:val="default"/>
    <w:sig w:usb0="00000001" w:usb1="0800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6C09A">
    <w:pPr>
      <w:pStyle w:val="16"/>
      <w:framePr w:wrap="around" w:vAnchor="text" w:hAnchor="margin" w:xAlign="right" w:y="1"/>
      <w:rPr>
        <w:rStyle w:val="28"/>
      </w:rPr>
    </w:pPr>
    <w:r>
      <w:fldChar w:fldCharType="begin"/>
    </w:r>
    <w:r>
      <w:rPr>
        <w:rStyle w:val="28"/>
      </w:rPr>
      <w:instrText xml:space="preserve">PAGE  </w:instrText>
    </w:r>
    <w:r>
      <w:fldChar w:fldCharType="separate"/>
    </w:r>
    <w:r>
      <w:rPr>
        <w:rStyle w:val="28"/>
      </w:rPr>
      <w:t>54</w:t>
    </w:r>
    <w:r>
      <w:fldChar w:fldCharType="end"/>
    </w:r>
  </w:p>
  <w:p w14:paraId="25F006A5">
    <w:pPr>
      <w:pStyle w:val="1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FD816">
    <w:pPr>
      <w:pStyle w:val="16"/>
      <w:framePr w:wrap="around" w:vAnchor="text" w:hAnchor="margin" w:xAlign="right" w:y="1"/>
      <w:rPr>
        <w:rStyle w:val="28"/>
      </w:rPr>
    </w:pPr>
    <w:r>
      <w:fldChar w:fldCharType="begin"/>
    </w:r>
    <w:r>
      <w:rPr>
        <w:rStyle w:val="28"/>
      </w:rPr>
      <w:instrText xml:space="preserve">PAGE  </w:instrText>
    </w:r>
    <w:r>
      <w:fldChar w:fldCharType="end"/>
    </w:r>
  </w:p>
  <w:p w14:paraId="1E0FA8FF">
    <w:pPr>
      <w:pStyle w:val="1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CBCCAF">
    <w:pPr>
      <w:pStyle w:val="16"/>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C64E1">
                          <w:pPr>
                            <w:pStyle w:val="1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0C64E1">
                    <w:pPr>
                      <w:pStyle w:val="16"/>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F6921C">
    <w:pPr>
      <w:pStyle w:val="16"/>
      <w:tabs>
        <w:tab w:val="clear" w:pos="4153"/>
      </w:tabs>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091F5E">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D091F5E">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92B9A3">
    <w:pPr>
      <w:pStyle w:val="1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5363EF">
    <w:pPr>
      <w:pStyle w:val="1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FB5181"/>
    <w:multiLevelType w:val="singleLevel"/>
    <w:tmpl w:val="98FB5181"/>
    <w:lvl w:ilvl="0" w:tentative="0">
      <w:start w:val="3"/>
      <w:numFmt w:val="decimal"/>
      <w:lvlText w:val="%1."/>
      <w:lvlJc w:val="left"/>
      <w:pPr>
        <w:tabs>
          <w:tab w:val="left" w:pos="312"/>
        </w:tabs>
      </w:pPr>
    </w:lvl>
  </w:abstractNum>
  <w:abstractNum w:abstractNumId="1">
    <w:nsid w:val="FFFFFF88"/>
    <w:multiLevelType w:val="singleLevel"/>
    <w:tmpl w:val="FFFFFF88"/>
    <w:lvl w:ilvl="0" w:tentative="0">
      <w:start w:val="1"/>
      <w:numFmt w:val="decimal"/>
      <w:pStyle w:val="5"/>
      <w:lvlText w:val="%1."/>
      <w:lvlJc w:val="left"/>
      <w:pPr>
        <w:tabs>
          <w:tab w:val="left" w:pos="360"/>
        </w:tabs>
        <w:ind w:left="36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9"/>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NiNzc5ODkwNTc1OTBhNDc4NTVlNjE5NzFiYzI1ZTQifQ=="/>
  </w:docVars>
  <w:rsids>
    <w:rsidRoot w:val="00DF4B3C"/>
    <w:rsid w:val="000022DD"/>
    <w:rsid w:val="00011479"/>
    <w:rsid w:val="00012D3A"/>
    <w:rsid w:val="00013D5F"/>
    <w:rsid w:val="00016426"/>
    <w:rsid w:val="00026D92"/>
    <w:rsid w:val="000411D1"/>
    <w:rsid w:val="00074E00"/>
    <w:rsid w:val="00076E8A"/>
    <w:rsid w:val="0008160D"/>
    <w:rsid w:val="000830BD"/>
    <w:rsid w:val="0009226F"/>
    <w:rsid w:val="000A586A"/>
    <w:rsid w:val="000B1AC8"/>
    <w:rsid w:val="000B425E"/>
    <w:rsid w:val="000C35E2"/>
    <w:rsid w:val="000C471F"/>
    <w:rsid w:val="000E24D2"/>
    <w:rsid w:val="000F169E"/>
    <w:rsid w:val="000F7DAD"/>
    <w:rsid w:val="00100DCC"/>
    <w:rsid w:val="0012152A"/>
    <w:rsid w:val="0012272B"/>
    <w:rsid w:val="00122BAB"/>
    <w:rsid w:val="001254D8"/>
    <w:rsid w:val="001358A1"/>
    <w:rsid w:val="0018399C"/>
    <w:rsid w:val="001C29C4"/>
    <w:rsid w:val="001C60CC"/>
    <w:rsid w:val="001C788B"/>
    <w:rsid w:val="001E389E"/>
    <w:rsid w:val="001F1CB7"/>
    <w:rsid w:val="002057E7"/>
    <w:rsid w:val="002214D9"/>
    <w:rsid w:val="002242C8"/>
    <w:rsid w:val="00224B83"/>
    <w:rsid w:val="00234993"/>
    <w:rsid w:val="00260CE5"/>
    <w:rsid w:val="00277D9F"/>
    <w:rsid w:val="002850A3"/>
    <w:rsid w:val="00287880"/>
    <w:rsid w:val="002A0225"/>
    <w:rsid w:val="002A3533"/>
    <w:rsid w:val="002A548F"/>
    <w:rsid w:val="002B08CF"/>
    <w:rsid w:val="002C1D0A"/>
    <w:rsid w:val="002C3B3A"/>
    <w:rsid w:val="002C6FD1"/>
    <w:rsid w:val="002D7A6D"/>
    <w:rsid w:val="002E1CF1"/>
    <w:rsid w:val="002F2CEF"/>
    <w:rsid w:val="0030445D"/>
    <w:rsid w:val="00322EA6"/>
    <w:rsid w:val="00391A57"/>
    <w:rsid w:val="00396073"/>
    <w:rsid w:val="003B02C8"/>
    <w:rsid w:val="003C6896"/>
    <w:rsid w:val="00403133"/>
    <w:rsid w:val="00403A43"/>
    <w:rsid w:val="00410E94"/>
    <w:rsid w:val="004242C4"/>
    <w:rsid w:val="00424539"/>
    <w:rsid w:val="00430858"/>
    <w:rsid w:val="0043426C"/>
    <w:rsid w:val="00444FAA"/>
    <w:rsid w:val="00447177"/>
    <w:rsid w:val="00454A6A"/>
    <w:rsid w:val="00491D2B"/>
    <w:rsid w:val="004A1846"/>
    <w:rsid w:val="004B36C9"/>
    <w:rsid w:val="004C6581"/>
    <w:rsid w:val="004D4827"/>
    <w:rsid w:val="004E1548"/>
    <w:rsid w:val="004E16F4"/>
    <w:rsid w:val="00501A14"/>
    <w:rsid w:val="005301BA"/>
    <w:rsid w:val="005B495C"/>
    <w:rsid w:val="005C7964"/>
    <w:rsid w:val="005D2825"/>
    <w:rsid w:val="005E1BAF"/>
    <w:rsid w:val="005E2E2C"/>
    <w:rsid w:val="00603A85"/>
    <w:rsid w:val="006259B6"/>
    <w:rsid w:val="00631413"/>
    <w:rsid w:val="00633307"/>
    <w:rsid w:val="00633D7A"/>
    <w:rsid w:val="00634AE5"/>
    <w:rsid w:val="00646A37"/>
    <w:rsid w:val="0066369B"/>
    <w:rsid w:val="00666ABE"/>
    <w:rsid w:val="00672A35"/>
    <w:rsid w:val="00683185"/>
    <w:rsid w:val="0069573E"/>
    <w:rsid w:val="00696A95"/>
    <w:rsid w:val="006A1D2B"/>
    <w:rsid w:val="006A65AA"/>
    <w:rsid w:val="006B02C4"/>
    <w:rsid w:val="006C0773"/>
    <w:rsid w:val="006C5FFA"/>
    <w:rsid w:val="006C7A69"/>
    <w:rsid w:val="006D546A"/>
    <w:rsid w:val="006E6C24"/>
    <w:rsid w:val="007120A9"/>
    <w:rsid w:val="007428E1"/>
    <w:rsid w:val="007454B1"/>
    <w:rsid w:val="0074732A"/>
    <w:rsid w:val="00756078"/>
    <w:rsid w:val="00756E33"/>
    <w:rsid w:val="007634C9"/>
    <w:rsid w:val="00774D53"/>
    <w:rsid w:val="00775B6D"/>
    <w:rsid w:val="00783361"/>
    <w:rsid w:val="00783A0F"/>
    <w:rsid w:val="007A20B9"/>
    <w:rsid w:val="007A4352"/>
    <w:rsid w:val="007A7974"/>
    <w:rsid w:val="007B6D32"/>
    <w:rsid w:val="007C5125"/>
    <w:rsid w:val="007D064B"/>
    <w:rsid w:val="007D6308"/>
    <w:rsid w:val="007E4466"/>
    <w:rsid w:val="007E5655"/>
    <w:rsid w:val="00804972"/>
    <w:rsid w:val="008130F0"/>
    <w:rsid w:val="00842682"/>
    <w:rsid w:val="00842A27"/>
    <w:rsid w:val="00846FB3"/>
    <w:rsid w:val="00876580"/>
    <w:rsid w:val="00891203"/>
    <w:rsid w:val="00892BFC"/>
    <w:rsid w:val="00895344"/>
    <w:rsid w:val="008A66C2"/>
    <w:rsid w:val="008A73DE"/>
    <w:rsid w:val="008B6526"/>
    <w:rsid w:val="008D7793"/>
    <w:rsid w:val="008F0E4F"/>
    <w:rsid w:val="008F122A"/>
    <w:rsid w:val="00905BF8"/>
    <w:rsid w:val="0091435F"/>
    <w:rsid w:val="0092290D"/>
    <w:rsid w:val="00926F04"/>
    <w:rsid w:val="00941740"/>
    <w:rsid w:val="00942060"/>
    <w:rsid w:val="00942CF0"/>
    <w:rsid w:val="00954A00"/>
    <w:rsid w:val="009618B8"/>
    <w:rsid w:val="00973BB5"/>
    <w:rsid w:val="00974353"/>
    <w:rsid w:val="00977019"/>
    <w:rsid w:val="009917AF"/>
    <w:rsid w:val="009B06B3"/>
    <w:rsid w:val="009B5D01"/>
    <w:rsid w:val="009B614C"/>
    <w:rsid w:val="009B76DC"/>
    <w:rsid w:val="009F0909"/>
    <w:rsid w:val="009F51BA"/>
    <w:rsid w:val="009F781C"/>
    <w:rsid w:val="00A03EF5"/>
    <w:rsid w:val="00A06C20"/>
    <w:rsid w:val="00A167C9"/>
    <w:rsid w:val="00A22457"/>
    <w:rsid w:val="00A2529A"/>
    <w:rsid w:val="00A279A4"/>
    <w:rsid w:val="00A328E1"/>
    <w:rsid w:val="00A3429A"/>
    <w:rsid w:val="00A34C56"/>
    <w:rsid w:val="00A50BD5"/>
    <w:rsid w:val="00A671D5"/>
    <w:rsid w:val="00A6731E"/>
    <w:rsid w:val="00A71C4F"/>
    <w:rsid w:val="00A75751"/>
    <w:rsid w:val="00A80AEE"/>
    <w:rsid w:val="00A87283"/>
    <w:rsid w:val="00AB72F4"/>
    <w:rsid w:val="00AC0C36"/>
    <w:rsid w:val="00AC3610"/>
    <w:rsid w:val="00AC6E4F"/>
    <w:rsid w:val="00AD4987"/>
    <w:rsid w:val="00B050A1"/>
    <w:rsid w:val="00B057E8"/>
    <w:rsid w:val="00B06483"/>
    <w:rsid w:val="00B10F20"/>
    <w:rsid w:val="00B15A35"/>
    <w:rsid w:val="00B330E8"/>
    <w:rsid w:val="00B47E9B"/>
    <w:rsid w:val="00B50326"/>
    <w:rsid w:val="00B543DF"/>
    <w:rsid w:val="00B67EAB"/>
    <w:rsid w:val="00B70FA5"/>
    <w:rsid w:val="00B75CC9"/>
    <w:rsid w:val="00B81972"/>
    <w:rsid w:val="00B90CE8"/>
    <w:rsid w:val="00B9382D"/>
    <w:rsid w:val="00B9655A"/>
    <w:rsid w:val="00BA136F"/>
    <w:rsid w:val="00BA6AC1"/>
    <w:rsid w:val="00BB3269"/>
    <w:rsid w:val="00BD1A84"/>
    <w:rsid w:val="00BD2182"/>
    <w:rsid w:val="00BD5E0B"/>
    <w:rsid w:val="00BF0A67"/>
    <w:rsid w:val="00C20F54"/>
    <w:rsid w:val="00C21B34"/>
    <w:rsid w:val="00C32DB1"/>
    <w:rsid w:val="00C41777"/>
    <w:rsid w:val="00C41D69"/>
    <w:rsid w:val="00C53902"/>
    <w:rsid w:val="00C621A8"/>
    <w:rsid w:val="00C75708"/>
    <w:rsid w:val="00C87514"/>
    <w:rsid w:val="00CC6FB5"/>
    <w:rsid w:val="00CD54EC"/>
    <w:rsid w:val="00CE0B5C"/>
    <w:rsid w:val="00CE306A"/>
    <w:rsid w:val="00CE5195"/>
    <w:rsid w:val="00CF517E"/>
    <w:rsid w:val="00D03F65"/>
    <w:rsid w:val="00D11814"/>
    <w:rsid w:val="00D30478"/>
    <w:rsid w:val="00D3089C"/>
    <w:rsid w:val="00D34D09"/>
    <w:rsid w:val="00DB044A"/>
    <w:rsid w:val="00DB08DF"/>
    <w:rsid w:val="00DB6564"/>
    <w:rsid w:val="00DC4A96"/>
    <w:rsid w:val="00DC7C40"/>
    <w:rsid w:val="00DD20FD"/>
    <w:rsid w:val="00DE3913"/>
    <w:rsid w:val="00DF0B6D"/>
    <w:rsid w:val="00DF4B3C"/>
    <w:rsid w:val="00E17E93"/>
    <w:rsid w:val="00E57AA2"/>
    <w:rsid w:val="00E57CD4"/>
    <w:rsid w:val="00E633E8"/>
    <w:rsid w:val="00E769C4"/>
    <w:rsid w:val="00ED3BFF"/>
    <w:rsid w:val="00ED4DE1"/>
    <w:rsid w:val="00EE69BA"/>
    <w:rsid w:val="00F0458D"/>
    <w:rsid w:val="00F3029D"/>
    <w:rsid w:val="00F40A4D"/>
    <w:rsid w:val="00F704A1"/>
    <w:rsid w:val="00F71FF6"/>
    <w:rsid w:val="00F735CC"/>
    <w:rsid w:val="00F76282"/>
    <w:rsid w:val="00F93AB2"/>
    <w:rsid w:val="00F93BF1"/>
    <w:rsid w:val="00FB64CC"/>
    <w:rsid w:val="00FD1813"/>
    <w:rsid w:val="00FD2337"/>
    <w:rsid w:val="00FD2985"/>
    <w:rsid w:val="00FE2DEF"/>
    <w:rsid w:val="00FE79E4"/>
    <w:rsid w:val="00FF597B"/>
    <w:rsid w:val="0101028E"/>
    <w:rsid w:val="01037996"/>
    <w:rsid w:val="010D4038"/>
    <w:rsid w:val="013363F6"/>
    <w:rsid w:val="01454A7C"/>
    <w:rsid w:val="015A334E"/>
    <w:rsid w:val="015D7C17"/>
    <w:rsid w:val="016564BB"/>
    <w:rsid w:val="01913FB9"/>
    <w:rsid w:val="019237BC"/>
    <w:rsid w:val="019A3555"/>
    <w:rsid w:val="01AE4155"/>
    <w:rsid w:val="01B31ADB"/>
    <w:rsid w:val="01C048D8"/>
    <w:rsid w:val="01E81E29"/>
    <w:rsid w:val="020A1C3B"/>
    <w:rsid w:val="020A4DB0"/>
    <w:rsid w:val="020E6473"/>
    <w:rsid w:val="025A15A7"/>
    <w:rsid w:val="028470A8"/>
    <w:rsid w:val="02907ADF"/>
    <w:rsid w:val="029E5458"/>
    <w:rsid w:val="02A6199C"/>
    <w:rsid w:val="030D246F"/>
    <w:rsid w:val="031343E4"/>
    <w:rsid w:val="032859BC"/>
    <w:rsid w:val="03401F5E"/>
    <w:rsid w:val="035B4E6B"/>
    <w:rsid w:val="0376722A"/>
    <w:rsid w:val="03912F41"/>
    <w:rsid w:val="03BB66BD"/>
    <w:rsid w:val="03CF0EF9"/>
    <w:rsid w:val="03CF3A69"/>
    <w:rsid w:val="03D32883"/>
    <w:rsid w:val="03D95867"/>
    <w:rsid w:val="03E70DB3"/>
    <w:rsid w:val="04007D7A"/>
    <w:rsid w:val="04431103"/>
    <w:rsid w:val="046712EA"/>
    <w:rsid w:val="048C3C1D"/>
    <w:rsid w:val="04AE24B8"/>
    <w:rsid w:val="04C139AA"/>
    <w:rsid w:val="04D27710"/>
    <w:rsid w:val="04D57342"/>
    <w:rsid w:val="04EE5889"/>
    <w:rsid w:val="05313213"/>
    <w:rsid w:val="05485881"/>
    <w:rsid w:val="05570C2E"/>
    <w:rsid w:val="057E12A3"/>
    <w:rsid w:val="0598742A"/>
    <w:rsid w:val="059B5E95"/>
    <w:rsid w:val="05C56208"/>
    <w:rsid w:val="05C77509"/>
    <w:rsid w:val="05CE039C"/>
    <w:rsid w:val="05D575EA"/>
    <w:rsid w:val="05E43E11"/>
    <w:rsid w:val="06075F7D"/>
    <w:rsid w:val="065244F3"/>
    <w:rsid w:val="066252BE"/>
    <w:rsid w:val="067D4D51"/>
    <w:rsid w:val="06B14327"/>
    <w:rsid w:val="06DE1E84"/>
    <w:rsid w:val="06EE0B69"/>
    <w:rsid w:val="06F253F2"/>
    <w:rsid w:val="076800A3"/>
    <w:rsid w:val="07741485"/>
    <w:rsid w:val="07B603F0"/>
    <w:rsid w:val="07D63618"/>
    <w:rsid w:val="07DC1D41"/>
    <w:rsid w:val="07E06032"/>
    <w:rsid w:val="080D3880"/>
    <w:rsid w:val="082134DE"/>
    <w:rsid w:val="08242C0B"/>
    <w:rsid w:val="082B7863"/>
    <w:rsid w:val="08366F35"/>
    <w:rsid w:val="089655E5"/>
    <w:rsid w:val="08A37574"/>
    <w:rsid w:val="08C40AC0"/>
    <w:rsid w:val="08CE7F72"/>
    <w:rsid w:val="08FD623B"/>
    <w:rsid w:val="09243EE1"/>
    <w:rsid w:val="092B521A"/>
    <w:rsid w:val="096E086C"/>
    <w:rsid w:val="097B46E9"/>
    <w:rsid w:val="09CB16BA"/>
    <w:rsid w:val="09D4431D"/>
    <w:rsid w:val="09DD5185"/>
    <w:rsid w:val="09E11F8E"/>
    <w:rsid w:val="0A0432E9"/>
    <w:rsid w:val="0A1D655E"/>
    <w:rsid w:val="0A3058C6"/>
    <w:rsid w:val="0A803D19"/>
    <w:rsid w:val="0A961A54"/>
    <w:rsid w:val="0AA65FBC"/>
    <w:rsid w:val="0AC01A55"/>
    <w:rsid w:val="0AC66AD1"/>
    <w:rsid w:val="0B053AC1"/>
    <w:rsid w:val="0B105F70"/>
    <w:rsid w:val="0B322488"/>
    <w:rsid w:val="0B325BDC"/>
    <w:rsid w:val="0B41301F"/>
    <w:rsid w:val="0B497CF8"/>
    <w:rsid w:val="0B4B7E79"/>
    <w:rsid w:val="0B4F7626"/>
    <w:rsid w:val="0B685708"/>
    <w:rsid w:val="0B7F0717"/>
    <w:rsid w:val="0B9758F0"/>
    <w:rsid w:val="0BA80826"/>
    <w:rsid w:val="0C01538A"/>
    <w:rsid w:val="0C3824FF"/>
    <w:rsid w:val="0C397D91"/>
    <w:rsid w:val="0C4D1D97"/>
    <w:rsid w:val="0C555B97"/>
    <w:rsid w:val="0C9071BD"/>
    <w:rsid w:val="0C913FB2"/>
    <w:rsid w:val="0CAF61E6"/>
    <w:rsid w:val="0CC11C77"/>
    <w:rsid w:val="0CE91CD8"/>
    <w:rsid w:val="0D177805"/>
    <w:rsid w:val="0D28106E"/>
    <w:rsid w:val="0D3E3EC9"/>
    <w:rsid w:val="0D485CC9"/>
    <w:rsid w:val="0D67759C"/>
    <w:rsid w:val="0D7E3C99"/>
    <w:rsid w:val="0D9666EF"/>
    <w:rsid w:val="0DA97444"/>
    <w:rsid w:val="0DAB269C"/>
    <w:rsid w:val="0DAF2D82"/>
    <w:rsid w:val="0DB6130A"/>
    <w:rsid w:val="0DC83632"/>
    <w:rsid w:val="0DD80D14"/>
    <w:rsid w:val="0DE07AB0"/>
    <w:rsid w:val="0DEE6AF5"/>
    <w:rsid w:val="0E014A8F"/>
    <w:rsid w:val="0E4F13D5"/>
    <w:rsid w:val="0E6A1CDD"/>
    <w:rsid w:val="0E9F0C01"/>
    <w:rsid w:val="0EC248F6"/>
    <w:rsid w:val="0EE14AD7"/>
    <w:rsid w:val="0EF807AF"/>
    <w:rsid w:val="0F114F36"/>
    <w:rsid w:val="0F4D196D"/>
    <w:rsid w:val="0F631583"/>
    <w:rsid w:val="0F6A108E"/>
    <w:rsid w:val="0F7D7DF6"/>
    <w:rsid w:val="0F9D1B47"/>
    <w:rsid w:val="0F9F0794"/>
    <w:rsid w:val="0FB07826"/>
    <w:rsid w:val="0FCC7A22"/>
    <w:rsid w:val="0FED140A"/>
    <w:rsid w:val="0FFA133B"/>
    <w:rsid w:val="10167A1D"/>
    <w:rsid w:val="102C4CF3"/>
    <w:rsid w:val="103B4960"/>
    <w:rsid w:val="104D3BE9"/>
    <w:rsid w:val="104E699F"/>
    <w:rsid w:val="10641AC4"/>
    <w:rsid w:val="10783684"/>
    <w:rsid w:val="107C5919"/>
    <w:rsid w:val="10841156"/>
    <w:rsid w:val="10A2377B"/>
    <w:rsid w:val="10B647F9"/>
    <w:rsid w:val="10C879CD"/>
    <w:rsid w:val="10F51A17"/>
    <w:rsid w:val="1102547E"/>
    <w:rsid w:val="110A1DE1"/>
    <w:rsid w:val="11300074"/>
    <w:rsid w:val="113123AE"/>
    <w:rsid w:val="11CC55A2"/>
    <w:rsid w:val="11EB5CC4"/>
    <w:rsid w:val="120A37E0"/>
    <w:rsid w:val="122D52DF"/>
    <w:rsid w:val="124243FD"/>
    <w:rsid w:val="1249199D"/>
    <w:rsid w:val="124B027D"/>
    <w:rsid w:val="1262311D"/>
    <w:rsid w:val="128543CA"/>
    <w:rsid w:val="12BF0336"/>
    <w:rsid w:val="13880D7D"/>
    <w:rsid w:val="138E56FE"/>
    <w:rsid w:val="139968B8"/>
    <w:rsid w:val="13BA15EE"/>
    <w:rsid w:val="13D52426"/>
    <w:rsid w:val="13F60DAD"/>
    <w:rsid w:val="14030CF5"/>
    <w:rsid w:val="140B63F8"/>
    <w:rsid w:val="141C0605"/>
    <w:rsid w:val="14200F31"/>
    <w:rsid w:val="14241136"/>
    <w:rsid w:val="143E0F6B"/>
    <w:rsid w:val="14442121"/>
    <w:rsid w:val="144813FA"/>
    <w:rsid w:val="147159B3"/>
    <w:rsid w:val="14894382"/>
    <w:rsid w:val="14C1617C"/>
    <w:rsid w:val="1501194F"/>
    <w:rsid w:val="1522711C"/>
    <w:rsid w:val="15255B86"/>
    <w:rsid w:val="15522E3B"/>
    <w:rsid w:val="157538C6"/>
    <w:rsid w:val="15753E27"/>
    <w:rsid w:val="15850B60"/>
    <w:rsid w:val="158B7D02"/>
    <w:rsid w:val="159D071C"/>
    <w:rsid w:val="15B71A44"/>
    <w:rsid w:val="15D800BC"/>
    <w:rsid w:val="15E341E8"/>
    <w:rsid w:val="160C2234"/>
    <w:rsid w:val="1641229D"/>
    <w:rsid w:val="164A41CA"/>
    <w:rsid w:val="164F1DB0"/>
    <w:rsid w:val="16786E72"/>
    <w:rsid w:val="16891AEB"/>
    <w:rsid w:val="16A018C7"/>
    <w:rsid w:val="16C44F84"/>
    <w:rsid w:val="16E204EC"/>
    <w:rsid w:val="171C7FA8"/>
    <w:rsid w:val="173108AC"/>
    <w:rsid w:val="17477C8E"/>
    <w:rsid w:val="175C5945"/>
    <w:rsid w:val="17A93DE2"/>
    <w:rsid w:val="17D4340D"/>
    <w:rsid w:val="180A2810"/>
    <w:rsid w:val="18422CDC"/>
    <w:rsid w:val="18756647"/>
    <w:rsid w:val="189A7EC0"/>
    <w:rsid w:val="18FE0041"/>
    <w:rsid w:val="19103EC3"/>
    <w:rsid w:val="19142F50"/>
    <w:rsid w:val="192C0504"/>
    <w:rsid w:val="19696141"/>
    <w:rsid w:val="198125D3"/>
    <w:rsid w:val="198C2452"/>
    <w:rsid w:val="198D33CF"/>
    <w:rsid w:val="19971652"/>
    <w:rsid w:val="19AD1272"/>
    <w:rsid w:val="19BB50D2"/>
    <w:rsid w:val="1A2C4A44"/>
    <w:rsid w:val="1A2F73E9"/>
    <w:rsid w:val="1A4768A9"/>
    <w:rsid w:val="1A4E48B8"/>
    <w:rsid w:val="1A7729DA"/>
    <w:rsid w:val="1A89633D"/>
    <w:rsid w:val="1A8E1929"/>
    <w:rsid w:val="1AAC7DCD"/>
    <w:rsid w:val="1ACD2659"/>
    <w:rsid w:val="1AE57390"/>
    <w:rsid w:val="1AF16087"/>
    <w:rsid w:val="1B211CE1"/>
    <w:rsid w:val="1B307BB5"/>
    <w:rsid w:val="1B33149B"/>
    <w:rsid w:val="1B724FEB"/>
    <w:rsid w:val="1B8267E7"/>
    <w:rsid w:val="1B8A679C"/>
    <w:rsid w:val="1B8B37CC"/>
    <w:rsid w:val="1B8C143E"/>
    <w:rsid w:val="1BC60A6A"/>
    <w:rsid w:val="1BCE0007"/>
    <w:rsid w:val="1BED159E"/>
    <w:rsid w:val="1C036581"/>
    <w:rsid w:val="1C124B51"/>
    <w:rsid w:val="1C1373AC"/>
    <w:rsid w:val="1C156F10"/>
    <w:rsid w:val="1C340F40"/>
    <w:rsid w:val="1C3B2A5F"/>
    <w:rsid w:val="1C3B2D36"/>
    <w:rsid w:val="1C543B16"/>
    <w:rsid w:val="1C550F6C"/>
    <w:rsid w:val="1C591940"/>
    <w:rsid w:val="1C9823C3"/>
    <w:rsid w:val="1CB055E1"/>
    <w:rsid w:val="1CF964C4"/>
    <w:rsid w:val="1D17085D"/>
    <w:rsid w:val="1D503E3A"/>
    <w:rsid w:val="1D5E000A"/>
    <w:rsid w:val="1D67017C"/>
    <w:rsid w:val="1D794D70"/>
    <w:rsid w:val="1D8B2261"/>
    <w:rsid w:val="1D8B6A06"/>
    <w:rsid w:val="1DD06CF6"/>
    <w:rsid w:val="1DD73BD0"/>
    <w:rsid w:val="1DDF12F2"/>
    <w:rsid w:val="1DE652FE"/>
    <w:rsid w:val="1E08345B"/>
    <w:rsid w:val="1E435314"/>
    <w:rsid w:val="1E88083F"/>
    <w:rsid w:val="1ECA5539"/>
    <w:rsid w:val="1ECB5E3A"/>
    <w:rsid w:val="1ED95EED"/>
    <w:rsid w:val="1F1040F0"/>
    <w:rsid w:val="1F38503A"/>
    <w:rsid w:val="1F3D1A60"/>
    <w:rsid w:val="1F4D46C5"/>
    <w:rsid w:val="1F5533CC"/>
    <w:rsid w:val="1F704E5B"/>
    <w:rsid w:val="1F737547"/>
    <w:rsid w:val="1F800904"/>
    <w:rsid w:val="1FA06E4B"/>
    <w:rsid w:val="1FA923BC"/>
    <w:rsid w:val="1FD6122E"/>
    <w:rsid w:val="1FDB1541"/>
    <w:rsid w:val="200B57A0"/>
    <w:rsid w:val="20151A77"/>
    <w:rsid w:val="204119C7"/>
    <w:rsid w:val="20541381"/>
    <w:rsid w:val="20801472"/>
    <w:rsid w:val="208E20DE"/>
    <w:rsid w:val="20C5063B"/>
    <w:rsid w:val="20EF2531"/>
    <w:rsid w:val="20FC7B24"/>
    <w:rsid w:val="20FE4FE4"/>
    <w:rsid w:val="210448FA"/>
    <w:rsid w:val="21046381"/>
    <w:rsid w:val="210D32B8"/>
    <w:rsid w:val="212F5EF5"/>
    <w:rsid w:val="21510035"/>
    <w:rsid w:val="21592B2D"/>
    <w:rsid w:val="21595309"/>
    <w:rsid w:val="21742CF4"/>
    <w:rsid w:val="21F067BD"/>
    <w:rsid w:val="22075E71"/>
    <w:rsid w:val="22160A93"/>
    <w:rsid w:val="221B1CE4"/>
    <w:rsid w:val="221F1271"/>
    <w:rsid w:val="2249583E"/>
    <w:rsid w:val="226D51A4"/>
    <w:rsid w:val="22893F63"/>
    <w:rsid w:val="228C4182"/>
    <w:rsid w:val="229F3671"/>
    <w:rsid w:val="22AE3945"/>
    <w:rsid w:val="22BB6C99"/>
    <w:rsid w:val="22C37121"/>
    <w:rsid w:val="22E50C84"/>
    <w:rsid w:val="22FB6F78"/>
    <w:rsid w:val="230338F7"/>
    <w:rsid w:val="23053DDA"/>
    <w:rsid w:val="23225D32"/>
    <w:rsid w:val="233D3D5B"/>
    <w:rsid w:val="23507B4F"/>
    <w:rsid w:val="236C060D"/>
    <w:rsid w:val="237643E4"/>
    <w:rsid w:val="239E3C8E"/>
    <w:rsid w:val="23A901DB"/>
    <w:rsid w:val="23A979DB"/>
    <w:rsid w:val="23A97EAD"/>
    <w:rsid w:val="23D879A1"/>
    <w:rsid w:val="23DD496B"/>
    <w:rsid w:val="23ED46EB"/>
    <w:rsid w:val="23F818AA"/>
    <w:rsid w:val="242A35D3"/>
    <w:rsid w:val="2435301D"/>
    <w:rsid w:val="243F358B"/>
    <w:rsid w:val="244A0D6E"/>
    <w:rsid w:val="245353A1"/>
    <w:rsid w:val="24845B97"/>
    <w:rsid w:val="24C0322E"/>
    <w:rsid w:val="24D34444"/>
    <w:rsid w:val="24E52E58"/>
    <w:rsid w:val="24E66BC5"/>
    <w:rsid w:val="24FB236C"/>
    <w:rsid w:val="2521341D"/>
    <w:rsid w:val="254960CA"/>
    <w:rsid w:val="254E4BD7"/>
    <w:rsid w:val="256D669C"/>
    <w:rsid w:val="256E7EDA"/>
    <w:rsid w:val="257039F9"/>
    <w:rsid w:val="257F00C0"/>
    <w:rsid w:val="25CD79B1"/>
    <w:rsid w:val="25F24AE1"/>
    <w:rsid w:val="25F261BC"/>
    <w:rsid w:val="25F73792"/>
    <w:rsid w:val="264A5E5F"/>
    <w:rsid w:val="265E7DE4"/>
    <w:rsid w:val="266A5AFE"/>
    <w:rsid w:val="26701B93"/>
    <w:rsid w:val="268140FA"/>
    <w:rsid w:val="26883910"/>
    <w:rsid w:val="26A063F5"/>
    <w:rsid w:val="26B8715B"/>
    <w:rsid w:val="26B96BFA"/>
    <w:rsid w:val="270B126E"/>
    <w:rsid w:val="27255B07"/>
    <w:rsid w:val="274A682D"/>
    <w:rsid w:val="2760510D"/>
    <w:rsid w:val="2770111E"/>
    <w:rsid w:val="27711123"/>
    <w:rsid w:val="27922641"/>
    <w:rsid w:val="27977479"/>
    <w:rsid w:val="27A11CF6"/>
    <w:rsid w:val="28033727"/>
    <w:rsid w:val="2839653D"/>
    <w:rsid w:val="287A7AF8"/>
    <w:rsid w:val="287D67D0"/>
    <w:rsid w:val="289C222B"/>
    <w:rsid w:val="28C94B90"/>
    <w:rsid w:val="28D5778A"/>
    <w:rsid w:val="29193ABB"/>
    <w:rsid w:val="291B40EF"/>
    <w:rsid w:val="293B30EE"/>
    <w:rsid w:val="2972008E"/>
    <w:rsid w:val="29751113"/>
    <w:rsid w:val="29DA7E93"/>
    <w:rsid w:val="29F00F38"/>
    <w:rsid w:val="29F210C6"/>
    <w:rsid w:val="2A0A187F"/>
    <w:rsid w:val="2A0F235C"/>
    <w:rsid w:val="2A115B0A"/>
    <w:rsid w:val="2A2417C2"/>
    <w:rsid w:val="2A5C0518"/>
    <w:rsid w:val="2A682038"/>
    <w:rsid w:val="2AA42601"/>
    <w:rsid w:val="2AA9304E"/>
    <w:rsid w:val="2ABA36EB"/>
    <w:rsid w:val="2AC62C21"/>
    <w:rsid w:val="2ACE799F"/>
    <w:rsid w:val="2AE65827"/>
    <w:rsid w:val="2AEE0173"/>
    <w:rsid w:val="2B0F51CE"/>
    <w:rsid w:val="2B2F225E"/>
    <w:rsid w:val="2B3C72FC"/>
    <w:rsid w:val="2B572C20"/>
    <w:rsid w:val="2B8B4CF4"/>
    <w:rsid w:val="2BA02E4C"/>
    <w:rsid w:val="2BB82E2A"/>
    <w:rsid w:val="2BE86230"/>
    <w:rsid w:val="2C7566AC"/>
    <w:rsid w:val="2C89044C"/>
    <w:rsid w:val="2CFF6418"/>
    <w:rsid w:val="2D055FC9"/>
    <w:rsid w:val="2D15589B"/>
    <w:rsid w:val="2D222F9A"/>
    <w:rsid w:val="2D39598D"/>
    <w:rsid w:val="2D670B3C"/>
    <w:rsid w:val="2D985528"/>
    <w:rsid w:val="2E07737F"/>
    <w:rsid w:val="2E1E0AE3"/>
    <w:rsid w:val="2E655ADE"/>
    <w:rsid w:val="2E755202"/>
    <w:rsid w:val="2EB44927"/>
    <w:rsid w:val="2EB94AE2"/>
    <w:rsid w:val="2EE3062C"/>
    <w:rsid w:val="2F080C41"/>
    <w:rsid w:val="2F6C2DFD"/>
    <w:rsid w:val="2FBC30FB"/>
    <w:rsid w:val="2FCE6D7B"/>
    <w:rsid w:val="2FD85EF9"/>
    <w:rsid w:val="2FEE321E"/>
    <w:rsid w:val="30576F3E"/>
    <w:rsid w:val="30714C8B"/>
    <w:rsid w:val="308B507D"/>
    <w:rsid w:val="309F5D7D"/>
    <w:rsid w:val="30A42807"/>
    <w:rsid w:val="30BB0160"/>
    <w:rsid w:val="30DD201A"/>
    <w:rsid w:val="30DD3FAE"/>
    <w:rsid w:val="31065A7F"/>
    <w:rsid w:val="310D282C"/>
    <w:rsid w:val="31140687"/>
    <w:rsid w:val="31185953"/>
    <w:rsid w:val="31421B4C"/>
    <w:rsid w:val="316C2475"/>
    <w:rsid w:val="316F5EB3"/>
    <w:rsid w:val="31751F6E"/>
    <w:rsid w:val="3192773B"/>
    <w:rsid w:val="320557A2"/>
    <w:rsid w:val="323A30ED"/>
    <w:rsid w:val="32520785"/>
    <w:rsid w:val="32886636"/>
    <w:rsid w:val="329E1117"/>
    <w:rsid w:val="329F2398"/>
    <w:rsid w:val="32AA51B2"/>
    <w:rsid w:val="32C0066B"/>
    <w:rsid w:val="33197A8E"/>
    <w:rsid w:val="331C362A"/>
    <w:rsid w:val="333922D2"/>
    <w:rsid w:val="335A1BD8"/>
    <w:rsid w:val="337A6F26"/>
    <w:rsid w:val="3392471F"/>
    <w:rsid w:val="33D6027B"/>
    <w:rsid w:val="34147161"/>
    <w:rsid w:val="341E7771"/>
    <w:rsid w:val="3472079A"/>
    <w:rsid w:val="3482482E"/>
    <w:rsid w:val="34883D68"/>
    <w:rsid w:val="348E0C53"/>
    <w:rsid w:val="348F22D5"/>
    <w:rsid w:val="34A901BF"/>
    <w:rsid w:val="34B30267"/>
    <w:rsid w:val="34C2080D"/>
    <w:rsid w:val="34C65527"/>
    <w:rsid w:val="34EF6B49"/>
    <w:rsid w:val="34F0056B"/>
    <w:rsid w:val="34F767F8"/>
    <w:rsid w:val="351E21D3"/>
    <w:rsid w:val="356B3290"/>
    <w:rsid w:val="35A04F88"/>
    <w:rsid w:val="35A57653"/>
    <w:rsid w:val="35BF2ADC"/>
    <w:rsid w:val="35CE45BD"/>
    <w:rsid w:val="35F0168A"/>
    <w:rsid w:val="35F24CED"/>
    <w:rsid w:val="36034D29"/>
    <w:rsid w:val="360F4796"/>
    <w:rsid w:val="36144820"/>
    <w:rsid w:val="367C5D94"/>
    <w:rsid w:val="36F24F4A"/>
    <w:rsid w:val="370C70EA"/>
    <w:rsid w:val="371467B7"/>
    <w:rsid w:val="372B78B0"/>
    <w:rsid w:val="373B67F6"/>
    <w:rsid w:val="37753A04"/>
    <w:rsid w:val="37AB1B65"/>
    <w:rsid w:val="37B7568B"/>
    <w:rsid w:val="37BA0ACF"/>
    <w:rsid w:val="37C24A54"/>
    <w:rsid w:val="37D8201D"/>
    <w:rsid w:val="37E61E58"/>
    <w:rsid w:val="37EF1A09"/>
    <w:rsid w:val="38011D79"/>
    <w:rsid w:val="38046F6B"/>
    <w:rsid w:val="3833548A"/>
    <w:rsid w:val="385D1BBB"/>
    <w:rsid w:val="3861375F"/>
    <w:rsid w:val="387D53E8"/>
    <w:rsid w:val="38C7432A"/>
    <w:rsid w:val="38E80867"/>
    <w:rsid w:val="391303D2"/>
    <w:rsid w:val="3972255F"/>
    <w:rsid w:val="397D5D30"/>
    <w:rsid w:val="398268AC"/>
    <w:rsid w:val="399B2ED5"/>
    <w:rsid w:val="399E5EDA"/>
    <w:rsid w:val="39C72BCA"/>
    <w:rsid w:val="39D53465"/>
    <w:rsid w:val="39EE35E7"/>
    <w:rsid w:val="39F433DC"/>
    <w:rsid w:val="3A6C6585"/>
    <w:rsid w:val="3A777583"/>
    <w:rsid w:val="3A9B5E78"/>
    <w:rsid w:val="3AE74BB8"/>
    <w:rsid w:val="3B4A30BA"/>
    <w:rsid w:val="3B557EF9"/>
    <w:rsid w:val="3B8F3498"/>
    <w:rsid w:val="3B98131F"/>
    <w:rsid w:val="3BA05290"/>
    <w:rsid w:val="3BCE6DE3"/>
    <w:rsid w:val="3C05725C"/>
    <w:rsid w:val="3C286914"/>
    <w:rsid w:val="3C861851"/>
    <w:rsid w:val="3C94676F"/>
    <w:rsid w:val="3CA776A5"/>
    <w:rsid w:val="3CE44041"/>
    <w:rsid w:val="3CF55249"/>
    <w:rsid w:val="3D442BF0"/>
    <w:rsid w:val="3D4D5870"/>
    <w:rsid w:val="3D61345F"/>
    <w:rsid w:val="3D7D4281"/>
    <w:rsid w:val="3D995B53"/>
    <w:rsid w:val="3DB868D1"/>
    <w:rsid w:val="3DE00447"/>
    <w:rsid w:val="3DFA0F2D"/>
    <w:rsid w:val="3DFA422C"/>
    <w:rsid w:val="3E045C2F"/>
    <w:rsid w:val="3E2241BA"/>
    <w:rsid w:val="3E69019D"/>
    <w:rsid w:val="3E7C657A"/>
    <w:rsid w:val="3E905A03"/>
    <w:rsid w:val="3E9A4916"/>
    <w:rsid w:val="3EA70758"/>
    <w:rsid w:val="3EF8276B"/>
    <w:rsid w:val="3F022634"/>
    <w:rsid w:val="3F0A537A"/>
    <w:rsid w:val="3F2A6245"/>
    <w:rsid w:val="3F2B31BA"/>
    <w:rsid w:val="3F6F507E"/>
    <w:rsid w:val="3F7B396A"/>
    <w:rsid w:val="3F827104"/>
    <w:rsid w:val="3FA5691F"/>
    <w:rsid w:val="3FC50A8A"/>
    <w:rsid w:val="3FC54D91"/>
    <w:rsid w:val="3FD12564"/>
    <w:rsid w:val="3FD90C15"/>
    <w:rsid w:val="40003E21"/>
    <w:rsid w:val="40147805"/>
    <w:rsid w:val="401E0CD3"/>
    <w:rsid w:val="405B0CDB"/>
    <w:rsid w:val="40704D62"/>
    <w:rsid w:val="40733486"/>
    <w:rsid w:val="407646A4"/>
    <w:rsid w:val="4077259B"/>
    <w:rsid w:val="408964AA"/>
    <w:rsid w:val="41254E63"/>
    <w:rsid w:val="41342775"/>
    <w:rsid w:val="41434D48"/>
    <w:rsid w:val="416F71F4"/>
    <w:rsid w:val="41886A2A"/>
    <w:rsid w:val="418E5E24"/>
    <w:rsid w:val="41AA5D92"/>
    <w:rsid w:val="41E66793"/>
    <w:rsid w:val="41EC1A2D"/>
    <w:rsid w:val="41F94252"/>
    <w:rsid w:val="42386A40"/>
    <w:rsid w:val="425115FB"/>
    <w:rsid w:val="42725572"/>
    <w:rsid w:val="42A308CE"/>
    <w:rsid w:val="42A34F6E"/>
    <w:rsid w:val="42A44586"/>
    <w:rsid w:val="42AB258C"/>
    <w:rsid w:val="42BE4111"/>
    <w:rsid w:val="43006A16"/>
    <w:rsid w:val="430767CA"/>
    <w:rsid w:val="434451DE"/>
    <w:rsid w:val="43646053"/>
    <w:rsid w:val="4389338E"/>
    <w:rsid w:val="4391336B"/>
    <w:rsid w:val="43DA6926"/>
    <w:rsid w:val="43FA3C0F"/>
    <w:rsid w:val="443609BF"/>
    <w:rsid w:val="443C38DB"/>
    <w:rsid w:val="4441536D"/>
    <w:rsid w:val="444D4C20"/>
    <w:rsid w:val="44885C63"/>
    <w:rsid w:val="44E766B6"/>
    <w:rsid w:val="44F7014F"/>
    <w:rsid w:val="4544368A"/>
    <w:rsid w:val="4554124B"/>
    <w:rsid w:val="45726CB7"/>
    <w:rsid w:val="458C58FF"/>
    <w:rsid w:val="45DB62E8"/>
    <w:rsid w:val="45DD622C"/>
    <w:rsid w:val="45EF52CA"/>
    <w:rsid w:val="45F3236A"/>
    <w:rsid w:val="45F72F6F"/>
    <w:rsid w:val="45F950EB"/>
    <w:rsid w:val="460D24E5"/>
    <w:rsid w:val="467B27EE"/>
    <w:rsid w:val="4698326B"/>
    <w:rsid w:val="46A67D0F"/>
    <w:rsid w:val="46AE6A9F"/>
    <w:rsid w:val="46BA60D8"/>
    <w:rsid w:val="46C27F5E"/>
    <w:rsid w:val="46CD3593"/>
    <w:rsid w:val="471E25DC"/>
    <w:rsid w:val="472B7DBD"/>
    <w:rsid w:val="4730073B"/>
    <w:rsid w:val="473953E9"/>
    <w:rsid w:val="474D5189"/>
    <w:rsid w:val="47613278"/>
    <w:rsid w:val="478E1476"/>
    <w:rsid w:val="47A77999"/>
    <w:rsid w:val="47C80EAB"/>
    <w:rsid w:val="480000D5"/>
    <w:rsid w:val="48123245"/>
    <w:rsid w:val="4814724D"/>
    <w:rsid w:val="481E1490"/>
    <w:rsid w:val="483A1B35"/>
    <w:rsid w:val="48525FB7"/>
    <w:rsid w:val="48797D06"/>
    <w:rsid w:val="48BC7448"/>
    <w:rsid w:val="48E336F6"/>
    <w:rsid w:val="48E625B0"/>
    <w:rsid w:val="49056714"/>
    <w:rsid w:val="49106465"/>
    <w:rsid w:val="49195F57"/>
    <w:rsid w:val="493379A8"/>
    <w:rsid w:val="495D2090"/>
    <w:rsid w:val="498E0956"/>
    <w:rsid w:val="49910988"/>
    <w:rsid w:val="49B30708"/>
    <w:rsid w:val="49F75F5E"/>
    <w:rsid w:val="49FA0651"/>
    <w:rsid w:val="4A2A2D74"/>
    <w:rsid w:val="4A4A3521"/>
    <w:rsid w:val="4AA71688"/>
    <w:rsid w:val="4AA913E0"/>
    <w:rsid w:val="4ABC1315"/>
    <w:rsid w:val="4AE20F59"/>
    <w:rsid w:val="4AF909D2"/>
    <w:rsid w:val="4B083556"/>
    <w:rsid w:val="4B183B34"/>
    <w:rsid w:val="4B3247A2"/>
    <w:rsid w:val="4B34547F"/>
    <w:rsid w:val="4B3945C4"/>
    <w:rsid w:val="4B90794F"/>
    <w:rsid w:val="4BAE79EB"/>
    <w:rsid w:val="4BB34581"/>
    <w:rsid w:val="4BBE7C8E"/>
    <w:rsid w:val="4BE33FFB"/>
    <w:rsid w:val="4BEC6416"/>
    <w:rsid w:val="4C7A0C61"/>
    <w:rsid w:val="4C9401DA"/>
    <w:rsid w:val="4CB4463F"/>
    <w:rsid w:val="4CB574D7"/>
    <w:rsid w:val="4CDE287B"/>
    <w:rsid w:val="4D1F597B"/>
    <w:rsid w:val="4D3727CC"/>
    <w:rsid w:val="4D6420F9"/>
    <w:rsid w:val="4D6C68D4"/>
    <w:rsid w:val="4D893CED"/>
    <w:rsid w:val="4DC862A1"/>
    <w:rsid w:val="4DCB3F26"/>
    <w:rsid w:val="4DDC70EA"/>
    <w:rsid w:val="4E0F2274"/>
    <w:rsid w:val="4E291D7A"/>
    <w:rsid w:val="4E670F9D"/>
    <w:rsid w:val="4E683E6B"/>
    <w:rsid w:val="4E865360"/>
    <w:rsid w:val="4EAA4484"/>
    <w:rsid w:val="4EDE5EDB"/>
    <w:rsid w:val="4EF73D67"/>
    <w:rsid w:val="4F285706"/>
    <w:rsid w:val="4F336575"/>
    <w:rsid w:val="4F654873"/>
    <w:rsid w:val="4F874A89"/>
    <w:rsid w:val="4F8B0776"/>
    <w:rsid w:val="4F934A5D"/>
    <w:rsid w:val="4FB84005"/>
    <w:rsid w:val="4FDE56FB"/>
    <w:rsid w:val="5026378F"/>
    <w:rsid w:val="50301900"/>
    <w:rsid w:val="50360706"/>
    <w:rsid w:val="50453807"/>
    <w:rsid w:val="504D5D5D"/>
    <w:rsid w:val="50901457"/>
    <w:rsid w:val="50943EF2"/>
    <w:rsid w:val="50AC2A41"/>
    <w:rsid w:val="50B46B2F"/>
    <w:rsid w:val="50C818E4"/>
    <w:rsid w:val="50CC3A9C"/>
    <w:rsid w:val="50FC19F8"/>
    <w:rsid w:val="511A2BC5"/>
    <w:rsid w:val="512E274E"/>
    <w:rsid w:val="51300383"/>
    <w:rsid w:val="51422EF1"/>
    <w:rsid w:val="514F30C0"/>
    <w:rsid w:val="5169632D"/>
    <w:rsid w:val="519A258E"/>
    <w:rsid w:val="519A376E"/>
    <w:rsid w:val="519C11A4"/>
    <w:rsid w:val="51D2092A"/>
    <w:rsid w:val="51D63B03"/>
    <w:rsid w:val="51EC4D45"/>
    <w:rsid w:val="51F46E75"/>
    <w:rsid w:val="51F577C4"/>
    <w:rsid w:val="51FA5A15"/>
    <w:rsid w:val="51FB68CC"/>
    <w:rsid w:val="521F00FF"/>
    <w:rsid w:val="5230313E"/>
    <w:rsid w:val="52410A24"/>
    <w:rsid w:val="525A34E3"/>
    <w:rsid w:val="528519A6"/>
    <w:rsid w:val="52AC63CA"/>
    <w:rsid w:val="52B22A77"/>
    <w:rsid w:val="52BF2FD2"/>
    <w:rsid w:val="53124FDB"/>
    <w:rsid w:val="53604A8C"/>
    <w:rsid w:val="53AE4BA5"/>
    <w:rsid w:val="53B66002"/>
    <w:rsid w:val="53BC0735"/>
    <w:rsid w:val="53DA1367"/>
    <w:rsid w:val="53E57531"/>
    <w:rsid w:val="53FE6AE6"/>
    <w:rsid w:val="54003677"/>
    <w:rsid w:val="541E2DD9"/>
    <w:rsid w:val="544F3761"/>
    <w:rsid w:val="545C62E5"/>
    <w:rsid w:val="54723623"/>
    <w:rsid w:val="54B434E7"/>
    <w:rsid w:val="55082833"/>
    <w:rsid w:val="55193F5A"/>
    <w:rsid w:val="55303D8C"/>
    <w:rsid w:val="55391492"/>
    <w:rsid w:val="556243F1"/>
    <w:rsid w:val="55957669"/>
    <w:rsid w:val="55AB582B"/>
    <w:rsid w:val="55AF2380"/>
    <w:rsid w:val="55B153D8"/>
    <w:rsid w:val="55D10548"/>
    <w:rsid w:val="55D269F0"/>
    <w:rsid w:val="55D60AE7"/>
    <w:rsid w:val="55F533C6"/>
    <w:rsid w:val="55F80214"/>
    <w:rsid w:val="55F905DC"/>
    <w:rsid w:val="560C77D2"/>
    <w:rsid w:val="562B338A"/>
    <w:rsid w:val="563E5485"/>
    <w:rsid w:val="565C2D30"/>
    <w:rsid w:val="568F25D2"/>
    <w:rsid w:val="56A4200E"/>
    <w:rsid w:val="56BC626B"/>
    <w:rsid w:val="572838A2"/>
    <w:rsid w:val="572E6189"/>
    <w:rsid w:val="573037B9"/>
    <w:rsid w:val="57323D83"/>
    <w:rsid w:val="574A1DC1"/>
    <w:rsid w:val="575A5EE0"/>
    <w:rsid w:val="57653D07"/>
    <w:rsid w:val="57C00874"/>
    <w:rsid w:val="57C1604E"/>
    <w:rsid w:val="57D731D9"/>
    <w:rsid w:val="57DA45C9"/>
    <w:rsid w:val="57DD37EE"/>
    <w:rsid w:val="57E91B79"/>
    <w:rsid w:val="57F90D56"/>
    <w:rsid w:val="5825158A"/>
    <w:rsid w:val="582F5C4F"/>
    <w:rsid w:val="583A4D5A"/>
    <w:rsid w:val="588531DB"/>
    <w:rsid w:val="58D67453"/>
    <w:rsid w:val="59203E1A"/>
    <w:rsid w:val="593B3B65"/>
    <w:rsid w:val="595729B6"/>
    <w:rsid w:val="59592D2E"/>
    <w:rsid w:val="59653481"/>
    <w:rsid w:val="59CE39EB"/>
    <w:rsid w:val="59E13AFC"/>
    <w:rsid w:val="59FD65C1"/>
    <w:rsid w:val="5A2C21F1"/>
    <w:rsid w:val="5A3A0AC7"/>
    <w:rsid w:val="5A6039B6"/>
    <w:rsid w:val="5A647BDD"/>
    <w:rsid w:val="5A6E456F"/>
    <w:rsid w:val="5A7F32A6"/>
    <w:rsid w:val="5A991498"/>
    <w:rsid w:val="5AC8161D"/>
    <w:rsid w:val="5ACD17A4"/>
    <w:rsid w:val="5B4B159F"/>
    <w:rsid w:val="5B63385E"/>
    <w:rsid w:val="5B797F4C"/>
    <w:rsid w:val="5B7F4862"/>
    <w:rsid w:val="5B867A54"/>
    <w:rsid w:val="5B995B71"/>
    <w:rsid w:val="5BA07AB0"/>
    <w:rsid w:val="5C13266B"/>
    <w:rsid w:val="5C166CDC"/>
    <w:rsid w:val="5C3D2184"/>
    <w:rsid w:val="5C6F2FD4"/>
    <w:rsid w:val="5C9412E2"/>
    <w:rsid w:val="5CA2761C"/>
    <w:rsid w:val="5CE82D65"/>
    <w:rsid w:val="5D266DA3"/>
    <w:rsid w:val="5D6C1D0C"/>
    <w:rsid w:val="5D860389"/>
    <w:rsid w:val="5D9B1F37"/>
    <w:rsid w:val="5DC47F29"/>
    <w:rsid w:val="5DDC7A8A"/>
    <w:rsid w:val="5DEC4171"/>
    <w:rsid w:val="5E27590B"/>
    <w:rsid w:val="5E2B47A4"/>
    <w:rsid w:val="5E395DEB"/>
    <w:rsid w:val="5E531FB8"/>
    <w:rsid w:val="5E5C6F4D"/>
    <w:rsid w:val="5E7B18F1"/>
    <w:rsid w:val="5E897EC1"/>
    <w:rsid w:val="5EB514F1"/>
    <w:rsid w:val="5EF61F2F"/>
    <w:rsid w:val="5F0A11FE"/>
    <w:rsid w:val="5F2B69C6"/>
    <w:rsid w:val="5F2D6E67"/>
    <w:rsid w:val="5F3D08D6"/>
    <w:rsid w:val="5F4B5267"/>
    <w:rsid w:val="5F7561B1"/>
    <w:rsid w:val="5F7F3D8E"/>
    <w:rsid w:val="5FCC1F5F"/>
    <w:rsid w:val="5FDD1F55"/>
    <w:rsid w:val="600039CD"/>
    <w:rsid w:val="601B1F3E"/>
    <w:rsid w:val="605C5137"/>
    <w:rsid w:val="6065781C"/>
    <w:rsid w:val="60737E57"/>
    <w:rsid w:val="607B2B61"/>
    <w:rsid w:val="608A78C9"/>
    <w:rsid w:val="60991688"/>
    <w:rsid w:val="60B44278"/>
    <w:rsid w:val="60D64398"/>
    <w:rsid w:val="60EC092C"/>
    <w:rsid w:val="61092D31"/>
    <w:rsid w:val="613439FD"/>
    <w:rsid w:val="61B47324"/>
    <w:rsid w:val="61C15947"/>
    <w:rsid w:val="61D03D4A"/>
    <w:rsid w:val="622F59C6"/>
    <w:rsid w:val="62371479"/>
    <w:rsid w:val="62410803"/>
    <w:rsid w:val="62732526"/>
    <w:rsid w:val="62865532"/>
    <w:rsid w:val="62A76F2B"/>
    <w:rsid w:val="62B83AF1"/>
    <w:rsid w:val="62FD69F4"/>
    <w:rsid w:val="630A4295"/>
    <w:rsid w:val="63431E63"/>
    <w:rsid w:val="6356609E"/>
    <w:rsid w:val="638C5359"/>
    <w:rsid w:val="63984453"/>
    <w:rsid w:val="6398626D"/>
    <w:rsid w:val="63AB67D9"/>
    <w:rsid w:val="63D23F19"/>
    <w:rsid w:val="63D33A25"/>
    <w:rsid w:val="63DD15B9"/>
    <w:rsid w:val="63E02C32"/>
    <w:rsid w:val="63E97FAA"/>
    <w:rsid w:val="64011F3B"/>
    <w:rsid w:val="6405643E"/>
    <w:rsid w:val="64077DB2"/>
    <w:rsid w:val="643001F9"/>
    <w:rsid w:val="64417068"/>
    <w:rsid w:val="648D1629"/>
    <w:rsid w:val="649327DD"/>
    <w:rsid w:val="649632D8"/>
    <w:rsid w:val="64CF69DA"/>
    <w:rsid w:val="65016C9F"/>
    <w:rsid w:val="651356E3"/>
    <w:rsid w:val="65235A37"/>
    <w:rsid w:val="653140AA"/>
    <w:rsid w:val="654C452C"/>
    <w:rsid w:val="655848BB"/>
    <w:rsid w:val="65883011"/>
    <w:rsid w:val="65BC3CE4"/>
    <w:rsid w:val="65C47781"/>
    <w:rsid w:val="660A2875"/>
    <w:rsid w:val="66302303"/>
    <w:rsid w:val="665E710B"/>
    <w:rsid w:val="66666A8A"/>
    <w:rsid w:val="6669347A"/>
    <w:rsid w:val="66794A10"/>
    <w:rsid w:val="667D68EA"/>
    <w:rsid w:val="66BE6764"/>
    <w:rsid w:val="66E52197"/>
    <w:rsid w:val="67416A89"/>
    <w:rsid w:val="674340AF"/>
    <w:rsid w:val="6779004A"/>
    <w:rsid w:val="67D93335"/>
    <w:rsid w:val="67DA4787"/>
    <w:rsid w:val="67DC2BAA"/>
    <w:rsid w:val="67E07D5A"/>
    <w:rsid w:val="67E1461B"/>
    <w:rsid w:val="680C4422"/>
    <w:rsid w:val="6822255D"/>
    <w:rsid w:val="684018D6"/>
    <w:rsid w:val="68460921"/>
    <w:rsid w:val="68596047"/>
    <w:rsid w:val="68730366"/>
    <w:rsid w:val="688376ED"/>
    <w:rsid w:val="68A45FCA"/>
    <w:rsid w:val="68C4460F"/>
    <w:rsid w:val="68F02F38"/>
    <w:rsid w:val="69005BC0"/>
    <w:rsid w:val="690236B5"/>
    <w:rsid w:val="693B7CB1"/>
    <w:rsid w:val="695536F7"/>
    <w:rsid w:val="696C39C6"/>
    <w:rsid w:val="69F677A3"/>
    <w:rsid w:val="6A004695"/>
    <w:rsid w:val="6A367173"/>
    <w:rsid w:val="6A883FFB"/>
    <w:rsid w:val="6ACE7B92"/>
    <w:rsid w:val="6AEB4725"/>
    <w:rsid w:val="6AF03B4A"/>
    <w:rsid w:val="6B006A23"/>
    <w:rsid w:val="6B0E5A52"/>
    <w:rsid w:val="6B3324F7"/>
    <w:rsid w:val="6B3A2540"/>
    <w:rsid w:val="6B5422AC"/>
    <w:rsid w:val="6B831667"/>
    <w:rsid w:val="6B8B3724"/>
    <w:rsid w:val="6B8D376B"/>
    <w:rsid w:val="6B8D429F"/>
    <w:rsid w:val="6B977093"/>
    <w:rsid w:val="6BA53BB1"/>
    <w:rsid w:val="6BB64523"/>
    <w:rsid w:val="6BB931E9"/>
    <w:rsid w:val="6BFE63CF"/>
    <w:rsid w:val="6C001849"/>
    <w:rsid w:val="6C1947B2"/>
    <w:rsid w:val="6C286674"/>
    <w:rsid w:val="6C295DE9"/>
    <w:rsid w:val="6C3736ED"/>
    <w:rsid w:val="6C3D1AD0"/>
    <w:rsid w:val="6C5775A1"/>
    <w:rsid w:val="6C584443"/>
    <w:rsid w:val="6C5C763E"/>
    <w:rsid w:val="6C6F7A0C"/>
    <w:rsid w:val="6C77554D"/>
    <w:rsid w:val="6C91485E"/>
    <w:rsid w:val="6CCB1967"/>
    <w:rsid w:val="6CCB6663"/>
    <w:rsid w:val="6CF636FC"/>
    <w:rsid w:val="6D151B51"/>
    <w:rsid w:val="6D396CA7"/>
    <w:rsid w:val="6D48145E"/>
    <w:rsid w:val="6DBC1DCC"/>
    <w:rsid w:val="6DE333D5"/>
    <w:rsid w:val="6E0949F7"/>
    <w:rsid w:val="6E740F79"/>
    <w:rsid w:val="6E76443B"/>
    <w:rsid w:val="6E7F0FCF"/>
    <w:rsid w:val="6E9E188F"/>
    <w:rsid w:val="6EA4236F"/>
    <w:rsid w:val="6EA70DE9"/>
    <w:rsid w:val="6EBB6A27"/>
    <w:rsid w:val="6F073538"/>
    <w:rsid w:val="6F0F11A9"/>
    <w:rsid w:val="6F1228C0"/>
    <w:rsid w:val="6F1734A7"/>
    <w:rsid w:val="6F1F3F7D"/>
    <w:rsid w:val="6F2319BD"/>
    <w:rsid w:val="6F235519"/>
    <w:rsid w:val="6F4F4EFB"/>
    <w:rsid w:val="6F7F6679"/>
    <w:rsid w:val="6F9441B9"/>
    <w:rsid w:val="6FD825B3"/>
    <w:rsid w:val="70237A84"/>
    <w:rsid w:val="70333CD8"/>
    <w:rsid w:val="7040136B"/>
    <w:rsid w:val="70635727"/>
    <w:rsid w:val="70C51416"/>
    <w:rsid w:val="70CC0A40"/>
    <w:rsid w:val="70DE65B6"/>
    <w:rsid w:val="71245495"/>
    <w:rsid w:val="71404623"/>
    <w:rsid w:val="71454130"/>
    <w:rsid w:val="71854674"/>
    <w:rsid w:val="71A62431"/>
    <w:rsid w:val="71A8001A"/>
    <w:rsid w:val="71D17635"/>
    <w:rsid w:val="722A6770"/>
    <w:rsid w:val="72691DDC"/>
    <w:rsid w:val="729C2A25"/>
    <w:rsid w:val="72F22DFE"/>
    <w:rsid w:val="72F51624"/>
    <w:rsid w:val="72F710A4"/>
    <w:rsid w:val="72F760B2"/>
    <w:rsid w:val="731004AA"/>
    <w:rsid w:val="732D5A3E"/>
    <w:rsid w:val="732F2E71"/>
    <w:rsid w:val="73371019"/>
    <w:rsid w:val="734D22B9"/>
    <w:rsid w:val="734D5021"/>
    <w:rsid w:val="73516D05"/>
    <w:rsid w:val="735C1C59"/>
    <w:rsid w:val="73A32157"/>
    <w:rsid w:val="73A62888"/>
    <w:rsid w:val="73B6564E"/>
    <w:rsid w:val="73E12591"/>
    <w:rsid w:val="73E253C4"/>
    <w:rsid w:val="74371A38"/>
    <w:rsid w:val="74435B1F"/>
    <w:rsid w:val="74A177C5"/>
    <w:rsid w:val="74A5101D"/>
    <w:rsid w:val="74A964C0"/>
    <w:rsid w:val="74AD00DC"/>
    <w:rsid w:val="74B858DD"/>
    <w:rsid w:val="74D82ACF"/>
    <w:rsid w:val="74FB1FB5"/>
    <w:rsid w:val="7507288D"/>
    <w:rsid w:val="758D7B90"/>
    <w:rsid w:val="75A4306F"/>
    <w:rsid w:val="75A80BAE"/>
    <w:rsid w:val="75E71E6A"/>
    <w:rsid w:val="75F1698E"/>
    <w:rsid w:val="76393CA5"/>
    <w:rsid w:val="76525177"/>
    <w:rsid w:val="769F5804"/>
    <w:rsid w:val="76C37101"/>
    <w:rsid w:val="76DF5654"/>
    <w:rsid w:val="76F83E86"/>
    <w:rsid w:val="77163BB5"/>
    <w:rsid w:val="77921347"/>
    <w:rsid w:val="77A92C7B"/>
    <w:rsid w:val="77D060E0"/>
    <w:rsid w:val="77E70F3B"/>
    <w:rsid w:val="77F929D5"/>
    <w:rsid w:val="780C7713"/>
    <w:rsid w:val="781F6AB3"/>
    <w:rsid w:val="784806B8"/>
    <w:rsid w:val="784F7772"/>
    <w:rsid w:val="78514D53"/>
    <w:rsid w:val="78660DE1"/>
    <w:rsid w:val="78904BE3"/>
    <w:rsid w:val="78D61AAB"/>
    <w:rsid w:val="78FA206E"/>
    <w:rsid w:val="798D4602"/>
    <w:rsid w:val="799966A3"/>
    <w:rsid w:val="799F74DD"/>
    <w:rsid w:val="79B50A79"/>
    <w:rsid w:val="7A5544C0"/>
    <w:rsid w:val="7A5828E2"/>
    <w:rsid w:val="7AB92B23"/>
    <w:rsid w:val="7AD41DBD"/>
    <w:rsid w:val="7AE62DE6"/>
    <w:rsid w:val="7AEE7ECA"/>
    <w:rsid w:val="7AF011E8"/>
    <w:rsid w:val="7B2B1572"/>
    <w:rsid w:val="7B4026E5"/>
    <w:rsid w:val="7C104CD2"/>
    <w:rsid w:val="7C2D09C7"/>
    <w:rsid w:val="7C2E4D3F"/>
    <w:rsid w:val="7C536102"/>
    <w:rsid w:val="7C7D61C8"/>
    <w:rsid w:val="7CA128A8"/>
    <w:rsid w:val="7CBC6FAC"/>
    <w:rsid w:val="7CC55E61"/>
    <w:rsid w:val="7CDC0E39"/>
    <w:rsid w:val="7D2325F6"/>
    <w:rsid w:val="7D324163"/>
    <w:rsid w:val="7D527053"/>
    <w:rsid w:val="7D562F5D"/>
    <w:rsid w:val="7D5B52BC"/>
    <w:rsid w:val="7D63287E"/>
    <w:rsid w:val="7D765663"/>
    <w:rsid w:val="7D916948"/>
    <w:rsid w:val="7DAD01A0"/>
    <w:rsid w:val="7DBA2650"/>
    <w:rsid w:val="7DBB54B6"/>
    <w:rsid w:val="7DBB69ED"/>
    <w:rsid w:val="7E0473AC"/>
    <w:rsid w:val="7E4C5ACF"/>
    <w:rsid w:val="7E576F40"/>
    <w:rsid w:val="7E751A1F"/>
    <w:rsid w:val="7E8666DE"/>
    <w:rsid w:val="7E9728F7"/>
    <w:rsid w:val="7EA12B30"/>
    <w:rsid w:val="7EA42621"/>
    <w:rsid w:val="7EBD3EC0"/>
    <w:rsid w:val="7EE2750E"/>
    <w:rsid w:val="7F4A20CB"/>
    <w:rsid w:val="7F542449"/>
    <w:rsid w:val="7F606D87"/>
    <w:rsid w:val="7FB12A98"/>
    <w:rsid w:val="7FB84310"/>
    <w:rsid w:val="7FF56A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1"/>
    <w:pPr>
      <w:spacing w:before="38"/>
      <w:ind w:left="1482" w:right="1677"/>
      <w:jc w:val="center"/>
      <w:outlineLvl w:val="0"/>
    </w:pPr>
    <w:rPr>
      <w:rFonts w:ascii="宋体" w:hAnsi="宋体" w:cs="宋体"/>
      <w:b/>
      <w:bCs/>
      <w:sz w:val="36"/>
      <w:szCs w:val="36"/>
      <w:lang w:val="zh-CN" w:bidi="zh-CN"/>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4"/>
    <w:basedOn w:val="1"/>
    <w:next w:val="1"/>
    <w:qFormat/>
    <w:uiPriority w:val="0"/>
    <w:pPr>
      <w:keepNext/>
      <w:keepLines/>
      <w:spacing w:before="120" w:after="120" w:line="377" w:lineRule="auto"/>
      <w:outlineLvl w:val="3"/>
    </w:pPr>
    <w:rPr>
      <w:rFonts w:ascii="Calibri Light" w:hAnsi="Calibri Light"/>
      <w:b/>
      <w:bCs/>
      <w:sz w:val="28"/>
      <w:szCs w:val="28"/>
    </w:rPr>
  </w:style>
  <w:style w:type="character" w:default="1" w:styleId="26">
    <w:name w:val="Default Paragraph Font"/>
    <w:semiHidden/>
    <w:unhideWhenUsed/>
    <w:qFormat/>
    <w:uiPriority w:val="1"/>
  </w:style>
  <w:style w:type="table" w:default="1" w:styleId="2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clear" w:pos="360"/>
      </w:tabs>
      <w:spacing w:before="100" w:beforeAutospacing="1" w:after="100" w:afterAutospacing="1"/>
      <w:ind w:left="0" w:firstLine="0"/>
      <w:jc w:val="left"/>
    </w:pPr>
    <w:rPr>
      <w:rFonts w:ascii="宋体" w:hAnsi="宋体" w:cs="宋体"/>
      <w:kern w:val="0"/>
      <w:sz w:val="24"/>
    </w:rPr>
  </w:style>
  <w:style w:type="paragraph" w:styleId="6">
    <w:name w:val="Normal Indent"/>
    <w:basedOn w:val="1"/>
    <w:qFormat/>
    <w:uiPriority w:val="0"/>
    <w:pPr>
      <w:widowControl/>
      <w:spacing w:before="100" w:beforeAutospacing="1" w:after="100" w:afterAutospacing="1"/>
      <w:jc w:val="left"/>
    </w:pPr>
    <w:rPr>
      <w:rFonts w:ascii="宋体" w:hAnsi="宋体" w:cs="宋体"/>
      <w:kern w:val="0"/>
      <w:sz w:val="24"/>
    </w:rPr>
  </w:style>
  <w:style w:type="paragraph" w:styleId="7">
    <w:name w:val="Body Text 3"/>
    <w:basedOn w:val="1"/>
    <w:qFormat/>
    <w:uiPriority w:val="0"/>
    <w:pPr>
      <w:widowControl/>
      <w:spacing w:before="100" w:beforeAutospacing="1" w:after="100" w:afterAutospacing="1"/>
      <w:jc w:val="left"/>
    </w:pPr>
    <w:rPr>
      <w:rFonts w:ascii="宋体" w:hAnsi="宋体" w:cs="宋体"/>
      <w:kern w:val="0"/>
      <w:sz w:val="24"/>
    </w:rPr>
  </w:style>
  <w:style w:type="paragraph" w:styleId="8">
    <w:name w:val="Body Text"/>
    <w:basedOn w:val="1"/>
    <w:qFormat/>
    <w:uiPriority w:val="0"/>
    <w:pPr>
      <w:ind w:left="100"/>
    </w:pPr>
    <w:rPr>
      <w:rFonts w:ascii="Microsoft JhengHei" w:hAnsi="Microsoft JhengHei" w:eastAsia="Microsoft JhengHei"/>
      <w:szCs w:val="21"/>
    </w:rPr>
  </w:style>
  <w:style w:type="paragraph" w:styleId="9">
    <w:name w:val="Body Text Indent"/>
    <w:basedOn w:val="1"/>
    <w:next w:val="10"/>
    <w:qFormat/>
    <w:uiPriority w:val="0"/>
    <w:pPr>
      <w:widowControl/>
      <w:spacing w:before="100" w:beforeAutospacing="1" w:after="100" w:afterAutospacing="1"/>
      <w:jc w:val="left"/>
    </w:pPr>
    <w:rPr>
      <w:rFonts w:ascii="宋体" w:hAnsi="宋体" w:cs="宋体"/>
      <w:kern w:val="0"/>
      <w:sz w:val="24"/>
    </w:rPr>
  </w:style>
  <w:style w:type="paragraph" w:customStyle="1" w:styleId="10">
    <w:name w:val="目录 51"/>
    <w:next w:val="1"/>
    <w:qFormat/>
    <w:uiPriority w:val="0"/>
    <w:pPr>
      <w:wordWrap w:val="0"/>
      <w:ind w:left="1700"/>
      <w:jc w:val="both"/>
    </w:pPr>
    <w:rPr>
      <w:rFonts w:ascii="Calibri" w:hAnsi="Calibri" w:eastAsia="Calibri" w:cs="Times New Roman"/>
      <w:sz w:val="21"/>
      <w:lang w:val="en-US" w:eastAsia="zh-CN" w:bidi="ar-SA"/>
    </w:rPr>
  </w:style>
  <w:style w:type="paragraph" w:styleId="11">
    <w:name w:val="List 2"/>
    <w:basedOn w:val="1"/>
    <w:qFormat/>
    <w:uiPriority w:val="0"/>
    <w:pPr>
      <w:widowControl/>
      <w:spacing w:before="100" w:beforeAutospacing="1" w:after="100" w:afterAutospacing="1"/>
      <w:jc w:val="left"/>
    </w:pPr>
    <w:rPr>
      <w:rFonts w:ascii="宋体" w:hAnsi="宋体" w:cs="宋体"/>
      <w:kern w:val="0"/>
      <w:sz w:val="24"/>
    </w:rPr>
  </w:style>
  <w:style w:type="paragraph" w:styleId="12">
    <w:name w:val="index 4"/>
    <w:basedOn w:val="1"/>
    <w:next w:val="1"/>
    <w:unhideWhenUsed/>
    <w:qFormat/>
    <w:uiPriority w:val="99"/>
    <w:rPr>
      <w:sz w:val="24"/>
    </w:rPr>
  </w:style>
  <w:style w:type="paragraph" w:styleId="13">
    <w:name w:val="Plain Text"/>
    <w:basedOn w:val="1"/>
    <w:qFormat/>
    <w:uiPriority w:val="0"/>
    <w:pPr>
      <w:widowControl/>
      <w:spacing w:before="100" w:beforeAutospacing="1" w:after="100" w:afterAutospacing="1"/>
      <w:jc w:val="left"/>
    </w:pPr>
    <w:rPr>
      <w:rFonts w:ascii="宋体" w:hAnsi="宋体" w:cs="宋体"/>
      <w:kern w:val="0"/>
      <w:sz w:val="24"/>
    </w:rPr>
  </w:style>
  <w:style w:type="paragraph" w:styleId="14">
    <w:name w:val="Date"/>
    <w:basedOn w:val="1"/>
    <w:next w:val="1"/>
    <w:link w:val="43"/>
    <w:qFormat/>
    <w:uiPriority w:val="0"/>
    <w:pPr>
      <w:ind w:left="100" w:leftChars="2500"/>
    </w:pPr>
  </w:style>
  <w:style w:type="paragraph" w:styleId="15">
    <w:name w:val="Body Text Indent 2"/>
    <w:basedOn w:val="1"/>
    <w:unhideWhenUsed/>
    <w:qFormat/>
    <w:uiPriority w:val="99"/>
    <w:pPr>
      <w:spacing w:after="120" w:line="480" w:lineRule="auto"/>
      <w:ind w:left="420" w:leftChars="200"/>
    </w:pPr>
  </w:style>
  <w:style w:type="paragraph" w:styleId="16">
    <w:name w:val="footer"/>
    <w:basedOn w:val="1"/>
    <w:qFormat/>
    <w:uiPriority w:val="0"/>
    <w:pPr>
      <w:tabs>
        <w:tab w:val="center" w:pos="4153"/>
        <w:tab w:val="right" w:pos="8306"/>
      </w:tabs>
      <w:snapToGrid w:val="0"/>
      <w:jc w:val="left"/>
    </w:pPr>
    <w:rPr>
      <w:sz w:val="18"/>
      <w:szCs w:val="18"/>
    </w:rPr>
  </w:style>
  <w:style w:type="paragraph" w:styleId="17">
    <w:name w:val="envelope return"/>
    <w:basedOn w:val="1"/>
    <w:qFormat/>
    <w:uiPriority w:val="99"/>
    <w:pPr>
      <w:snapToGrid w:val="0"/>
    </w:pPr>
    <w:rPr>
      <w:rFonts w:ascii="Arial" w:hAnsi="Arial"/>
    </w:rPr>
  </w:style>
  <w:style w:type="paragraph" w:styleId="1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9">
    <w:name w:val="Body Text 2"/>
    <w:basedOn w:val="1"/>
    <w:next w:val="1"/>
    <w:qFormat/>
    <w:uiPriority w:val="0"/>
    <w:pPr>
      <w:spacing w:after="120" w:line="480" w:lineRule="auto"/>
    </w:pPr>
  </w:style>
  <w:style w:type="paragraph" w:styleId="20">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rPr>
  </w:style>
  <w:style w:type="paragraph" w:styleId="2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22">
    <w:name w:val="Body Text First Indent"/>
    <w:basedOn w:val="8"/>
    <w:next w:val="23"/>
    <w:qFormat/>
    <w:uiPriority w:val="0"/>
    <w:pPr>
      <w:ind w:firstLine="420" w:firstLineChars="100"/>
    </w:pPr>
  </w:style>
  <w:style w:type="paragraph" w:styleId="23">
    <w:name w:val="Body Text First Indent 2"/>
    <w:basedOn w:val="9"/>
    <w:next w:val="1"/>
    <w:qFormat/>
    <w:uiPriority w:val="0"/>
    <w:pPr>
      <w:ind w:firstLine="420" w:firstLineChars="200"/>
    </w:pPr>
  </w:style>
  <w:style w:type="table" w:styleId="25">
    <w:name w:val="Table Grid"/>
    <w:basedOn w:val="24"/>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27">
    <w:name w:val="Strong"/>
    <w:qFormat/>
    <w:uiPriority w:val="0"/>
  </w:style>
  <w:style w:type="character" w:styleId="28">
    <w:name w:val="page number"/>
    <w:qFormat/>
    <w:uiPriority w:val="0"/>
  </w:style>
  <w:style w:type="character" w:styleId="29">
    <w:name w:val="FollowedHyperlink"/>
    <w:qFormat/>
    <w:uiPriority w:val="0"/>
    <w:rPr>
      <w:color w:val="0000FF"/>
      <w:u w:val="single"/>
    </w:rPr>
  </w:style>
  <w:style w:type="character" w:styleId="30">
    <w:name w:val="Emphasis"/>
    <w:qFormat/>
    <w:uiPriority w:val="0"/>
  </w:style>
  <w:style w:type="character" w:styleId="31">
    <w:name w:val="HTML Definition"/>
    <w:qFormat/>
    <w:uiPriority w:val="0"/>
  </w:style>
  <w:style w:type="character" w:styleId="32">
    <w:name w:val="HTML Typewriter"/>
    <w:qFormat/>
    <w:uiPriority w:val="0"/>
    <w:rPr>
      <w:rFonts w:ascii="monospace" w:hAnsi="monospace" w:eastAsia="monospace" w:cs="monospace"/>
      <w:sz w:val="20"/>
    </w:rPr>
  </w:style>
  <w:style w:type="character" w:styleId="33">
    <w:name w:val="HTML Acronym"/>
    <w:qFormat/>
    <w:uiPriority w:val="0"/>
  </w:style>
  <w:style w:type="character" w:styleId="34">
    <w:name w:val="HTML Variable"/>
    <w:qFormat/>
    <w:uiPriority w:val="0"/>
  </w:style>
  <w:style w:type="character" w:styleId="35">
    <w:name w:val="Hyperlink"/>
    <w:qFormat/>
    <w:uiPriority w:val="0"/>
    <w:rPr>
      <w:color w:val="000000"/>
      <w:u w:val="none"/>
    </w:rPr>
  </w:style>
  <w:style w:type="character" w:styleId="36">
    <w:name w:val="HTML Code"/>
    <w:qFormat/>
    <w:uiPriority w:val="0"/>
    <w:rPr>
      <w:rFonts w:hint="default" w:ascii="monospace" w:hAnsi="monospace" w:eastAsia="monospace" w:cs="monospace"/>
      <w:sz w:val="20"/>
    </w:rPr>
  </w:style>
  <w:style w:type="character" w:styleId="37">
    <w:name w:val="HTML Cite"/>
    <w:qFormat/>
    <w:uiPriority w:val="0"/>
  </w:style>
  <w:style w:type="character" w:styleId="38">
    <w:name w:val="HTML Keyboard"/>
    <w:qFormat/>
    <w:uiPriority w:val="0"/>
    <w:rPr>
      <w:rFonts w:hint="default" w:ascii="monospace" w:hAnsi="monospace" w:eastAsia="monospace" w:cs="monospace"/>
      <w:sz w:val="20"/>
    </w:rPr>
  </w:style>
  <w:style w:type="character" w:styleId="39">
    <w:name w:val="HTML Sample"/>
    <w:qFormat/>
    <w:uiPriority w:val="0"/>
    <w:rPr>
      <w:rFonts w:hint="default" w:ascii="monospace" w:hAnsi="monospace" w:eastAsia="monospace" w:cs="monospace"/>
    </w:rPr>
  </w:style>
  <w:style w:type="paragraph" w:customStyle="1" w:styleId="40">
    <w:name w:val="无间隔1"/>
    <w:basedOn w:val="1"/>
    <w:qFormat/>
    <w:uiPriority w:val="1"/>
    <w:pPr>
      <w:spacing w:line="400" w:lineRule="exact"/>
    </w:pPr>
    <w:rPr>
      <w:sz w:val="24"/>
    </w:rPr>
  </w:style>
  <w:style w:type="paragraph" w:customStyle="1" w:styleId="41">
    <w:name w:val="Default"/>
    <w:qFormat/>
    <w:uiPriority w:val="99"/>
    <w:pPr>
      <w:widowControl w:val="0"/>
    </w:pPr>
    <w:rPr>
      <w:rFonts w:ascii="宋体" w:hAnsi="宋体" w:eastAsia="宋体" w:cs="宋体"/>
      <w:color w:val="000000"/>
      <w:sz w:val="24"/>
      <w:szCs w:val="24"/>
      <w:lang w:val="en-US" w:eastAsia="zh-CN" w:bidi="ar-SA"/>
    </w:rPr>
  </w:style>
  <w:style w:type="paragraph" w:customStyle="1" w:styleId="42">
    <w:name w:val="正文格式"/>
    <w:qFormat/>
    <w:uiPriority w:val="99"/>
    <w:pPr>
      <w:spacing w:line="360" w:lineRule="auto"/>
      <w:ind w:firstLine="200" w:firstLineChars="200"/>
    </w:pPr>
    <w:rPr>
      <w:rFonts w:ascii="宋体" w:hAnsi="宋体" w:eastAsia="宋体" w:cs="Times New Roman"/>
      <w:kern w:val="2"/>
      <w:sz w:val="28"/>
      <w:szCs w:val="22"/>
      <w:lang w:val="en-US" w:eastAsia="zh-CN" w:bidi="ar-SA"/>
    </w:rPr>
  </w:style>
  <w:style w:type="character" w:customStyle="1" w:styleId="43">
    <w:name w:val="日期 Char"/>
    <w:link w:val="14"/>
    <w:qFormat/>
    <w:uiPriority w:val="0"/>
    <w:rPr>
      <w:kern w:val="2"/>
      <w:sz w:val="21"/>
      <w:szCs w:val="24"/>
    </w:rPr>
  </w:style>
  <w:style w:type="paragraph" w:customStyle="1" w:styleId="44">
    <w:name w:val="TOC Heading1"/>
    <w:next w:val="1"/>
    <w:qFormat/>
    <w:uiPriority w:val="0"/>
    <w:pPr>
      <w:wordWrap w:val="0"/>
    </w:pPr>
    <w:rPr>
      <w:rFonts w:ascii="Calibri" w:hAnsi="Calibri" w:eastAsia="Calibri" w:cs="宋体"/>
      <w:sz w:val="32"/>
      <w:lang w:val="en-US" w:eastAsia="zh-CN" w:bidi="ar-SA"/>
    </w:rPr>
  </w:style>
  <w:style w:type="character" w:customStyle="1" w:styleId="45">
    <w:name w:val="apple-converted-space"/>
    <w:qFormat/>
    <w:uiPriority w:val="0"/>
  </w:style>
  <w:style w:type="character" w:customStyle="1" w:styleId="46">
    <w:name w:val="font01"/>
    <w:qFormat/>
    <w:uiPriority w:val="0"/>
    <w:rPr>
      <w:rFonts w:hint="eastAsia" w:ascii="微软雅黑" w:hAnsi="微软雅黑" w:eastAsia="微软雅黑" w:cs="微软雅黑"/>
      <w:color w:val="000000"/>
      <w:sz w:val="20"/>
      <w:szCs w:val="20"/>
      <w:u w:val="none"/>
    </w:rPr>
  </w:style>
  <w:style w:type="character" w:customStyle="1" w:styleId="47">
    <w:name w:val="font11"/>
    <w:qFormat/>
    <w:uiPriority w:val="0"/>
    <w:rPr>
      <w:rFonts w:hint="eastAsia" w:ascii="宋体" w:hAnsi="宋体" w:eastAsia="宋体" w:cs="宋体"/>
      <w:color w:val="000000"/>
      <w:sz w:val="20"/>
      <w:szCs w:val="20"/>
      <w:u w:val="none"/>
    </w:rPr>
  </w:style>
  <w:style w:type="character" w:customStyle="1" w:styleId="48">
    <w:name w:val="font81"/>
    <w:qFormat/>
    <w:uiPriority w:val="0"/>
    <w:rPr>
      <w:rFonts w:hint="eastAsia" w:ascii="宋体" w:hAnsi="宋体" w:eastAsia="宋体" w:cs="宋体"/>
      <w:color w:val="000000"/>
      <w:sz w:val="22"/>
      <w:szCs w:val="22"/>
      <w:u w:val="none"/>
    </w:rPr>
  </w:style>
  <w:style w:type="paragraph" w:customStyle="1" w:styleId="49">
    <w:name w:val="Body text|1"/>
    <w:basedOn w:val="1"/>
    <w:qFormat/>
    <w:uiPriority w:val="0"/>
    <w:pPr>
      <w:spacing w:line="420" w:lineRule="auto"/>
      <w:ind w:firstLine="400"/>
    </w:pPr>
    <w:rPr>
      <w:rFonts w:ascii="宋体" w:hAnsi="宋体" w:cs="宋体"/>
      <w:sz w:val="30"/>
      <w:szCs w:val="30"/>
      <w:lang w:val="zh-TW" w:eastAsia="zh-TW" w:bidi="zh-TW"/>
    </w:rPr>
  </w:style>
  <w:style w:type="paragraph" w:customStyle="1" w:styleId="50">
    <w:name w:val="plain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51">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52">
    <w:name w:val="Header or footer|1"/>
    <w:basedOn w:val="1"/>
    <w:qFormat/>
    <w:uiPriority w:val="0"/>
    <w:rPr>
      <w:sz w:val="17"/>
      <w:szCs w:val="17"/>
      <w:lang w:val="zh-TW" w:eastAsia="zh-TW" w:bidi="zh-TW"/>
    </w:rPr>
  </w:style>
  <w:style w:type="paragraph" w:customStyle="1" w:styleId="53">
    <w:name w:val="p"/>
    <w:basedOn w:val="1"/>
    <w:qFormat/>
    <w:uiPriority w:val="0"/>
    <w:pPr>
      <w:widowControl/>
      <w:spacing w:line="432" w:lineRule="auto"/>
      <w:jc w:val="left"/>
    </w:pPr>
    <w:rPr>
      <w:rFonts w:ascii="宋体" w:hAnsi="宋体" w:cs="宋体"/>
      <w:kern w:val="0"/>
      <w:sz w:val="24"/>
    </w:rPr>
  </w:style>
  <w:style w:type="paragraph" w:customStyle="1" w:styleId="54">
    <w:name w:val="a0"/>
    <w:basedOn w:val="1"/>
    <w:qFormat/>
    <w:uiPriority w:val="0"/>
    <w:pPr>
      <w:widowControl/>
      <w:spacing w:before="100" w:beforeAutospacing="1" w:after="100" w:afterAutospacing="1"/>
      <w:jc w:val="left"/>
    </w:pPr>
    <w:rPr>
      <w:rFonts w:ascii="宋体" w:hAnsi="宋体" w:cs="宋体"/>
      <w:kern w:val="0"/>
      <w:sz w:val="24"/>
    </w:rPr>
  </w:style>
  <w:style w:type="paragraph" w:customStyle="1" w:styleId="55">
    <w:name w:val="1"/>
    <w:basedOn w:val="1"/>
    <w:qFormat/>
    <w:uiPriority w:val="0"/>
    <w:pPr>
      <w:widowControl/>
      <w:spacing w:before="100" w:beforeAutospacing="1" w:after="100" w:afterAutospacing="1"/>
      <w:jc w:val="left"/>
    </w:pPr>
    <w:rPr>
      <w:rFonts w:ascii="宋体" w:hAnsi="宋体" w:cs="宋体"/>
      <w:kern w:val="0"/>
      <w:sz w:val="24"/>
    </w:rPr>
  </w:style>
  <w:style w:type="paragraph" w:customStyle="1" w:styleId="56">
    <w:name w:val="正文首行缩进1"/>
    <w:basedOn w:val="8"/>
    <w:qFormat/>
    <w:uiPriority w:val="0"/>
    <w:pPr>
      <w:ind w:firstLine="420" w:firstLineChars="100"/>
    </w:pPr>
    <w:rPr>
      <w:rFonts w:ascii="宋体" w:hAnsi="Times New Roman" w:eastAsia="宋体"/>
      <w:kern w:val="0"/>
      <w:sz w:val="34"/>
      <w:szCs w:val="20"/>
    </w:rPr>
  </w:style>
  <w:style w:type="paragraph" w:styleId="57">
    <w:name w:val="List Paragraph"/>
    <w:basedOn w:val="1"/>
    <w:qFormat/>
    <w:uiPriority w:val="1"/>
    <w:pPr>
      <w:ind w:left="205" w:right="169" w:firstLine="655"/>
    </w:pPr>
    <w:rPr>
      <w:rFonts w:ascii="仿宋" w:hAnsi="仿宋" w:eastAsia="仿宋" w:cs="仿宋"/>
      <w:u w:val="single" w:color="000000"/>
      <w:lang w:val="zh-CN" w:bidi="zh-CN"/>
    </w:rPr>
  </w:style>
  <w:style w:type="paragraph" w:customStyle="1" w:styleId="58">
    <w:name w:val="paracharcharcharcharcharcharcharcharchar1charcharcharchar"/>
    <w:basedOn w:val="1"/>
    <w:qFormat/>
    <w:uiPriority w:val="0"/>
    <w:pPr>
      <w:widowControl/>
      <w:spacing w:before="100" w:beforeAutospacing="1" w:after="100" w:afterAutospacing="1"/>
      <w:jc w:val="left"/>
    </w:pPr>
    <w:rPr>
      <w:rFonts w:ascii="宋体" w:hAnsi="宋体" w:cs="宋体"/>
      <w:kern w:val="0"/>
      <w:sz w:val="24"/>
    </w:rPr>
  </w:style>
  <w:style w:type="character" w:customStyle="1" w:styleId="59">
    <w:name w:val="hover16"/>
    <w:qFormat/>
    <w:uiPriority w:val="0"/>
  </w:style>
  <w:style w:type="paragraph" w:customStyle="1" w:styleId="60">
    <w:name w:val="Heading #2|1"/>
    <w:basedOn w:val="1"/>
    <w:qFormat/>
    <w:uiPriority w:val="0"/>
    <w:pPr>
      <w:spacing w:after="520" w:line="576" w:lineRule="exact"/>
      <w:jc w:val="center"/>
      <w:outlineLvl w:val="1"/>
    </w:pPr>
    <w:rPr>
      <w:rFonts w:ascii="宋体" w:hAnsi="宋体" w:cs="宋体"/>
      <w:sz w:val="44"/>
      <w:szCs w:val="44"/>
      <w:lang w:val="zh-TW" w:eastAsia="zh-TW" w:bidi="zh-TW"/>
    </w:rPr>
  </w:style>
  <w:style w:type="character" w:customStyle="1" w:styleId="61">
    <w:name w:val="NormalCharacter"/>
    <w:semiHidden/>
    <w:qFormat/>
    <w:uiPriority w:val="0"/>
  </w:style>
  <w:style w:type="paragraph" w:customStyle="1" w:styleId="62">
    <w:name w:val="Table Paragraph"/>
    <w:basedOn w:val="1"/>
    <w:qFormat/>
    <w:uiPriority w:val="1"/>
    <w:rPr>
      <w:rFonts w:ascii="宋体" w:hAnsi="宋体"/>
      <w:lang w:val="zh-CN" w:bidi="zh-CN"/>
    </w:rPr>
  </w:style>
  <w:style w:type="paragraph" w:customStyle="1" w:styleId="63">
    <w:name w:val="文档正文"/>
    <w:basedOn w:val="1"/>
    <w:qFormat/>
    <w:uiPriority w:val="0"/>
    <w:pPr>
      <w:spacing w:line="480" w:lineRule="atLeast"/>
      <w:ind w:firstLine="567"/>
    </w:pPr>
    <w:rPr>
      <w:rFonts w:ascii="仿宋_GB2312" w:hAnsi="仿宋_GB2312" w:cs="宋体"/>
      <w:sz w:val="28"/>
      <w:szCs w:val="28"/>
    </w:rPr>
  </w:style>
  <w:style w:type="character" w:customStyle="1" w:styleId="64">
    <w:name w:val="font41"/>
    <w:qFormat/>
    <w:uiPriority w:val="0"/>
    <w:rPr>
      <w:rFonts w:hint="eastAsia" w:ascii="仿宋" w:hAnsi="仿宋" w:eastAsia="仿宋" w:cs="仿宋"/>
      <w:color w:val="333333"/>
      <w:sz w:val="22"/>
      <w:szCs w:val="22"/>
      <w:u w:val="none"/>
    </w:rPr>
  </w:style>
  <w:style w:type="paragraph" w:customStyle="1" w:styleId="65">
    <w:name w:val="信息标题1"/>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customStyle="1" w:styleId="66">
    <w:name w:val="Table Text"/>
    <w:basedOn w:val="1"/>
    <w:semiHidden/>
    <w:qFormat/>
    <w:uiPriority w:val="0"/>
    <w:rPr>
      <w:rFonts w:ascii="宋体" w:hAnsi="宋体" w:cs="宋体"/>
      <w:sz w:val="22"/>
      <w:szCs w:val="22"/>
      <w:lang w:eastAsia="en-US"/>
    </w:rPr>
  </w:style>
  <w:style w:type="table" w:customStyle="1" w:styleId="67">
    <w:name w:val="Table Normal"/>
    <w:unhideWhenUsed/>
    <w:qFormat/>
    <w:uiPriority w:val="0"/>
    <w:tblPr>
      <w:tblCellMar>
        <w:top w:w="0" w:type="dxa"/>
        <w:left w:w="0" w:type="dxa"/>
        <w:bottom w:w="0" w:type="dxa"/>
        <w:right w:w="0" w:type="dxa"/>
      </w:tblCellMar>
    </w:tblPr>
  </w:style>
  <w:style w:type="character" w:customStyle="1" w:styleId="68">
    <w:name w:val="font101"/>
    <w:basedOn w:val="26"/>
    <w:qFormat/>
    <w:uiPriority w:val="0"/>
    <w:rPr>
      <w:rFonts w:hint="eastAsia" w:ascii="宋体" w:hAnsi="宋体" w:eastAsia="宋体" w:cs="宋体"/>
      <w:color w:val="000000"/>
      <w:sz w:val="20"/>
      <w:szCs w:val="20"/>
      <w:u w:val="none"/>
    </w:rPr>
  </w:style>
  <w:style w:type="character" w:customStyle="1" w:styleId="69">
    <w:name w:val="font71"/>
    <w:basedOn w:val="26"/>
    <w:qFormat/>
    <w:uiPriority w:val="0"/>
    <w:rPr>
      <w:rFonts w:ascii="宋体" w:hAnsi="宋体" w:eastAsia="宋体" w:cs="宋体"/>
      <w:b/>
      <w:bCs/>
      <w:color w:val="000000"/>
      <w:sz w:val="36"/>
      <w:szCs w:val="36"/>
      <w:u w:val="none"/>
    </w:rPr>
  </w:style>
  <w:style w:type="character" w:customStyle="1" w:styleId="70">
    <w:name w:val="fontstyle01"/>
    <w:basedOn w:val="26"/>
    <w:qFormat/>
    <w:uiPriority w:val="0"/>
    <w:rPr>
      <w:rFonts w:ascii="宋体" w:hAnsi="宋体" w:eastAsia="宋体" w:cs="宋体"/>
      <w:color w:val="000000"/>
      <w:sz w:val="24"/>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wmf"/><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87</Pages>
  <Words>51926</Words>
  <Characters>55168</Characters>
  <Lines>1</Lines>
  <Paragraphs>1</Paragraphs>
  <TotalTime>19</TotalTime>
  <ScaleCrop>false</ScaleCrop>
  <LinksUpToDate>false</LinksUpToDate>
  <CharactersWithSpaces>58397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2014-12-03T01:30:00Z</dcterms:created>
  <dc:creator>User</dc:creator>
  <cp:lastModifiedBy>河南丰达</cp:lastModifiedBy>
  <cp:lastPrinted>2026-06-08T08:36:00Z</cp:lastPrinted>
  <dcterms:modified xsi:type="dcterms:W3CDTF">2026-06-12T06:15:03Z</dcterms:modified>
  <dc:title>驻马店市政府采购货物项目</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078FD82952544A6AB659CD5AC3192C64_13</vt:lpwstr>
  </property>
  <property fmtid="{D5CDD505-2E9C-101B-9397-08002B2CF9AE}" pid="4" name="KSOTemplateDocerSaveRecord">
    <vt:lpwstr>eyJoZGlkIjoiNTk4OTFlYzEyMzVlZmYxNGJhNTY2ZGFkNTI2Zjg0ZTYiLCJ1c2VySWQiOiIxMjE3MDg2MTA3In0=</vt:lpwstr>
  </property>
</Properties>
</file>