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2B3DE5">
      <w:pPr>
        <w:bidi w:val="0"/>
        <w:jc w:val="left"/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附件4：</w:t>
      </w:r>
    </w:p>
    <w:p w14:paraId="44B401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color w:val="000000"/>
          <w:spacing w:val="-6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-6"/>
          <w:sz w:val="44"/>
          <w:szCs w:val="44"/>
          <w:lang w:val="en-US" w:eastAsia="zh-CN"/>
        </w:rPr>
        <w:t>西平县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-6"/>
          <w:kern w:val="2"/>
          <w:sz w:val="44"/>
          <w:szCs w:val="44"/>
          <w:lang w:val="en-US" w:eastAsia="zh-CN" w:bidi="ar-SA"/>
        </w:rPr>
        <w:t>杨庄乡仪封北街村</w:t>
      </w:r>
    </w:p>
    <w:p w14:paraId="0E8CCDA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-6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-6"/>
          <w:sz w:val="44"/>
          <w:szCs w:val="44"/>
          <w:lang w:val="en-US" w:eastAsia="zh-CN"/>
        </w:rPr>
        <w:t>2026年特色旅居村以工代赈项目</w:t>
      </w:r>
    </w:p>
    <w:p w14:paraId="35F2AC8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材料采购评分办法</w:t>
      </w:r>
    </w:p>
    <w:p w14:paraId="7B5CFA6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</w:p>
    <w:p w14:paraId="6955B7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 xml:space="preserve">  为确保西平县杨庄乡仪封北街村2026年特色旅居村以工代赈项目资金节约、公开透明、居民利益最大化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依据</w:t>
      </w: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《河南省以工代赈项目创新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承接方式和劳务组织模式工作指南（试行）》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，特制定本办法：</w:t>
      </w:r>
    </w:p>
    <w:p w14:paraId="0C2A99C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3" w:firstLineChars="200"/>
        <w:textAlignment w:val="auto"/>
        <w:rPr>
          <w:rFonts w:hint="default" w:ascii="仿宋_GB2312" w:hAnsi="仿宋_GB2312" w:eastAsia="仿宋_GB2312" w:cs="仿宋_GB2312"/>
          <w:b/>
          <w:bCs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lang w:val="en-US" w:eastAsia="zh-CN" w:bidi="ar"/>
        </w:rPr>
        <w:t>注：各乡镇询价后向发改委报询价结果，县发改委依据预算定额及各乡镇询价结果确定市场基准价。</w:t>
      </w:r>
    </w:p>
    <w:p w14:paraId="1385D960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一、资格预审</w:t>
      </w:r>
    </w:p>
    <w:p w14:paraId="3637D6D4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有下列情形之一的，取消评定资格。</w:t>
      </w:r>
    </w:p>
    <w:p w14:paraId="72B94019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1.报价高于市场价格或低于市场价15%（含15%）的；</w:t>
      </w:r>
    </w:p>
    <w:p w14:paraId="3F35C822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2.经营资质不合规的；</w:t>
      </w:r>
    </w:p>
    <w:p w14:paraId="4A7CEFF3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3.材料未通过质量检测或不能提供合格证书的；</w:t>
      </w:r>
    </w:p>
    <w:p w14:paraId="24632767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4.不接受下月支付上月材料费付款方式的。</w:t>
      </w:r>
    </w:p>
    <w:p w14:paraId="2EDF87FE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二、百分评定</w:t>
      </w:r>
    </w:p>
    <w:p w14:paraId="6EF258A4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40" w:lineRule="auto"/>
        <w:ind w:firstLine="643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lang w:val="en-US" w:eastAsia="zh-CN" w:bidi="ar"/>
        </w:rPr>
        <w:t>（一）报价部分（80分）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。价格分采用低价优先法计算，最终报价最低的供应商报价为评审基准价，其价格得分为满分80分。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zh-CN" w:eastAsia="zh-CN" w:bidi="ar"/>
        </w:rPr>
        <w:t>当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供应商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zh-CN" w:eastAsia="zh-CN" w:bidi="ar"/>
        </w:rPr>
        <w:t>报价高于评标基准价时，每高1%在基本分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80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zh-CN" w:eastAsia="zh-CN" w:bidi="ar"/>
        </w:rPr>
        <w:t>分的基础上扣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5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zh-CN" w:eastAsia="zh-CN" w:bidi="ar"/>
        </w:rPr>
        <w:t>分，扣完为止。</w:t>
      </w:r>
    </w:p>
    <w:p w14:paraId="6BAF4A54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lang w:val="en-US" w:eastAsia="zh-CN" w:bidi="ar"/>
        </w:rPr>
        <w:t>（二）资质及服务部分（20分）</w:t>
      </w:r>
    </w:p>
    <w:p w14:paraId="4CC17BC8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材料供应商应提供完善的供货服务方案（供货时长、付款办法等）得10分，否则不得分；提供产品合格证、产品批次检测报告证明得10分，否则不得分。</w:t>
      </w:r>
    </w:p>
    <w:p w14:paraId="5B6160FC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三、结果运用</w:t>
      </w:r>
    </w:p>
    <w:p w14:paraId="7383D9F7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按得分从高到低确定中标方，并签订采购协议。</w:t>
      </w:r>
    </w:p>
    <w:p w14:paraId="17A09D82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四、特别声明</w:t>
      </w:r>
    </w:p>
    <w:p w14:paraId="0FBE5A7F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询价中供应方需要提供产品合格证、产品批次检测报告、优良工程证明。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舒体">
    <w:altName w:val="宋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FB07EC"/>
    <w:rsid w:val="0B6B2F9D"/>
    <w:rsid w:val="12541D60"/>
    <w:rsid w:val="13F1086A"/>
    <w:rsid w:val="215366AD"/>
    <w:rsid w:val="26B011DA"/>
    <w:rsid w:val="2CDD7CD4"/>
    <w:rsid w:val="2F633C95"/>
    <w:rsid w:val="398069BC"/>
    <w:rsid w:val="3B5A363D"/>
    <w:rsid w:val="406E095D"/>
    <w:rsid w:val="466F2F92"/>
    <w:rsid w:val="4A2E6D13"/>
    <w:rsid w:val="557C08FF"/>
    <w:rsid w:val="58A37ABD"/>
    <w:rsid w:val="60D61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99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next w:val="3"/>
    <w:qFormat/>
    <w:uiPriority w:val="0"/>
    <w:pPr>
      <w:ind w:firstLine="538" w:firstLineChars="192"/>
    </w:pPr>
    <w:rPr>
      <w:rFonts w:ascii="Calibri" w:hAnsi="Calibri" w:eastAsia="楷体_GB2312"/>
      <w:kern w:val="0"/>
      <w:sz w:val="28"/>
    </w:rPr>
  </w:style>
  <w:style w:type="paragraph" w:styleId="3">
    <w:name w:val="envelope return"/>
    <w:basedOn w:val="1"/>
    <w:qFormat/>
    <w:uiPriority w:val="99"/>
    <w:rPr>
      <w:rFonts w:ascii="Arial" w:hAnsi="Arial"/>
    </w:rPr>
  </w:style>
  <w:style w:type="paragraph" w:styleId="4">
    <w:name w:val="Message Header"/>
    <w:basedOn w:val="1"/>
    <w:next w:val="5"/>
    <w:qFormat/>
    <w:uiPriority w:val="0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leftChars="500" w:hanging="1080" w:hangingChars="500"/>
    </w:pPr>
    <w:rPr>
      <w:rFonts w:ascii="Arial" w:hAnsi="Arial" w:eastAsia="等线"/>
      <w:sz w:val="24"/>
    </w:rPr>
  </w:style>
  <w:style w:type="paragraph" w:customStyle="1" w:styleId="5">
    <w:name w:val="我的正文"/>
    <w:basedOn w:val="2"/>
    <w:qFormat/>
    <w:uiPriority w:val="0"/>
    <w:pPr>
      <w:ind w:firstLine="480" w:firstLineChars="200"/>
    </w:pPr>
    <w:rPr>
      <w:szCs w:val="20"/>
    </w:rPr>
  </w:style>
  <w:style w:type="character" w:styleId="8">
    <w:name w:val="Strong"/>
    <w:basedOn w:val="7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501</Words>
  <Characters>522</Characters>
  <Lines>0</Lines>
  <Paragraphs>0</Paragraphs>
  <TotalTime>1</TotalTime>
  <ScaleCrop>false</ScaleCrop>
  <LinksUpToDate>false</LinksUpToDate>
  <CharactersWithSpaces>524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2026-03-26T04:50:00Z</dcterms:created>
  <dc:creator>ASUS</dc:creator>
  <cp:lastModifiedBy>安之若素</cp:lastModifiedBy>
  <dcterms:modified xsi:type="dcterms:W3CDTF">2026-09-04T00:44:30Z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eyJoZGlkIjoiMWNhODJlZmNkNDRhMjZmMDBkOTRmMWVkZmE3NjJmYjQiLCJ1c2VySWQiOiIyNDUxNzE5NjAifQ==</vt:lpwstr>
  </property>
  <property fmtid="{D5CDD505-2E9C-101B-9397-08002B2CF9AE}" pid="4" name="ICV">
    <vt:lpwstr>FBFDD63045BE408CA4C9AAA7441F3B52_13</vt:lpwstr>
  </property>
</Properties>
</file>