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AD9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2140" w:firstLineChars="500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6"/>
          <w:sz w:val="44"/>
          <w:szCs w:val="44"/>
          <w:lang w:val="en-US" w:eastAsia="zh-CN"/>
        </w:rPr>
        <w:t>西平县杨庄乡仪封北街村</w:t>
      </w:r>
    </w:p>
    <w:p w14:paraId="132AF35E">
      <w:pPr>
        <w:keepNext w:val="0"/>
        <w:keepLines w:val="0"/>
        <w:pageBreakBefore w:val="0"/>
        <w:widowControl w:val="0"/>
        <w:tabs>
          <w:tab w:val="left" w:pos="8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ind w:left="0" w:leftChars="0" w:firstLine="0" w:firstLineChars="0"/>
        <w:jc w:val="center"/>
        <w:textAlignment w:val="bottom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6"/>
          <w:sz w:val="44"/>
          <w:szCs w:val="44"/>
          <w:lang w:val="en-US" w:eastAsia="zh-CN"/>
        </w:rPr>
        <w:t>2026年特色旅居村以工代赈项目</w:t>
      </w:r>
    </w:p>
    <w:p w14:paraId="3AC62F18">
      <w:pPr>
        <w:keepNext w:val="0"/>
        <w:keepLines w:val="0"/>
        <w:pageBreakBefore w:val="0"/>
        <w:widowControl w:val="0"/>
        <w:tabs>
          <w:tab w:val="left" w:pos="8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ind w:left="0" w:leftChars="0" w:firstLine="0" w:firstLineChars="0"/>
        <w:jc w:val="center"/>
        <w:textAlignment w:val="bottom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“租购聘”工作方案</w:t>
      </w:r>
    </w:p>
    <w:p w14:paraId="751FE2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4CDD4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根据河南省发展和改革委员会等部门印发的《河南省以工代赈项目村民自建工作指南（试行）》等文件精神，杨庄乡仪封北街村本着公开公平公正原则，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在杨庄乡人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民政府指导下，经村“两委”和项目理事会召开专题会议研究，并经村民代表大会讨论通过，议定项目建设各种机械设备租赁、材料购买、技术人员聘用等相关事宜，结合项目建设实际，制定西平县杨庄乡仪封北街村2026年特色旅居村以工代赈项目“租购聘”工作方案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为村民自建实施模式，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具体如下：</w:t>
      </w:r>
    </w:p>
    <w:p w14:paraId="21886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一、工程概况</w:t>
      </w:r>
    </w:p>
    <w:p w14:paraId="317F4E97">
      <w:pPr>
        <w:pStyle w:val="3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555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西平县杨庄乡仪封北街村2026年特色旅居村以工代赈项目位于西平县杨庄乡仪封北街村，主要建设内容为：村庄连接道路4.17km(宽3-4m);新修生产道路2.14km(宽3-4.5m);村庄美化；坑塘治理3处。</w:t>
      </w:r>
    </w:p>
    <w:p w14:paraId="7DE8B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项目总投资 430万元，资金来源为申请中央预算内投资 400 万元，地方预算内投资30 万元，预计发放劳务报酬178万元， 占申请中央预算内投资的44.5%。</w:t>
      </w:r>
    </w:p>
    <w:p w14:paraId="2D264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建设工期为：2026年8月至2026年12月。</w:t>
      </w:r>
    </w:p>
    <w:p w14:paraId="3FA08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二、租购聘主要内容</w:t>
      </w:r>
    </w:p>
    <w:p w14:paraId="001D31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right="0" w:rightChars="0" w:firstLine="643" w:firstLineChars="200"/>
        <w:jc w:val="left"/>
        <w:textAlignment w:val="top"/>
        <w:rPr>
          <w:rFonts w:hint="eastAsia" w:ascii="楷体" w:hAnsi="楷体" w:eastAsia="楷体" w:cs="楷体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楷体" w:hAnsi="楷体" w:eastAsia="楷体" w:cs="楷体"/>
          <w:b/>
          <w:bCs/>
          <w:color w:val="auto"/>
          <w:kern w:val="2"/>
          <w:sz w:val="32"/>
          <w:szCs w:val="32"/>
          <w:lang w:val="en-US" w:eastAsia="zh-CN" w:bidi="ar-SA"/>
        </w:rPr>
        <w:t>机械设备租赁</w:t>
      </w:r>
      <w:bookmarkStart w:id="0" w:name="_GoBack"/>
      <w:bookmarkEnd w:id="0"/>
    </w:p>
    <w:p w14:paraId="3CDC3F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right="0" w:rightChars="0" w:firstLine="643" w:firstLineChars="200"/>
        <w:jc w:val="both"/>
        <w:textAlignment w:val="top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1.机械设备配置</w:t>
      </w:r>
    </w:p>
    <w:p w14:paraId="020F0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0" w:firstLineChars="0"/>
        <w:jc w:val="center"/>
        <w:textAlignment w:val="top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主要机械设备租赁清单和预估数量（仅供参考）</w:t>
      </w:r>
    </w:p>
    <w:tbl>
      <w:tblPr>
        <w:tblStyle w:val="34"/>
        <w:tblW w:w="884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1"/>
        <w:gridCol w:w="1305"/>
        <w:gridCol w:w="1380"/>
        <w:gridCol w:w="1545"/>
        <w:gridCol w:w="1515"/>
        <w:gridCol w:w="1485"/>
      </w:tblGrid>
      <w:tr w14:paraId="08713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2A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种类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59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型号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00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数量（台）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32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用途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B2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租赁方式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72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56184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9A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大型挖掘机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33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220型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97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F7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原路面破碎、开挖、装卸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ED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机械台班（台/小时）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CE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含驾驶员、燃油、维修</w:t>
            </w:r>
          </w:p>
        </w:tc>
      </w:tr>
      <w:tr w14:paraId="0939D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D1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小型挖掘机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67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60/75型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8E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A0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路基开挖、管道开挖、浆砌石上料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2E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机械台班（台/小时）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0F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含驾驶员、燃油、维修</w:t>
            </w:r>
          </w:p>
        </w:tc>
      </w:tr>
      <w:tr w14:paraId="58A3F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11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震动压路机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3A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1.5-3吨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D8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EE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路基素土、碎石垫层、分层碾压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D7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机械台班（台/小时）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09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含驾驶员、燃油、维修</w:t>
            </w:r>
          </w:p>
        </w:tc>
      </w:tr>
      <w:tr w14:paraId="3DE9B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2D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轮式装载机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DF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50型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18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70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砂石、素土、清地表土的装运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D6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机械台班（台/小时）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BA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含驾驶员、燃油、维修</w:t>
            </w:r>
          </w:p>
        </w:tc>
      </w:tr>
      <w:tr w14:paraId="22762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81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轮式装载机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BA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30型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B1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1C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混凝土搅拌、浆砌石上料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42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机械台班（台/小时）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5C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含驾驶员、燃油、维修</w:t>
            </w:r>
          </w:p>
        </w:tc>
      </w:tr>
      <w:tr w14:paraId="4DE53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A5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自卸翻斗车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BB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20-30吨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4D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3D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地表土、开挖、回填、弃料运输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E1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D2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不含驾驶员，含燃油、维修</w:t>
            </w:r>
          </w:p>
        </w:tc>
      </w:tr>
      <w:tr w14:paraId="59408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77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自卸翻斗车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FE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5-10吨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EC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4F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自拌砂浆运输、碎石垫层、所有必要的运输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92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15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不含驾驶员，含燃油、维修</w:t>
            </w:r>
          </w:p>
        </w:tc>
      </w:tr>
      <w:tr w14:paraId="114BE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14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小型汽吊车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77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8-12吨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C6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3E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吊装重型设备和材料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3E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5F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含驾驶员、燃油、维修</w:t>
            </w:r>
          </w:p>
        </w:tc>
      </w:tr>
      <w:tr w14:paraId="075C3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0A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工程洒水车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6E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5吨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FE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9E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路基、混凝土养护降尘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F3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车次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7F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含驾驶员、燃油、维修、水</w:t>
            </w:r>
          </w:p>
        </w:tc>
      </w:tr>
      <w:tr w14:paraId="714BC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39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混凝土搅拌机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B9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350/500型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2A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D4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混凝土搅拌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24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26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8D9F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E8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砂浆搅拌机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AA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200/250型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34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23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砖砌井砌筑、浆砌石砌筑砂浆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91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1334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A872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CD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小型乳化沥青撒布机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49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手推式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14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14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道路透层乳化沥青均匀喷洒施工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83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3ADC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F684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07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柴油静音发电机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EE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120KW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28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27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夜间施工、机械使用，照明用电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F16A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AA3A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DEB3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A9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蛙式打夯机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2B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3KW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2E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B0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路基回填、砖砌井周边、浆砌石基础回填土夯实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9A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A137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32EB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0F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汽油平板夯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E7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2.5KW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41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F0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狭窄区域、边角部位夯实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79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91FA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898E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51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插入式振动棒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19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直径50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AE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34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道路混凝土、浆砌石砂浆振捣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9C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1F4F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E18B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1F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平板振动器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17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2.2KW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27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44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道路混凝土路面振捣提浆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B9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C87C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D36F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A8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路面气切割机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78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柴油/电动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1B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0E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道路混凝土切伸缩缝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55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16A1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C2F3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47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手提电焊机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3E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排气量 (m³/min) 10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7C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9A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钢筋焊接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75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632C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0843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6D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水准仪/经纬仪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85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79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60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道路、浆砌石、路面的测量放线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D4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9827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1FC2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66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移动式配电箱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55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三级配电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1D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6C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现场搅拌机、临时接电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66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E7DB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484A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83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路面磨光机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F2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2.5KW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20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01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道路凝固后磨光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EB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EB22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406A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D5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手推车/翻斗车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E1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0.3m³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B1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99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人工运料、运混凝土砂浆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E3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7464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69B7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33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钢模板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F4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3.5M*0.2M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0D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D3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道路混凝土路面支模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B5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0B23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19A8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F2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木模板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05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厚15MM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6E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4E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零星部位使用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98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4B21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5DFC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77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施工安全围挡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23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F9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E1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施工区域隔离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D2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56BB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B569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CD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警示标志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42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5F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B9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道路安全防护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22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处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9406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</w:tbl>
    <w:p w14:paraId="61B13A3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注：以上报价含税费、运费、维修、燃油（洒水车含水）、发电机费及上下车费用且需运送至指定地点。</w:t>
      </w:r>
    </w:p>
    <w:p w14:paraId="052A504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2.资格要求</w:t>
      </w:r>
    </w:p>
    <w:p w14:paraId="596C68C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"/>
        </w:rPr>
        <w:t>机械设备距法定报废时间三年以上且未发生过重大事故；机手年龄在23-65岁之间，身体健康，无重大病史，从业年限不低于5年且具备市政工程施工经历；机械设备、机手意外保险齐全。</w:t>
      </w:r>
    </w:p>
    <w:p w14:paraId="29A56191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招租办法</w:t>
      </w:r>
    </w:p>
    <w:p w14:paraId="60C1021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（1）广泛宣传。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通过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政府采购网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、微信、抖音平台、村公告，村干部、理事会成员、村民对外宣传扩大知晓面，争取更多的机主报名参与。</w:t>
      </w:r>
    </w:p>
    <w:p w14:paraId="1597E50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（2）自主报名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报名处为仪封北街村委，具体负责人为村理事会会长：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highlight w:val="none"/>
          <w:lang w:val="en-US" w:eastAsia="zh-CN"/>
        </w:rPr>
        <w:t>赵磊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，联系电话：13183143888。</w:t>
      </w:r>
    </w:p>
    <w:p w14:paraId="696660D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（3）公开评定。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询价工作小组制定机械设备招租百分评定办法（见附件2），按照报价、机械设备、机手三部分公开评定，按得分从高到低确定中标机械，并予以公示，接受监督，公示期不少于3个工作日。</w:t>
      </w:r>
    </w:p>
    <w:p w14:paraId="113E79B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（4）签订协议。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逐台机械设备签订机械设备租赁协议。</w:t>
      </w:r>
    </w:p>
    <w:p w14:paraId="7CC59A53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（二）材料采购部分</w:t>
      </w:r>
    </w:p>
    <w:p w14:paraId="51850D06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1.材料清单</w:t>
      </w:r>
    </w:p>
    <w:p w14:paraId="7F6EA2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 w:right="0" w:rightChars="0" w:firstLine="0" w:firstLineChars="0"/>
        <w:jc w:val="center"/>
        <w:textAlignment w:val="top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主要原材料购买清单和预估数量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（仅供参考）</w:t>
      </w:r>
    </w:p>
    <w:tbl>
      <w:tblPr>
        <w:tblStyle w:val="35"/>
        <w:tblW w:w="89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9"/>
        <w:gridCol w:w="1425"/>
        <w:gridCol w:w="2298"/>
        <w:gridCol w:w="1032"/>
        <w:gridCol w:w="1410"/>
        <w:gridCol w:w="1320"/>
      </w:tblGrid>
      <w:tr w14:paraId="1AAB4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79" w:type="dxa"/>
            <w:noWrap w:val="0"/>
            <w:vAlign w:val="center"/>
          </w:tcPr>
          <w:p w14:paraId="69CF5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工程部位</w:t>
            </w:r>
          </w:p>
        </w:tc>
        <w:tc>
          <w:tcPr>
            <w:tcW w:w="1425" w:type="dxa"/>
            <w:noWrap w:val="0"/>
            <w:vAlign w:val="center"/>
          </w:tcPr>
          <w:p w14:paraId="1E979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vertAlign w:val="baseli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材料种类</w:t>
            </w:r>
          </w:p>
        </w:tc>
        <w:tc>
          <w:tcPr>
            <w:tcW w:w="2298" w:type="dxa"/>
            <w:noWrap w:val="0"/>
            <w:vAlign w:val="center"/>
          </w:tcPr>
          <w:p w14:paraId="7F760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vertAlign w:val="baseli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32" w:type="dxa"/>
            <w:noWrap w:val="0"/>
            <w:vAlign w:val="center"/>
          </w:tcPr>
          <w:p w14:paraId="16B66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vertAlign w:val="baseli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410" w:type="dxa"/>
            <w:noWrap w:val="0"/>
            <w:vAlign w:val="center"/>
          </w:tcPr>
          <w:p w14:paraId="5E0A0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vertAlign w:val="baseli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预估数量</w:t>
            </w:r>
          </w:p>
        </w:tc>
        <w:tc>
          <w:tcPr>
            <w:tcW w:w="1320" w:type="dxa"/>
            <w:noWrap w:val="0"/>
            <w:vAlign w:val="center"/>
          </w:tcPr>
          <w:p w14:paraId="73DC8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vertAlign w:val="baseli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BEE4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479" w:type="dxa"/>
            <w:vMerge w:val="restart"/>
            <w:noWrap w:val="0"/>
            <w:vAlign w:val="center"/>
          </w:tcPr>
          <w:p w14:paraId="5A26E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14B7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道路</w:t>
            </w:r>
          </w:p>
        </w:tc>
        <w:tc>
          <w:tcPr>
            <w:tcW w:w="1425" w:type="dxa"/>
            <w:noWrap w:val="0"/>
            <w:vAlign w:val="center"/>
          </w:tcPr>
          <w:p w14:paraId="179E7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石子</w:t>
            </w:r>
          </w:p>
        </w:tc>
        <w:tc>
          <w:tcPr>
            <w:tcW w:w="2298" w:type="dxa"/>
            <w:noWrap w:val="0"/>
            <w:vAlign w:val="center"/>
          </w:tcPr>
          <w:p w14:paraId="61429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5-31.5mm连续级配碎石</w:t>
            </w:r>
          </w:p>
        </w:tc>
        <w:tc>
          <w:tcPr>
            <w:tcW w:w="1032" w:type="dxa"/>
            <w:noWrap w:val="0"/>
            <w:vAlign w:val="center"/>
          </w:tcPr>
          <w:p w14:paraId="62870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410" w:type="dxa"/>
            <w:noWrap w:val="0"/>
            <w:vAlign w:val="center"/>
          </w:tcPr>
          <w:p w14:paraId="523B4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5335</w:t>
            </w:r>
          </w:p>
        </w:tc>
        <w:tc>
          <w:tcPr>
            <w:tcW w:w="1320" w:type="dxa"/>
            <w:vMerge w:val="restart"/>
            <w:noWrap w:val="0"/>
            <w:vAlign w:val="top"/>
          </w:tcPr>
          <w:p w14:paraId="0A0B9FD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18C6B3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EAB8DA5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材料及用量以《工程预算控制清单》（工程预算）为准</w:t>
            </w:r>
          </w:p>
          <w:p w14:paraId="4E9E6CF4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材料及用量以《工程预算控制清单》（工程预算）为准</w:t>
            </w:r>
          </w:p>
        </w:tc>
      </w:tr>
      <w:tr w14:paraId="4200A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79" w:type="dxa"/>
            <w:vMerge w:val="continue"/>
            <w:noWrap w:val="0"/>
            <w:vAlign w:val="center"/>
          </w:tcPr>
          <w:p w14:paraId="0D6F3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229A2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水泥</w:t>
            </w:r>
          </w:p>
        </w:tc>
        <w:tc>
          <w:tcPr>
            <w:tcW w:w="2298" w:type="dxa"/>
            <w:noWrap w:val="0"/>
            <w:vAlign w:val="center"/>
          </w:tcPr>
          <w:p w14:paraId="24088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PO425</w:t>
            </w:r>
          </w:p>
        </w:tc>
        <w:tc>
          <w:tcPr>
            <w:tcW w:w="1032" w:type="dxa"/>
            <w:noWrap w:val="0"/>
            <w:vAlign w:val="center"/>
          </w:tcPr>
          <w:p w14:paraId="2F82B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410" w:type="dxa"/>
            <w:noWrap w:val="0"/>
            <w:vAlign w:val="center"/>
          </w:tcPr>
          <w:p w14:paraId="15920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2751.86</w:t>
            </w:r>
          </w:p>
        </w:tc>
        <w:tc>
          <w:tcPr>
            <w:tcW w:w="1320" w:type="dxa"/>
            <w:vMerge w:val="continue"/>
            <w:noWrap w:val="0"/>
            <w:vAlign w:val="top"/>
          </w:tcPr>
          <w:p w14:paraId="5BC36240">
            <w:pPr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</w:p>
        </w:tc>
      </w:tr>
      <w:tr w14:paraId="03104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79" w:type="dxa"/>
            <w:vMerge w:val="continue"/>
            <w:noWrap w:val="0"/>
            <w:vAlign w:val="center"/>
          </w:tcPr>
          <w:p w14:paraId="74D7C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00110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沙子</w:t>
            </w:r>
          </w:p>
        </w:tc>
        <w:tc>
          <w:tcPr>
            <w:tcW w:w="2298" w:type="dxa"/>
            <w:noWrap w:val="0"/>
            <w:vAlign w:val="center"/>
          </w:tcPr>
          <w:p w14:paraId="0DAA5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2.3-3.0，含泥量</w:t>
            </w:r>
            <w:r>
              <w:rPr>
                <w:rFonts w:hint="default" w:ascii="Arial" w:hAnsi="Arial" w:eastAsia="仿宋_GB2312" w:cs="Arial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≤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3%</w:t>
            </w:r>
          </w:p>
        </w:tc>
        <w:tc>
          <w:tcPr>
            <w:tcW w:w="1032" w:type="dxa"/>
            <w:noWrap w:val="0"/>
            <w:vAlign w:val="center"/>
          </w:tcPr>
          <w:p w14:paraId="44814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410" w:type="dxa"/>
            <w:noWrap w:val="0"/>
            <w:vAlign w:val="center"/>
          </w:tcPr>
          <w:p w14:paraId="659E4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2744</w:t>
            </w:r>
          </w:p>
        </w:tc>
        <w:tc>
          <w:tcPr>
            <w:tcW w:w="1320" w:type="dxa"/>
            <w:vMerge w:val="continue"/>
            <w:noWrap w:val="0"/>
            <w:vAlign w:val="top"/>
          </w:tcPr>
          <w:p w14:paraId="4EF91A5C">
            <w:pPr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</w:p>
        </w:tc>
      </w:tr>
      <w:tr w14:paraId="58A66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79" w:type="dxa"/>
            <w:vMerge w:val="continue"/>
            <w:noWrap w:val="0"/>
            <w:vAlign w:val="center"/>
          </w:tcPr>
          <w:p w14:paraId="4287D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5044A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水</w:t>
            </w:r>
          </w:p>
        </w:tc>
        <w:tc>
          <w:tcPr>
            <w:tcW w:w="2298" w:type="dxa"/>
            <w:noWrap w:val="0"/>
            <w:vAlign w:val="center"/>
          </w:tcPr>
          <w:p w14:paraId="1443E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65AE8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Style w:val="169"/>
                <w:rFonts w:hint="eastAsia" w:hAnsi="宋体"/>
                <w:color w:val="auto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410" w:type="dxa"/>
            <w:noWrap w:val="0"/>
            <w:vAlign w:val="center"/>
          </w:tcPr>
          <w:p w14:paraId="76064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8946.8</w:t>
            </w:r>
          </w:p>
        </w:tc>
        <w:tc>
          <w:tcPr>
            <w:tcW w:w="1320" w:type="dxa"/>
            <w:vMerge w:val="continue"/>
            <w:noWrap w:val="0"/>
            <w:vAlign w:val="top"/>
          </w:tcPr>
          <w:p w14:paraId="331B3CC6">
            <w:pPr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</w:p>
        </w:tc>
      </w:tr>
      <w:tr w14:paraId="0E1A7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79" w:type="dxa"/>
            <w:vMerge w:val="continue"/>
            <w:noWrap w:val="0"/>
            <w:vAlign w:val="center"/>
          </w:tcPr>
          <w:p w14:paraId="7FEAA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682DD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路缘石</w:t>
            </w:r>
          </w:p>
        </w:tc>
        <w:tc>
          <w:tcPr>
            <w:tcW w:w="2298" w:type="dxa"/>
            <w:noWrap w:val="0"/>
            <w:vAlign w:val="center"/>
          </w:tcPr>
          <w:p w14:paraId="62D7A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1000*250*120预制混凝土路缘石</w:t>
            </w:r>
          </w:p>
        </w:tc>
        <w:tc>
          <w:tcPr>
            <w:tcW w:w="1032" w:type="dxa"/>
            <w:noWrap w:val="0"/>
            <w:vAlign w:val="center"/>
          </w:tcPr>
          <w:p w14:paraId="47E8E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10" w:type="dxa"/>
            <w:noWrap w:val="0"/>
            <w:vAlign w:val="center"/>
          </w:tcPr>
          <w:p w14:paraId="5C3B4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320" w:type="dxa"/>
            <w:vMerge w:val="continue"/>
            <w:noWrap w:val="0"/>
            <w:vAlign w:val="top"/>
          </w:tcPr>
          <w:p w14:paraId="3031DC07">
            <w:pPr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</w:p>
        </w:tc>
      </w:tr>
      <w:tr w14:paraId="4F6B7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1479" w:type="dxa"/>
            <w:vMerge w:val="continue"/>
            <w:noWrap w:val="0"/>
            <w:vAlign w:val="center"/>
          </w:tcPr>
          <w:p w14:paraId="4A1EC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56DE3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透水砖</w:t>
            </w:r>
          </w:p>
        </w:tc>
        <w:tc>
          <w:tcPr>
            <w:tcW w:w="2298" w:type="dxa"/>
            <w:noWrap w:val="0"/>
            <w:vAlign w:val="center"/>
          </w:tcPr>
          <w:p w14:paraId="51E5B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200*100*60深灰色透水砖</w:t>
            </w:r>
          </w:p>
        </w:tc>
        <w:tc>
          <w:tcPr>
            <w:tcW w:w="1032" w:type="dxa"/>
            <w:noWrap w:val="0"/>
            <w:vAlign w:val="center"/>
          </w:tcPr>
          <w:p w14:paraId="6CFA0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410" w:type="dxa"/>
            <w:noWrap w:val="0"/>
            <w:vAlign w:val="center"/>
          </w:tcPr>
          <w:p w14:paraId="2B703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320" w:type="dxa"/>
            <w:vMerge w:val="continue"/>
            <w:noWrap w:val="0"/>
            <w:vAlign w:val="top"/>
          </w:tcPr>
          <w:p w14:paraId="7CAFE25A">
            <w:pPr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</w:p>
        </w:tc>
      </w:tr>
    </w:tbl>
    <w:p w14:paraId="6769A54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right="0" w:rightChars="0"/>
        <w:jc w:val="left"/>
        <w:textAlignment w:val="top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</w:pPr>
    </w:p>
    <w:p w14:paraId="6E74FCD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right="0" w:rightChars="0" w:firstLine="643" w:firstLineChars="200"/>
        <w:jc w:val="left"/>
        <w:textAlignment w:val="top"/>
        <w:rPr>
          <w:rFonts w:hint="default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其他零星材料：水管、钉子、铁丝、薄膜、钢筋、大板、标</w:t>
      </w:r>
      <w:r>
        <w:rPr>
          <w:rFonts w:hint="default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示牌、劳保用品等视需要就近按不高于市场价直接询价购买。</w:t>
      </w:r>
    </w:p>
    <w:p w14:paraId="2B0F1BD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right="0" w:rightChars="0" w:firstLine="643" w:firstLineChars="200"/>
        <w:jc w:val="left"/>
        <w:textAlignment w:val="top"/>
        <w:rPr>
          <w:rFonts w:hint="default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各项目按照投资计划的建设内容自行确定采购的品种、数量。</w:t>
      </w:r>
    </w:p>
    <w:p w14:paraId="326DD221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2.采购办法</w:t>
      </w:r>
    </w:p>
    <w:p w14:paraId="2D86852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（1）公开询价。询价工作小组在乡镇领导小组领导下现场询价，询价员不少于7人，每种材料询价不少于3家（报名表见附件3）。</w:t>
      </w:r>
    </w:p>
    <w:p w14:paraId="2309913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（2）公开评定。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询价工作小组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制定材料采购百分评定办法（见附件4），从高到低确定中标人，并予以公示，接受监督，公示期不少于3个工作日。</w:t>
      </w:r>
    </w:p>
    <w:p w14:paraId="28765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（3）签订采购合同。公示期满，无异议签订采购合同。</w:t>
      </w:r>
    </w:p>
    <w:p w14:paraId="75DAE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（三）技术服务部分</w:t>
      </w:r>
    </w:p>
    <w:p w14:paraId="375F8F3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依据项目性质、投资规模、施工设计和实际需要公开面向社会选聘技术员1名、资料员1名、监理单位1家、跟踪结算审核单位1家。</w:t>
      </w:r>
    </w:p>
    <w:p w14:paraId="33FD72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right="0" w:rightChars="0"/>
        <w:jc w:val="center"/>
        <w:textAlignment w:val="top"/>
        <w:rPr>
          <w:rFonts w:hint="eastAsia" w:ascii="仿宋_GB2312" w:hAnsi="仿宋_GB2312" w:eastAsia="仿宋_GB2312" w:cs="仿宋_GB2312"/>
          <w:b/>
          <w:bCs/>
          <w:color w:val="auto"/>
          <w:spacing w:val="7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7"/>
          <w:sz w:val="32"/>
          <w:szCs w:val="32"/>
        </w:rPr>
        <w:t>岗位需求及职责</w:t>
      </w:r>
    </w:p>
    <w:tbl>
      <w:tblPr>
        <w:tblStyle w:val="167"/>
        <w:tblW w:w="8803" w:type="dxa"/>
        <w:tblInd w:w="6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5"/>
        <w:gridCol w:w="824"/>
        <w:gridCol w:w="6290"/>
        <w:gridCol w:w="844"/>
      </w:tblGrid>
      <w:tr w14:paraId="5507BF49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Header/>
        </w:trPr>
        <w:tc>
          <w:tcPr>
            <w:tcW w:w="845" w:type="dxa"/>
            <w:tcBorders>
              <w:top w:val="single" w:color="231F20" w:sz="6" w:space="0"/>
              <w:left w:val="single" w:color="231F20" w:sz="6" w:space="0"/>
            </w:tcBorders>
            <w:noWrap w:val="0"/>
            <w:vAlign w:val="top"/>
          </w:tcPr>
          <w:p w14:paraId="2F7682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32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7"/>
                <w:sz w:val="28"/>
                <w:szCs w:val="28"/>
              </w:rPr>
              <w:t>岗位</w:t>
            </w:r>
          </w:p>
          <w:p w14:paraId="40E351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13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3"/>
                <w:sz w:val="28"/>
                <w:szCs w:val="28"/>
              </w:rPr>
              <w:t>名称</w:t>
            </w:r>
          </w:p>
        </w:tc>
        <w:tc>
          <w:tcPr>
            <w:tcW w:w="824" w:type="dxa"/>
            <w:tcBorders>
              <w:top w:val="single" w:color="231F20" w:sz="6" w:space="0"/>
            </w:tcBorders>
            <w:noWrap w:val="0"/>
            <w:vAlign w:val="top"/>
          </w:tcPr>
          <w:p w14:paraId="425094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13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28"/>
                <w:szCs w:val="28"/>
              </w:rPr>
              <w:t>招聘</w:t>
            </w:r>
          </w:p>
          <w:p w14:paraId="79A605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08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8"/>
                <w:szCs w:val="28"/>
              </w:rPr>
              <w:t>数量</w:t>
            </w:r>
          </w:p>
        </w:tc>
        <w:tc>
          <w:tcPr>
            <w:tcW w:w="6290" w:type="dxa"/>
            <w:tcBorders>
              <w:top w:val="single" w:color="231F20" w:sz="6" w:space="0"/>
            </w:tcBorders>
            <w:noWrap w:val="0"/>
            <w:vAlign w:val="top"/>
          </w:tcPr>
          <w:p w14:paraId="7C27D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1"/>
                <w:sz w:val="28"/>
                <w:szCs w:val="28"/>
              </w:rPr>
              <w:t>岗位职责</w:t>
            </w:r>
          </w:p>
        </w:tc>
        <w:tc>
          <w:tcPr>
            <w:tcW w:w="844" w:type="dxa"/>
            <w:tcBorders>
              <w:top w:val="single" w:color="231F20" w:sz="6" w:space="0"/>
              <w:right w:val="single" w:color="231F20" w:sz="6" w:space="0"/>
            </w:tcBorders>
            <w:noWrap w:val="0"/>
            <w:vAlign w:val="top"/>
          </w:tcPr>
          <w:p w14:paraId="7C85C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"/>
                <w:sz w:val="28"/>
                <w:szCs w:val="28"/>
              </w:rPr>
              <w:t>备注</w:t>
            </w:r>
          </w:p>
        </w:tc>
      </w:tr>
      <w:tr w14:paraId="34B88D8F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845" w:type="dxa"/>
            <w:tcBorders>
              <w:left w:val="single" w:color="231F20" w:sz="6" w:space="0"/>
            </w:tcBorders>
            <w:noWrap w:val="0"/>
            <w:vAlign w:val="center"/>
          </w:tcPr>
          <w:p w14:paraId="555C0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3E2BC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3D178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37B20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5F4BF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  <w:t>技</w:t>
            </w:r>
          </w:p>
          <w:p w14:paraId="31C4A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  <w:t>术</w:t>
            </w:r>
          </w:p>
          <w:p w14:paraId="18EDC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员</w:t>
            </w:r>
          </w:p>
        </w:tc>
        <w:tc>
          <w:tcPr>
            <w:tcW w:w="824" w:type="dxa"/>
            <w:noWrap w:val="0"/>
            <w:vAlign w:val="center"/>
          </w:tcPr>
          <w:p w14:paraId="10FC1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</w:pPr>
          </w:p>
          <w:p w14:paraId="5F06D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</w:pPr>
          </w:p>
          <w:p w14:paraId="7E4D7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</w:pPr>
          </w:p>
          <w:p w14:paraId="647B6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6290" w:type="dxa"/>
            <w:noWrap w:val="0"/>
            <w:vAlign w:val="center"/>
          </w:tcPr>
          <w:p w14:paraId="330DAE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1.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组织学习和实施相关的技术标准、规范和质量检验标准；</w:t>
            </w:r>
          </w:p>
          <w:p w14:paraId="14E093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leftChars="0"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2.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全面负责施工和生产过程中安全、质量和进度等技术问题，协助加强项目的整体管理，组织制订工程建设计划；</w:t>
            </w:r>
          </w:p>
          <w:p w14:paraId="7C30A7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leftChars="0"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3.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负责分项和关键工序的技术澄清，负责工序的技术协调，处理技术问题，监督整改措施的实施；</w:t>
            </w:r>
          </w:p>
          <w:p w14:paraId="6260EA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leftChars="0"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  <w:t>4.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主持制定安全技术措施，指导项目开展质量控制小组活动；</w:t>
            </w:r>
          </w:p>
          <w:p w14:paraId="53EF20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指导、监督施工队的技术、质量、安全检查，组织隐蔽工程验收和分项工程验收，参加单位工程质量评价；</w:t>
            </w:r>
          </w:p>
          <w:p w14:paraId="6775EC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  <w:t>6.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负责项目技术资料和项目信息化管理，负责整理、处理竣工文件的归档工作。</w:t>
            </w:r>
          </w:p>
        </w:tc>
        <w:tc>
          <w:tcPr>
            <w:tcW w:w="844" w:type="dxa"/>
            <w:tcBorders>
              <w:right w:val="single" w:color="231F20" w:sz="6" w:space="0"/>
            </w:tcBorders>
            <w:noWrap w:val="0"/>
            <w:vAlign w:val="center"/>
          </w:tcPr>
          <w:p w14:paraId="288DE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</w:p>
        </w:tc>
      </w:tr>
      <w:tr w14:paraId="1A713BD0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845" w:type="dxa"/>
            <w:tcBorders>
              <w:left w:val="single" w:color="231F20" w:sz="6" w:space="0"/>
            </w:tcBorders>
            <w:noWrap w:val="0"/>
            <w:vAlign w:val="center"/>
          </w:tcPr>
          <w:p w14:paraId="71C90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  <w:t>资</w:t>
            </w:r>
          </w:p>
          <w:p w14:paraId="141B1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  <w:t>料</w:t>
            </w:r>
          </w:p>
          <w:p w14:paraId="7073B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  <w:t>员</w:t>
            </w:r>
          </w:p>
        </w:tc>
        <w:tc>
          <w:tcPr>
            <w:tcW w:w="824" w:type="dxa"/>
            <w:noWrap w:val="0"/>
            <w:vAlign w:val="center"/>
          </w:tcPr>
          <w:p w14:paraId="6171F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  <w:t>1名</w:t>
            </w:r>
          </w:p>
        </w:tc>
        <w:tc>
          <w:tcPr>
            <w:tcW w:w="6290" w:type="dxa"/>
            <w:noWrap w:val="0"/>
            <w:vAlign w:val="center"/>
          </w:tcPr>
          <w:p w14:paraId="2F6C9E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28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1.按照要求收集整理项目前期、建设中及验收阶段资料，确保完整规范。</w:t>
            </w:r>
          </w:p>
          <w:p w14:paraId="2915AE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28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2.建立文字与电子档案分类体系，妥善保管纸质与电子档案，做到“随产生、随收集、随归档”。</w:t>
            </w:r>
          </w:p>
          <w:p w14:paraId="4A3FFE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28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3.督促施工、质量监督等组按期报送资料，核查资料完整性与合规性，缺失或不合规的及时协调补充。</w:t>
            </w:r>
          </w:p>
          <w:p w14:paraId="00986D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28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.配合项目验收与审计，提供所需档案，验收后按要求将档案分类移交县级行业主管部门、乡镇及村委会。</w:t>
            </w:r>
          </w:p>
        </w:tc>
        <w:tc>
          <w:tcPr>
            <w:tcW w:w="844" w:type="dxa"/>
            <w:tcBorders>
              <w:right w:val="single" w:color="231F20" w:sz="6" w:space="0"/>
            </w:tcBorders>
            <w:noWrap w:val="0"/>
            <w:vAlign w:val="center"/>
          </w:tcPr>
          <w:p w14:paraId="7C802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</w:p>
        </w:tc>
      </w:tr>
      <w:tr w14:paraId="7711F267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845" w:type="dxa"/>
            <w:tcBorders>
              <w:left w:val="single" w:color="231F20" w:sz="6" w:space="0"/>
            </w:tcBorders>
            <w:shd w:val="clear" w:color="auto" w:fill="auto"/>
            <w:noWrap w:val="0"/>
            <w:vAlign w:val="center"/>
          </w:tcPr>
          <w:p w14:paraId="57470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70B6E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监</w:t>
            </w:r>
          </w:p>
          <w:p w14:paraId="14B55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理</w:t>
            </w:r>
          </w:p>
          <w:p w14:paraId="30690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单</w:t>
            </w:r>
          </w:p>
          <w:p w14:paraId="16568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位</w:t>
            </w:r>
          </w:p>
        </w:tc>
        <w:tc>
          <w:tcPr>
            <w:tcW w:w="824" w:type="dxa"/>
            <w:shd w:val="clear" w:color="auto" w:fill="auto"/>
            <w:noWrap w:val="0"/>
            <w:vAlign w:val="center"/>
          </w:tcPr>
          <w:p w14:paraId="34F45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3" w:leftChars="0" w:right="113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1</w:t>
            </w:r>
          </w:p>
        </w:tc>
        <w:tc>
          <w:tcPr>
            <w:tcW w:w="6290" w:type="dxa"/>
            <w:shd w:val="clear" w:color="auto" w:fill="auto"/>
            <w:noWrap w:val="0"/>
            <w:vAlign w:val="center"/>
          </w:tcPr>
          <w:p w14:paraId="282083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28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参与编制监理规划，负责编制监理实施细则；</w:t>
            </w:r>
          </w:p>
          <w:p w14:paraId="1D30A7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28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2.检查进场的工程材料、构配件、设备的质量；</w:t>
            </w:r>
          </w:p>
          <w:p w14:paraId="731CC2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28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3.验收检验隐蔽工程、分项工程，参与验收分部工程；</w:t>
            </w:r>
          </w:p>
          <w:p w14:paraId="082D6B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28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4.处置发现的质量问题和安全事故隐患；</w:t>
            </w:r>
          </w:p>
          <w:p w14:paraId="2F1E09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28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5.进行工程计量、劳务报酬、务工人数、材料费用、机械费用核算，参与工程变更的审查和处理；</w:t>
            </w:r>
          </w:p>
          <w:p w14:paraId="7921D6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28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6.完成其范围内的检查、旁站、巡视、记录、汇报等工作，组织编写监理日志，参与编写监理月报；</w:t>
            </w:r>
          </w:p>
          <w:p w14:paraId="65E93B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28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7.收集、汇总、参与整理监理文件资料；</w:t>
            </w:r>
          </w:p>
          <w:p w14:paraId="0003F5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28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8.参与工程竣工预验收和竣工验收。</w:t>
            </w:r>
          </w:p>
        </w:tc>
        <w:tc>
          <w:tcPr>
            <w:tcW w:w="844" w:type="dxa"/>
            <w:tcBorders>
              <w:right w:val="single" w:color="231F20" w:sz="6" w:space="0"/>
            </w:tcBorders>
            <w:noWrap w:val="0"/>
            <w:vAlign w:val="center"/>
          </w:tcPr>
          <w:p w14:paraId="041CD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</w:p>
        </w:tc>
      </w:tr>
      <w:tr w14:paraId="4D6AC870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845" w:type="dxa"/>
            <w:tcBorders>
              <w:left w:val="single" w:color="231F20" w:sz="6" w:space="0"/>
            </w:tcBorders>
            <w:shd w:val="clear" w:color="auto" w:fill="auto"/>
            <w:noWrap w:val="0"/>
            <w:vAlign w:val="center"/>
          </w:tcPr>
          <w:p w14:paraId="3A9D6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2"/>
                <w:sz w:val="28"/>
                <w:szCs w:val="28"/>
                <w:u w:val="none"/>
                <w:lang w:val="en-US" w:eastAsia="zh-CN"/>
              </w:rPr>
              <w:t>跟</w:t>
            </w:r>
          </w:p>
          <w:p w14:paraId="09D89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2"/>
                <w:sz w:val="28"/>
                <w:szCs w:val="28"/>
                <w:u w:val="none"/>
                <w:lang w:val="en-US" w:eastAsia="zh-CN"/>
              </w:rPr>
              <w:t>踪</w:t>
            </w:r>
          </w:p>
          <w:p w14:paraId="4200A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2"/>
                <w:sz w:val="28"/>
                <w:szCs w:val="28"/>
                <w:u w:val="none"/>
                <w:lang w:val="en-US" w:eastAsia="zh-CN"/>
              </w:rPr>
              <w:t>结</w:t>
            </w:r>
          </w:p>
          <w:p w14:paraId="04566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2"/>
                <w:sz w:val="28"/>
                <w:szCs w:val="28"/>
                <w:u w:val="none"/>
                <w:lang w:val="en-US" w:eastAsia="zh-CN"/>
              </w:rPr>
              <w:t>算</w:t>
            </w:r>
          </w:p>
          <w:p w14:paraId="5BBDC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2"/>
                <w:sz w:val="28"/>
                <w:szCs w:val="28"/>
                <w:u w:val="none"/>
                <w:lang w:val="en-US" w:eastAsia="zh-CN"/>
              </w:rPr>
              <w:t>审</w:t>
            </w:r>
          </w:p>
          <w:p w14:paraId="5A5B5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2"/>
                <w:sz w:val="28"/>
                <w:szCs w:val="28"/>
                <w:u w:val="none"/>
                <w:lang w:val="en-US" w:eastAsia="zh-CN"/>
              </w:rPr>
              <w:t>核</w:t>
            </w:r>
          </w:p>
          <w:p w14:paraId="2E6FA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2"/>
                <w:sz w:val="28"/>
                <w:szCs w:val="28"/>
                <w:u w:val="none"/>
                <w:lang w:val="en-US" w:eastAsia="zh-CN"/>
              </w:rPr>
              <w:t>单</w:t>
            </w:r>
          </w:p>
          <w:p w14:paraId="70E12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2"/>
                <w:sz w:val="28"/>
                <w:szCs w:val="28"/>
                <w:u w:val="none"/>
                <w:lang w:val="en-US" w:eastAsia="zh-CN"/>
              </w:rPr>
              <w:t>位</w:t>
            </w:r>
          </w:p>
        </w:tc>
        <w:tc>
          <w:tcPr>
            <w:tcW w:w="824" w:type="dxa"/>
            <w:shd w:val="clear" w:color="auto" w:fill="auto"/>
            <w:noWrap w:val="0"/>
            <w:vAlign w:val="center"/>
          </w:tcPr>
          <w:p w14:paraId="75444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6290" w:type="dxa"/>
            <w:shd w:val="clear" w:color="auto" w:fill="auto"/>
            <w:noWrap w:val="0"/>
            <w:vAlign w:val="center"/>
          </w:tcPr>
          <w:p w14:paraId="4A10C0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leftChars="0"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全过程跟踪审计。参与合同签订、施工、变更、验收、结算全流程监督。</w:t>
            </w:r>
          </w:p>
          <w:p w14:paraId="107ADE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leftChars="0"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专项资金与劳务报酬监管。监督项目资金拨付、使用、结算的合规性，防范资金浪费与违规支出。</w:t>
            </w:r>
          </w:p>
          <w:p w14:paraId="6F2759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leftChars="0"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3.工程建设与资料审计。核查工程建设内容、质量是否符合设计与规范要求，核验验收记录与检测报告。</w:t>
            </w:r>
          </w:p>
          <w:p w14:paraId="56DF83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leftChars="0"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4.问题处置与报告。发现虚构用工、虚假采购、违规变更等线索时，及时向项目业主单位书面报告。</w:t>
            </w:r>
          </w:p>
          <w:p w14:paraId="12D5C2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leftChars="0"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  <w:t>5.档案管理与配合监督。整理、归档审计全过程资料，确保审计痕迹可追溯；配合上级审计机关、纪检监察等部门的监督检查工作。</w:t>
            </w:r>
          </w:p>
        </w:tc>
        <w:tc>
          <w:tcPr>
            <w:tcW w:w="844" w:type="dxa"/>
            <w:tcBorders>
              <w:right w:val="single" w:color="231F20" w:sz="6" w:space="0"/>
            </w:tcBorders>
            <w:noWrap w:val="0"/>
            <w:vAlign w:val="center"/>
          </w:tcPr>
          <w:p w14:paraId="0A598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</w:p>
        </w:tc>
      </w:tr>
    </w:tbl>
    <w:p w14:paraId="41B39FF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1.资质要求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。施工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技术员具备中级（含中级）以上职称、5年以上市政工程施工经历；资料员具有资料员合格证书；监理单位具备四级市政工程监理资质，满足常驻一名监理工程师要求；跟踪结算审核单位具备一级及以上的造价资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质。</w:t>
      </w:r>
    </w:p>
    <w:p w14:paraId="68B6A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2.信誉要求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。拟聘人员在相关行业内，近两年内无不良行为记录。</w:t>
      </w:r>
    </w:p>
    <w:p w14:paraId="60835B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3.聘用流程</w:t>
      </w:r>
    </w:p>
    <w:p w14:paraId="0A9823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（1）发布公告。由项目理事会根据项目建设需要，拟定《西平县杨庄乡仪封北街村2026年特色旅居村以工代赈项目“租购聘”询价比价公告》，通过县政府官网、政府采购网、乡</w:t>
      </w:r>
      <w:r>
        <w:rPr>
          <w:rFonts w:hint="eastAsia" w:ascii="仿宋_GB2312" w:hAnsi="仿宋_GB2312" w:eastAsia="仿宋_GB2312" w:cs="仿宋_GB2312"/>
          <w:i w:val="0"/>
          <w:iCs w:val="0"/>
          <w:snapToGrid/>
          <w:color w:val="000000"/>
          <w:kern w:val="2"/>
          <w:sz w:val="28"/>
          <w:szCs w:val="28"/>
          <w:u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村公告，村干部、理事会成员、村民对外宣传扩大知晓。</w:t>
      </w:r>
    </w:p>
    <w:p w14:paraId="268581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（2）自主报名。报名处为仪封北街村委，具体负责人为理事会负责人：赵磊，联系电话：13183143888（报名表见附件5），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邮箱：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13183143888@163.com</w:t>
      </w:r>
    </w:p>
    <w:p w14:paraId="3019E0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（3）资格审查。询价工作小组依照聘用要求，制定技术服务选聘办法（见附件6），按得分从高到低确定中标方，并予以公示，接受监督，公示期不少于3个工作日。</w:t>
      </w:r>
    </w:p>
    <w:p w14:paraId="69C3E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（4）签订合同。确定施工技术人员和跟踪结算审核单位后，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项目理事会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与中标方签订合同。双方按照合同要求，尽职履职，迅速开展相关工作。</w:t>
      </w:r>
    </w:p>
    <w:p w14:paraId="627C8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4.聘用费用标准</w:t>
      </w:r>
    </w:p>
    <w:p w14:paraId="3211B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施工管理人员工资标准参照同类施工技术人员市场行情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8000元/月-12000元/月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；跟踪结算审核单位参照政府性投资项目指导价格标准，价格范围为项目投资的1%。</w:t>
      </w:r>
    </w:p>
    <w:p w14:paraId="6B5E3F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5.资料留存</w:t>
      </w:r>
    </w:p>
    <w:p w14:paraId="1F1669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聘用施工技术人员和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跟踪结算审核单位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过程中，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项目理事会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要注意资料保存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《西平县杨庄乡仪封北街村2026年特色旅居村以工代赈项目“租购聘”询价比价公告》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及照片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项目理事会、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村两委监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委审核、评定等过程的会议记录和照片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；村民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代表大会审议决定会议记录和照片、公示、报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政府备案。</w:t>
      </w:r>
    </w:p>
    <w:p w14:paraId="5379C3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716" w:firstLineChars="200"/>
        <w:jc w:val="left"/>
        <w:textAlignment w:val="top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pacing w:val="19"/>
          <w:sz w:val="32"/>
          <w:szCs w:val="32"/>
        </w:rPr>
        <w:t>三</w:t>
      </w:r>
      <w:r>
        <w:rPr>
          <w:rFonts w:hint="eastAsia" w:ascii="黑体" w:hAnsi="黑体" w:eastAsia="黑体" w:cs="黑体"/>
          <w:color w:val="auto"/>
          <w:spacing w:val="19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color w:val="auto"/>
          <w:spacing w:val="19"/>
          <w:sz w:val="32"/>
          <w:szCs w:val="32"/>
        </w:rPr>
        <w:t>租购聘对象及条件</w:t>
      </w:r>
    </w:p>
    <w:p w14:paraId="6517922C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（一）机械（机具）租赁</w:t>
      </w:r>
    </w:p>
    <w:p w14:paraId="08A95E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eastAsia="zh-CN"/>
        </w:rPr>
        <w:t>1.机械类：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由项目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理事会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提供协调场地、电力、用水。要求机械出租企业或个人，近三年无机械类安全事故发生，无债权债务纠纷，经营范围要满足项目施工对机械设备的要求；出租方必须配备机械操作手且机械操作人员要有相应的机械操作证，近三年无安全事故发生，无债权债务纠纷。在租用期间发生机械故障，由出租方负责维修维护，不能影响租赁方正常施工进度，报价低者优先考虑。</w:t>
      </w:r>
    </w:p>
    <w:p w14:paraId="7C053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eastAsia="zh-CN"/>
        </w:rPr>
        <w:t>2.机具类：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优先租赁国营或村集体所有的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机具，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国营或村集体没有的其他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机具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通过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有相应的营业执照五金店（含个体经营部）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租赁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，有产品合格证，无债权债务纠纷。机具在近三年内无因质量问题导致的任何安全事故发生。在租用期间内，由出租方做好相关机具日常的维护保养，如出现无法修复的故障，由出租方重新提供机具。</w:t>
      </w:r>
    </w:p>
    <w:p w14:paraId="69BA97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3.中选供应商提供的机械及操作手必须购买安全意外保险。</w:t>
      </w:r>
    </w:p>
    <w:p w14:paraId="1904E4DD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（二）材料供应商</w:t>
      </w:r>
    </w:p>
    <w:p w14:paraId="3E530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1.主材类（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水泥、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砂石、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波纹管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等）：销售单位（含个体经营部）要有相应的营业执照及供货能力，要有质量检测合格证、税票，无不良征信、民事纠纷等，综合报价低者优先考虑。</w:t>
      </w:r>
    </w:p>
    <w:p w14:paraId="35B08A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2.辅材类（模具、劳保用品等）及零星材料：销售单位（含个体经营部）要有相应的营业执照，要有质量检测合格证、税票，无不良征信、民事纠纷等，综合报价低者及项目所在村企业优先考虑。</w:t>
      </w:r>
    </w:p>
    <w:p w14:paraId="14CE92D1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（三）聘用</w:t>
      </w:r>
    </w:p>
    <w:p w14:paraId="7865A0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1.施工技术员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施工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技术员具备中级（含中级）以上职称、5年以上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市政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工程施工经历；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具有相应业务能力，责任心强，能熟练操作电脑办公软件，无个人不良信用。</w:t>
      </w:r>
    </w:p>
    <w:p w14:paraId="17BCA1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2.跟踪结算审核单位：确保以工代赈政策落实到位，真正发挥“赈”的作用，劳务报酬发放的真实性与及时性、困难群众吸纳比例、项目后期管护与效益发挥。</w:t>
      </w:r>
    </w:p>
    <w:p w14:paraId="0E1B79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700" w:firstLineChars="200"/>
        <w:jc w:val="left"/>
        <w:textAlignment w:val="top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pacing w:val="15"/>
          <w:sz w:val="32"/>
          <w:szCs w:val="32"/>
        </w:rPr>
        <w:t>四</w:t>
      </w:r>
      <w:r>
        <w:rPr>
          <w:rFonts w:hint="eastAsia" w:ascii="黑体" w:hAnsi="黑体" w:eastAsia="黑体" w:cs="黑体"/>
          <w:color w:val="auto"/>
          <w:spacing w:val="15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color w:val="auto"/>
          <w:spacing w:val="15"/>
          <w:sz w:val="32"/>
          <w:szCs w:val="32"/>
        </w:rPr>
        <w:t>询价对象数量</w:t>
      </w:r>
    </w:p>
    <w:p w14:paraId="6065A7DA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（一）租用</w:t>
      </w:r>
    </w:p>
    <w:p w14:paraId="42E0BC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1.机械类：3家及以上的公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司（含个体经营部）或个人。</w:t>
      </w:r>
    </w:p>
    <w:p w14:paraId="20466D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2.机具类：3家及以上的公司（含个体经营部）或个人。</w:t>
      </w:r>
    </w:p>
    <w:p w14:paraId="329EE9AF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（二）购买</w:t>
      </w:r>
    </w:p>
    <w:p w14:paraId="70CC6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1.主材类：3家及以上的公司（含个体经营部）或个人。</w:t>
      </w:r>
    </w:p>
    <w:p w14:paraId="6A4C55E6">
      <w:pPr>
        <w:pStyle w:val="1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2.辅材类及零星材料：单项总金额1000元以上材料必须询价3家及以上的公司（含个体经营部）或个人，单项材料总价1000元以内含劳保用品就近购买、加工。</w:t>
      </w:r>
    </w:p>
    <w:p w14:paraId="1CEA61D2">
      <w:pPr>
        <w:pStyle w:val="1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3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三）聘用</w:t>
      </w:r>
    </w:p>
    <w:p w14:paraId="094FB6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1.施工技术员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西平县杨庄振兴农业有限公司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提出建议人员，由乡政府、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村“两委”和项目理事会通过会议确定。</w:t>
      </w:r>
    </w:p>
    <w:p w14:paraId="4B5F2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2.跟踪结算审核单位：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3家及以上有资质的公司。</w:t>
      </w:r>
    </w:p>
    <w:p w14:paraId="1BBC03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right="0" w:rightChars="0" w:firstLine="640" w:firstLineChars="200"/>
        <w:jc w:val="left"/>
        <w:textAlignment w:val="top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五、租购聘程序</w:t>
      </w:r>
    </w:p>
    <w:p w14:paraId="358D2174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（一）组建租购聘工作机构</w:t>
      </w:r>
    </w:p>
    <w:p w14:paraId="719F16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619"/>
        <w:textAlignment w:val="auto"/>
        <w:rPr>
          <w:rFonts w:hint="default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1.询价工作小组（5人）</w:t>
      </w:r>
    </w:p>
    <w:p w14:paraId="348C1F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619"/>
        <w:textAlignment w:val="auto"/>
        <w:rPr>
          <w:rFonts w:hint="default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（1）“项目理事会+村民自建”模式</w:t>
      </w:r>
    </w:p>
    <w:p w14:paraId="07C3E6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组   长：赵磊</w:t>
      </w:r>
    </w:p>
    <w:p w14:paraId="1EE5F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成   员：赵永坤 材料采购组组长</w:t>
      </w:r>
    </w:p>
    <w:p w14:paraId="6260B7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　　  　 李宏军 施工管理组组长</w:t>
      </w:r>
    </w:p>
    <w:p w14:paraId="7B6CB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　　　   李  军  财务管理组组长</w:t>
      </w:r>
    </w:p>
    <w:p w14:paraId="79397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　　   　付新伟 材料采购组成员</w:t>
      </w:r>
    </w:p>
    <w:p w14:paraId="33D2D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租购聘询价工作小组负责开展主要原材料采购、材料运输、主要工程机械租赁、聘用专业技术人员（机构）的询价比价工作。</w:t>
      </w:r>
    </w:p>
    <w:p w14:paraId="64F1B7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619"/>
        <w:textAlignment w:val="auto"/>
        <w:rPr>
          <w:rFonts w:hint="default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2.租购聘监督小组（7人）</w:t>
      </w:r>
    </w:p>
    <w:p w14:paraId="6F770F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组  长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赵  帅 乡党委副书记、乡长</w:t>
      </w:r>
    </w:p>
    <w:p w14:paraId="6E241F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 xml:space="preserve">成  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员：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吴  飞 乡党委委员、纪委书记</w:t>
      </w:r>
    </w:p>
    <w:p w14:paraId="63E2E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1920" w:firstLineChars="600"/>
        <w:jc w:val="left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32"/>
          <w:lang w:val="en-US" w:eastAsia="zh-CN" w:bidi="ar-SA"/>
        </w:rPr>
        <w:t xml:space="preserve">吴欢欢 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党委委员、副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长</w:t>
      </w:r>
    </w:p>
    <w:p w14:paraId="3B575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1920" w:firstLineChars="6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 xml:space="preserve">樊星辰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副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长</w:t>
      </w:r>
    </w:p>
    <w:p w14:paraId="11B7C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1920" w:firstLineChars="6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陈红星  乡纪委副书记</w:t>
      </w:r>
    </w:p>
    <w:p w14:paraId="4E405E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1920" w:firstLineChars="600"/>
        <w:jc w:val="left"/>
        <w:textAlignment w:val="auto"/>
        <w:rPr>
          <w:rFonts w:hint="default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赵  磊  仪封北街村党支部书记</w:t>
      </w:r>
    </w:p>
    <w:p w14:paraId="7DB39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1920" w:firstLineChars="600"/>
        <w:jc w:val="left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赵慧娟  仪封北街村监委会主任</w:t>
      </w:r>
    </w:p>
    <w:p w14:paraId="0FD4D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45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租购聘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监督小组负责对租购聘工作进行全面监督，村监委会主任参与询价过程监督。</w:t>
      </w:r>
    </w:p>
    <w:p w14:paraId="230B7691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（二）确定询价对象</w:t>
      </w:r>
    </w:p>
    <w:p w14:paraId="62343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询价工作小组根据审定的租购聘方案，在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县政府官网、乡镇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政务公开栏、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村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务公开栏发布询价比价公告，公告公示时间不少于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个工作日。按照本村、本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优先的原则，从符合要求的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三家（人）以上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供应商或个人（机构）作为询价对象，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不足三家（人）以上重新发布公告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。</w:t>
      </w:r>
    </w:p>
    <w:p w14:paraId="51CD7A8B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（三）询价</w:t>
      </w:r>
    </w:p>
    <w:p w14:paraId="6A50E4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询价工作小组根据审定的租购聘方案，采取书面询价或者电话询价方式，明确询价内容、数量、条件要求、报价方式、结果评定办法等内容，做好询价记录。</w:t>
      </w:r>
    </w:p>
    <w:p w14:paraId="23A0BAB2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（四）比价及对象确定</w:t>
      </w:r>
    </w:p>
    <w:p w14:paraId="611990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619"/>
        <w:textAlignment w:val="auto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1.结果评定办法</w:t>
      </w:r>
    </w:p>
    <w:p w14:paraId="4B6F0E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租购聘采取综合评分法，根据“货比三家、比质比价、择优选购（租、聘）”的原则，综合比较确定成交租购聘对象，比价小组成员共同讨论打分，按最终得分从高到低顺序确定建议中选对象。具体询比价评分标准依据商品（服务）报价、质量、付款方式、公司资质、人员职称及经验等合理确定。</w:t>
      </w:r>
    </w:p>
    <w:p w14:paraId="2824E9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619"/>
        <w:textAlignment w:val="auto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2.比价及对象确定程序</w:t>
      </w:r>
    </w:p>
    <w:p w14:paraId="1D8B5B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村两委和项目理事会成员召开会议，询比工作小组介绍询比价评分标准及综合得分情况，提出“租购聘”对象评比排序名单。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 xml:space="preserve"> </w:t>
      </w:r>
    </w:p>
    <w:p w14:paraId="283E09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乡镇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项目领导小组组织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乡、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村相关人员召开专题会议，听取询比工作组汇报，综合考虑“租购聘”对象评比排序名单和是否有利于基层治理的两方面因素，经参会人员充分讨论，提出“租购聘”建议对象。</w:t>
      </w:r>
    </w:p>
    <w:p w14:paraId="1B98A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村党支部召开村民代表大会，采取举手表决方式民主确定“租购聘”对象，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项目负责人、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纪委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书记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、项目理事会理事长列席会议。</w:t>
      </w:r>
    </w:p>
    <w:p w14:paraId="40CA4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表决通过的“租购聘”对象及相关内容及时在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村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公开栏进行公示，公示时间不少于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个工作日，主要包括：租购聘对象、内容、单价、规格、举报电话、联系人等。</w:t>
      </w:r>
    </w:p>
    <w:p w14:paraId="53D7E821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（五）合同签订</w:t>
      </w:r>
    </w:p>
    <w:p w14:paraId="6A5A6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公示期满无异议后，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/>
        </w:rPr>
        <w:t>村委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/>
        </w:rPr>
        <w:t>与“租购聘”对象签订正式合同，并按合同约定开展下步工作。</w:t>
      </w:r>
    </w:p>
    <w:p w14:paraId="1A88A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六、其他</w:t>
      </w:r>
    </w:p>
    <w:p w14:paraId="25595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未纳入询价比价范围的其他建设工程必不可少的零星材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料和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低值易耗品，以及不可预见费用，采取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村民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代表讨论并举手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表决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，由采购小组在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村监委会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监督下采购。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团体意外险由各乡镇负责采购。</w:t>
      </w:r>
    </w:p>
    <w:p w14:paraId="4390088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left="640" w:lef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七、工作纪律要求</w:t>
      </w:r>
    </w:p>
    <w:p w14:paraId="0C43B58A">
      <w:pPr>
        <w:keepNext w:val="0"/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村两委监委干部、乡建公司人员、理事会成员不得参与报名。</w:t>
      </w:r>
    </w:p>
    <w:p w14:paraId="04B86DF8">
      <w:pPr>
        <w:keepNext w:val="0"/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评标由询价工作小组主持，邀请5～7人随机群众监督评标工作，乡纪委现场监督，其他人员不得插手、干预评标活动。</w:t>
      </w:r>
    </w:p>
    <w:p w14:paraId="42E007A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0E3D484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jc w:val="center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              西平县杨庄乡人民政府</w:t>
      </w:r>
    </w:p>
    <w:p w14:paraId="01DF2B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3520" w:firstLineChars="11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西平县杨庄乡仪封北街村民委员</w:t>
      </w:r>
    </w:p>
    <w:p w14:paraId="201E2AD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jc w:val="center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            2026年9月3日</w:t>
      </w:r>
    </w:p>
    <w:sectPr>
      <w:footerReference r:id="rId5" w:type="default"/>
      <w:type w:val="continuous"/>
      <w:pgSz w:w="11920" w:h="16840"/>
      <w:pgMar w:top="2098" w:right="1474" w:bottom="1984" w:left="1587" w:header="720" w:footer="720" w:gutter="0"/>
      <w:pgNumType w:fmt="decimal"/>
      <w:cols w:equalWidth="0" w:num="1">
        <w:col w:w="9100"/>
      </w:cols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219D1FB-DCE2-4F43-8E26-67F478DC868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809BD65-1FBE-451F-A527-EF8D8C645CB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60409020205020404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C13EE48B-1676-4E6A-8224-6E9F4DCF06B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188E0937-769B-41FA-AAC8-100C4289E3C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33921AB9-6B63-40AF-A876-111CB96E480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431949B7-9380-4F7C-BAF8-840BB273CCCF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A55F5C">
    <w:pPr>
      <w:pStyle w:val="25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31520" cy="37719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1520" cy="3771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69C1D3">
                          <w:pPr>
                            <w:pStyle w:val="25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6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9.7pt;width:57.6pt;mso-position-horizontal:center;mso-position-horizontal-relative:margin;z-index:251659264;mso-width-relative:page;mso-height-relative:page;" filled="f" stroked="f" coordsize="21600,21600" o:gfxdata="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BQyV/0wAAAAQBAAAPAAAAAAAAAAEAIAAAACIAAABkcnMvZG93bnJldi54bWxQ&#10;SwECFAAUAAAACACHTuJATnl9rDUCAABhBAAADgAAAAAAAAABACAAAAAi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5D69C1D3">
                    <w:pPr>
                      <w:pStyle w:val="25"/>
                      <w:jc w:val="center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6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2AB629"/>
    <w:multiLevelType w:val="singleLevel"/>
    <w:tmpl w:val="E82AB62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4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5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B643A"/>
    <w:rsid w:val="006029FC"/>
    <w:rsid w:val="00AA1D8D"/>
    <w:rsid w:val="00B47730"/>
    <w:rsid w:val="00CB0664"/>
    <w:rsid w:val="00FC693F"/>
    <w:rsid w:val="03631B8D"/>
    <w:rsid w:val="037A5E32"/>
    <w:rsid w:val="03A629A1"/>
    <w:rsid w:val="0495513F"/>
    <w:rsid w:val="05427354"/>
    <w:rsid w:val="072D2F81"/>
    <w:rsid w:val="07C35693"/>
    <w:rsid w:val="087C5D01"/>
    <w:rsid w:val="0AFB3396"/>
    <w:rsid w:val="0AFE5E05"/>
    <w:rsid w:val="0B073AE9"/>
    <w:rsid w:val="0C670E7A"/>
    <w:rsid w:val="0D1369CE"/>
    <w:rsid w:val="0DD8176C"/>
    <w:rsid w:val="12960CA7"/>
    <w:rsid w:val="129B7938"/>
    <w:rsid w:val="13B625F6"/>
    <w:rsid w:val="145558C5"/>
    <w:rsid w:val="168E0F07"/>
    <w:rsid w:val="18E36B4E"/>
    <w:rsid w:val="19C257AA"/>
    <w:rsid w:val="19DC386E"/>
    <w:rsid w:val="1A086529"/>
    <w:rsid w:val="1ADB00F7"/>
    <w:rsid w:val="1B903686"/>
    <w:rsid w:val="1CBF09C0"/>
    <w:rsid w:val="1DD65CC8"/>
    <w:rsid w:val="1E3E7258"/>
    <w:rsid w:val="1E5731EC"/>
    <w:rsid w:val="1EF860A9"/>
    <w:rsid w:val="1FE51869"/>
    <w:rsid w:val="211562C1"/>
    <w:rsid w:val="23250B58"/>
    <w:rsid w:val="24AB11E4"/>
    <w:rsid w:val="2687793B"/>
    <w:rsid w:val="26A274CD"/>
    <w:rsid w:val="26B4653D"/>
    <w:rsid w:val="27BD5803"/>
    <w:rsid w:val="28020E35"/>
    <w:rsid w:val="28112435"/>
    <w:rsid w:val="283261F1"/>
    <w:rsid w:val="28EC7959"/>
    <w:rsid w:val="28EF5E90"/>
    <w:rsid w:val="29B11398"/>
    <w:rsid w:val="29E07D1E"/>
    <w:rsid w:val="2AF96978"/>
    <w:rsid w:val="2CE13D42"/>
    <w:rsid w:val="2CF07851"/>
    <w:rsid w:val="2D460049"/>
    <w:rsid w:val="2ECE5B70"/>
    <w:rsid w:val="2F921D2A"/>
    <w:rsid w:val="30DB4346"/>
    <w:rsid w:val="33A833AE"/>
    <w:rsid w:val="34452E08"/>
    <w:rsid w:val="34BD17EB"/>
    <w:rsid w:val="373E34C4"/>
    <w:rsid w:val="38C20ECB"/>
    <w:rsid w:val="391D4354"/>
    <w:rsid w:val="394F0285"/>
    <w:rsid w:val="3AE51128"/>
    <w:rsid w:val="3B29795A"/>
    <w:rsid w:val="3B6115DE"/>
    <w:rsid w:val="3C7B68F2"/>
    <w:rsid w:val="3DBF59D9"/>
    <w:rsid w:val="3E263CAA"/>
    <w:rsid w:val="3E9C3F6D"/>
    <w:rsid w:val="3F604F9A"/>
    <w:rsid w:val="4126409D"/>
    <w:rsid w:val="41807B75"/>
    <w:rsid w:val="43954FC6"/>
    <w:rsid w:val="459B4575"/>
    <w:rsid w:val="46C44060"/>
    <w:rsid w:val="48657E8C"/>
    <w:rsid w:val="48FA05B3"/>
    <w:rsid w:val="494B6245"/>
    <w:rsid w:val="49910F9A"/>
    <w:rsid w:val="49FB423D"/>
    <w:rsid w:val="4A094655"/>
    <w:rsid w:val="4BD95F68"/>
    <w:rsid w:val="4CEA0599"/>
    <w:rsid w:val="4E5B16E6"/>
    <w:rsid w:val="4EA50C1B"/>
    <w:rsid w:val="51D610EC"/>
    <w:rsid w:val="523379D9"/>
    <w:rsid w:val="52812ED5"/>
    <w:rsid w:val="5378488B"/>
    <w:rsid w:val="558678A1"/>
    <w:rsid w:val="56981066"/>
    <w:rsid w:val="5A056A12"/>
    <w:rsid w:val="5B13515F"/>
    <w:rsid w:val="5B29576C"/>
    <w:rsid w:val="5D3C099D"/>
    <w:rsid w:val="5D79574D"/>
    <w:rsid w:val="5D9751CA"/>
    <w:rsid w:val="604406E7"/>
    <w:rsid w:val="60C81381"/>
    <w:rsid w:val="61366DED"/>
    <w:rsid w:val="62056506"/>
    <w:rsid w:val="62B66BEC"/>
    <w:rsid w:val="64CE6081"/>
    <w:rsid w:val="65501C48"/>
    <w:rsid w:val="66884C53"/>
    <w:rsid w:val="66BA2DE8"/>
    <w:rsid w:val="679E3CD2"/>
    <w:rsid w:val="67F91F6D"/>
    <w:rsid w:val="68350CB3"/>
    <w:rsid w:val="69322395"/>
    <w:rsid w:val="6B3B4496"/>
    <w:rsid w:val="6F1C23DC"/>
    <w:rsid w:val="6FAF0D0C"/>
    <w:rsid w:val="6FD9207B"/>
    <w:rsid w:val="71E20959"/>
    <w:rsid w:val="73381136"/>
    <w:rsid w:val="73C60B68"/>
    <w:rsid w:val="743C0E2B"/>
    <w:rsid w:val="747C1631"/>
    <w:rsid w:val="75387B85"/>
    <w:rsid w:val="75954C96"/>
    <w:rsid w:val="77CC4BEA"/>
    <w:rsid w:val="78094A7F"/>
    <w:rsid w:val="78882890"/>
    <w:rsid w:val="792364BD"/>
    <w:rsid w:val="7929682A"/>
    <w:rsid w:val="7A150154"/>
    <w:rsid w:val="7A5B0D1E"/>
    <w:rsid w:val="7B803CF3"/>
    <w:rsid w:val="7BD3255E"/>
    <w:rsid w:val="7C1F5A22"/>
    <w:rsid w:val="7E8D0F45"/>
    <w:rsid w:val="7FA22FF4"/>
    <w:rsid w:val="9E5B8EB9"/>
    <w:rsid w:val="FE74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宋体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41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2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8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4">
    <w:name w:val="Default Paragraph Font"/>
    <w:semiHidden/>
    <w:unhideWhenUsed/>
    <w:qFormat/>
    <w:uiPriority w:val="1"/>
  </w:style>
  <w:style w:type="table" w:default="1" w:styleId="3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50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9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7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Body Text Indent 2"/>
    <w:basedOn w:val="1"/>
    <w:qFormat/>
    <w:uiPriority w:val="0"/>
    <w:pPr>
      <w:ind w:firstLine="560" w:firstLineChars="200"/>
    </w:pPr>
    <w:rPr>
      <w:rFonts w:ascii="Times New Roman" w:hAnsi="Times New Roman" w:eastAsia="仿宋_GB2312" w:cs="Times New Roman"/>
      <w:sz w:val="28"/>
      <w:szCs w:val="24"/>
    </w:rPr>
  </w:style>
  <w:style w:type="paragraph" w:styleId="25">
    <w:name w:val="footer"/>
    <w:basedOn w:val="1"/>
    <w:link w:val="13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header"/>
    <w:basedOn w:val="1"/>
    <w:link w:val="1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Subtitle"/>
    <w:basedOn w:val="1"/>
    <w:next w:val="1"/>
    <w:link w:val="145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9">
    <w:name w:val="Body Text 2"/>
    <w:basedOn w:val="1"/>
    <w:link w:val="148"/>
    <w:unhideWhenUsed/>
    <w:qFormat/>
    <w:uiPriority w:val="99"/>
    <w:pPr>
      <w:spacing w:after="120" w:line="480" w:lineRule="auto"/>
    </w:pPr>
  </w:style>
  <w:style w:type="paragraph" w:styleId="30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1">
    <w:name w:val="Normal (Web)"/>
    <w:basedOn w:val="1"/>
    <w:qFormat/>
    <w:uiPriority w:val="0"/>
    <w:rPr>
      <w:sz w:val="24"/>
    </w:rPr>
  </w:style>
  <w:style w:type="paragraph" w:styleId="32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3">
    <w:name w:val="Title"/>
    <w:basedOn w:val="1"/>
    <w:next w:val="1"/>
    <w:link w:val="144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5">
    <w:name w:val="Table Grid"/>
    <w:basedOn w:val="3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6">
    <w:name w:val="Light Shading"/>
    <w:basedOn w:val="34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7">
    <w:name w:val="Light Shading Accent 1"/>
    <w:basedOn w:val="34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8">
    <w:name w:val="Light Shading Accent 2"/>
    <w:basedOn w:val="34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9">
    <w:name w:val="Light Shading Accent 3"/>
    <w:basedOn w:val="34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0">
    <w:name w:val="Light Shading Accent 4"/>
    <w:basedOn w:val="34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1">
    <w:name w:val="Light Shading Accent 5"/>
    <w:basedOn w:val="34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2">
    <w:name w:val="Light Shading Accent 6"/>
    <w:basedOn w:val="34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3">
    <w:name w:val="Light List"/>
    <w:basedOn w:val="34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4">
    <w:name w:val="Light List Accent 1"/>
    <w:basedOn w:val="34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5">
    <w:name w:val="Light List Accent 2"/>
    <w:basedOn w:val="34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6">
    <w:name w:val="Light List Accent 3"/>
    <w:basedOn w:val="34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7">
    <w:name w:val="Light List Accent 4"/>
    <w:basedOn w:val="34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8">
    <w:name w:val="Light List Accent 5"/>
    <w:basedOn w:val="34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9">
    <w:name w:val="Light List Accent 6"/>
    <w:basedOn w:val="34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0">
    <w:name w:val="Light Grid"/>
    <w:basedOn w:val="34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1">
    <w:name w:val="Light Grid Accent 1"/>
    <w:basedOn w:val="34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2">
    <w:name w:val="Light Grid Accent 2"/>
    <w:basedOn w:val="34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3">
    <w:name w:val="Light Grid Accent 3"/>
    <w:basedOn w:val="34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4">
    <w:name w:val="Light Grid Accent 4"/>
    <w:basedOn w:val="34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5">
    <w:name w:val="Light Grid Accent 5"/>
    <w:basedOn w:val="34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6">
    <w:name w:val="Light Grid Accent 6"/>
    <w:basedOn w:val="34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7">
    <w:name w:val="Medium Shading 1"/>
    <w:basedOn w:val="34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1"/>
    <w:basedOn w:val="34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2"/>
    <w:basedOn w:val="34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3"/>
    <w:basedOn w:val="34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4"/>
    <w:basedOn w:val="34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5"/>
    <w:basedOn w:val="34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6"/>
    <w:basedOn w:val="34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2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1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2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3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4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5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6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List 1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2">
    <w:name w:val="Medium List 1 Accent 1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3">
    <w:name w:val="Medium List 1 Accent 2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4">
    <w:name w:val="Medium List 1 Accent 3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5">
    <w:name w:val="Medium List 1 Accent 4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6">
    <w:name w:val="Medium List 1 Accent 5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7">
    <w:name w:val="Medium List 1 Accent 6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8">
    <w:name w:val="Medium List 2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1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2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3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4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5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6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Grid 1"/>
    <w:basedOn w:val="34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6">
    <w:name w:val="Medium Grid 1 Accent 1"/>
    <w:basedOn w:val="34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7">
    <w:name w:val="Medium Grid 1 Accent 2"/>
    <w:basedOn w:val="34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8">
    <w:name w:val="Medium Grid 1 Accent 3"/>
    <w:basedOn w:val="34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9">
    <w:name w:val="Medium Grid 1 Accent 4"/>
    <w:basedOn w:val="34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0">
    <w:name w:val="Medium Grid 1 Accent 5"/>
    <w:basedOn w:val="34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1">
    <w:name w:val="Medium Grid 1 Accent 6"/>
    <w:basedOn w:val="34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2">
    <w:name w:val="Medium Grid 2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3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0">
    <w:name w:val="Medium Grid 3 Accent 1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1">
    <w:name w:val="Medium Grid 3 Accent 2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2">
    <w:name w:val="Medium Grid 3 Accent 3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3">
    <w:name w:val="Medium Grid 3 Accent 4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4">
    <w:name w:val="Medium Grid 3 Accent 5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5">
    <w:name w:val="Medium Grid 3 Accent 6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6">
    <w:name w:val="Dark List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7">
    <w:name w:val="Dark List Accent 1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8">
    <w:name w:val="Dark List Accent 2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9">
    <w:name w:val="Dark List Accent 3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0">
    <w:name w:val="Dark List Accent 4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1">
    <w:name w:val="Dark List Accent 5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2">
    <w:name w:val="Dark List Accent 6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3">
    <w:name w:val="Colorful Shading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1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2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3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7">
    <w:name w:val="Colorful Shading Accent 4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5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6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List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1">
    <w:name w:val="Colorful List Accent 1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2">
    <w:name w:val="Colorful List Accent 2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3">
    <w:name w:val="Colorful List Accent 3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4">
    <w:name w:val="Colorful List Accent 4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5">
    <w:name w:val="Colorful List Accent 5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6">
    <w:name w:val="Colorful List Accent 6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7">
    <w:name w:val="Colorful Grid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8">
    <w:name w:val="Colorful Grid Accent 1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9">
    <w:name w:val="Colorful Grid Accent 2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0">
    <w:name w:val="Colorful Grid Accent 3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1">
    <w:name w:val="Colorful Grid Accent 4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2">
    <w:name w:val="Colorful Grid Accent 5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3">
    <w:name w:val="Colorful Grid Accent 6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5">
    <w:name w:val="Strong"/>
    <w:basedOn w:val="134"/>
    <w:qFormat/>
    <w:uiPriority w:val="22"/>
    <w:rPr>
      <w:b/>
      <w:bCs/>
    </w:rPr>
  </w:style>
  <w:style w:type="character" w:styleId="136">
    <w:name w:val="Emphasis"/>
    <w:basedOn w:val="134"/>
    <w:qFormat/>
    <w:uiPriority w:val="20"/>
    <w:rPr>
      <w:i/>
      <w:iCs/>
    </w:rPr>
  </w:style>
  <w:style w:type="character" w:styleId="137">
    <w:name w:val="Hyperlink"/>
    <w:basedOn w:val="134"/>
    <w:qFormat/>
    <w:uiPriority w:val="0"/>
    <w:rPr>
      <w:color w:val="0000FF"/>
      <w:u w:val="single"/>
    </w:rPr>
  </w:style>
  <w:style w:type="character" w:customStyle="1" w:styleId="138">
    <w:name w:val="Header Char"/>
    <w:basedOn w:val="134"/>
    <w:link w:val="26"/>
    <w:qFormat/>
    <w:uiPriority w:val="99"/>
  </w:style>
  <w:style w:type="character" w:customStyle="1" w:styleId="139">
    <w:name w:val="Footer Char"/>
    <w:basedOn w:val="134"/>
    <w:link w:val="25"/>
    <w:qFormat/>
    <w:uiPriority w:val="99"/>
  </w:style>
  <w:style w:type="paragraph" w:styleId="140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1">
    <w:name w:val="Heading 1 Char"/>
    <w:basedOn w:val="134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2">
    <w:name w:val="Heading 2 Char"/>
    <w:basedOn w:val="134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3">
    <w:name w:val="Heading 3 Char"/>
    <w:basedOn w:val="134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4">
    <w:name w:val="Title Char"/>
    <w:basedOn w:val="134"/>
    <w:link w:val="33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5">
    <w:name w:val="Subtitle Char"/>
    <w:basedOn w:val="134"/>
    <w:link w:val="2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6">
    <w:name w:val="List Paragraph"/>
    <w:basedOn w:val="1"/>
    <w:qFormat/>
    <w:uiPriority w:val="34"/>
    <w:pPr>
      <w:ind w:left="720"/>
      <w:contextualSpacing/>
    </w:pPr>
  </w:style>
  <w:style w:type="character" w:customStyle="1" w:styleId="147">
    <w:name w:val="Body Text Char"/>
    <w:basedOn w:val="134"/>
    <w:link w:val="19"/>
    <w:qFormat/>
    <w:uiPriority w:val="99"/>
  </w:style>
  <w:style w:type="character" w:customStyle="1" w:styleId="148">
    <w:name w:val="Body Text 2 Char"/>
    <w:basedOn w:val="134"/>
    <w:link w:val="29"/>
    <w:qFormat/>
    <w:uiPriority w:val="99"/>
  </w:style>
  <w:style w:type="character" w:customStyle="1" w:styleId="149">
    <w:name w:val="Body Text 3 Char"/>
    <w:basedOn w:val="134"/>
    <w:link w:val="17"/>
    <w:qFormat/>
    <w:uiPriority w:val="99"/>
    <w:rPr>
      <w:sz w:val="16"/>
      <w:szCs w:val="16"/>
    </w:rPr>
  </w:style>
  <w:style w:type="character" w:customStyle="1" w:styleId="150">
    <w:name w:val="Macro Text Char"/>
    <w:basedOn w:val="134"/>
    <w:link w:val="2"/>
    <w:qFormat/>
    <w:uiPriority w:val="99"/>
    <w:rPr>
      <w:rFonts w:ascii="Courier" w:hAnsi="Courier"/>
      <w:sz w:val="20"/>
      <w:szCs w:val="20"/>
    </w:rPr>
  </w:style>
  <w:style w:type="paragraph" w:styleId="151">
    <w:name w:val="Quote"/>
    <w:basedOn w:val="1"/>
    <w:next w:val="1"/>
    <w:link w:val="15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2">
    <w:name w:val="Quote Char"/>
    <w:basedOn w:val="134"/>
    <w:link w:val="1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3">
    <w:name w:val="Heading 4 Char"/>
    <w:basedOn w:val="134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4">
    <w:name w:val="Heading 5 Char"/>
    <w:basedOn w:val="134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5">
    <w:name w:val="Heading 6 Char"/>
    <w:basedOn w:val="134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6">
    <w:name w:val="Heading 7 Char"/>
    <w:basedOn w:val="134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7">
    <w:name w:val="Heading 8 Char"/>
    <w:basedOn w:val="134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8">
    <w:name w:val="Heading 9 Char"/>
    <w:basedOn w:val="134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9">
    <w:name w:val="Intense Quote"/>
    <w:basedOn w:val="1"/>
    <w:next w:val="1"/>
    <w:link w:val="160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Intense Quote Char"/>
    <w:basedOn w:val="134"/>
    <w:link w:val="159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Emphasis"/>
    <w:basedOn w:val="134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2">
    <w:name w:val="Intense Emphasis"/>
    <w:basedOn w:val="134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3">
    <w:name w:val="Subtle Reference"/>
    <w:basedOn w:val="134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4">
    <w:name w:val="Intense Reference"/>
    <w:basedOn w:val="134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5">
    <w:name w:val="Book Title"/>
    <w:basedOn w:val="134"/>
    <w:qFormat/>
    <w:uiPriority w:val="33"/>
    <w:rPr>
      <w:b/>
      <w:bCs/>
      <w:smallCaps/>
      <w:spacing w:val="5"/>
    </w:rPr>
  </w:style>
  <w:style w:type="paragraph" w:customStyle="1" w:styleId="166">
    <w:name w:val="TOC Heading"/>
    <w:basedOn w:val="3"/>
    <w:next w:val="1"/>
    <w:semiHidden/>
    <w:unhideWhenUsed/>
    <w:qFormat/>
    <w:uiPriority w:val="39"/>
    <w:pPr>
      <w:outlineLvl w:val="9"/>
    </w:pPr>
  </w:style>
  <w:style w:type="table" w:customStyle="1" w:styleId="16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169">
    <w:name w:val="font21"/>
    <w:basedOn w:val="134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70">
    <w:name w:val="font31"/>
    <w:basedOn w:val="13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5598</Words>
  <Characters>5915</Characters>
  <Lines>0</Lines>
  <Paragraphs>0</Paragraphs>
  <TotalTime>3</TotalTime>
  <ScaleCrop>false</ScaleCrop>
  <LinksUpToDate>false</LinksUpToDate>
  <CharactersWithSpaces>6002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2013-12-24T23:15:00Z</dcterms:created>
  <dc:creator>python-docx</dc:creator>
  <dc:description>generated by python-docx</dc:description>
  <cp:lastModifiedBy>ૐ-ཟླ་བ་ལྷ་མོ།</cp:lastModifiedBy>
  <cp:lastPrinted>2026-06-11T09:25:00Z</cp:lastPrinted>
  <dcterms:modified xsi:type="dcterms:W3CDTF">2026-09-04T01:01:18Z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eyJoZGlkIjoiNzYyNDNjNjZjZDFlN2ZlZDEzZTU5OGRmYWQwNmE1ZTIiLCJ1c2VySWQiOiI3MTQ5MTA5MzkifQ==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CB85D36F8B9445B18D4BBACF6EBB0542_13</vt:lpwstr>
  </property>
</Properties>
</file>