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rPr>
          <w:b/>
          <w:sz w:val="32"/>
          <w:szCs w:val="32"/>
        </w:rPr>
      </w:pPr>
      <w:r>
        <w:rPr>
          <w:b/>
          <w:sz w:val="32"/>
          <w:szCs w:val="32"/>
        </w:rPr>
        <w:t>窗体顶端</w:t>
      </w:r>
    </w:p>
    <w:p>
      <w:pPr>
        <w:jc w:val="center"/>
        <w:rPr>
          <w:b/>
          <w:sz w:val="32"/>
          <w:szCs w:val="32"/>
        </w:rPr>
      </w:pPr>
      <w:r>
        <w:rPr>
          <w:rFonts w:hint="eastAsia"/>
          <w:b/>
          <w:sz w:val="32"/>
          <w:szCs w:val="32"/>
          <w:lang w:eastAsia="zh-CN"/>
        </w:rPr>
        <w:t>正阳县机关事务中心采购2027年度物业服务项目成交</w:t>
      </w:r>
      <w:r>
        <w:rPr>
          <w:rFonts w:hint="eastAsia"/>
          <w:b/>
          <w:sz w:val="32"/>
          <w:szCs w:val="32"/>
        </w:rPr>
        <w:t>公告</w:t>
      </w:r>
    </w:p>
    <w:tbl>
      <w:tblPr>
        <w:tblStyle w:val="3"/>
        <w:tblW w:w="6352" w:type="pct"/>
        <w:jc w:val="center"/>
        <w:tblCellSpacing w:w="15" w:type="dxa"/>
        <w:tblLayout w:type="autofit"/>
        <w:tblCellMar>
          <w:top w:w="0" w:type="dxa"/>
          <w:left w:w="0" w:type="dxa"/>
          <w:bottom w:w="0" w:type="dxa"/>
          <w:right w:w="0" w:type="dxa"/>
        </w:tblCellMar>
      </w:tblPr>
      <w:tblGrid>
        <w:gridCol w:w="10924"/>
      </w:tblGrid>
      <w:tr>
        <w:tblPrEx>
          <w:tblCellMar>
            <w:top w:w="0" w:type="dxa"/>
            <w:left w:w="0" w:type="dxa"/>
            <w:bottom w:w="0" w:type="dxa"/>
            <w:right w:w="0" w:type="dxa"/>
          </w:tblCellMar>
        </w:tblPrEx>
        <w:trPr>
          <w:trHeight w:val="481" w:hRule="atLeast"/>
          <w:tblCellSpacing w:w="15" w:type="dxa"/>
          <w:jc w:val="center"/>
        </w:trPr>
        <w:tc>
          <w:tcPr>
            <w:tcW w:w="0" w:type="auto"/>
            <w:shd w:val="clear" w:color="auto" w:fill="auto"/>
            <w:tcMar>
              <w:top w:w="1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rPr>
              <w:t>一、项目基本情况</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1、采购项目编号：</w:t>
            </w:r>
            <w:r>
              <w:rPr>
                <w:rFonts w:hint="eastAsia" w:ascii="宋体" w:hAnsi="宋体" w:eastAsia="宋体" w:cs="宋体"/>
                <w:color w:val="000000"/>
                <w:kern w:val="0"/>
                <w:sz w:val="24"/>
                <w:lang w:eastAsia="zh-CN"/>
              </w:rPr>
              <w:t>正阳竞谈-2026-64</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2、采购项目名称：</w:t>
            </w:r>
            <w:r>
              <w:rPr>
                <w:rFonts w:hint="eastAsia" w:ascii="宋体" w:hAnsi="宋体" w:eastAsia="宋体" w:cs="宋体"/>
                <w:color w:val="000000"/>
                <w:kern w:val="0"/>
                <w:sz w:val="24"/>
                <w:lang w:eastAsia="zh-CN"/>
              </w:rPr>
              <w:t>正阳县机关事务中心采购2027年度物业服务项目</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hint="eastAsia" w:ascii="宋体" w:hAnsi="宋体" w:eastAsia="宋体" w:cs="宋体"/>
                <w:color w:val="000000"/>
                <w:sz w:val="24"/>
                <w:lang w:val="en-US" w:eastAsia="zh-CN"/>
              </w:rPr>
            </w:pPr>
            <w:r>
              <w:rPr>
                <w:rFonts w:hint="eastAsia" w:ascii="宋体" w:hAnsi="宋体" w:eastAsia="宋体" w:cs="宋体"/>
                <w:color w:val="000000"/>
                <w:kern w:val="0"/>
                <w:sz w:val="24"/>
              </w:rPr>
              <w:t>3、采购方式：</w:t>
            </w:r>
            <w:r>
              <w:rPr>
                <w:rFonts w:hint="eastAsia" w:ascii="宋体" w:hAnsi="宋体" w:eastAsia="宋体" w:cs="宋体"/>
                <w:color w:val="000000"/>
                <w:kern w:val="0"/>
                <w:sz w:val="24"/>
                <w:lang w:eastAsia="zh-CN"/>
              </w:rPr>
              <w:t>竞争性谈判</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4、招标公告发布日期：202</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年</w:t>
            </w:r>
            <w:r>
              <w:rPr>
                <w:rFonts w:hint="eastAsia" w:ascii="宋体" w:hAnsi="宋体" w:eastAsia="宋体" w:cs="宋体"/>
                <w:color w:val="000000"/>
                <w:kern w:val="0"/>
                <w:sz w:val="24"/>
                <w:lang w:val="en-US" w:eastAsia="zh-CN"/>
              </w:rPr>
              <w:t>9</w:t>
            </w:r>
            <w:r>
              <w:rPr>
                <w:rFonts w:hint="eastAsia" w:ascii="宋体" w:hAnsi="宋体" w:eastAsia="宋体" w:cs="宋体"/>
                <w:color w:val="000000"/>
                <w:kern w:val="0"/>
                <w:sz w:val="24"/>
              </w:rPr>
              <w:t>月</w:t>
            </w:r>
            <w:r>
              <w:rPr>
                <w:rFonts w:hint="eastAsia" w:ascii="宋体" w:hAnsi="宋体" w:eastAsia="宋体" w:cs="宋体"/>
                <w:color w:val="000000"/>
                <w:kern w:val="0"/>
                <w:sz w:val="24"/>
                <w:lang w:val="en-US" w:eastAsia="zh-CN"/>
              </w:rPr>
              <w:t>21</w:t>
            </w:r>
            <w:r>
              <w:rPr>
                <w:rFonts w:hint="eastAsia" w:ascii="宋体" w:hAnsi="宋体" w:eastAsia="宋体" w:cs="宋体"/>
                <w:color w:val="000000"/>
                <w:kern w:val="0"/>
                <w:sz w:val="24"/>
              </w:rPr>
              <w:t>日</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5、评审日期：202</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rPr>
              <w:t>年</w:t>
            </w:r>
            <w:r>
              <w:rPr>
                <w:rFonts w:hint="eastAsia" w:ascii="宋体" w:hAnsi="宋体" w:eastAsia="宋体" w:cs="宋体"/>
                <w:color w:val="000000"/>
                <w:kern w:val="0"/>
                <w:sz w:val="24"/>
                <w:lang w:val="en-US" w:eastAsia="zh-CN"/>
              </w:rPr>
              <w:t>9</w:t>
            </w:r>
            <w:r>
              <w:rPr>
                <w:rFonts w:hint="eastAsia" w:ascii="宋体" w:hAnsi="宋体" w:eastAsia="宋体" w:cs="宋体"/>
                <w:color w:val="000000"/>
                <w:kern w:val="0"/>
                <w:sz w:val="24"/>
              </w:rPr>
              <w:t>月</w:t>
            </w:r>
            <w:r>
              <w:rPr>
                <w:rFonts w:hint="eastAsia" w:ascii="宋体" w:hAnsi="宋体" w:eastAsia="宋体" w:cs="宋体"/>
                <w:color w:val="000000"/>
                <w:kern w:val="0"/>
                <w:sz w:val="24"/>
                <w:lang w:val="en-US" w:eastAsia="zh-CN"/>
              </w:rPr>
              <w:t>29</w:t>
            </w:r>
            <w:r>
              <w:rPr>
                <w:rFonts w:hint="eastAsia" w:ascii="宋体" w:hAnsi="宋体" w:eastAsia="宋体" w:cs="宋体"/>
                <w:color w:val="000000"/>
                <w:kern w:val="0"/>
                <w:sz w:val="24"/>
              </w:rPr>
              <w:t>日</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lang w:eastAsia="zh-CN"/>
              </w:rPr>
              <w:t>二</w:t>
            </w:r>
            <w:r>
              <w:rPr>
                <w:rFonts w:hint="eastAsia" w:ascii="宋体" w:hAnsi="宋体" w:eastAsia="宋体" w:cs="宋体"/>
                <w:color w:val="000000"/>
                <w:kern w:val="0"/>
                <w:sz w:val="24"/>
              </w:rPr>
              <w:t>、</w:t>
            </w:r>
            <w:r>
              <w:rPr>
                <w:rFonts w:hint="eastAsia" w:ascii="宋体" w:hAnsi="宋体" w:eastAsia="宋体" w:cs="宋体"/>
                <w:color w:val="000000"/>
                <w:kern w:val="0"/>
                <w:sz w:val="24"/>
                <w:lang w:eastAsia="zh-CN"/>
              </w:rPr>
              <w:t>成交</w:t>
            </w:r>
            <w:r>
              <w:rPr>
                <w:rFonts w:hint="eastAsia" w:ascii="宋体" w:hAnsi="宋体" w:eastAsia="宋体" w:cs="宋体"/>
                <w:color w:val="000000"/>
                <w:kern w:val="0"/>
                <w:sz w:val="24"/>
              </w:rPr>
              <w:t>情况</w:t>
            </w:r>
          </w:p>
        </w:tc>
      </w:tr>
      <w:tr>
        <w:tblPrEx>
          <w:tblCellMar>
            <w:top w:w="0" w:type="dxa"/>
            <w:left w:w="0" w:type="dxa"/>
            <w:bottom w:w="0" w:type="dxa"/>
            <w:right w:w="0" w:type="dxa"/>
          </w:tblCellMar>
        </w:tblPrEx>
        <w:trPr>
          <w:trHeight w:val="5059" w:hRule="atLeast"/>
          <w:tblCellSpacing w:w="15" w:type="dxa"/>
          <w:jc w:val="center"/>
        </w:trPr>
        <w:tc>
          <w:tcPr>
            <w:tcW w:w="0" w:type="auto"/>
            <w:shd w:val="clear" w:color="auto" w:fill="auto"/>
            <w:tcMar>
              <w:top w:w="120" w:type="dxa"/>
              <w:left w:w="420" w:type="dxa"/>
            </w:tcMar>
            <w:vAlign w:val="center"/>
          </w:tcPr>
          <w:tbl>
            <w:tblPr>
              <w:tblStyle w:val="3"/>
              <w:tblpPr w:leftFromText="180" w:rightFromText="180" w:vertAnchor="text" w:horzAnchor="page" w:tblpX="-342" w:tblpY="1"/>
              <w:tblOverlap w:val="never"/>
              <w:tblW w:w="10436" w:type="dxa"/>
              <w:tblCellSpacing w:w="0" w:type="dxa"/>
              <w:tblInd w:w="0" w:type="dxa"/>
              <w:tblBorders>
                <w:top w:val="none" w:color="auto" w:sz="0" w:space="0"/>
                <w:left w:val="single" w:color="333333" w:sz="6" w:space="0"/>
                <w:bottom w:val="single" w:color="333333" w:sz="6"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65"/>
              <w:gridCol w:w="1507"/>
              <w:gridCol w:w="2042"/>
              <w:gridCol w:w="3403"/>
              <w:gridCol w:w="1280"/>
              <w:gridCol w:w="839"/>
            </w:tblGrid>
            <w:tr>
              <w:tblPrEx>
                <w:tblBorders>
                  <w:top w:val="none" w:color="auto" w:sz="0" w:space="0"/>
                  <w:left w:val="single" w:color="333333" w:sz="6" w:space="0"/>
                  <w:bottom w:val="single" w:color="333333"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733" w:hRule="atLeast"/>
                <w:tblCellSpacing w:w="0" w:type="dxa"/>
              </w:trPr>
              <w:tc>
                <w:tcPr>
                  <w:tcW w:w="654" w:type="pct"/>
                  <w:tcBorders>
                    <w:top w:val="single" w:color="333333" w:sz="6" w:space="0"/>
                    <w:right w:val="single" w:color="333333" w:sz="6" w:space="0"/>
                  </w:tcBorders>
                  <w:shd w:val="clear" w:color="auto" w:fill="auto"/>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包号</w:t>
                  </w:r>
                </w:p>
              </w:tc>
              <w:tc>
                <w:tcPr>
                  <w:tcW w:w="722" w:type="pct"/>
                  <w:tcBorders>
                    <w:top w:val="single" w:color="333333" w:sz="6" w:space="0"/>
                    <w:right w:val="single" w:color="333333" w:sz="6" w:space="0"/>
                  </w:tcBorders>
                  <w:shd w:val="clear" w:color="auto" w:fill="auto"/>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采购内容</w:t>
                  </w:r>
                </w:p>
              </w:tc>
              <w:tc>
                <w:tcPr>
                  <w:tcW w:w="978" w:type="pct"/>
                  <w:tcBorders>
                    <w:top w:val="single" w:color="333333" w:sz="6" w:space="0"/>
                    <w:right w:val="single" w:color="333333" w:sz="6" w:space="0"/>
                  </w:tcBorders>
                  <w:shd w:val="clear" w:color="auto" w:fill="auto"/>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供应商名称</w:t>
                  </w:r>
                </w:p>
              </w:tc>
              <w:tc>
                <w:tcPr>
                  <w:tcW w:w="1630" w:type="pct"/>
                  <w:tcBorders>
                    <w:top w:val="single" w:color="333333" w:sz="6" w:space="0"/>
                    <w:right w:val="single" w:color="333333" w:sz="6" w:space="0"/>
                  </w:tcBorders>
                  <w:shd w:val="clear" w:color="auto" w:fill="auto"/>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地 址</w:t>
                  </w:r>
                </w:p>
              </w:tc>
              <w:tc>
                <w:tcPr>
                  <w:tcW w:w="613" w:type="pct"/>
                  <w:tcBorders>
                    <w:top w:val="single" w:color="333333" w:sz="6" w:space="0"/>
                    <w:right w:val="single" w:color="333333" w:sz="6" w:space="0"/>
                  </w:tcBorders>
                  <w:shd w:val="clear" w:color="auto" w:fill="auto"/>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中标金额</w:t>
                  </w:r>
                </w:p>
              </w:tc>
              <w:tc>
                <w:tcPr>
                  <w:tcW w:w="400" w:type="pct"/>
                  <w:tcBorders>
                    <w:top w:val="single" w:color="333333" w:sz="6" w:space="0"/>
                    <w:right w:val="single" w:color="333333" w:sz="6" w:space="0"/>
                  </w:tcBorders>
                  <w:shd w:val="clear" w:color="auto" w:fill="auto"/>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单位</w:t>
                  </w:r>
                </w:p>
              </w:tc>
            </w:tr>
            <w:tr>
              <w:tblPrEx>
                <w:tblBorders>
                  <w:top w:val="none" w:color="auto" w:sz="0" w:space="0"/>
                  <w:left w:val="single" w:color="333333" w:sz="6" w:space="0"/>
                  <w:bottom w:val="single" w:color="333333"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1069" w:hRule="atLeast"/>
                <w:tblCellSpacing w:w="0" w:type="dxa"/>
              </w:trPr>
              <w:tc>
                <w:tcPr>
                  <w:tcW w:w="654" w:type="pct"/>
                  <w:vMerge w:val="restart"/>
                  <w:tcBorders>
                    <w:top w:val="single" w:color="333333" w:sz="6" w:space="0"/>
                    <w:right w:val="single" w:color="333333" w:sz="6" w:space="0"/>
                  </w:tcBorders>
                  <w:shd w:val="clear" w:color="auto" w:fill="auto"/>
                  <w:tcMar>
                    <w:top w:w="120" w:type="dxa"/>
                  </w:tcMar>
                  <w:vAlign w:val="center"/>
                </w:tcPr>
                <w:p>
                  <w:pPr>
                    <w:widowControl/>
                    <w:wordWrap w:val="0"/>
                    <w:jc w:val="center"/>
                    <w:rPr>
                      <w:rFonts w:ascii="宋体" w:hAnsi="宋体" w:eastAsia="宋体" w:cs="宋体"/>
                      <w:color w:val="000000"/>
                      <w:sz w:val="24"/>
                    </w:rPr>
                  </w:pPr>
                  <w:r>
                    <w:rPr>
                      <w:rFonts w:hint="eastAsia" w:ascii="宋体" w:hAnsi="宋体" w:eastAsia="宋体" w:cs="宋体"/>
                      <w:color w:val="000000"/>
                      <w:kern w:val="0"/>
                      <w:sz w:val="24"/>
                      <w:lang w:eastAsia="zh-CN"/>
                    </w:rPr>
                    <w:t>正阳竞谈-2026-64</w:t>
                  </w:r>
                  <w:r>
                    <w:rPr>
                      <w:rFonts w:hint="eastAsia" w:ascii="宋体" w:hAnsi="宋体" w:eastAsia="宋体" w:cs="宋体"/>
                      <w:color w:val="000000"/>
                      <w:kern w:val="0"/>
                      <w:sz w:val="24"/>
                    </w:rPr>
                    <w:t>A</w:t>
                  </w:r>
                </w:p>
              </w:tc>
              <w:tc>
                <w:tcPr>
                  <w:tcW w:w="722" w:type="pct"/>
                  <w:tcBorders>
                    <w:top w:val="single" w:color="333333" w:sz="6" w:space="0"/>
                    <w:right w:val="single" w:color="333333" w:sz="6" w:space="0"/>
                  </w:tcBorders>
                  <w:shd w:val="clear" w:color="auto" w:fill="auto"/>
                  <w:tcMar>
                    <w:top w:w="120" w:type="dxa"/>
                  </w:tcMar>
                  <w:vAlign w:val="center"/>
                </w:tcPr>
                <w:p>
                  <w:pPr>
                    <w:widowControl/>
                    <w:wordWrap w:val="0"/>
                    <w:jc w:val="center"/>
                    <w:rPr>
                      <w:rFonts w:ascii="宋体" w:hAnsi="宋体" w:eastAsia="宋体" w:cs="宋体"/>
                      <w:color w:val="000000"/>
                      <w:sz w:val="24"/>
                    </w:rPr>
                  </w:pPr>
                  <w:r>
                    <w:rPr>
                      <w:rFonts w:hint="eastAsia" w:ascii="宋体" w:hAnsi="宋体" w:eastAsia="宋体" w:cs="宋体"/>
                      <w:color w:val="000000"/>
                      <w:sz w:val="24"/>
                      <w:lang w:eastAsia="zh-CN"/>
                    </w:rPr>
                    <w:t>正阳县机关事务中心采购2027年度物业服务项目</w:t>
                  </w:r>
                </w:p>
              </w:tc>
              <w:tc>
                <w:tcPr>
                  <w:tcW w:w="978" w:type="pct"/>
                  <w:tcBorders>
                    <w:top w:val="single" w:color="333333" w:sz="6" w:space="0"/>
                    <w:right w:val="single" w:color="333333" w:sz="6" w:space="0"/>
                  </w:tcBorders>
                  <w:shd w:val="clear" w:color="auto" w:fill="auto"/>
                  <w:tcMar>
                    <w:top w:w="120" w:type="dxa"/>
                  </w:tcMar>
                  <w:vAlign w:val="center"/>
                </w:tcPr>
                <w:p>
                  <w:pPr>
                    <w:widowControl/>
                    <w:wordWrap w:val="0"/>
                    <w:jc w:val="center"/>
                    <w:rPr>
                      <w:rFonts w:ascii="宋体" w:hAnsi="宋体" w:eastAsia="宋体" w:cs="宋体"/>
                      <w:color w:val="000000"/>
                      <w:sz w:val="24"/>
                    </w:rPr>
                  </w:pPr>
                  <w:r>
                    <w:rPr>
                      <w:rFonts w:hint="eastAsia" w:ascii="宋体" w:hAnsi="宋体" w:eastAsia="宋体" w:cs="宋体"/>
                      <w:color w:val="000000"/>
                      <w:sz w:val="24"/>
                    </w:rPr>
                    <w:t>深业物业运营集团股份有限公司</w:t>
                  </w:r>
                </w:p>
              </w:tc>
              <w:tc>
                <w:tcPr>
                  <w:tcW w:w="1630" w:type="pct"/>
                  <w:tcBorders>
                    <w:top w:val="single" w:color="333333" w:sz="6" w:space="0"/>
                    <w:right w:val="single" w:color="333333" w:sz="6" w:space="0"/>
                  </w:tcBorders>
                  <w:shd w:val="clear" w:color="auto" w:fill="auto"/>
                  <w:tcMar>
                    <w:top w:w="120" w:type="dxa"/>
                  </w:tcMar>
                  <w:vAlign w:val="center"/>
                </w:tcPr>
                <w:p>
                  <w:pPr>
                    <w:widowControl/>
                    <w:wordWrap w:val="0"/>
                    <w:jc w:val="center"/>
                    <w:rPr>
                      <w:rFonts w:ascii="宋体" w:hAnsi="宋体" w:eastAsia="宋体" w:cs="宋体"/>
                      <w:color w:val="000000"/>
                      <w:sz w:val="24"/>
                    </w:rPr>
                  </w:pPr>
                  <w:r>
                    <w:rPr>
                      <w:rFonts w:hint="eastAsia" w:ascii="宋体" w:hAnsi="宋体" w:eastAsia="宋体" w:cs="宋体"/>
                      <w:color w:val="000000"/>
                      <w:sz w:val="24"/>
                    </w:rPr>
                    <w:t>深圳市罗湖区笋岗街道田心社区梨园路与梅园路交汇处东北侧深业泰富广场A座1701</w:t>
                  </w:r>
                </w:p>
              </w:tc>
              <w:tc>
                <w:tcPr>
                  <w:tcW w:w="613" w:type="pct"/>
                  <w:tcBorders>
                    <w:top w:val="single" w:color="333333" w:sz="6" w:space="0"/>
                    <w:right w:val="single" w:color="333333" w:sz="6" w:space="0"/>
                  </w:tcBorders>
                  <w:shd w:val="clear" w:color="auto" w:fill="auto"/>
                  <w:tcMar>
                    <w:top w:w="120" w:type="dxa"/>
                  </w:tcMar>
                  <w:vAlign w:val="center"/>
                </w:tcPr>
                <w:p>
                  <w:pPr>
                    <w:widowControl/>
                    <w:wordWrap w:val="0"/>
                    <w:jc w:val="center"/>
                    <w:rPr>
                      <w:rFonts w:hint="default" w:ascii="宋体" w:hAnsi="宋体" w:eastAsia="宋体" w:cs="宋体"/>
                      <w:color w:val="000000"/>
                      <w:sz w:val="24"/>
                      <w:lang w:val="en-US"/>
                    </w:rPr>
                  </w:pPr>
                  <w:r>
                    <w:rPr>
                      <w:rFonts w:ascii="微软雅黑" w:hAnsi="微软雅黑" w:eastAsia="微软雅黑" w:cs="微软雅黑"/>
                      <w:color w:val="333333"/>
                      <w:sz w:val="21"/>
                      <w:szCs w:val="21"/>
                    </w:rPr>
                    <w:t>1798680</w:t>
                  </w:r>
                  <w:r>
                    <w:rPr>
                      <w:rFonts w:hint="eastAsia" w:ascii="宋体" w:hAnsi="宋体" w:eastAsia="宋体" w:cs="宋体"/>
                      <w:color w:val="000000"/>
                      <w:sz w:val="24"/>
                      <w:lang w:val="en-US" w:eastAsia="zh-CN"/>
                    </w:rPr>
                    <w:t>.00</w:t>
                  </w:r>
                </w:p>
                <w:p>
                  <w:pPr>
                    <w:widowControl/>
                    <w:wordWrap w:val="0"/>
                    <w:jc w:val="center"/>
                    <w:rPr>
                      <w:rFonts w:ascii="宋体" w:hAnsi="宋体" w:eastAsia="宋体" w:cs="宋体"/>
                      <w:color w:val="000000"/>
                      <w:sz w:val="24"/>
                    </w:rPr>
                  </w:pPr>
                </w:p>
              </w:tc>
              <w:tc>
                <w:tcPr>
                  <w:tcW w:w="400" w:type="pct"/>
                  <w:tcBorders>
                    <w:top w:val="single" w:color="333333" w:sz="6" w:space="0"/>
                    <w:right w:val="single" w:color="333333" w:sz="6" w:space="0"/>
                  </w:tcBorders>
                  <w:shd w:val="clear" w:color="auto" w:fill="auto"/>
                  <w:tcMar>
                    <w:top w:w="120" w:type="dxa"/>
                  </w:tcMar>
                  <w:vAlign w:val="center"/>
                </w:tcPr>
                <w:p>
                  <w:pPr>
                    <w:widowControl/>
                    <w:wordWrap w:val="0"/>
                    <w:jc w:val="center"/>
                    <w:rPr>
                      <w:rFonts w:ascii="宋体" w:hAnsi="宋体" w:eastAsia="宋体" w:cs="宋体"/>
                      <w:color w:val="000000"/>
                      <w:sz w:val="24"/>
                    </w:rPr>
                  </w:pPr>
                  <w:r>
                    <w:rPr>
                      <w:rFonts w:hint="eastAsia" w:ascii="宋体" w:hAnsi="宋体" w:eastAsia="宋体" w:cs="宋体"/>
                      <w:color w:val="000000"/>
                      <w:kern w:val="0"/>
                      <w:sz w:val="24"/>
                    </w:rPr>
                    <w:t>元</w:t>
                  </w:r>
                </w:p>
              </w:tc>
            </w:tr>
            <w:tr>
              <w:tblPrEx>
                <w:tblBorders>
                  <w:top w:val="none" w:color="auto" w:sz="0" w:space="0"/>
                  <w:left w:val="single" w:color="333333" w:sz="6" w:space="0"/>
                  <w:bottom w:val="single" w:color="333333"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1746" w:hRule="atLeast"/>
                <w:tblCellSpacing w:w="0" w:type="dxa"/>
              </w:trPr>
              <w:tc>
                <w:tcPr>
                  <w:tcW w:w="654" w:type="pct"/>
                  <w:vMerge w:val="continue"/>
                  <w:tcBorders>
                    <w:top w:val="single" w:color="333333" w:sz="6" w:space="0"/>
                    <w:right w:val="single" w:color="333333" w:sz="6" w:space="0"/>
                  </w:tcBorders>
                  <w:shd w:val="clear" w:color="auto" w:fill="auto"/>
                  <w:tcMar>
                    <w:top w:w="120" w:type="dxa"/>
                  </w:tcMar>
                  <w:vAlign w:val="center"/>
                </w:tcPr>
                <w:p>
                  <w:pPr>
                    <w:jc w:val="center"/>
                    <w:rPr>
                      <w:rFonts w:ascii="宋体" w:hAnsi="宋体" w:eastAsia="宋体" w:cs="宋体"/>
                      <w:color w:val="000000"/>
                      <w:sz w:val="24"/>
                    </w:rPr>
                  </w:pPr>
                </w:p>
              </w:tc>
              <w:tc>
                <w:tcPr>
                  <w:tcW w:w="4345" w:type="pct"/>
                  <w:gridSpan w:val="5"/>
                  <w:tcBorders>
                    <w:top w:val="single" w:color="333333" w:sz="6" w:space="0"/>
                    <w:right w:val="single" w:color="333333" w:sz="6" w:space="0"/>
                  </w:tcBorders>
                  <w:shd w:val="clear" w:color="auto" w:fill="auto"/>
                  <w:tcMar>
                    <w:top w:w="120" w:type="dxa"/>
                  </w:tcMar>
                  <w:vAlign w:val="center"/>
                </w:tcPr>
                <w:tbl>
                  <w:tblPr>
                    <w:tblStyle w:val="3"/>
                    <w:tblW w:w="4905" w:type="pct"/>
                    <w:jc w:val="center"/>
                    <w:tblCellSpacing w:w="0" w:type="dxa"/>
                    <w:tblBorders>
                      <w:top w:val="dotted" w:color="DDDDDD" w:sz="6" w:space="0"/>
                      <w:left w:val="dotted" w:color="DDDDDD" w:sz="6" w:space="0"/>
                      <w:bottom w:val="dotted" w:color="DDDDDD" w:sz="6" w:space="0"/>
                      <w:right w:val="dotted" w:color="DDDDDD" w:sz="6" w:space="0"/>
                      <w:insideH w:val="outset" w:color="auto" w:sz="6" w:space="0"/>
                      <w:insideV w:val="outset" w:color="auto" w:sz="6" w:space="0"/>
                    </w:tblBorders>
                    <w:tblLayout w:type="autofit"/>
                    <w:tblCellMar>
                      <w:top w:w="0" w:type="dxa"/>
                      <w:left w:w="0" w:type="dxa"/>
                      <w:bottom w:w="0" w:type="dxa"/>
                      <w:right w:w="0" w:type="dxa"/>
                    </w:tblCellMar>
                  </w:tblPr>
                  <w:tblGrid>
                    <w:gridCol w:w="548"/>
                    <w:gridCol w:w="1281"/>
                    <w:gridCol w:w="1842"/>
                    <w:gridCol w:w="1597"/>
                    <w:gridCol w:w="1309"/>
                    <w:gridCol w:w="2292"/>
                  </w:tblGrid>
                  <w:tr>
                    <w:tblPrEx>
                      <w:tblBorders>
                        <w:top w:val="dotted" w:color="DDDDDD" w:sz="6" w:space="0"/>
                        <w:left w:val="dotted" w:color="DDDDDD" w:sz="6" w:space="0"/>
                        <w:bottom w:val="dotted" w:color="DDDDDD" w:sz="6" w:space="0"/>
                        <w:right w:val="dotted" w:color="DDDDDD" w:sz="6" w:space="0"/>
                        <w:insideH w:val="outset" w:color="auto" w:sz="6" w:space="0"/>
                        <w:insideV w:val="outset" w:color="auto" w:sz="6" w:space="0"/>
                      </w:tblBorders>
                      <w:tblCellMar>
                        <w:top w:w="0" w:type="dxa"/>
                        <w:left w:w="0" w:type="dxa"/>
                        <w:bottom w:w="0" w:type="dxa"/>
                        <w:right w:w="0" w:type="dxa"/>
                      </w:tblCellMar>
                    </w:tblPrEx>
                    <w:trPr>
                      <w:trHeight w:val="569" w:hRule="atLeast"/>
                      <w:tblCellSpacing w:w="0" w:type="dxa"/>
                      <w:jc w:val="center"/>
                    </w:trPr>
                    <w:tc>
                      <w:tcPr>
                        <w:tcW w:w="309" w:type="pct"/>
                        <w:tcBorders>
                          <w:top w:val="dotted" w:color="DDDDDD" w:sz="6" w:space="0"/>
                          <w:left w:val="dotted" w:color="DDDDDD" w:sz="6" w:space="0"/>
                          <w:bottom w:val="dotted" w:color="DDDDDD" w:sz="6" w:space="0"/>
                          <w:right w:val="dotted" w:color="DDDDDD" w:sz="6" w:space="0"/>
                        </w:tcBorders>
                        <w:shd w:val="clear" w:color="auto" w:fill="auto"/>
                        <w:noWrap/>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序号</w:t>
                        </w:r>
                      </w:p>
                    </w:tc>
                    <w:tc>
                      <w:tcPr>
                        <w:tcW w:w="722" w:type="pct"/>
                        <w:tcBorders>
                          <w:top w:val="dotted" w:color="DDDDDD" w:sz="6" w:space="0"/>
                          <w:left w:val="dotted" w:color="DDDDDD" w:sz="6" w:space="0"/>
                          <w:bottom w:val="dotted" w:color="DDDDDD" w:sz="6" w:space="0"/>
                          <w:right w:val="dotted" w:color="DDDDDD" w:sz="6" w:space="0"/>
                        </w:tcBorders>
                        <w:shd w:val="clear" w:color="auto" w:fill="auto"/>
                        <w:noWrap/>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名称</w:t>
                        </w:r>
                      </w:p>
                    </w:tc>
                    <w:tc>
                      <w:tcPr>
                        <w:tcW w:w="1038" w:type="pct"/>
                        <w:tcBorders>
                          <w:top w:val="dotted" w:color="DDDDDD" w:sz="6" w:space="0"/>
                          <w:left w:val="dotted" w:color="DDDDDD" w:sz="6" w:space="0"/>
                          <w:bottom w:val="dotted" w:color="DDDDDD" w:sz="6" w:space="0"/>
                          <w:right w:val="dotted" w:color="DDDDDD" w:sz="6" w:space="0"/>
                        </w:tcBorders>
                        <w:shd w:val="clear" w:color="auto" w:fill="auto"/>
                        <w:noWrap/>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服务范围</w:t>
                        </w:r>
                      </w:p>
                    </w:tc>
                    <w:tc>
                      <w:tcPr>
                        <w:tcW w:w="900" w:type="pct"/>
                        <w:tcBorders>
                          <w:top w:val="dotted" w:color="DDDDDD" w:sz="6" w:space="0"/>
                          <w:left w:val="dotted" w:color="DDDDDD" w:sz="6" w:space="0"/>
                          <w:bottom w:val="dotted" w:color="DDDDDD" w:sz="6" w:space="0"/>
                          <w:right w:val="dotted" w:color="DDDDDD" w:sz="6" w:space="0"/>
                        </w:tcBorders>
                        <w:shd w:val="clear" w:color="auto" w:fill="auto"/>
                        <w:noWrap/>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服务要求</w:t>
                        </w:r>
                      </w:p>
                    </w:tc>
                    <w:tc>
                      <w:tcPr>
                        <w:tcW w:w="737" w:type="pct"/>
                        <w:tcBorders>
                          <w:top w:val="dotted" w:color="DDDDDD" w:sz="6" w:space="0"/>
                          <w:left w:val="dotted" w:color="DDDDDD" w:sz="6" w:space="0"/>
                          <w:bottom w:val="dotted" w:color="DDDDDD" w:sz="6" w:space="0"/>
                          <w:right w:val="dotted" w:color="DDDDDD" w:sz="6" w:space="0"/>
                        </w:tcBorders>
                        <w:shd w:val="clear" w:color="auto" w:fill="auto"/>
                        <w:noWrap/>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服务时间</w:t>
                        </w:r>
                      </w:p>
                    </w:tc>
                    <w:tc>
                      <w:tcPr>
                        <w:tcW w:w="1291" w:type="pct"/>
                        <w:tcBorders>
                          <w:top w:val="dotted" w:color="DDDDDD" w:sz="6" w:space="0"/>
                          <w:left w:val="dotted" w:color="DDDDDD" w:sz="6" w:space="0"/>
                          <w:bottom w:val="dotted" w:color="DDDDDD" w:sz="6" w:space="0"/>
                          <w:right w:val="dotted" w:color="DDDDDD" w:sz="6" w:space="0"/>
                        </w:tcBorders>
                        <w:shd w:val="clear" w:color="auto" w:fill="auto"/>
                        <w:noWrap/>
                        <w:tcMar>
                          <w:top w:w="120" w:type="dxa"/>
                        </w:tcMar>
                        <w:vAlign w:val="center"/>
                      </w:tcPr>
                      <w:p>
                        <w:pPr>
                          <w:widowControl/>
                          <w:wordWrap w:val="0"/>
                          <w:spacing w:line="450" w:lineRule="atLeast"/>
                          <w:jc w:val="center"/>
                          <w:rPr>
                            <w:rFonts w:ascii="宋体" w:hAnsi="宋体" w:eastAsia="宋体" w:cs="宋体"/>
                            <w:color w:val="000000"/>
                            <w:sz w:val="24"/>
                          </w:rPr>
                        </w:pPr>
                        <w:r>
                          <w:rPr>
                            <w:rFonts w:hint="eastAsia" w:ascii="宋体" w:hAnsi="宋体" w:eastAsia="宋体" w:cs="宋体"/>
                            <w:color w:val="000000"/>
                            <w:kern w:val="0"/>
                            <w:sz w:val="24"/>
                          </w:rPr>
                          <w:t>服务标准</w:t>
                        </w:r>
                      </w:p>
                    </w:tc>
                  </w:tr>
                  <w:tr>
                    <w:tblPrEx>
                      <w:tblBorders>
                        <w:top w:val="none" w:color="auto" w:sz="6"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tblCellSpacing w:w="0" w:type="dxa"/>
                      <w:jc w:val="center"/>
                    </w:trPr>
                    <w:tc>
                      <w:tcPr>
                        <w:tcW w:w="0" w:type="auto"/>
                        <w:tcBorders>
                          <w:top w:val="dotted" w:color="DDDDDD" w:sz="6" w:space="0"/>
                          <w:left w:val="dotted" w:color="DDDDDD" w:sz="6" w:space="0"/>
                          <w:bottom w:val="dotted" w:color="DDDDDD" w:sz="6" w:space="0"/>
                          <w:right w:val="dotted" w:color="DDDDDD" w:sz="6" w:space="0"/>
                        </w:tcBorders>
                        <w:shd w:val="clear" w:color="auto" w:fill="auto"/>
                        <w:tcMar>
                          <w:top w:w="120" w:type="dxa"/>
                        </w:tcMar>
                        <w:vAlign w:val="center"/>
                      </w:tcPr>
                      <w:p>
                        <w:pPr>
                          <w:widowControl/>
                          <w:wordWrap w:val="0"/>
                          <w:jc w:val="center"/>
                          <w:rPr>
                            <w:rFonts w:ascii="宋体" w:hAnsi="宋体" w:eastAsia="宋体" w:cs="宋体"/>
                            <w:color w:val="000000"/>
                            <w:sz w:val="24"/>
                          </w:rPr>
                        </w:pPr>
                        <w:r>
                          <w:rPr>
                            <w:rFonts w:hint="eastAsia" w:ascii="宋体" w:hAnsi="宋体" w:eastAsia="宋体" w:cs="宋体"/>
                            <w:color w:val="000000"/>
                            <w:kern w:val="0"/>
                            <w:sz w:val="24"/>
                          </w:rPr>
                          <w:t>1</w:t>
                        </w:r>
                      </w:p>
                    </w:tc>
                    <w:tc>
                      <w:tcPr>
                        <w:tcW w:w="722" w:type="pct"/>
                        <w:tcBorders>
                          <w:top w:val="dotted" w:color="DDDDDD" w:sz="6" w:space="0"/>
                          <w:left w:val="dotted" w:color="DDDDDD" w:sz="6" w:space="0"/>
                          <w:bottom w:val="dotted" w:color="DDDDDD" w:sz="6" w:space="0"/>
                          <w:right w:val="dotted" w:color="DDDDDD" w:sz="6" w:space="0"/>
                        </w:tcBorders>
                        <w:shd w:val="clear" w:color="auto" w:fill="auto"/>
                        <w:tcMar>
                          <w:top w:w="120" w:type="dxa"/>
                        </w:tcMar>
                        <w:vAlign w:val="center"/>
                      </w:tcPr>
                      <w:p>
                        <w:pPr>
                          <w:widowControl/>
                          <w:wordWrap w:val="0"/>
                          <w:jc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正阳县机关事务中心采购2027年度物业服务项目</w:t>
                        </w:r>
                      </w:p>
                    </w:tc>
                    <w:tc>
                      <w:tcPr>
                        <w:tcW w:w="1038" w:type="pct"/>
                        <w:tcBorders>
                          <w:top w:val="dotted" w:color="DDDDDD" w:sz="6" w:space="0"/>
                          <w:left w:val="dotted" w:color="DDDDDD" w:sz="6" w:space="0"/>
                          <w:bottom w:val="dotted" w:color="DDDDDD" w:sz="6" w:space="0"/>
                          <w:right w:val="dotted" w:color="DDDDDD" w:sz="6" w:space="0"/>
                        </w:tcBorders>
                        <w:shd w:val="clear" w:color="auto" w:fill="auto"/>
                        <w:tcMar>
                          <w:top w:w="120" w:type="dxa"/>
                        </w:tcMar>
                        <w:vAlign w:val="center"/>
                      </w:tcPr>
                      <w:p>
                        <w:pPr>
                          <w:widowControl/>
                          <w:wordWrap w:val="0"/>
                          <w:jc w:val="center"/>
                          <w:rPr>
                            <w:rFonts w:hint="eastAsia" w:ascii="宋体" w:hAnsi="宋体" w:eastAsia="宋体" w:cs="宋体"/>
                            <w:color w:val="000000"/>
                            <w:kern w:val="0"/>
                            <w:sz w:val="24"/>
                          </w:rPr>
                        </w:pPr>
                        <w:r>
                          <w:rPr>
                            <w:rFonts w:hint="eastAsia" w:ascii="宋体" w:hAnsi="宋体" w:eastAsia="宋体" w:cs="宋体"/>
                            <w:color w:val="000000"/>
                            <w:kern w:val="0"/>
                            <w:sz w:val="24"/>
                          </w:rPr>
                          <w:t>详见竞争性</w:t>
                        </w:r>
                      </w:p>
                      <w:p>
                        <w:pPr>
                          <w:widowControl/>
                          <w:wordWrap w:val="0"/>
                          <w:jc w:val="center"/>
                          <w:rPr>
                            <w:rFonts w:ascii="宋体" w:hAnsi="宋体" w:eastAsia="宋体" w:cs="宋体"/>
                            <w:color w:val="000000"/>
                            <w:sz w:val="24"/>
                          </w:rPr>
                        </w:pPr>
                        <w:r>
                          <w:rPr>
                            <w:rFonts w:hint="eastAsia" w:ascii="宋体" w:hAnsi="宋体" w:eastAsia="宋体" w:cs="宋体"/>
                            <w:color w:val="000000"/>
                            <w:kern w:val="0"/>
                            <w:sz w:val="24"/>
                            <w:lang w:eastAsia="zh-CN"/>
                          </w:rPr>
                          <w:t>谈判</w:t>
                        </w:r>
                        <w:r>
                          <w:rPr>
                            <w:rFonts w:hint="eastAsia" w:ascii="宋体" w:hAnsi="宋体" w:eastAsia="宋体" w:cs="宋体"/>
                            <w:color w:val="000000"/>
                            <w:kern w:val="0"/>
                            <w:sz w:val="24"/>
                          </w:rPr>
                          <w:t>文件</w:t>
                        </w:r>
                      </w:p>
                    </w:tc>
                    <w:tc>
                      <w:tcPr>
                        <w:tcW w:w="900" w:type="pct"/>
                        <w:tcBorders>
                          <w:top w:val="dotted" w:color="DDDDDD" w:sz="6" w:space="0"/>
                          <w:left w:val="dotted" w:color="DDDDDD" w:sz="6" w:space="0"/>
                          <w:bottom w:val="dotted" w:color="DDDDDD" w:sz="6" w:space="0"/>
                          <w:right w:val="dotted" w:color="DDDDDD" w:sz="6" w:space="0"/>
                        </w:tcBorders>
                        <w:shd w:val="clear" w:color="auto" w:fill="auto"/>
                        <w:tcMar>
                          <w:top w:w="120" w:type="dxa"/>
                        </w:tcMar>
                        <w:vAlign w:val="center"/>
                      </w:tcPr>
                      <w:p>
                        <w:pPr>
                          <w:widowControl/>
                          <w:wordWrap w:val="0"/>
                          <w:jc w:val="center"/>
                          <w:rPr>
                            <w:rFonts w:hint="eastAsia" w:ascii="宋体" w:hAnsi="宋体" w:eastAsia="宋体" w:cs="宋体"/>
                            <w:color w:val="000000"/>
                            <w:kern w:val="0"/>
                            <w:sz w:val="24"/>
                          </w:rPr>
                        </w:pPr>
                        <w:r>
                          <w:rPr>
                            <w:rFonts w:hint="eastAsia" w:ascii="宋体" w:hAnsi="宋体" w:eastAsia="宋体" w:cs="宋体"/>
                            <w:color w:val="000000"/>
                            <w:kern w:val="0"/>
                            <w:sz w:val="24"/>
                          </w:rPr>
                          <w:t>详见竞争性</w:t>
                        </w:r>
                      </w:p>
                      <w:p>
                        <w:pPr>
                          <w:widowControl/>
                          <w:wordWrap w:val="0"/>
                          <w:jc w:val="center"/>
                          <w:rPr>
                            <w:rFonts w:ascii="宋体" w:hAnsi="宋体" w:eastAsia="宋体" w:cs="宋体"/>
                            <w:color w:val="000000"/>
                            <w:sz w:val="24"/>
                          </w:rPr>
                        </w:pPr>
                        <w:r>
                          <w:rPr>
                            <w:rFonts w:hint="eastAsia" w:ascii="宋体" w:hAnsi="宋体" w:eastAsia="宋体" w:cs="宋体"/>
                            <w:color w:val="000000"/>
                            <w:kern w:val="0"/>
                            <w:sz w:val="24"/>
                            <w:lang w:eastAsia="zh-CN"/>
                          </w:rPr>
                          <w:t>谈判</w:t>
                        </w:r>
                        <w:r>
                          <w:rPr>
                            <w:rFonts w:hint="eastAsia" w:ascii="宋体" w:hAnsi="宋体" w:eastAsia="宋体" w:cs="宋体"/>
                            <w:color w:val="000000"/>
                            <w:kern w:val="0"/>
                            <w:sz w:val="24"/>
                          </w:rPr>
                          <w:t>文件</w:t>
                        </w:r>
                      </w:p>
                    </w:tc>
                    <w:tc>
                      <w:tcPr>
                        <w:tcW w:w="737" w:type="pct"/>
                        <w:tcBorders>
                          <w:top w:val="dotted" w:color="DDDDDD" w:sz="6" w:space="0"/>
                          <w:left w:val="dotted" w:color="DDDDDD" w:sz="6" w:space="0"/>
                          <w:bottom w:val="dotted" w:color="DDDDDD" w:sz="6" w:space="0"/>
                          <w:right w:val="dotted" w:color="DDDDDD" w:sz="6" w:space="0"/>
                        </w:tcBorders>
                        <w:shd w:val="clear" w:color="auto" w:fill="auto"/>
                        <w:tcMar>
                          <w:top w:w="120" w:type="dxa"/>
                        </w:tcMar>
                        <w:vAlign w:val="center"/>
                      </w:tcPr>
                      <w:p>
                        <w:pPr>
                          <w:widowControl/>
                          <w:wordWrap w:val="0"/>
                          <w:jc w:val="center"/>
                          <w:rPr>
                            <w:rFonts w:hint="default" w:ascii="宋体" w:hAnsi="宋体" w:eastAsia="宋体" w:cs="宋体"/>
                            <w:color w:val="000000"/>
                            <w:sz w:val="24"/>
                          </w:rPr>
                        </w:pPr>
                        <w:r>
                          <w:rPr>
                            <w:rFonts w:hint="default" w:ascii="宋体" w:hAnsi="宋体" w:eastAsia="宋体" w:cs="宋体"/>
                            <w:color w:val="000000"/>
                            <w:sz w:val="24"/>
                            <w:lang w:val="en-US" w:eastAsia="zh-CN"/>
                          </w:rPr>
                          <w:t>合同签订后</w:t>
                        </w:r>
                      </w:p>
                      <w:p>
                        <w:pPr>
                          <w:widowControl/>
                          <w:wordWrap w:val="0"/>
                          <w:jc w:val="center"/>
                          <w:rPr>
                            <w:rFonts w:hint="default" w:ascii="宋体" w:hAnsi="宋体" w:eastAsia="宋体" w:cs="宋体"/>
                            <w:color w:val="000000"/>
                            <w:sz w:val="24"/>
                          </w:rPr>
                        </w:pPr>
                        <w:r>
                          <w:rPr>
                            <w:rFonts w:hint="default" w:ascii="宋体" w:hAnsi="宋体" w:eastAsia="宋体" w:cs="宋体"/>
                            <w:color w:val="000000"/>
                            <w:sz w:val="24"/>
                            <w:lang w:val="en-US" w:eastAsia="zh-CN"/>
                          </w:rPr>
                          <w:t>一年</w:t>
                        </w:r>
                      </w:p>
                      <w:p>
                        <w:pPr>
                          <w:widowControl/>
                          <w:wordWrap w:val="0"/>
                          <w:jc w:val="center"/>
                          <w:rPr>
                            <w:rFonts w:ascii="宋体" w:hAnsi="宋体" w:eastAsia="宋体" w:cs="宋体"/>
                            <w:color w:val="000000"/>
                            <w:sz w:val="24"/>
                          </w:rPr>
                        </w:pPr>
                      </w:p>
                    </w:tc>
                    <w:tc>
                      <w:tcPr>
                        <w:tcW w:w="1291" w:type="pct"/>
                        <w:tcBorders>
                          <w:top w:val="dotted" w:color="DDDDDD" w:sz="6" w:space="0"/>
                          <w:left w:val="dotted" w:color="DDDDDD" w:sz="6" w:space="0"/>
                          <w:bottom w:val="dotted" w:color="DDDDDD" w:sz="6" w:space="0"/>
                          <w:right w:val="dotted" w:color="DDDDDD" w:sz="6" w:space="0"/>
                        </w:tcBorders>
                        <w:shd w:val="clear" w:color="auto" w:fill="auto"/>
                        <w:tcMar>
                          <w:top w:w="120" w:type="dxa"/>
                        </w:tcMar>
                        <w:vAlign w:val="center"/>
                      </w:tcPr>
                      <w:p>
                        <w:pPr>
                          <w:widowControl/>
                          <w:wordWrap w:val="0"/>
                          <w:jc w:val="center"/>
                          <w:rPr>
                            <w:rFonts w:ascii="宋体" w:hAnsi="宋体" w:eastAsia="宋体" w:cs="宋体"/>
                            <w:color w:val="000000"/>
                            <w:kern w:val="0"/>
                            <w:sz w:val="24"/>
                          </w:rPr>
                        </w:pPr>
                      </w:p>
                      <w:p>
                        <w:pPr>
                          <w:widowControl/>
                          <w:wordWrap w:val="0"/>
                          <w:jc w:val="left"/>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国家标准、行业标准、地区标准等</w:t>
                        </w:r>
                        <w:r>
                          <w:rPr>
                            <w:rFonts w:hint="eastAsia" w:ascii="宋体" w:hAnsi="宋体" w:eastAsia="宋体" w:cs="宋体"/>
                            <w:color w:val="000000"/>
                            <w:kern w:val="0"/>
                            <w:sz w:val="24"/>
                            <w:lang w:eastAsia="zh-CN"/>
                          </w:rPr>
                          <w:t>标准规范</w:t>
                        </w:r>
                      </w:p>
                    </w:tc>
                  </w:tr>
                </w:tbl>
                <w:p>
                  <w:pPr>
                    <w:jc w:val="center"/>
                    <w:rPr>
                      <w:rFonts w:ascii="宋体" w:hAnsi="宋体" w:eastAsia="宋体" w:cs="宋体"/>
                      <w:color w:val="000000"/>
                      <w:sz w:val="24"/>
                    </w:rPr>
                  </w:pPr>
                </w:p>
              </w:tc>
            </w:tr>
          </w:tbl>
          <w:p>
            <w:pPr>
              <w:wordWrap w:val="0"/>
              <w:jc w:val="center"/>
              <w:rPr>
                <w:rFonts w:ascii="宋体" w:hAnsi="宋体" w:eastAsia="宋体" w:cs="宋体"/>
                <w:color w:val="000000"/>
                <w:sz w:val="24"/>
              </w:rPr>
            </w:pP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lang w:eastAsia="zh-CN"/>
              </w:rPr>
              <w:t>三</w:t>
            </w:r>
            <w:r>
              <w:rPr>
                <w:rFonts w:hint="eastAsia" w:ascii="宋体" w:hAnsi="宋体" w:eastAsia="宋体" w:cs="宋体"/>
                <w:color w:val="000000"/>
                <w:kern w:val="0"/>
                <w:sz w:val="24"/>
              </w:rPr>
              <w:t>、评审专家名单</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jc w:val="left"/>
              <w:rPr>
                <w:rFonts w:hint="eastAsia" w:ascii="宋体" w:hAnsi="宋体" w:eastAsia="宋体" w:cs="宋体"/>
                <w:color w:val="000000"/>
                <w:sz w:val="24"/>
                <w:lang w:eastAsia="zh-CN"/>
              </w:rPr>
            </w:pPr>
            <w:r>
              <w:rPr>
                <w:rFonts w:hint="eastAsia" w:ascii="宋体" w:hAnsi="宋体" w:eastAsia="宋体" w:cs="宋体"/>
                <w:color w:val="000000"/>
                <w:sz w:val="24"/>
                <w:lang w:eastAsia="zh-CN"/>
              </w:rPr>
              <w:t>李开、张志强（采购人代表）、王仁杰</w:t>
            </w:r>
            <w:bookmarkStart w:id="0" w:name="_GoBack"/>
            <w:bookmarkEnd w:id="0"/>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lang w:eastAsia="zh-CN"/>
              </w:rPr>
              <w:t>四</w:t>
            </w:r>
            <w:r>
              <w:rPr>
                <w:rFonts w:hint="eastAsia" w:ascii="宋体" w:hAnsi="宋体" w:eastAsia="宋体" w:cs="宋体"/>
                <w:color w:val="000000"/>
                <w:kern w:val="0"/>
                <w:sz w:val="24"/>
              </w:rPr>
              <w:t>、代理服务收费标准及金额：</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收费标准：无</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left w:w="4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rPr>
              <w:t>收费金额：0.00元</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lang w:eastAsia="zh-CN"/>
              </w:rPr>
              <w:t>五</w:t>
            </w:r>
            <w:r>
              <w:rPr>
                <w:rFonts w:hint="eastAsia" w:ascii="宋体" w:hAnsi="宋体" w:eastAsia="宋体" w:cs="宋体"/>
                <w:color w:val="000000"/>
                <w:kern w:val="0"/>
                <w:sz w:val="24"/>
              </w:rPr>
              <w:t>、成交公告发布的媒介及成交公告期限</w:t>
            </w:r>
          </w:p>
        </w:tc>
      </w:tr>
      <w:tr>
        <w:tblPrEx>
          <w:tblCellMar>
            <w:top w:w="0" w:type="dxa"/>
            <w:left w:w="0" w:type="dxa"/>
            <w:bottom w:w="0" w:type="dxa"/>
            <w:right w:w="0" w:type="dxa"/>
          </w:tblCellMar>
        </w:tblPrEx>
        <w:trPr>
          <w:trHeight w:val="781" w:hRule="atLeast"/>
          <w:tblCellSpacing w:w="15" w:type="dxa"/>
          <w:jc w:val="center"/>
        </w:trPr>
        <w:tc>
          <w:tcPr>
            <w:tcW w:w="0" w:type="auto"/>
            <w:shd w:val="clear" w:color="auto" w:fill="auto"/>
            <w:tcMar>
              <w:top w:w="120" w:type="dxa"/>
              <w:left w:w="4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rPr>
              <w:t xml:space="preserve">本次中标公告在《河南省采购网》、《驻马店市公共资源交易中心网站》上发布，中标公告期限为1个工作日 。 </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lang w:eastAsia="zh-CN"/>
              </w:rPr>
              <w:t>六</w:t>
            </w:r>
            <w:r>
              <w:rPr>
                <w:rFonts w:hint="eastAsia" w:ascii="宋体" w:hAnsi="宋体" w:eastAsia="宋体" w:cs="宋体"/>
                <w:color w:val="000000"/>
                <w:kern w:val="0"/>
                <w:sz w:val="24"/>
              </w:rPr>
              <w:t>、其他补充事宜</w:t>
            </w:r>
          </w:p>
        </w:tc>
      </w:tr>
      <w:tr>
        <w:tblPrEx>
          <w:tblCellMar>
            <w:top w:w="0" w:type="dxa"/>
            <w:left w:w="0" w:type="dxa"/>
            <w:bottom w:w="0" w:type="dxa"/>
            <w:right w:w="0" w:type="dxa"/>
          </w:tblCellMar>
        </w:tblPrEx>
        <w:trPr>
          <w:trHeight w:val="2767" w:hRule="atLeast"/>
          <w:tblCellSpacing w:w="15" w:type="dxa"/>
          <w:jc w:val="center"/>
        </w:trPr>
        <w:tc>
          <w:tcPr>
            <w:tcW w:w="0" w:type="auto"/>
            <w:shd w:val="clear" w:color="auto" w:fill="auto"/>
            <w:tcMar>
              <w:top w:w="120" w:type="dxa"/>
            </w:tcMar>
            <w:vAlign w:val="center"/>
          </w:tcPr>
          <w:p>
            <w:pPr>
              <w:pStyle w:val="2"/>
              <w:numPr>
                <w:ilvl w:val="0"/>
                <w:numId w:val="0"/>
              </w:numPr>
              <w:rPr>
                <w:rFonts w:hint="eastAsia"/>
                <w:lang w:val="en-US" w:eastAsia="zh-CN"/>
              </w:rPr>
            </w:pPr>
            <w:r>
              <w:rPr>
                <w:rFonts w:hint="eastAsia"/>
                <w:lang w:val="en-US" w:eastAsia="zh-CN"/>
              </w:rPr>
              <w:t>1.谈判小组推荐成交候选供应商：</w:t>
            </w:r>
          </w:p>
          <w:p>
            <w:pPr>
              <w:pStyle w:val="2"/>
              <w:numPr>
                <w:ilvl w:val="0"/>
                <w:numId w:val="0"/>
              </w:numPr>
              <w:rPr>
                <w:rFonts w:hint="eastAsia" w:ascii="宋体" w:hAnsi="Calibri" w:eastAsia="宋体" w:cs="宋体"/>
                <w:color w:val="000000"/>
                <w:kern w:val="0"/>
                <w:sz w:val="24"/>
                <w:szCs w:val="24"/>
                <w:lang w:val="en-US" w:eastAsia="zh-CN" w:bidi="ar-SA"/>
              </w:rPr>
            </w:pPr>
            <w:r>
              <w:rPr>
                <w:rFonts w:hint="eastAsia" w:ascii="宋体" w:hAnsi="Calibri" w:eastAsia="宋体" w:cs="宋体"/>
                <w:color w:val="000000"/>
                <w:kern w:val="0"/>
                <w:sz w:val="24"/>
                <w:szCs w:val="24"/>
                <w:lang w:val="en-US" w:eastAsia="zh-CN" w:bidi="ar-SA"/>
              </w:rPr>
              <w:t>第一成交候选供应商：深业物业运营集团股份有限公司（联合体牵头人）</w:t>
            </w:r>
          </w:p>
          <w:p>
            <w:pPr>
              <w:pStyle w:val="2"/>
              <w:numPr>
                <w:ilvl w:val="0"/>
                <w:numId w:val="0"/>
              </w:numPr>
              <w:rPr>
                <w:rFonts w:hint="eastAsia" w:ascii="宋体" w:hAnsi="Calibri" w:eastAsia="宋体" w:cs="宋体"/>
                <w:color w:val="000000"/>
                <w:kern w:val="0"/>
                <w:sz w:val="24"/>
                <w:szCs w:val="24"/>
                <w:lang w:val="en-US" w:eastAsia="zh-CN" w:bidi="ar-SA"/>
              </w:rPr>
            </w:pPr>
            <w:r>
              <w:rPr>
                <w:rFonts w:hint="eastAsia" w:ascii="宋体" w:hAnsi="Calibri" w:eastAsia="宋体" w:cs="宋体"/>
                <w:color w:val="000000"/>
                <w:kern w:val="0"/>
                <w:sz w:val="24"/>
                <w:szCs w:val="24"/>
                <w:lang w:val="en-US" w:eastAsia="zh-CN" w:bidi="ar-SA"/>
              </w:rPr>
              <w:t>正阳县正鑫物业管理有限公司（联合体成员）</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rFonts w:hint="eastAsia" w:ascii="宋体" w:hAnsi="Calibri" w:eastAsia="宋体" w:cs="宋体"/>
                <w:color w:val="000000"/>
                <w:kern w:val="0"/>
                <w:sz w:val="24"/>
                <w:szCs w:val="24"/>
                <w:lang w:val="en-US" w:eastAsia="zh-CN" w:bidi="ar-SA"/>
              </w:rPr>
            </w:pPr>
            <w:r>
              <w:rPr>
                <w:rFonts w:hint="eastAsia" w:ascii="宋体" w:hAnsi="Calibri" w:eastAsia="宋体" w:cs="宋体"/>
                <w:color w:val="000000"/>
                <w:kern w:val="0"/>
                <w:sz w:val="24"/>
                <w:szCs w:val="24"/>
                <w:lang w:val="en-US" w:eastAsia="zh-CN" w:bidi="ar-SA"/>
              </w:rPr>
              <w:t>第二成交候选供应商：中建智慧城市服务（湖南）有限公司</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rFonts w:hint="eastAsia" w:ascii="宋体" w:hAnsi="Calibri" w:eastAsia="宋体" w:cs="宋体"/>
                <w:color w:val="000000"/>
                <w:kern w:val="0"/>
                <w:sz w:val="24"/>
                <w:szCs w:val="24"/>
                <w:lang w:val="en-US" w:eastAsia="zh-CN" w:bidi="ar-SA"/>
              </w:rPr>
            </w:pPr>
            <w:r>
              <w:rPr>
                <w:rFonts w:hint="eastAsia" w:ascii="宋体" w:hAnsi="Calibri" w:eastAsia="宋体" w:cs="宋体"/>
                <w:color w:val="000000"/>
                <w:kern w:val="0"/>
                <w:sz w:val="24"/>
                <w:szCs w:val="24"/>
                <w:lang w:val="en-US" w:eastAsia="zh-CN" w:bidi="ar-SA"/>
              </w:rPr>
              <w:t>第三成交候选供应商：湖南鹏城物业管理有限公司</w:t>
            </w:r>
          </w:p>
          <w:p>
            <w:pPr>
              <w:pStyle w:val="2"/>
              <w:numPr>
                <w:ilvl w:val="0"/>
                <w:numId w:val="0"/>
              </w:numPr>
            </w:pPr>
            <w:r>
              <w:rPr>
                <w:rFonts w:hint="eastAsia"/>
                <w:lang w:val="en-US" w:eastAsia="zh-CN"/>
              </w:rPr>
              <w:t>2.</w:t>
            </w:r>
            <w:r>
              <w:rPr>
                <w:rFonts w:hint="eastAsia"/>
              </w:rPr>
              <w:t>各有关当事人对成交结果有异议的，可以在成交公告期限届满之日起七个工作日内，按照《中华人民共和国政府采购法》、《中华人民共和国政府采购法实施条例》和《政府采购质疑和投诉办法》相关规定，向采购人和</w:t>
            </w:r>
            <w:r>
              <w:rPr>
                <w:rFonts w:hint="eastAsia"/>
                <w:lang w:eastAsia="zh-CN"/>
              </w:rPr>
              <w:t>集中采购</w:t>
            </w:r>
            <w:r>
              <w:rPr>
                <w:rFonts w:hint="eastAsia"/>
              </w:rPr>
              <w:t>机构提出质疑，逾期未提交或未按照要求提交的质疑函将不予受理。</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lang w:eastAsia="zh-CN"/>
              </w:rPr>
              <w:t>七</w:t>
            </w:r>
            <w:r>
              <w:rPr>
                <w:rFonts w:hint="eastAsia" w:ascii="宋体" w:hAnsi="宋体" w:eastAsia="宋体" w:cs="宋体"/>
                <w:color w:val="000000"/>
                <w:kern w:val="0"/>
                <w:sz w:val="24"/>
              </w:rPr>
              <w:t>、凡对本次公告内容提出询问，请按以下方式联系</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left w:w="21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rPr>
              <w:t>1. 采购人信息</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名称：</w:t>
            </w:r>
            <w:r>
              <w:rPr>
                <w:rFonts w:hint="eastAsia" w:ascii="宋体" w:hAnsi="宋体" w:eastAsia="宋体" w:cs="宋体"/>
                <w:color w:val="000000"/>
                <w:kern w:val="0"/>
                <w:sz w:val="24"/>
                <w:lang w:eastAsia="zh-CN"/>
              </w:rPr>
              <w:t>正阳县机关事务中心</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地址：</w:t>
            </w:r>
            <w:r>
              <w:rPr>
                <w:rFonts w:hint="eastAsia" w:ascii="宋体" w:hAnsi="宋体" w:eastAsia="宋体" w:cs="宋体"/>
                <w:color w:val="000000"/>
                <w:kern w:val="0"/>
                <w:sz w:val="24"/>
                <w:lang w:eastAsia="zh-CN"/>
              </w:rPr>
              <w:t>正阳县产业集聚区管委会大楼六楼</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联系人：</w:t>
            </w:r>
            <w:r>
              <w:rPr>
                <w:rFonts w:hint="eastAsia" w:ascii="宋体" w:hAnsi="宋体" w:eastAsia="宋体" w:cs="宋体"/>
                <w:color w:val="auto"/>
                <w:sz w:val="24"/>
                <w:lang w:eastAsia="zh-CN"/>
              </w:rPr>
              <w:t>潘女士</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联系方式：</w:t>
            </w:r>
            <w:r>
              <w:rPr>
                <w:rFonts w:hint="eastAsia" w:ascii="宋体" w:hAnsi="宋体" w:eastAsia="宋体" w:cs="宋体"/>
                <w:color w:val="000000"/>
                <w:kern w:val="0"/>
                <w:sz w:val="24"/>
                <w:lang w:val="en-US" w:eastAsia="zh-CN"/>
              </w:rPr>
              <w:t>18903856383</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left w:w="21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rPr>
              <w:t>2.采购代理机构信息（如有）</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名称：正阳县公共资源交易中心</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地址：正阳县花都大道与真阳大道交叉口正阳县公共资源交易中心四楼</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联系人：</w:t>
            </w:r>
            <w:r>
              <w:rPr>
                <w:rFonts w:hint="eastAsia" w:ascii="宋体" w:hAnsi="宋体" w:eastAsia="宋体" w:cs="宋体"/>
                <w:color w:val="000000"/>
                <w:kern w:val="0"/>
                <w:sz w:val="24"/>
                <w:lang w:eastAsia="zh-CN"/>
              </w:rPr>
              <w:t>李</w:t>
            </w:r>
            <w:r>
              <w:rPr>
                <w:rFonts w:hint="eastAsia" w:ascii="宋体" w:hAnsi="宋体" w:eastAsia="宋体" w:cs="宋体"/>
                <w:color w:val="000000"/>
                <w:kern w:val="0"/>
                <w:sz w:val="24"/>
              </w:rPr>
              <w:t>先生</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联系方式：03968906128</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left w:w="210" w:type="dxa"/>
            </w:tcMar>
            <w:vAlign w:val="center"/>
          </w:tcPr>
          <w:p>
            <w:pPr>
              <w:widowControl/>
              <w:jc w:val="left"/>
              <w:rPr>
                <w:rFonts w:ascii="宋体" w:hAnsi="宋体" w:eastAsia="宋体" w:cs="宋体"/>
                <w:color w:val="000000"/>
                <w:sz w:val="24"/>
              </w:rPr>
            </w:pPr>
            <w:r>
              <w:rPr>
                <w:rFonts w:hint="eastAsia" w:ascii="宋体" w:hAnsi="宋体" w:eastAsia="宋体" w:cs="宋体"/>
                <w:color w:val="000000"/>
                <w:kern w:val="0"/>
                <w:sz w:val="24"/>
              </w:rPr>
              <w:t>3.项目联系方式</w:t>
            </w:r>
          </w:p>
        </w:tc>
      </w:tr>
      <w:tr>
        <w:tblPrEx>
          <w:tblCellMar>
            <w:top w:w="0" w:type="dxa"/>
            <w:left w:w="0" w:type="dxa"/>
            <w:bottom w:w="0" w:type="dxa"/>
            <w:right w:w="0" w:type="dxa"/>
          </w:tblCellMar>
        </w:tblPrEx>
        <w:trPr>
          <w:trHeight w:val="466"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项目联系人：</w:t>
            </w:r>
            <w:r>
              <w:rPr>
                <w:rFonts w:hint="eastAsia" w:ascii="宋体" w:hAnsi="宋体" w:eastAsia="宋体" w:cs="宋体"/>
                <w:color w:val="auto"/>
                <w:sz w:val="24"/>
                <w:lang w:eastAsia="zh-CN"/>
              </w:rPr>
              <w:t>潘女士</w:t>
            </w:r>
          </w:p>
        </w:tc>
      </w:tr>
      <w:tr>
        <w:tblPrEx>
          <w:tblCellMar>
            <w:top w:w="0" w:type="dxa"/>
            <w:left w:w="0" w:type="dxa"/>
            <w:bottom w:w="0" w:type="dxa"/>
            <w:right w:w="0" w:type="dxa"/>
          </w:tblCellMar>
        </w:tblPrEx>
        <w:trPr>
          <w:trHeight w:val="481" w:hRule="atLeast"/>
          <w:tblCellSpacing w:w="15" w:type="dxa"/>
          <w:jc w:val="center"/>
        </w:trPr>
        <w:tc>
          <w:tcPr>
            <w:tcW w:w="0" w:type="auto"/>
            <w:shd w:val="clear" w:color="auto" w:fill="auto"/>
            <w:tcMar>
              <w:top w:w="120" w:type="dxa"/>
            </w:tcMar>
            <w:vAlign w:val="center"/>
          </w:tcPr>
          <w:p>
            <w:pPr>
              <w:widowControl/>
              <w:ind w:firstLine="420"/>
              <w:jc w:val="left"/>
              <w:rPr>
                <w:rFonts w:ascii="宋体" w:hAnsi="宋体" w:eastAsia="宋体" w:cs="宋体"/>
                <w:color w:val="000000"/>
                <w:sz w:val="24"/>
              </w:rPr>
            </w:pPr>
            <w:r>
              <w:rPr>
                <w:rFonts w:hint="eastAsia" w:ascii="宋体" w:hAnsi="宋体" w:eastAsia="宋体" w:cs="宋体"/>
                <w:color w:val="000000"/>
                <w:kern w:val="0"/>
                <w:sz w:val="24"/>
              </w:rPr>
              <w:t>联系方式：</w:t>
            </w:r>
            <w:r>
              <w:rPr>
                <w:rFonts w:hint="eastAsia" w:ascii="宋体" w:hAnsi="宋体" w:eastAsia="宋体" w:cs="宋体"/>
                <w:color w:val="000000"/>
                <w:kern w:val="0"/>
                <w:sz w:val="24"/>
                <w:lang w:val="en-US" w:eastAsia="zh-CN"/>
              </w:rPr>
              <w:t>18903856383</w:t>
            </w:r>
          </w:p>
        </w:tc>
      </w:tr>
    </w:tbl>
    <w:p/>
    <w:sectPr>
      <w:pgSz w:w="11906" w:h="16838"/>
      <w:pgMar w:top="1440" w:right="1780" w:bottom="1440" w:left="17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Y2YmRiNTc4NzMyODJmZDllNjFhMWI4ZDE1MGQzODQifQ=="/>
  </w:docVars>
  <w:rsids>
    <w:rsidRoot w:val="00AF2F6A"/>
    <w:rsid w:val="0024359B"/>
    <w:rsid w:val="005F56DE"/>
    <w:rsid w:val="006A70E7"/>
    <w:rsid w:val="006D0623"/>
    <w:rsid w:val="00985934"/>
    <w:rsid w:val="009B2AD2"/>
    <w:rsid w:val="00AF2F6A"/>
    <w:rsid w:val="00CB2971"/>
    <w:rsid w:val="00DF1063"/>
    <w:rsid w:val="00EC620C"/>
    <w:rsid w:val="00F9474C"/>
    <w:rsid w:val="045B112C"/>
    <w:rsid w:val="0A4C164B"/>
    <w:rsid w:val="0C8278CB"/>
    <w:rsid w:val="0F296723"/>
    <w:rsid w:val="123A29F6"/>
    <w:rsid w:val="13A04ADA"/>
    <w:rsid w:val="16877AF3"/>
    <w:rsid w:val="17696966"/>
    <w:rsid w:val="177458A8"/>
    <w:rsid w:val="183879D7"/>
    <w:rsid w:val="1A945277"/>
    <w:rsid w:val="1BA33337"/>
    <w:rsid w:val="1D62374A"/>
    <w:rsid w:val="1D6E2375"/>
    <w:rsid w:val="21AF5D06"/>
    <w:rsid w:val="22146DBF"/>
    <w:rsid w:val="2371629A"/>
    <w:rsid w:val="268428AA"/>
    <w:rsid w:val="2BC42FBB"/>
    <w:rsid w:val="2FA64B0E"/>
    <w:rsid w:val="2FE158A9"/>
    <w:rsid w:val="39A66BD5"/>
    <w:rsid w:val="3A8F1281"/>
    <w:rsid w:val="3CAD3C40"/>
    <w:rsid w:val="40063D93"/>
    <w:rsid w:val="45461CC2"/>
    <w:rsid w:val="45D355F5"/>
    <w:rsid w:val="460F220D"/>
    <w:rsid w:val="463E4B82"/>
    <w:rsid w:val="49261002"/>
    <w:rsid w:val="492D34C0"/>
    <w:rsid w:val="520D1EFB"/>
    <w:rsid w:val="528943B0"/>
    <w:rsid w:val="53803A07"/>
    <w:rsid w:val="58361F13"/>
    <w:rsid w:val="58E81E30"/>
    <w:rsid w:val="58FE12B9"/>
    <w:rsid w:val="5BC32832"/>
    <w:rsid w:val="5C91458D"/>
    <w:rsid w:val="62880827"/>
    <w:rsid w:val="649966D5"/>
    <w:rsid w:val="64EF09EB"/>
    <w:rsid w:val="657607C4"/>
    <w:rsid w:val="678705ED"/>
    <w:rsid w:val="68990F10"/>
    <w:rsid w:val="6F741DDF"/>
    <w:rsid w:val="75C630A2"/>
    <w:rsid w:val="79FD6169"/>
    <w:rsid w:val="7A6335B5"/>
    <w:rsid w:val="7E1468BC"/>
    <w:rsid w:val="7EB76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character" w:styleId="5">
    <w:name w:val="Strong"/>
    <w:basedOn w:val="4"/>
    <w:qFormat/>
    <w:uiPriority w:val="0"/>
    <w:rPr>
      <w:b/>
      <w:bCs/>
      <w:bdr w:val="single" w:color="C2C4CB" w:sz="6" w:space="0"/>
      <w:shd w:val="clear" w:fill="FFFFFF"/>
    </w:rPr>
  </w:style>
  <w:style w:type="character" w:styleId="6">
    <w:name w:val="FollowedHyperlink"/>
    <w:basedOn w:val="4"/>
    <w:qFormat/>
    <w:uiPriority w:val="0"/>
    <w:rPr>
      <w:color w:val="000000"/>
      <w:u w:val="none"/>
    </w:rPr>
  </w:style>
  <w:style w:type="character" w:styleId="7">
    <w:name w:val="Emphasis"/>
    <w:basedOn w:val="4"/>
    <w:qFormat/>
    <w:uiPriority w:val="0"/>
    <w:rPr>
      <w:b/>
      <w:bCs/>
    </w:rPr>
  </w:style>
  <w:style w:type="character" w:styleId="8">
    <w:name w:val="HTML Definition"/>
    <w:basedOn w:val="4"/>
    <w:qFormat/>
    <w:uiPriority w:val="0"/>
  </w:style>
  <w:style w:type="character" w:styleId="9">
    <w:name w:val="HTML Typewriter"/>
    <w:basedOn w:val="4"/>
    <w:qFormat/>
    <w:uiPriority w:val="0"/>
    <w:rPr>
      <w:rFonts w:hint="default" w:ascii="monospace" w:hAnsi="monospace" w:eastAsia="monospace" w:cs="monospace"/>
      <w:sz w:val="20"/>
    </w:rPr>
  </w:style>
  <w:style w:type="character" w:styleId="10">
    <w:name w:val="HTML Acronym"/>
    <w:basedOn w:val="4"/>
    <w:qFormat/>
    <w:uiPriority w:val="0"/>
  </w:style>
  <w:style w:type="character" w:styleId="11">
    <w:name w:val="HTML Variable"/>
    <w:basedOn w:val="4"/>
    <w:qFormat/>
    <w:uiPriority w:val="0"/>
  </w:style>
  <w:style w:type="character" w:styleId="12">
    <w:name w:val="Hyperlink"/>
    <w:basedOn w:val="4"/>
    <w:qFormat/>
    <w:uiPriority w:val="0"/>
    <w:rPr>
      <w:color w:val="000000"/>
      <w:u w:val="none"/>
    </w:rPr>
  </w:style>
  <w:style w:type="character" w:styleId="13">
    <w:name w:val="HTML Code"/>
    <w:basedOn w:val="4"/>
    <w:qFormat/>
    <w:uiPriority w:val="0"/>
    <w:rPr>
      <w:rFonts w:ascii="monospace" w:hAnsi="monospace" w:eastAsia="monospace" w:cs="monospace"/>
      <w:vanish/>
      <w:color w:val="3D4B62"/>
      <w:sz w:val="24"/>
      <w:szCs w:val="24"/>
    </w:rPr>
  </w:style>
  <w:style w:type="character" w:styleId="14">
    <w:name w:val="HTML Cite"/>
    <w:basedOn w:val="4"/>
    <w:qFormat/>
    <w:uiPriority w:val="0"/>
  </w:style>
  <w:style w:type="character" w:styleId="15">
    <w:name w:val="HTML Keyboard"/>
    <w:basedOn w:val="4"/>
    <w:qFormat/>
    <w:uiPriority w:val="0"/>
    <w:rPr>
      <w:rFonts w:hint="default" w:ascii="monospace" w:hAnsi="monospace" w:eastAsia="monospace" w:cs="monospace"/>
      <w:sz w:val="20"/>
      <w:shd w:val="clear" w:fill="FFFFFF"/>
    </w:rPr>
  </w:style>
  <w:style w:type="character" w:styleId="16">
    <w:name w:val="HTML Sample"/>
    <w:basedOn w:val="4"/>
    <w:qFormat/>
    <w:uiPriority w:val="0"/>
    <w:rPr>
      <w:rFonts w:hint="default" w:ascii="monospace" w:hAnsi="monospace" w:eastAsia="monospace" w:cs="monospace"/>
    </w:rPr>
  </w:style>
  <w:style w:type="character" w:customStyle="1" w:styleId="17">
    <w:name w:val="xiadan"/>
    <w:basedOn w:val="4"/>
    <w:qFormat/>
    <w:uiPriority w:val="0"/>
    <w:rPr>
      <w:shd w:val="clear" w:color="auto" w:fill="E4393C"/>
    </w:rPr>
  </w:style>
  <w:style w:type="character" w:customStyle="1" w:styleId="18">
    <w:name w:val="first-child"/>
    <w:basedOn w:val="4"/>
    <w:qFormat/>
    <w:uiPriority w:val="0"/>
    <w:rPr>
      <w:color w:val="1F3149"/>
      <w:sz w:val="24"/>
      <w:szCs w:val="24"/>
    </w:rPr>
  </w:style>
  <w:style w:type="character" w:customStyle="1" w:styleId="19">
    <w:name w:val="first-child1"/>
    <w:basedOn w:val="4"/>
    <w:qFormat/>
    <w:uiPriority w:val="0"/>
    <w:rPr>
      <w:color w:val="1F3149"/>
      <w:sz w:val="24"/>
      <w:szCs w:val="24"/>
    </w:rPr>
  </w:style>
  <w:style w:type="character" w:customStyle="1" w:styleId="20">
    <w:name w:val="icon_gys"/>
    <w:basedOn w:val="4"/>
    <w:qFormat/>
    <w:uiPriority w:val="0"/>
    <w:rPr>
      <w:sz w:val="21"/>
      <w:szCs w:val="21"/>
    </w:rPr>
  </w:style>
  <w:style w:type="character" w:customStyle="1" w:styleId="21">
    <w:name w:val="fr"/>
    <w:basedOn w:val="4"/>
    <w:qFormat/>
    <w:uiPriority w:val="0"/>
  </w:style>
  <w:style w:type="character" w:customStyle="1" w:styleId="22">
    <w:name w:val="icon_ds"/>
    <w:basedOn w:val="4"/>
    <w:qFormat/>
    <w:uiPriority w:val="0"/>
  </w:style>
  <w:style w:type="character" w:customStyle="1" w:styleId="23">
    <w:name w:val="icon_ds1"/>
    <w:basedOn w:val="4"/>
    <w:qFormat/>
    <w:uiPriority w:val="0"/>
    <w:rPr>
      <w:sz w:val="21"/>
      <w:szCs w:val="21"/>
    </w:rPr>
  </w:style>
  <w:style w:type="character" w:customStyle="1" w:styleId="24">
    <w:name w:val="first-child2"/>
    <w:basedOn w:val="4"/>
    <w:qFormat/>
    <w:uiPriority w:val="0"/>
    <w:rPr>
      <w:color w:val="1F3149"/>
      <w:sz w:val="24"/>
      <w:szCs w:val="24"/>
    </w:rPr>
  </w:style>
  <w:style w:type="paragraph" w:customStyle="1" w:styleId="25">
    <w:name w:val="_Style 13"/>
    <w:basedOn w:val="1"/>
    <w:next w:val="1"/>
    <w:qFormat/>
    <w:uiPriority w:val="0"/>
    <w:pPr>
      <w:pBdr>
        <w:bottom w:val="single" w:color="auto" w:sz="6" w:space="1"/>
      </w:pBdr>
      <w:jc w:val="center"/>
    </w:pPr>
    <w:rPr>
      <w:rFonts w:ascii="Arial" w:eastAsia="宋体"/>
      <w:vanish/>
      <w:sz w:val="16"/>
    </w:rPr>
  </w:style>
  <w:style w:type="paragraph" w:customStyle="1" w:styleId="26">
    <w:name w:val="_Style 14"/>
    <w:basedOn w:val="1"/>
    <w:next w:val="1"/>
    <w:qFormat/>
    <w:uiPriority w:val="0"/>
    <w:pPr>
      <w:pBdr>
        <w:top w:val="single" w:color="auto" w:sz="6" w:space="1"/>
      </w:pBdr>
      <w:jc w:val="center"/>
    </w:pPr>
    <w:rPr>
      <w:rFonts w:ascii="Arial" w:eastAsia="宋体"/>
      <w:vanish/>
      <w:sz w:val="16"/>
    </w:rPr>
  </w:style>
  <w:style w:type="character" w:customStyle="1" w:styleId="27">
    <w:name w:val="toolbarlabel2"/>
    <w:basedOn w:val="4"/>
    <w:qFormat/>
    <w:uiPriority w:val="0"/>
  </w:style>
  <w:style w:type="character" w:customStyle="1" w:styleId="28">
    <w:name w:val="toolbarlabel"/>
    <w:basedOn w:val="4"/>
    <w:qFormat/>
    <w:uiPriority w:val="0"/>
    <w:rPr>
      <w:color w:val="333333"/>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901</Words>
  <Characters>974</Characters>
  <Lines>8</Lines>
  <Paragraphs>2</Paragraphs>
  <TotalTime>217</TotalTime>
  <ScaleCrop>false</ScaleCrop>
  <LinksUpToDate>false</LinksUpToDate>
  <CharactersWithSpaces>978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2024-08-28T07:49:00Z</dcterms:created>
  <dc:creator>Administrator</dc:creator>
  <cp:lastModifiedBy>NTKO</cp:lastModifiedBy>
  <dcterms:modified xsi:type="dcterms:W3CDTF">2026-09-29T07:27:30Z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8C6A015530944081AB4847001B142F03_13</vt:lpwstr>
  </property>
  <property fmtid="{D5CDD505-2E9C-101B-9397-08002B2CF9AE}" pid="4" name="KSOTemplateDocerSaveRecord">
    <vt:lpwstr>eyJoZGlkIjoiNTNmM2YzNzI2YzQ3MjJkMGVhMjI0ZmY0MTllNzI0NjAiLCJ1c2VySWQiOiI2NzgyNjk1MzcifQ==</vt:lpwstr>
  </property>
</Properties>
</file>