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1C539">
      <w:pPr>
        <w:widowControl/>
        <w:spacing w:line="360" w:lineRule="auto"/>
        <w:jc w:val="center"/>
        <w:rPr>
          <w:rFonts w:ascii="黑体" w:hAnsi="宋体" w:eastAsia="黑体" w:cs="黑体"/>
          <w:b/>
          <w:kern w:val="0"/>
          <w:sz w:val="36"/>
          <w:szCs w:val="36"/>
        </w:rPr>
      </w:pPr>
    </w:p>
    <w:p w14:paraId="38A4D822">
      <w:pPr>
        <w:widowControl/>
        <w:spacing w:line="360" w:lineRule="auto"/>
        <w:jc w:val="center"/>
        <w:rPr>
          <w:rFonts w:ascii="黑体" w:hAnsi="宋体" w:eastAsia="黑体" w:cs="黑体"/>
          <w:b/>
          <w:kern w:val="0"/>
          <w:sz w:val="36"/>
          <w:szCs w:val="36"/>
        </w:rPr>
      </w:pPr>
    </w:p>
    <w:p w14:paraId="7118DBC8">
      <w:pPr>
        <w:pStyle w:val="13"/>
      </w:pPr>
    </w:p>
    <w:p w14:paraId="326C27F6">
      <w:pPr>
        <w:widowControl/>
        <w:spacing w:line="480" w:lineRule="auto"/>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eastAsia="zh-CN"/>
        </w:rPr>
        <w:t>驻马店市智慧就业（零工市场）信息化平台</w:t>
      </w:r>
      <w:r>
        <w:rPr>
          <w:rFonts w:hint="eastAsia" w:ascii="方正小标宋简体" w:hAnsi="方正小标宋简体" w:eastAsia="方正小标宋简体" w:cs="方正小标宋简体"/>
          <w:b w:val="0"/>
          <w:bCs/>
          <w:kern w:val="0"/>
          <w:sz w:val="44"/>
          <w:szCs w:val="44"/>
          <w:lang w:val="en-US" w:eastAsia="zh-CN"/>
        </w:rPr>
        <w:t>项目建设</w:t>
      </w:r>
      <w:r>
        <w:rPr>
          <w:rFonts w:hint="eastAsia" w:ascii="方正小标宋简体" w:hAnsi="方正小标宋简体" w:eastAsia="方正小标宋简体" w:cs="方正小标宋简体"/>
          <w:b w:val="0"/>
          <w:bCs/>
          <w:kern w:val="0"/>
          <w:sz w:val="44"/>
          <w:szCs w:val="44"/>
        </w:rPr>
        <w:t>采购合同</w:t>
      </w:r>
    </w:p>
    <w:p w14:paraId="2BB81273">
      <w:pPr>
        <w:pStyle w:val="15"/>
        <w:ind w:firstLine="883"/>
        <w:rPr>
          <w:rFonts w:ascii="新宋体" w:hAnsi="新宋体" w:eastAsia="新宋体" w:cs="新宋体"/>
          <w:b/>
          <w:sz w:val="44"/>
          <w:szCs w:val="44"/>
        </w:rPr>
      </w:pPr>
    </w:p>
    <w:p w14:paraId="29F3C3DA">
      <w:pPr>
        <w:pStyle w:val="9"/>
        <w:ind w:left="5250"/>
      </w:pPr>
    </w:p>
    <w:p w14:paraId="59D110D0">
      <w:pPr>
        <w:pStyle w:val="13"/>
        <w:rPr>
          <w:rFonts w:ascii="宋体" w:hAnsi="宋体" w:cs="宋体"/>
          <w:b/>
          <w:bCs/>
          <w:kern w:val="0"/>
          <w:sz w:val="24"/>
        </w:rPr>
      </w:pPr>
    </w:p>
    <w:p w14:paraId="0B7BE5FC">
      <w:pPr>
        <w:pStyle w:val="13"/>
        <w:rPr>
          <w:rFonts w:ascii="宋体" w:hAnsi="宋体" w:cs="宋体"/>
          <w:b/>
          <w:bCs/>
          <w:kern w:val="0"/>
          <w:sz w:val="24"/>
        </w:rPr>
      </w:pPr>
    </w:p>
    <w:p w14:paraId="656518A0">
      <w:pPr>
        <w:widowControl/>
        <w:wordWrap w:val="0"/>
        <w:snapToGrid w:val="0"/>
        <w:spacing w:line="480" w:lineRule="auto"/>
        <w:ind w:firstLine="640" w:firstLineChars="200"/>
        <w:jc w:val="left"/>
        <w:rPr>
          <w:rFonts w:hint="default" w:ascii="宋体" w:hAnsi="宋体" w:eastAsia="宋体" w:cs="宋体"/>
          <w:kern w:val="0"/>
          <w:sz w:val="32"/>
          <w:szCs w:val="32"/>
          <w:lang w:val="en-US" w:eastAsia="zh-CN"/>
        </w:rPr>
      </w:pPr>
      <w:r>
        <w:rPr>
          <w:rFonts w:hint="eastAsia" w:ascii="宋体" w:hAnsi="宋体" w:cs="宋体"/>
          <w:kern w:val="0"/>
          <w:sz w:val="32"/>
          <w:szCs w:val="32"/>
        </w:rPr>
        <w:t>甲方（采购人）：</w:t>
      </w:r>
      <w:r>
        <w:rPr>
          <w:rFonts w:hint="eastAsia" w:ascii="宋体" w:hAnsi="宋体" w:cs="宋体"/>
          <w:kern w:val="0"/>
          <w:sz w:val="32"/>
          <w:szCs w:val="32"/>
          <w:u w:val="single"/>
          <w:lang w:val="en-US" w:eastAsia="zh-CN"/>
        </w:rPr>
        <w:t xml:space="preserve">     </w:t>
      </w:r>
      <w:r>
        <w:rPr>
          <w:rFonts w:hint="eastAsia" w:ascii="宋体" w:hAnsi="宋体" w:cs="宋体"/>
          <w:kern w:val="0"/>
          <w:sz w:val="32"/>
          <w:szCs w:val="32"/>
          <w:u w:val="single"/>
        </w:rPr>
        <w:t>驻马店</w:t>
      </w:r>
      <w:r>
        <w:rPr>
          <w:rFonts w:hint="eastAsia" w:ascii="宋体" w:hAnsi="宋体" w:cs="宋体"/>
          <w:kern w:val="0"/>
          <w:sz w:val="32"/>
          <w:szCs w:val="32"/>
          <w:u w:val="single"/>
          <w:lang w:val="en-US" w:eastAsia="zh-CN"/>
        </w:rPr>
        <w:t xml:space="preserve">市就业创业服务中心   </w:t>
      </w:r>
    </w:p>
    <w:p w14:paraId="7BFEC98F">
      <w:pPr>
        <w:widowControl/>
        <w:wordWrap w:val="0"/>
        <w:snapToGrid w:val="0"/>
        <w:spacing w:line="480" w:lineRule="auto"/>
        <w:ind w:firstLine="640" w:firstLineChars="200"/>
        <w:jc w:val="left"/>
        <w:rPr>
          <w:rFonts w:hint="default" w:ascii="宋体" w:hAnsi="宋体" w:eastAsia="宋体" w:cs="宋体"/>
          <w:kern w:val="0"/>
          <w:sz w:val="32"/>
          <w:szCs w:val="32"/>
          <w:u w:val="single"/>
          <w:lang w:val="en-US" w:eastAsia="zh-CN"/>
        </w:rPr>
      </w:pPr>
      <w:r>
        <w:rPr>
          <w:rFonts w:hint="eastAsia" w:ascii="宋体" w:hAnsi="宋体" w:cs="宋体"/>
          <w:kern w:val="0"/>
          <w:sz w:val="32"/>
          <w:szCs w:val="32"/>
        </w:rPr>
        <w:t>乙方（供应商）：</w:t>
      </w:r>
      <w:r>
        <w:rPr>
          <w:rFonts w:hint="eastAsia" w:ascii="宋体" w:hAnsi="宋体" w:cs="宋体"/>
          <w:kern w:val="0"/>
          <w:sz w:val="32"/>
          <w:szCs w:val="32"/>
          <w:u w:val="single"/>
          <w:lang w:val="en-US" w:eastAsia="zh-CN"/>
        </w:rPr>
        <w:t xml:space="preserve">      河南物联网技术有限公司    </w:t>
      </w:r>
    </w:p>
    <w:p w14:paraId="6FF8A5C3">
      <w:pPr>
        <w:widowControl/>
        <w:wordWrap w:val="0"/>
        <w:snapToGrid w:val="0"/>
        <w:spacing w:line="480" w:lineRule="auto"/>
        <w:ind w:firstLine="640" w:firstLineChars="200"/>
        <w:jc w:val="left"/>
        <w:rPr>
          <w:rFonts w:ascii="宋体" w:hAnsi="宋体" w:cs="宋体"/>
          <w:kern w:val="0"/>
          <w:sz w:val="32"/>
          <w:szCs w:val="32"/>
        </w:rPr>
      </w:pPr>
      <w:r>
        <w:rPr>
          <w:rFonts w:hint="eastAsia" w:ascii="宋体" w:hAnsi="宋体" w:cs="宋体"/>
          <w:kern w:val="0"/>
          <w:sz w:val="32"/>
          <w:szCs w:val="32"/>
        </w:rPr>
        <w:t xml:space="preserve">                              </w:t>
      </w:r>
    </w:p>
    <w:p w14:paraId="4B115C4B">
      <w:pPr>
        <w:pStyle w:val="15"/>
        <w:ind w:firstLine="640"/>
        <w:rPr>
          <w:rFonts w:ascii="宋体" w:hAnsi="宋体"/>
          <w:sz w:val="32"/>
          <w:szCs w:val="32"/>
        </w:rPr>
      </w:pPr>
    </w:p>
    <w:p w14:paraId="7B3D2FFE">
      <w:pPr>
        <w:pStyle w:val="9"/>
        <w:rPr>
          <w:rFonts w:ascii="宋体" w:hAnsi="宋体"/>
          <w:sz w:val="32"/>
          <w:szCs w:val="32"/>
        </w:rPr>
      </w:pPr>
    </w:p>
    <w:p w14:paraId="306EA6AA"/>
    <w:p w14:paraId="2D6E0E6E">
      <w:pPr>
        <w:pStyle w:val="15"/>
        <w:ind w:firstLine="1280" w:firstLineChars="400"/>
        <w:rPr>
          <w:rFonts w:hint="default" w:ascii="宋体" w:hAnsi="宋体" w:eastAsia="宋体"/>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r>
        <w:rPr>
          <w:rFonts w:hint="eastAsia" w:ascii="宋体" w:hAnsi="宋体"/>
          <w:sz w:val="32"/>
          <w:szCs w:val="32"/>
        </w:rPr>
        <w:t>签订日期：</w:t>
      </w:r>
      <w:r>
        <w:rPr>
          <w:rFonts w:hint="eastAsia" w:ascii="宋体" w:hAnsi="宋体"/>
          <w:sz w:val="32"/>
          <w:szCs w:val="32"/>
          <w:u w:val="single"/>
        </w:rPr>
        <w:t xml:space="preserve"> </w:t>
      </w:r>
      <w:r>
        <w:rPr>
          <w:rFonts w:hint="eastAsia" w:ascii="宋体" w:hAnsi="宋体"/>
          <w:sz w:val="32"/>
          <w:szCs w:val="32"/>
          <w:u w:val="single"/>
          <w:lang w:val="en-US" w:eastAsia="zh-CN"/>
        </w:rPr>
        <w:t>2026</w:t>
      </w:r>
      <w:r>
        <w:rPr>
          <w:rFonts w:hint="eastAsia" w:ascii="宋体" w:hAnsi="宋体"/>
          <w:sz w:val="32"/>
          <w:szCs w:val="32"/>
          <w:u w:val="single"/>
        </w:rPr>
        <w:t xml:space="preserve"> </w:t>
      </w:r>
      <w:r>
        <w:rPr>
          <w:rFonts w:hint="eastAsia" w:ascii="宋体" w:hAnsi="宋体"/>
          <w:sz w:val="32"/>
          <w:szCs w:val="32"/>
        </w:rPr>
        <w:t>年</w:t>
      </w:r>
      <w:r>
        <w:rPr>
          <w:rFonts w:hint="eastAsia" w:ascii="宋体" w:hAnsi="宋体"/>
          <w:sz w:val="32"/>
          <w:szCs w:val="32"/>
          <w:u w:val="single"/>
        </w:rPr>
        <w:t xml:space="preserve">  </w:t>
      </w:r>
      <w:r>
        <w:rPr>
          <w:rFonts w:hint="eastAsia" w:ascii="宋体" w:hAnsi="宋体"/>
          <w:sz w:val="32"/>
          <w:szCs w:val="32"/>
          <w:u w:val="single"/>
          <w:lang w:val="en-US" w:eastAsia="zh-CN"/>
        </w:rPr>
        <w:t xml:space="preserve">10 </w:t>
      </w:r>
      <w:r>
        <w:rPr>
          <w:rFonts w:hint="eastAsia" w:ascii="宋体" w:hAnsi="宋体"/>
          <w:sz w:val="32"/>
          <w:szCs w:val="32"/>
          <w:u w:val="single"/>
        </w:rPr>
        <w:t xml:space="preserve"> </w:t>
      </w:r>
      <w:r>
        <w:rPr>
          <w:rFonts w:hint="eastAsia" w:ascii="宋体" w:hAnsi="宋体"/>
          <w:sz w:val="32"/>
          <w:szCs w:val="32"/>
        </w:rPr>
        <w:t>月</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none"/>
          <w:lang w:val="en-US" w:eastAsia="zh-CN"/>
        </w:rPr>
        <w:t>日</w:t>
      </w:r>
    </w:p>
    <w:p w14:paraId="3CEE6404">
      <w:pPr>
        <w:keepNext w:val="0"/>
        <w:keepLines w:val="0"/>
        <w:pageBreakBefore w:val="0"/>
        <w:widowControl w:val="0"/>
        <w:kinsoku/>
        <w:wordWrap w:val="0"/>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kern w:val="0"/>
          <w:sz w:val="24"/>
          <w:lang w:val="en-US" w:eastAsia="zh-CN"/>
        </w:rPr>
      </w:pPr>
      <w:r>
        <w:rPr>
          <w:rFonts w:hint="eastAsia" w:ascii="宋体" w:hAnsi="宋体" w:eastAsia="宋体" w:cs="宋体"/>
          <w:kern w:val="0"/>
          <w:sz w:val="24"/>
        </w:rPr>
        <w:t>甲方（采购方）：</w:t>
      </w:r>
      <w:r>
        <w:rPr>
          <w:rFonts w:hint="eastAsia" w:ascii="宋体" w:hAnsi="宋体" w:eastAsia="宋体" w:cs="宋体"/>
          <w:kern w:val="0"/>
          <w:sz w:val="24"/>
          <w:lang w:val="en-US" w:eastAsia="zh-CN"/>
        </w:rPr>
        <w:t>驻马店市</w:t>
      </w:r>
      <w:r>
        <w:rPr>
          <w:rFonts w:hint="eastAsia" w:ascii="宋体" w:hAnsi="宋体" w:cs="宋体"/>
          <w:kern w:val="0"/>
          <w:sz w:val="24"/>
          <w:lang w:val="en-US" w:eastAsia="zh-CN"/>
        </w:rPr>
        <w:t>就业创业服务中心</w:t>
      </w:r>
    </w:p>
    <w:p w14:paraId="2CDFCD6B">
      <w:pPr>
        <w:keepNext w:val="0"/>
        <w:keepLines w:val="0"/>
        <w:pageBreakBefore w:val="0"/>
        <w:widowControl w:val="0"/>
        <w:kinsoku/>
        <w:wordWrap w:val="0"/>
        <w:overflowPunct/>
        <w:topLinePunct w:val="0"/>
        <w:autoSpaceDE/>
        <w:autoSpaceDN/>
        <w:bidi w:val="0"/>
        <w:adjustRightInd/>
        <w:snapToGrid w:val="0"/>
        <w:spacing w:line="500" w:lineRule="exact"/>
        <w:ind w:firstLine="480" w:firstLineChars="200"/>
        <w:jc w:val="left"/>
        <w:textAlignment w:val="auto"/>
        <w:rPr>
          <w:rFonts w:hint="default" w:ascii="宋体" w:hAnsi="宋体" w:eastAsia="宋体" w:cs="宋体"/>
          <w:kern w:val="0"/>
          <w:sz w:val="24"/>
          <w:lang w:val="en-US" w:eastAsia="zh-CN"/>
        </w:rPr>
      </w:pPr>
      <w:r>
        <w:rPr>
          <w:rFonts w:hint="eastAsia" w:ascii="宋体" w:hAnsi="宋体" w:eastAsia="宋体" w:cs="宋体"/>
          <w:kern w:val="0"/>
          <w:sz w:val="24"/>
        </w:rPr>
        <w:t>乙方（供货方）：</w:t>
      </w:r>
      <w:r>
        <w:rPr>
          <w:rFonts w:hint="eastAsia" w:ascii="宋体" w:hAnsi="宋体" w:cs="宋体"/>
          <w:kern w:val="0"/>
          <w:sz w:val="24"/>
          <w:lang w:val="en-US" w:eastAsia="zh-CN"/>
        </w:rPr>
        <w:t>河南物联网技术有限公司</w:t>
      </w:r>
    </w:p>
    <w:p w14:paraId="456B890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kern w:val="0"/>
          <w:sz w:val="24"/>
        </w:rPr>
      </w:pPr>
    </w:p>
    <w:p w14:paraId="085C202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kern w:val="0"/>
          <w:sz w:val="24"/>
        </w:rPr>
      </w:pPr>
      <w:r>
        <w:rPr>
          <w:rFonts w:hint="eastAsia" w:ascii="宋体" w:hAnsi="宋体" w:eastAsia="宋体" w:cs="宋体"/>
          <w:kern w:val="0"/>
          <w:sz w:val="24"/>
        </w:rPr>
        <w:t>根据《中华人民共和国政府采购法》、</w:t>
      </w:r>
      <w:r>
        <w:rPr>
          <w:rFonts w:hint="eastAsia" w:ascii="宋体" w:hAnsi="宋体" w:eastAsia="宋体" w:cs="宋体"/>
          <w:kern w:val="0"/>
          <w:sz w:val="24"/>
          <w:lang w:eastAsia="zh-CN"/>
        </w:rPr>
        <w:t>《</w:t>
      </w:r>
      <w:r>
        <w:rPr>
          <w:rFonts w:hint="eastAsia" w:ascii="宋体" w:hAnsi="宋体" w:eastAsia="宋体" w:cs="宋体"/>
          <w:sz w:val="24"/>
        </w:rPr>
        <w:t>中华人民共和国民法典》及其他有关法律、行政法规有关规定，</w:t>
      </w:r>
      <w:r>
        <w:rPr>
          <w:rFonts w:hint="eastAsia" w:ascii="宋体" w:hAnsi="宋体" w:eastAsia="宋体" w:cs="宋体"/>
          <w:kern w:val="0"/>
          <w:sz w:val="24"/>
        </w:rPr>
        <w:t>为明确各方的权利和义务，遵循平等、自愿、公平和诚实信用的原则，以上</w:t>
      </w:r>
      <w:r>
        <w:rPr>
          <w:rFonts w:hint="eastAsia" w:ascii="宋体" w:hAnsi="宋体" w:eastAsia="宋体" w:cs="宋体"/>
          <w:kern w:val="0"/>
          <w:sz w:val="24"/>
          <w:lang w:val="en-US" w:eastAsia="zh-CN"/>
        </w:rPr>
        <w:t>双</w:t>
      </w:r>
      <w:r>
        <w:rPr>
          <w:rFonts w:hint="eastAsia" w:ascii="宋体" w:hAnsi="宋体" w:eastAsia="宋体" w:cs="宋体"/>
          <w:kern w:val="0"/>
          <w:sz w:val="24"/>
        </w:rPr>
        <w:t>方就</w:t>
      </w:r>
      <w:r>
        <w:rPr>
          <w:rFonts w:hint="eastAsia" w:ascii="宋体" w:hAnsi="宋体" w:eastAsia="宋体" w:cs="宋体"/>
          <w:kern w:val="0"/>
          <w:sz w:val="24"/>
          <w:u w:val="single"/>
        </w:rPr>
        <w:t xml:space="preserve">  驻马店市</w:t>
      </w:r>
      <w:r>
        <w:rPr>
          <w:rFonts w:hint="eastAsia" w:ascii="宋体" w:hAnsi="宋体" w:cs="宋体"/>
          <w:kern w:val="0"/>
          <w:sz w:val="24"/>
          <w:u w:val="single"/>
          <w:lang w:val="en-US" w:eastAsia="zh-CN"/>
        </w:rPr>
        <w:t>智慧就业（零工市场）信息化平台</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none"/>
          <w:lang w:val="en-US" w:eastAsia="zh-CN"/>
        </w:rPr>
        <w:t>项目事宜</w:t>
      </w:r>
      <w:r>
        <w:rPr>
          <w:rFonts w:hint="eastAsia" w:ascii="宋体" w:hAnsi="宋体" w:eastAsia="宋体" w:cs="宋体"/>
          <w:kern w:val="0"/>
          <w:sz w:val="24"/>
        </w:rPr>
        <w:t>协商一致，签订本合同。</w:t>
      </w:r>
    </w:p>
    <w:p w14:paraId="7CAD3FCC">
      <w:pPr>
        <w:keepNext w:val="0"/>
        <w:keepLines w:val="0"/>
        <w:pageBreakBefore w:val="0"/>
        <w:widowControl w:val="0"/>
        <w:kinsoku/>
        <w:overflowPunct/>
        <w:topLinePunct w:val="0"/>
        <w:autoSpaceDE/>
        <w:autoSpaceDN/>
        <w:bidi w:val="0"/>
        <w:adjustRightInd/>
        <w:spacing w:line="500" w:lineRule="exact"/>
        <w:ind w:firstLine="645" w:firstLineChars="269"/>
        <w:textAlignment w:val="auto"/>
        <w:rPr>
          <w:rFonts w:hint="eastAsia" w:ascii="黑体" w:hAnsi="黑体" w:eastAsia="黑体" w:cs="黑体"/>
          <w:b w:val="0"/>
          <w:bCs w:val="0"/>
          <w:sz w:val="24"/>
        </w:rPr>
      </w:pPr>
      <w:r>
        <w:rPr>
          <w:rFonts w:hint="eastAsia" w:ascii="黑体" w:hAnsi="黑体" w:eastAsia="黑体" w:cs="黑体"/>
          <w:b w:val="0"/>
          <w:bCs w:val="0"/>
          <w:sz w:val="24"/>
          <w:lang w:val="en-US" w:eastAsia="zh-CN"/>
        </w:rPr>
        <w:t xml:space="preserve">第1条 </w:t>
      </w:r>
      <w:r>
        <w:rPr>
          <w:rFonts w:hint="eastAsia" w:ascii="黑体" w:hAnsi="黑体" w:eastAsia="黑体" w:cs="黑体"/>
          <w:b w:val="0"/>
          <w:bCs w:val="0"/>
          <w:sz w:val="24"/>
        </w:rPr>
        <w:t>服务内容</w:t>
      </w:r>
    </w:p>
    <w:p w14:paraId="5DD1A05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kern w:val="0"/>
          <w:sz w:val="24"/>
        </w:rPr>
      </w:pPr>
      <w:r>
        <w:rPr>
          <w:rFonts w:hint="eastAsia" w:ascii="宋体" w:hAnsi="宋体" w:cs="宋体"/>
          <w:kern w:val="0"/>
          <w:sz w:val="24"/>
          <w:lang w:val="en-US" w:eastAsia="zh-CN"/>
        </w:rPr>
        <w:t>1</w:t>
      </w:r>
      <w:r>
        <w:rPr>
          <w:rFonts w:hint="eastAsia" w:ascii="宋体" w:hAnsi="宋体" w:eastAsia="宋体" w:cs="宋体"/>
          <w:kern w:val="0"/>
          <w:sz w:val="24"/>
        </w:rPr>
        <w:t>.1</w:t>
      </w:r>
      <w:r>
        <w:rPr>
          <w:rFonts w:hint="eastAsia" w:ascii="宋体" w:hAnsi="宋体" w:cs="宋体"/>
          <w:kern w:val="0"/>
          <w:sz w:val="24"/>
          <w:lang w:val="en-US" w:eastAsia="zh-CN"/>
        </w:rPr>
        <w:t xml:space="preserve"> </w:t>
      </w:r>
      <w:r>
        <w:rPr>
          <w:rFonts w:hint="eastAsia" w:ascii="宋体" w:hAnsi="宋体" w:eastAsia="宋体" w:cs="宋体"/>
          <w:kern w:val="0"/>
          <w:sz w:val="24"/>
        </w:rPr>
        <w:t>技术服务的内容</w:t>
      </w:r>
      <w:r>
        <w:rPr>
          <w:rFonts w:hint="eastAsia" w:ascii="宋体" w:hAnsi="宋体" w:cs="宋体"/>
          <w:kern w:val="0"/>
          <w:sz w:val="24"/>
          <w:lang w:eastAsia="zh-CN"/>
        </w:rPr>
        <w:t>：</w:t>
      </w:r>
      <w:r>
        <w:rPr>
          <w:rFonts w:hint="eastAsia" w:ascii="宋体" w:hAnsi="宋体" w:eastAsia="宋体" w:cs="宋体"/>
          <w:kern w:val="0"/>
          <w:sz w:val="24"/>
        </w:rPr>
        <w:t>详见附件：驻马店市</w:t>
      </w:r>
      <w:r>
        <w:rPr>
          <w:rFonts w:hint="eastAsia" w:ascii="宋体" w:hAnsi="宋体" w:cs="宋体"/>
          <w:kern w:val="0"/>
          <w:sz w:val="24"/>
          <w:lang w:eastAsia="zh-CN"/>
        </w:rPr>
        <w:t>智慧就业（零工市场）信息化平台</w:t>
      </w:r>
      <w:r>
        <w:rPr>
          <w:rFonts w:hint="eastAsia" w:ascii="宋体" w:hAnsi="宋体" w:eastAsia="宋体" w:cs="宋体"/>
          <w:kern w:val="0"/>
          <w:sz w:val="24"/>
        </w:rPr>
        <w:t>功能清单</w:t>
      </w:r>
    </w:p>
    <w:p w14:paraId="516EA2A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w:t>
      </w:r>
      <w:r>
        <w:rPr>
          <w:rFonts w:hint="eastAsia" w:ascii="宋体" w:hAnsi="宋体" w:eastAsia="宋体" w:cs="宋体"/>
          <w:kern w:val="0"/>
          <w:sz w:val="24"/>
        </w:rPr>
        <w:t>2</w:t>
      </w:r>
      <w:r>
        <w:rPr>
          <w:rFonts w:hint="eastAsia" w:ascii="宋体" w:hAnsi="宋体" w:cs="宋体"/>
          <w:kern w:val="0"/>
          <w:sz w:val="24"/>
          <w:lang w:val="en-US" w:eastAsia="zh-CN"/>
        </w:rPr>
        <w:t xml:space="preserve"> </w:t>
      </w:r>
      <w:r>
        <w:rPr>
          <w:rFonts w:hint="eastAsia" w:ascii="宋体" w:hAnsi="宋体" w:eastAsia="宋体" w:cs="宋体"/>
          <w:kern w:val="0"/>
          <w:sz w:val="24"/>
        </w:rPr>
        <w:t>服务地点</w:t>
      </w:r>
      <w:r>
        <w:rPr>
          <w:rFonts w:hint="eastAsia" w:ascii="宋体" w:hAnsi="宋体" w:cs="宋体"/>
          <w:kern w:val="0"/>
          <w:sz w:val="24"/>
          <w:lang w:eastAsia="zh-CN"/>
        </w:rPr>
        <w:t>：</w:t>
      </w:r>
      <w:r>
        <w:rPr>
          <w:rFonts w:hint="eastAsia" w:ascii="宋体" w:hAnsi="宋体" w:cs="宋体"/>
          <w:kern w:val="0"/>
          <w:sz w:val="24"/>
          <w:lang w:val="en-US" w:eastAsia="zh-CN"/>
        </w:rPr>
        <w:t>河南省驻马店市</w:t>
      </w:r>
    </w:p>
    <w:p w14:paraId="1561EBAA">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1</w:t>
      </w:r>
      <w:r>
        <w:rPr>
          <w:rFonts w:hint="eastAsia" w:ascii="宋体" w:hAnsi="宋体" w:eastAsia="宋体" w:cs="宋体"/>
          <w:kern w:val="0"/>
          <w:sz w:val="24"/>
          <w:highlight w:val="none"/>
        </w:rPr>
        <w:t>.3</w:t>
      </w:r>
      <w:r>
        <w:rPr>
          <w:rFonts w:hint="eastAsia" w:ascii="宋体" w:hAnsi="宋体" w:cs="宋体"/>
          <w:kern w:val="0"/>
          <w:sz w:val="24"/>
          <w:highlight w:val="none"/>
          <w:lang w:val="en-US" w:eastAsia="zh-CN"/>
        </w:rPr>
        <w:t xml:space="preserve"> 建设</w:t>
      </w:r>
      <w:r>
        <w:rPr>
          <w:rFonts w:hint="eastAsia" w:ascii="宋体" w:hAnsi="宋体" w:eastAsia="宋体" w:cs="宋体"/>
          <w:kern w:val="0"/>
          <w:sz w:val="24"/>
          <w:highlight w:val="none"/>
        </w:rPr>
        <w:t>期限</w:t>
      </w:r>
      <w:r>
        <w:rPr>
          <w:rFonts w:hint="eastAsia" w:ascii="宋体" w:hAnsi="宋体" w:cs="宋体"/>
          <w:kern w:val="0"/>
          <w:sz w:val="24"/>
          <w:highlight w:val="none"/>
          <w:lang w:eastAsia="zh-CN"/>
        </w:rPr>
        <w:t>：</w:t>
      </w:r>
      <w:r>
        <w:rPr>
          <w:rFonts w:hint="eastAsia" w:ascii="宋体" w:hAnsi="宋体" w:cs="宋体"/>
          <w:kern w:val="0"/>
          <w:sz w:val="24"/>
          <w:highlight w:val="none"/>
          <w:lang w:val="en-US" w:eastAsia="zh-CN"/>
        </w:rPr>
        <w:t>自合同签订后60个工作日内。</w:t>
      </w:r>
    </w:p>
    <w:p w14:paraId="5386F8A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1.4 售后服务期限：自平台验收合格一年内。</w:t>
      </w:r>
    </w:p>
    <w:p w14:paraId="3E07C3D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仿宋_GB2312" w:hAnsi="宋体" w:eastAsia="仿宋_GB2312" w:cs="Times New Roman"/>
          <w:sz w:val="24"/>
        </w:rPr>
      </w:pPr>
      <w:r>
        <w:rPr>
          <w:rFonts w:hint="eastAsia" w:ascii="黑体" w:hAnsi="黑体" w:eastAsia="黑体" w:cs="黑体"/>
          <w:b w:val="0"/>
          <w:bCs w:val="0"/>
          <w:sz w:val="24"/>
          <w:lang w:val="en-US" w:eastAsia="zh-CN"/>
        </w:rPr>
        <w:t>第2条 双方</w:t>
      </w:r>
      <w:r>
        <w:rPr>
          <w:rFonts w:hint="eastAsia" w:ascii="黑体" w:hAnsi="黑体" w:eastAsia="黑体" w:cs="黑体"/>
          <w:b w:val="0"/>
          <w:bCs w:val="0"/>
          <w:sz w:val="24"/>
        </w:rPr>
        <w:t>权利及义务</w:t>
      </w:r>
    </w:p>
    <w:p w14:paraId="41D256E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default" w:ascii="宋体" w:hAnsi="宋体" w:cs="宋体"/>
          <w:kern w:val="0"/>
          <w:sz w:val="24"/>
          <w:lang w:val="en-US" w:eastAsia="zh-CN"/>
        </w:rPr>
      </w:pPr>
      <w:r>
        <w:rPr>
          <w:rFonts w:hint="eastAsia" w:ascii="宋体" w:hAnsi="宋体" w:cs="宋体"/>
          <w:kern w:val="0"/>
          <w:sz w:val="24"/>
          <w:lang w:val="en-US" w:eastAsia="zh-CN"/>
        </w:rPr>
        <w:t>2.1 甲方权利及义务</w:t>
      </w:r>
    </w:p>
    <w:p w14:paraId="070DB38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2.1.1 甲方应指定专门的项目联系人，代表甲方进行项目实施协调工作，并负责审核确认乙方提交的项目过程文档。</w:t>
      </w:r>
    </w:p>
    <w:p w14:paraId="2EF7A91A">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2.1.2 甲方应安排专职人员积极配合乙方技术人员的工程实施。</w:t>
      </w:r>
    </w:p>
    <w:p w14:paraId="2C8F3A1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在确认乙方己完成其应履行的义务后，甲方应按照合同约定向乙方支付相应款项。</w:t>
      </w:r>
    </w:p>
    <w:p w14:paraId="5ACDAE9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2.2 乙方权利与义务</w:t>
      </w:r>
    </w:p>
    <w:p w14:paraId="31ACCEF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0" w:name="bookmark13"/>
      <w:bookmarkEnd w:id="0"/>
      <w:r>
        <w:rPr>
          <w:rFonts w:hint="eastAsia" w:ascii="宋体" w:hAnsi="宋体" w:cs="宋体"/>
          <w:kern w:val="0"/>
          <w:sz w:val="24"/>
          <w:lang w:val="en-US" w:eastAsia="zh-CN"/>
        </w:rPr>
        <w:t>2.2.1 乙方负责为甲方开发并实施符合本合同约定的建设内容。</w:t>
      </w:r>
    </w:p>
    <w:p w14:paraId="548C0A5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1" w:name="bookmark14"/>
      <w:bookmarkEnd w:id="1"/>
      <w:r>
        <w:rPr>
          <w:rFonts w:hint="eastAsia" w:ascii="宋体" w:hAnsi="宋体" w:cs="宋体"/>
          <w:kern w:val="0"/>
          <w:sz w:val="24"/>
          <w:lang w:val="en-US" w:eastAsia="zh-CN"/>
        </w:rPr>
        <w:t>2.2.2 乙方为甲方专门成立项目组，指定一位有足够相关软件开发经验的负责人，负责双方之间的沟通交流，领导和推进项目组全面工作，合同履行期间未经甲方同意，乙方不得任意更换负责人。</w:t>
      </w:r>
    </w:p>
    <w:p w14:paraId="5163693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2" w:name="bookmark15"/>
      <w:bookmarkEnd w:id="2"/>
      <w:r>
        <w:rPr>
          <w:rFonts w:hint="eastAsia" w:ascii="宋体" w:hAnsi="宋体" w:cs="宋体"/>
          <w:kern w:val="0"/>
          <w:sz w:val="24"/>
          <w:lang w:val="en-US" w:eastAsia="zh-CN"/>
        </w:rPr>
        <w:t>2.2.3 乙方负责完成项目的需求分析、架构设计、数据库设计、软件编程、 功能模块测试、系统的安装部署、试运行、全面测试、培训、编写系统相关资料等工作。</w:t>
      </w:r>
      <w:bookmarkStart w:id="3" w:name="bookmark16"/>
      <w:bookmarkEnd w:id="3"/>
    </w:p>
    <w:p w14:paraId="3ACDC5F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4" w:name="bookmark17"/>
      <w:bookmarkEnd w:id="4"/>
      <w:r>
        <w:rPr>
          <w:rFonts w:hint="eastAsia" w:ascii="宋体" w:hAnsi="宋体" w:cs="宋体"/>
          <w:kern w:val="0"/>
          <w:sz w:val="24"/>
          <w:lang w:val="en-US" w:eastAsia="zh-CN"/>
        </w:rPr>
        <w:t>2.2.4 按照甲方要求，乙方为甲方的使用人员提供平台使用手册及相应的培训。</w:t>
      </w:r>
    </w:p>
    <w:p w14:paraId="4070997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5" w:name="bookmark18"/>
      <w:bookmarkEnd w:id="5"/>
      <w:r>
        <w:rPr>
          <w:rFonts w:hint="eastAsia" w:ascii="宋体" w:hAnsi="宋体" w:cs="宋体"/>
          <w:kern w:val="0"/>
          <w:sz w:val="24"/>
          <w:lang w:val="en-US" w:eastAsia="zh-CN"/>
        </w:rPr>
        <w:t>2.2.5 乙方在质保期内按甲方要求提供系统维护服务。</w:t>
      </w:r>
    </w:p>
    <w:p w14:paraId="511C3B0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6" w:name="bookmark19"/>
      <w:bookmarkEnd w:id="6"/>
      <w:r>
        <w:rPr>
          <w:rFonts w:hint="eastAsia" w:ascii="宋体" w:hAnsi="宋体" w:cs="宋体"/>
          <w:kern w:val="0"/>
          <w:sz w:val="24"/>
          <w:lang w:val="en-US" w:eastAsia="zh-CN"/>
        </w:rPr>
        <w:t>2.2.6 乙方必须全面配合甲方开展项目的相关验收工作，提供完整的验收资料和验收报告,并协助甲方进行验收。如甲方提出整改意见，乙方应当及时整改并承担由自身原因造成整改的费用。</w:t>
      </w:r>
      <w:bookmarkStart w:id="7" w:name="bookmark20"/>
      <w:bookmarkEnd w:id="7"/>
    </w:p>
    <w:p w14:paraId="0FD18C9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2.2.7 在项目实施过程中，对甲方陆续提出的修改要求，乙方应全力协助实现，并交甲方验收通过。</w:t>
      </w:r>
    </w:p>
    <w:p w14:paraId="46EBFDC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2.2.8 双方合作期间，对甲方提供的文字及图片等所有资料，乙方未经甲方书面许可不得以任何方式泄露给其他方。</w:t>
      </w:r>
    </w:p>
    <w:p w14:paraId="144EC83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8" w:name="bookmark21"/>
      <w:bookmarkEnd w:id="8"/>
      <w:r>
        <w:rPr>
          <w:rFonts w:hint="eastAsia" w:ascii="宋体" w:hAnsi="宋体" w:cs="宋体"/>
          <w:kern w:val="0"/>
          <w:sz w:val="24"/>
          <w:lang w:val="en-US" w:eastAsia="zh-CN"/>
        </w:rPr>
        <w:t>2.2.9 乙方向甲方收取的报酬，是其关于本合同书的唯一报酬。乙方及其人员不得接受与本合同书有关的或与其承担义务有关的其他津贴、回扣等报酬和非直接支付。</w:t>
      </w:r>
    </w:p>
    <w:p w14:paraId="468A3D43">
      <w:pPr>
        <w:pStyle w:val="29"/>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ascii="黑体" w:hAnsi="黑体" w:eastAsia="黑体" w:cs="黑体"/>
          <w:b w:val="0"/>
          <w:bCs w:val="0"/>
          <w:sz w:val="24"/>
          <w:szCs w:val="24"/>
        </w:rPr>
      </w:pPr>
      <w:r>
        <w:rPr>
          <w:rFonts w:hint="eastAsia" w:ascii="黑体" w:hAnsi="黑体" w:eastAsia="黑体" w:cs="黑体"/>
          <w:b w:val="0"/>
          <w:bCs w:val="0"/>
          <w:sz w:val="24"/>
          <w:szCs w:val="24"/>
        </w:rPr>
        <w:t>第3条</w:t>
      </w:r>
      <w:r>
        <w:rPr>
          <w:rFonts w:hint="eastAsia" w:ascii="黑体" w:hAnsi="黑体" w:eastAsia="黑体" w:cs="黑体"/>
          <w:b w:val="0"/>
          <w:bCs w:val="0"/>
          <w:sz w:val="24"/>
          <w:szCs w:val="24"/>
          <w:lang w:val="en-US" w:eastAsia="zh-CN"/>
        </w:rPr>
        <w:t xml:space="preserve"> </w:t>
      </w:r>
      <w:r>
        <w:rPr>
          <w:rFonts w:hint="eastAsia" w:ascii="黑体" w:hAnsi="黑体" w:eastAsia="黑体" w:cs="黑体"/>
          <w:b w:val="0"/>
          <w:bCs w:val="0"/>
          <w:sz w:val="24"/>
          <w:szCs w:val="24"/>
        </w:rPr>
        <w:t>合同标的</w:t>
      </w:r>
    </w:p>
    <w:p w14:paraId="300C59C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甲方委托乙方提供本项目开发建设及质保期内的更新、维护等其他相关服务，乙方负责完成本项目的设计、开发、移交、培训及其他相关服务工作。</w:t>
      </w:r>
    </w:p>
    <w:p w14:paraId="4DBFBAA8">
      <w:pPr>
        <w:pStyle w:val="29"/>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黑体" w:hAnsi="黑体" w:eastAsia="黑体" w:cs="黑体"/>
          <w:b w:val="0"/>
          <w:bCs w:val="0"/>
          <w:sz w:val="24"/>
          <w:szCs w:val="24"/>
        </w:rPr>
      </w:pPr>
      <w:bookmarkStart w:id="9" w:name="bookmark24"/>
      <w:bookmarkStart w:id="10" w:name="bookmark22"/>
      <w:bookmarkStart w:id="11" w:name="bookmark23"/>
      <w:r>
        <w:rPr>
          <w:rFonts w:hint="eastAsia" w:ascii="黑体" w:hAnsi="黑体" w:eastAsia="黑体" w:cs="黑体"/>
          <w:b w:val="0"/>
          <w:bCs w:val="0"/>
          <w:sz w:val="24"/>
          <w:szCs w:val="24"/>
        </w:rPr>
        <w:t>第4条</w:t>
      </w:r>
      <w:r>
        <w:rPr>
          <w:rFonts w:hint="eastAsia" w:ascii="黑体" w:hAnsi="黑体" w:eastAsia="黑体" w:cs="黑体"/>
          <w:b w:val="0"/>
          <w:bCs w:val="0"/>
          <w:sz w:val="24"/>
          <w:szCs w:val="24"/>
          <w:lang w:val="en-US" w:eastAsia="zh-CN"/>
        </w:rPr>
        <w:t xml:space="preserve"> </w:t>
      </w:r>
      <w:r>
        <w:rPr>
          <w:rFonts w:hint="eastAsia" w:ascii="黑体" w:hAnsi="黑体" w:eastAsia="黑体" w:cs="黑体"/>
          <w:b w:val="0"/>
          <w:bCs w:val="0"/>
          <w:sz w:val="24"/>
          <w:szCs w:val="24"/>
        </w:rPr>
        <w:t>合同金额</w:t>
      </w:r>
      <w:bookmarkEnd w:id="9"/>
      <w:bookmarkEnd w:id="10"/>
      <w:bookmarkEnd w:id="11"/>
      <w:bookmarkStart w:id="12" w:name="bookmark25"/>
      <w:bookmarkEnd w:id="12"/>
    </w:p>
    <w:p w14:paraId="0AFFAFB4">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4.1本合同含税总金额为¥［963000.00］元（大写：人民币［玖拾陆万叁仟元整］）。</w:t>
      </w:r>
    </w:p>
    <w:p w14:paraId="1C71804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bookmarkStart w:id="13" w:name="bookmark26"/>
      <w:bookmarkEnd w:id="13"/>
      <w:r>
        <w:rPr>
          <w:rFonts w:hint="eastAsia" w:ascii="宋体" w:hAnsi="宋体" w:cs="宋体"/>
          <w:kern w:val="0"/>
          <w:sz w:val="24"/>
          <w:highlight w:val="none"/>
          <w:lang w:val="en-US" w:eastAsia="zh-CN"/>
        </w:rPr>
        <w:t>4.2合同总金额包括乙方完全地履行本合同所需的全部成本及税费。除本合同另有明确规定外，上述合同价格在本合同执行期间保持不变。</w:t>
      </w:r>
    </w:p>
    <w:p w14:paraId="1B1E0CE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color w:val="auto"/>
          <w:kern w:val="0"/>
          <w:sz w:val="24"/>
          <w:highlight w:val="none"/>
          <w:lang w:val="en-US" w:eastAsia="zh-CN"/>
        </w:rPr>
      </w:pPr>
      <w:bookmarkStart w:id="14" w:name="bookmark27"/>
      <w:bookmarkStart w:id="15" w:name="bookmark28"/>
      <w:bookmarkStart w:id="16" w:name="bookmark29"/>
      <w:r>
        <w:rPr>
          <w:rFonts w:hint="eastAsia" w:ascii="黑体" w:hAnsi="黑体" w:eastAsia="黑体" w:cs="黑体"/>
          <w:color w:val="auto"/>
          <w:kern w:val="0"/>
          <w:sz w:val="24"/>
          <w:highlight w:val="none"/>
          <w:lang w:val="en-US" w:eastAsia="zh-CN"/>
        </w:rPr>
        <w:t>第5条 价款支付</w:t>
      </w:r>
      <w:bookmarkEnd w:id="14"/>
      <w:bookmarkEnd w:id="15"/>
      <w:bookmarkEnd w:id="16"/>
    </w:p>
    <w:p w14:paraId="44EF518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color w:val="auto"/>
          <w:kern w:val="0"/>
          <w:sz w:val="24"/>
          <w:highlight w:val="none"/>
          <w:lang w:val="en-US" w:eastAsia="zh-CN"/>
        </w:rPr>
      </w:pPr>
      <w:bookmarkStart w:id="17" w:name="bookmark30"/>
      <w:bookmarkEnd w:id="17"/>
      <w:r>
        <w:rPr>
          <w:rFonts w:hint="eastAsia" w:ascii="宋体" w:hAnsi="宋体" w:cs="宋体"/>
          <w:color w:val="auto"/>
          <w:kern w:val="0"/>
          <w:sz w:val="24"/>
          <w:highlight w:val="none"/>
          <w:lang w:val="en-US" w:eastAsia="zh-CN"/>
        </w:rPr>
        <w:t xml:space="preserve">5.1 自本合同签订之日起15个工作日内，乙方根据国家规定向甲方开具合法正式等额增值税发票，在接下来的15个工作日内甲方向乙方支付软件采购金额30％的款项，计￥288900元 (大写人民币：贰拾捌万捌仟玖佰元整)；  </w:t>
      </w:r>
    </w:p>
    <w:p w14:paraId="3C61F754">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5.2 经甲方确认平台试运行上线之日起</w:t>
      </w:r>
      <w:r>
        <w:rPr>
          <w:rFonts w:hint="eastAsia" w:ascii="宋体" w:hAnsi="宋体" w:eastAsia="宋体" w:cs="宋体"/>
          <w:color w:val="auto"/>
          <w:kern w:val="0"/>
          <w:sz w:val="24"/>
          <w:highlight w:val="none"/>
          <w:lang w:val="en-US" w:eastAsia="zh-CN"/>
        </w:rPr>
        <w:t>试运行满三（3）个月，</w:t>
      </w:r>
      <w:r>
        <w:rPr>
          <w:rFonts w:hint="eastAsia" w:ascii="宋体" w:hAnsi="宋体" w:cs="宋体"/>
          <w:color w:val="auto"/>
          <w:kern w:val="0"/>
          <w:sz w:val="24"/>
          <w:highlight w:val="none"/>
          <w:lang w:val="en-US" w:eastAsia="zh-CN"/>
        </w:rPr>
        <w:t>乙方根据国家规定向甲方开具合法正式剩余等额增值税发票，在接下来的15个工作日内甲方向乙方支付软件采购金额50%的款项,计￥481500元 (大写人民币：肆拾捌万壹仟伍佰元整)；</w:t>
      </w:r>
    </w:p>
    <w:p w14:paraId="036DD73A">
      <w:pPr>
        <w:keepNext w:val="0"/>
        <w:keepLines w:val="0"/>
        <w:pageBreakBefore w:val="0"/>
        <w:widowControl w:val="0"/>
        <w:kinsoku/>
        <w:overflowPunct/>
        <w:topLinePunct w:val="0"/>
        <w:autoSpaceDE/>
        <w:autoSpaceDN/>
        <w:bidi w:val="0"/>
        <w:adjustRightInd/>
        <w:spacing w:line="500" w:lineRule="exact"/>
        <w:ind w:firstLine="480" w:firstLineChars="200"/>
        <w:textAlignment w:val="auto"/>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5.3 经甲方确认平台试运行线之日</w:t>
      </w:r>
      <w:r>
        <w:rPr>
          <w:rFonts w:hint="eastAsia" w:ascii="宋体" w:hAnsi="宋体" w:eastAsia="宋体" w:cs="宋体"/>
          <w:color w:val="auto"/>
          <w:kern w:val="0"/>
          <w:sz w:val="24"/>
          <w:highlight w:val="none"/>
          <w:lang w:val="en-US" w:eastAsia="zh-CN"/>
        </w:rPr>
        <w:t>起试运行满六（6）个月，</w:t>
      </w:r>
      <w:r>
        <w:rPr>
          <w:rFonts w:hint="eastAsia" w:ascii="宋体" w:hAnsi="宋体" w:cs="宋体"/>
          <w:color w:val="auto"/>
          <w:kern w:val="0"/>
          <w:sz w:val="24"/>
          <w:highlight w:val="none"/>
          <w:lang w:val="en-US" w:eastAsia="zh-CN"/>
        </w:rPr>
        <w:t>通过最终验收（以签订验收报告为标志）之日起15个工作日内，乙方根据国家规定向甲方开具合法正式剩余等额增值税发票，在接下来的15个工作日内甲方向乙方支付软件采购金额20%的款项，计￥192600元 (大写人民币：壹拾玖万贰仟陆佰元整)。</w:t>
      </w:r>
    </w:p>
    <w:p w14:paraId="6903AB62">
      <w:pPr>
        <w:keepNext w:val="0"/>
        <w:keepLines w:val="0"/>
        <w:pageBreakBefore w:val="0"/>
        <w:widowControl w:val="0"/>
        <w:kinsoku/>
        <w:overflowPunct/>
        <w:topLinePunct w:val="0"/>
        <w:autoSpaceDE/>
        <w:autoSpaceDN/>
        <w:bidi w:val="0"/>
        <w:adjustRightInd/>
        <w:spacing w:line="500" w:lineRule="exact"/>
        <w:ind w:firstLine="480" w:firstLineChars="200"/>
        <w:textAlignment w:val="auto"/>
        <w:outlineLvl w:val="0"/>
        <w:rPr>
          <w:rFonts w:hint="eastAsia" w:ascii="宋体" w:hAnsi="宋体" w:cs="宋体"/>
          <w:kern w:val="0"/>
          <w:sz w:val="24"/>
          <w:lang w:val="en-US" w:eastAsia="zh-CN"/>
        </w:rPr>
      </w:pPr>
      <w:r>
        <w:rPr>
          <w:rFonts w:hint="eastAsia" w:ascii="宋体" w:hAnsi="宋体" w:cs="宋体"/>
          <w:kern w:val="0"/>
          <w:sz w:val="24"/>
          <w:lang w:val="en-US" w:eastAsia="zh-CN"/>
        </w:rPr>
        <w:t>5.4收款账户</w:t>
      </w:r>
    </w:p>
    <w:p w14:paraId="7BB5844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乙方：河南物联网技术有限公司</w:t>
      </w:r>
    </w:p>
    <w:p w14:paraId="5BA946D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纳税人识别号：91411700MA9FT5033E</w:t>
      </w:r>
    </w:p>
    <w:p w14:paraId="28CEDADA">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开户银行及账号：中原银行驻马店天中支行411703010180098501</w:t>
      </w:r>
    </w:p>
    <w:p w14:paraId="0EE99CC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单位地址：驻马店市驿城区文明大道市财政局配楼3楼</w:t>
      </w:r>
    </w:p>
    <w:p w14:paraId="488E655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电话号码 ：0396-2393698</w:t>
      </w:r>
    </w:p>
    <w:p w14:paraId="7D4B8DB7">
      <w:pPr>
        <w:keepNext w:val="0"/>
        <w:keepLines w:val="0"/>
        <w:pageBreakBefore w:val="0"/>
        <w:widowControl w:val="0"/>
        <w:kinsoku/>
        <w:overflowPunct/>
        <w:topLinePunct w:val="0"/>
        <w:autoSpaceDE/>
        <w:autoSpaceDN/>
        <w:bidi w:val="0"/>
        <w:adjustRightInd/>
        <w:spacing w:line="500" w:lineRule="exact"/>
        <w:ind w:firstLine="480" w:firstLineChars="200"/>
        <w:textAlignment w:val="auto"/>
        <w:outlineLvl w:val="0"/>
        <w:rPr>
          <w:rFonts w:hint="eastAsia" w:ascii="宋体" w:hAnsi="宋体" w:cs="宋体"/>
          <w:kern w:val="0"/>
          <w:sz w:val="24"/>
          <w:lang w:val="en-US" w:eastAsia="zh-CN"/>
        </w:rPr>
      </w:pPr>
      <w:r>
        <w:rPr>
          <w:rFonts w:hint="eastAsia" w:ascii="宋体" w:hAnsi="宋体" w:cs="宋体"/>
          <w:kern w:val="0"/>
          <w:sz w:val="24"/>
          <w:lang w:val="en-US" w:eastAsia="zh-CN"/>
        </w:rPr>
        <w:t>（如有变动，以乙方盖章为准）</w:t>
      </w:r>
    </w:p>
    <w:p w14:paraId="742AD08A">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第6条 验收</w:t>
      </w:r>
    </w:p>
    <w:p w14:paraId="0561B30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6.1 乙方保证向甲方提供的本项目为全新、完整的软件。双方按本条规定的程序和标准对本项目进行验收。</w:t>
      </w:r>
      <w:bookmarkStart w:id="18" w:name="bookmark34"/>
      <w:bookmarkEnd w:id="18"/>
    </w:p>
    <w:p w14:paraId="7A81A97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6.2 乙方按照本合同约定上线试运行，</w:t>
      </w:r>
      <w:r>
        <w:rPr>
          <w:rFonts w:hint="eastAsia" w:ascii="宋体" w:hAnsi="宋体" w:cs="宋体"/>
          <w:color w:val="auto"/>
          <w:kern w:val="0"/>
          <w:sz w:val="24"/>
          <w:lang w:val="en-US" w:eastAsia="zh-CN"/>
        </w:rPr>
        <w:t>试运行满六（6）个月</w:t>
      </w:r>
      <w:r>
        <w:rPr>
          <w:rFonts w:hint="eastAsia" w:ascii="宋体" w:hAnsi="宋体" w:cs="宋体"/>
          <w:kern w:val="0"/>
          <w:sz w:val="24"/>
          <w:lang w:val="en-US" w:eastAsia="zh-CN"/>
        </w:rPr>
        <w:t>后应向甲方提交书面验收申请，甲方在收到申请后七（7）个工作日内,由乙方协同组织项目验收工作。</w:t>
      </w:r>
    </w:p>
    <w:p w14:paraId="20D9E35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19" w:name="bookmark35"/>
      <w:bookmarkEnd w:id="19"/>
      <w:r>
        <w:rPr>
          <w:rFonts w:hint="eastAsia" w:ascii="宋体" w:hAnsi="宋体" w:cs="宋体"/>
          <w:kern w:val="0"/>
          <w:sz w:val="24"/>
          <w:lang w:val="en-US" w:eastAsia="zh-CN"/>
        </w:rPr>
        <w:t>6.3 在验收过程中，如甲方对乙方工作成果不认可，</w:t>
      </w:r>
      <w:r>
        <w:rPr>
          <w:rFonts w:hint="eastAsia" w:ascii="宋体" w:hAnsi="宋体" w:cs="宋体"/>
          <w:kern w:val="0"/>
          <w:sz w:val="24"/>
          <w:lang w:val="zh-CN" w:eastAsia="zh-CN"/>
        </w:rPr>
        <w:t>可</w:t>
      </w:r>
      <w:r>
        <w:rPr>
          <w:rFonts w:hint="eastAsia" w:ascii="宋体" w:hAnsi="宋体" w:cs="宋体"/>
          <w:kern w:val="0"/>
          <w:sz w:val="24"/>
          <w:lang w:val="en-US" w:eastAsia="zh-CN"/>
        </w:rPr>
        <w:t>提</w:t>
      </w:r>
      <w:r>
        <w:rPr>
          <w:rFonts w:hint="eastAsia" w:ascii="宋体" w:hAnsi="宋体" w:cs="宋体"/>
          <w:kern w:val="0"/>
          <w:sz w:val="24"/>
          <w:lang w:val="zh-CN" w:eastAsia="zh-CN"/>
        </w:rPr>
        <w:t>出</w:t>
      </w:r>
      <w:r>
        <w:rPr>
          <w:rFonts w:hint="eastAsia" w:ascii="宋体" w:hAnsi="宋体" w:cs="宋体"/>
          <w:kern w:val="0"/>
          <w:sz w:val="24"/>
          <w:lang w:val="en-US" w:eastAsia="zh-CN"/>
        </w:rPr>
        <w:t>书面修改意见和要求，乙方应无条件按照修改要求于三（3）日内完成修订、完善工作成果，修改完成后应再次提交甲方重新验收。再次验收的所有费用由乙方负担。</w:t>
      </w:r>
    </w:p>
    <w:p w14:paraId="0F3977C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20" w:name="bookmark36"/>
      <w:bookmarkEnd w:id="20"/>
      <w:r>
        <w:rPr>
          <w:rFonts w:hint="eastAsia" w:ascii="宋体" w:hAnsi="宋体" w:cs="宋体"/>
          <w:kern w:val="0"/>
          <w:sz w:val="24"/>
          <w:lang w:val="en-US" w:eastAsia="zh-CN"/>
        </w:rPr>
        <w:t>6.4 档案资料移交。乙方在本项目验收合格后五（5）日内向甲方提交本项目约定定制化开发并交付内容的源代码。</w:t>
      </w:r>
    </w:p>
    <w:p w14:paraId="3BC56AE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bookmarkStart w:id="21" w:name="bookmark38"/>
      <w:bookmarkStart w:id="22" w:name="bookmark37"/>
      <w:bookmarkStart w:id="23" w:name="bookmark39"/>
      <w:r>
        <w:rPr>
          <w:rFonts w:hint="eastAsia" w:ascii="黑体" w:hAnsi="黑体" w:eastAsia="黑体" w:cs="黑体"/>
          <w:kern w:val="0"/>
          <w:sz w:val="24"/>
          <w:lang w:val="en-US" w:eastAsia="zh-CN"/>
        </w:rPr>
        <w:t>第7条 质保</w:t>
      </w:r>
      <w:bookmarkEnd w:id="21"/>
      <w:bookmarkEnd w:id="22"/>
      <w:bookmarkEnd w:id="23"/>
    </w:p>
    <w:p w14:paraId="4C7FFAF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24" w:name="bookmark40"/>
      <w:bookmarkEnd w:id="24"/>
      <w:r>
        <w:rPr>
          <w:rFonts w:hint="eastAsia" w:ascii="宋体" w:hAnsi="宋体" w:cs="宋体"/>
          <w:kern w:val="0"/>
          <w:sz w:val="24"/>
          <w:lang w:val="en-US" w:eastAsia="zh-CN"/>
        </w:rPr>
        <w:t>7.1自本项目验收合格之日起，进入为期壹年的质保期。质保期内，乙方应就本项目为甲方提供免费技术支持和服务。</w:t>
      </w:r>
    </w:p>
    <w:p w14:paraId="18DD384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25" w:name="bookmark41"/>
      <w:bookmarkEnd w:id="25"/>
      <w:r>
        <w:rPr>
          <w:rFonts w:hint="eastAsia" w:ascii="宋体" w:hAnsi="宋体" w:cs="宋体"/>
          <w:kern w:val="0"/>
          <w:sz w:val="24"/>
          <w:lang w:val="en-US" w:eastAsia="zh-CN"/>
        </w:rPr>
        <w:t>7.2 乙方提供的技术支持和服务的具体内容包括：热线电话支持服务（周一至周五08:30-12:00/14:00-18:00）、因特网在线支持服务（应甲方要求，以微信群、钉钉群等工具实现）、远程在线诊断和故障排除服务（远程软件维护支持）、 现场响应服务（现场软件维护支持）、电子邮件支持服务、电话访问现场走访服务。</w:t>
      </w:r>
    </w:p>
    <w:p w14:paraId="51C845F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26" w:name="bookmark43"/>
      <w:bookmarkEnd w:id="26"/>
      <w:r>
        <w:rPr>
          <w:rFonts w:hint="eastAsia" w:ascii="宋体" w:hAnsi="宋体" w:cs="宋体"/>
          <w:kern w:val="0"/>
          <w:sz w:val="24"/>
          <w:lang w:val="en-US" w:eastAsia="zh-CN"/>
        </w:rPr>
        <w:t>7.3 质保期内，如本项目的性能和质量与合同约定不符，乙方负责尽快排除缺陷，所有费用由乙方承担。</w:t>
      </w:r>
    </w:p>
    <w:p w14:paraId="1EF9B0C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7.4 质保期内，本项目出现故障或问题时，乙方响应时间不超过四小时,故障修复时间不超过二十四小时。</w:t>
      </w:r>
    </w:p>
    <w:p w14:paraId="6285EB9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27" w:name="bookmark44"/>
      <w:bookmarkEnd w:id="27"/>
      <w:r>
        <w:rPr>
          <w:rFonts w:hint="eastAsia" w:ascii="宋体" w:hAnsi="宋体" w:cs="宋体"/>
          <w:kern w:val="0"/>
          <w:sz w:val="24"/>
          <w:lang w:val="en-US" w:eastAsia="zh-CN"/>
        </w:rPr>
        <w:t>7.5 质保期满后，乙方继续提供服务的价格和方式另行协商确定。</w:t>
      </w:r>
    </w:p>
    <w:p w14:paraId="1F5E5F3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bookmarkStart w:id="28" w:name="bookmark46"/>
      <w:bookmarkStart w:id="29" w:name="bookmark48"/>
      <w:bookmarkStart w:id="30" w:name="bookmark47"/>
      <w:r>
        <w:rPr>
          <w:rFonts w:hint="eastAsia" w:ascii="黑体" w:hAnsi="黑体" w:eastAsia="黑体" w:cs="黑体"/>
          <w:kern w:val="0"/>
          <w:sz w:val="24"/>
          <w:lang w:val="en-US" w:eastAsia="zh-CN"/>
        </w:rPr>
        <w:t>第8条 培训</w:t>
      </w:r>
      <w:bookmarkEnd w:id="28"/>
      <w:bookmarkEnd w:id="29"/>
      <w:bookmarkEnd w:id="30"/>
    </w:p>
    <w:p w14:paraId="6D9C01E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31" w:name="bookmark49"/>
      <w:bookmarkEnd w:id="31"/>
      <w:r>
        <w:rPr>
          <w:rFonts w:hint="eastAsia" w:ascii="宋体" w:hAnsi="宋体" w:cs="宋体"/>
          <w:kern w:val="0"/>
          <w:sz w:val="24"/>
          <w:lang w:val="en-US" w:eastAsia="zh-CN"/>
        </w:rPr>
        <w:t>8.1 乙方应在向甲方移交本项目后，为甲方指定的人员提供必要的技术指导和培训，使参加培训的人员理解并掌握平台的操作和维护。</w:t>
      </w:r>
    </w:p>
    <w:p w14:paraId="5700384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32" w:name="bookmark50"/>
      <w:bookmarkEnd w:id="32"/>
      <w:bookmarkStart w:id="33" w:name="bookmark52"/>
      <w:bookmarkEnd w:id="33"/>
      <w:r>
        <w:rPr>
          <w:rFonts w:hint="eastAsia" w:ascii="宋体" w:hAnsi="宋体" w:cs="宋体"/>
          <w:kern w:val="0"/>
          <w:sz w:val="24"/>
          <w:lang w:val="en-US" w:eastAsia="zh-CN"/>
        </w:rPr>
        <w:t>8.2 培训时间与地点：乙方在甲方所在地为甲方</w:t>
      </w:r>
      <w:bookmarkStart w:id="46" w:name="_GoBack"/>
      <w:bookmarkEnd w:id="46"/>
      <w:r>
        <w:rPr>
          <w:rFonts w:hint="eastAsia" w:ascii="宋体" w:hAnsi="宋体" w:cs="宋体"/>
          <w:kern w:val="0"/>
          <w:sz w:val="24"/>
          <w:lang w:val="en-US" w:eastAsia="zh-CN"/>
        </w:rPr>
        <w:t>提供必要的技术培训，具体培训时间由双方协商决定。甲方应在培训日前五(5)日内向乙方提供参加培训的人员名单，并通知、组织相关人员参训。</w:t>
      </w:r>
    </w:p>
    <w:p w14:paraId="153A8DA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bookmarkStart w:id="34" w:name="bookmark53"/>
      <w:bookmarkEnd w:id="34"/>
      <w:r>
        <w:rPr>
          <w:rFonts w:hint="eastAsia" w:ascii="黑体" w:hAnsi="黑体" w:eastAsia="黑体" w:cs="黑体"/>
          <w:kern w:val="0"/>
          <w:sz w:val="24"/>
          <w:lang w:val="en-US" w:eastAsia="zh-CN"/>
        </w:rPr>
        <w:t>第9条 知识产权</w:t>
      </w:r>
    </w:p>
    <w:p w14:paraId="3B5DA9D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9.1 本合作生效前各自</w:t>
      </w:r>
      <w:r>
        <w:rPr>
          <w:rFonts w:hint="eastAsia" w:ascii="宋体" w:hAnsi="宋体" w:cs="宋体"/>
          <w:color w:val="auto"/>
          <w:kern w:val="0"/>
          <w:sz w:val="24"/>
          <w:highlight w:val="none"/>
          <w:lang w:val="en-US" w:eastAsia="zh-CN"/>
        </w:rPr>
        <w:t>拥</w:t>
      </w:r>
      <w:r>
        <w:rPr>
          <w:rFonts w:hint="eastAsia" w:ascii="宋体" w:hAnsi="宋体" w:cs="宋体"/>
          <w:kern w:val="0"/>
          <w:sz w:val="24"/>
          <w:lang w:val="en-US" w:eastAsia="zh-CN"/>
        </w:rPr>
        <w:t>有的知识产权归各自所有，乙方按照本合同约定开发并交付的定制化内容</w:t>
      </w:r>
      <w:r>
        <w:rPr>
          <w:rFonts w:hint="eastAsia" w:ascii="宋体" w:hAnsi="宋体" w:cs="宋体"/>
          <w:kern w:val="0"/>
          <w:sz w:val="24"/>
          <w:lang w:val="zh-CN" w:eastAsia="zh-CN"/>
        </w:rPr>
        <w:t>，其所</w:t>
      </w:r>
      <w:r>
        <w:rPr>
          <w:rFonts w:hint="eastAsia" w:ascii="宋体" w:hAnsi="宋体" w:cs="宋体"/>
          <w:kern w:val="0"/>
          <w:sz w:val="24"/>
          <w:lang w:val="en-US" w:eastAsia="zh-CN"/>
        </w:rPr>
        <w:t>有权及相关知识产权包括但不限于软件著作权、专利申请权，归甲方所有。</w:t>
      </w:r>
    </w:p>
    <w:p w14:paraId="5EC6DEC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9.2 未经甲方书面同意乙方不得以任何方式将上述定制化软件相关文档或软件的任何数据程序向甲方以外</w:t>
      </w:r>
      <w:r>
        <w:rPr>
          <w:rFonts w:hint="eastAsia" w:ascii="宋体" w:hAnsi="宋体" w:cs="宋体"/>
          <w:kern w:val="0"/>
          <w:sz w:val="24"/>
          <w:lang w:val="zh-CN" w:eastAsia="zh-CN"/>
        </w:rPr>
        <w:t>的任</w:t>
      </w:r>
      <w:r>
        <w:rPr>
          <w:rFonts w:hint="eastAsia" w:ascii="宋体" w:hAnsi="宋体" w:cs="宋体"/>
          <w:kern w:val="0"/>
          <w:sz w:val="24"/>
          <w:lang w:val="en-US" w:eastAsia="zh-CN"/>
        </w:rPr>
        <w:t>何第三方明示或暗示地披露、提供或以任何方式加以利用。</w:t>
      </w:r>
    </w:p>
    <w:p w14:paraId="10462F4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35" w:name="bookmark56"/>
      <w:bookmarkEnd w:id="35"/>
      <w:bookmarkStart w:id="36" w:name="bookmark57"/>
      <w:bookmarkEnd w:id="36"/>
      <w:r>
        <w:rPr>
          <w:rFonts w:hint="eastAsia" w:ascii="宋体" w:hAnsi="宋体" w:cs="宋体"/>
          <w:kern w:val="0"/>
          <w:sz w:val="24"/>
          <w:lang w:val="en-US" w:eastAsia="zh-CN"/>
        </w:rPr>
        <w:t>9.3 乙方承诺，为完成本合同约定事项，乙方已从系统软件权利人处取得系统软件的许可使用权(或乙方为系统软件的著作权人)，有权许可甲方使用并用于本项目，且该授权长期合法有效并能够满足本项目需要。系统软件的著作权仍归原著作权人所有。</w:t>
      </w:r>
    </w:p>
    <w:p w14:paraId="01FB933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37" w:name="bookmark58"/>
      <w:bookmarkEnd w:id="37"/>
      <w:r>
        <w:rPr>
          <w:rFonts w:hint="eastAsia" w:ascii="宋体" w:hAnsi="宋体" w:cs="宋体"/>
          <w:kern w:val="0"/>
          <w:sz w:val="24"/>
          <w:lang w:val="en-US" w:eastAsia="zh-CN"/>
        </w:rPr>
        <w:t>9.4 乙方保证其在合同项下提供的软件不会侵犯第三方的合法权利。如果甲方因按照合同的约定使用相关软件而侵犯第三方的合法权利，并因此涉入诉讼、索赔或其他司法程序(以下称</w:t>
      </w:r>
      <w:r>
        <w:rPr>
          <w:rFonts w:hint="eastAsia" w:ascii="宋体" w:hAnsi="宋体" w:cs="宋体"/>
          <w:kern w:val="0"/>
          <w:sz w:val="24"/>
          <w:lang w:val="zh-CN" w:eastAsia="zh-CN"/>
        </w:rPr>
        <w:t>“侵权</w:t>
      </w:r>
      <w:r>
        <w:rPr>
          <w:rFonts w:hint="eastAsia" w:ascii="宋体" w:hAnsi="宋体" w:cs="宋体"/>
          <w:kern w:val="0"/>
          <w:sz w:val="24"/>
          <w:lang w:val="en-US" w:eastAsia="zh-CN"/>
        </w:rPr>
        <w:t>诉讼”)，双方同意按照如下约定进行处理：</w:t>
      </w:r>
    </w:p>
    <w:p w14:paraId="1C9261E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9.4.1甲方应在发生上述侵权诉讼后迅速通知乙方，并在上述侵权诉讼过程中与乙方进行沟通。</w:t>
      </w:r>
    </w:p>
    <w:p w14:paraId="53ACFED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9.4.2在收到甲方通知后，乙方应在上述侵权诉讼进行过程中就诉讼策略及其他事宜向甲方提供充分的支持与协助，并承担由此给甲方造成的全部损失。</w:t>
      </w:r>
    </w:p>
    <w:p w14:paraId="3FB1C66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9.4.3如果在上述侵权诉讼中，有效法律文书禁止甲方继续使用软件的一部分或全部，乙方应采取以下措施之一：</w:t>
      </w:r>
      <w:bookmarkStart w:id="38" w:name="bookmark59"/>
      <w:bookmarkEnd w:id="38"/>
    </w:p>
    <w:p w14:paraId="3D3EE0F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（1）免费使甲方重新获得合法使用上述软件的权利；</w:t>
      </w:r>
    </w:p>
    <w:p w14:paraId="0E56BB3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bookmarkStart w:id="39" w:name="bookmark60"/>
      <w:bookmarkEnd w:id="39"/>
      <w:r>
        <w:rPr>
          <w:rFonts w:hint="eastAsia" w:ascii="宋体" w:hAnsi="宋体" w:cs="宋体"/>
          <w:kern w:val="0"/>
          <w:sz w:val="24"/>
          <w:lang w:val="en-US" w:eastAsia="zh-CN"/>
        </w:rPr>
        <w:t>（2）免费更换或改造上述软件，使甲方不受上述限制继续使用该软件；</w:t>
      </w:r>
    </w:p>
    <w:p w14:paraId="484AF6C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（3）其他使甲方对软件拥有合法使用权或实现本合同目的的合理方式。</w:t>
      </w:r>
    </w:p>
    <w:p w14:paraId="343DE74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第10条 保密</w:t>
      </w:r>
    </w:p>
    <w:p w14:paraId="6CBDF1D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10.1 本合同拥有信息的一方</w:t>
      </w:r>
      <w:r>
        <w:rPr>
          <w:rFonts w:hint="eastAsia" w:ascii="宋体" w:hAnsi="宋体" w:cs="宋体"/>
          <w:kern w:val="0"/>
          <w:sz w:val="24"/>
          <w:lang w:val="zh-CN" w:eastAsia="zh-CN"/>
        </w:rPr>
        <w:t>（“提</w:t>
      </w:r>
      <w:r>
        <w:rPr>
          <w:rFonts w:hint="eastAsia" w:ascii="宋体" w:hAnsi="宋体" w:cs="宋体"/>
          <w:kern w:val="0"/>
          <w:sz w:val="24"/>
          <w:lang w:val="en-US" w:eastAsia="zh-CN"/>
        </w:rPr>
        <w:t>供方”）根据本合同向另一方</w:t>
      </w:r>
      <w:r>
        <w:rPr>
          <w:rFonts w:hint="eastAsia" w:ascii="宋体" w:hAnsi="宋体" w:cs="宋体"/>
          <w:kern w:val="0"/>
          <w:sz w:val="24"/>
          <w:lang w:val="zh-CN" w:eastAsia="zh-CN"/>
        </w:rPr>
        <w:t>（“接</w:t>
      </w:r>
      <w:r>
        <w:rPr>
          <w:rFonts w:hint="eastAsia" w:ascii="宋体" w:hAnsi="宋体" w:cs="宋体"/>
          <w:kern w:val="0"/>
          <w:sz w:val="24"/>
          <w:lang w:val="en-US" w:eastAsia="zh-CN"/>
        </w:rPr>
        <w:t>收 方”）提供的信息，包括但不限于技术性信息、商业性信息、文件、程序、计划、 技术、图表、模型、参数、数据、标准、专有技术、业务或业务运作方法以及其他专有信息，本合同履行过程中形成的所有信息、数据、资料、阶段性成果和最终成果，本合同的条款和与本合同有关的其他商业信息和技术信息（以下统称</w:t>
      </w:r>
      <w:r>
        <w:rPr>
          <w:rFonts w:hint="eastAsia" w:ascii="宋体" w:hAnsi="宋体" w:cs="宋体"/>
          <w:kern w:val="0"/>
          <w:sz w:val="24"/>
          <w:lang w:val="zh-CN" w:eastAsia="zh-CN"/>
        </w:rPr>
        <w:t>“保</w:t>
      </w:r>
      <w:r>
        <w:rPr>
          <w:rFonts w:hint="eastAsia" w:ascii="宋体" w:hAnsi="宋体" w:cs="宋体"/>
          <w:kern w:val="0"/>
          <w:sz w:val="24"/>
          <w:lang w:val="en-US" w:eastAsia="zh-CN"/>
        </w:rPr>
        <w:t>密信息”），只能由接收方及其人员为本合同目的而使用。除本合同另有规定外， 对于提供方提供的任何保密信息，未经提供方的书面同意，接收方及其知悉保密信息的人员均不得直接或间接地以任何方式提供、披露或转让给任何第四方，或许可第四方使用，或以保密信息为任何第四方提供任何意见或建议。</w:t>
      </w:r>
    </w:p>
    <w:p w14:paraId="69A99EA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10.2 提供方向接收方提供或披露的保密信息，仅可由接收方为执行本合同需要披露给指定的雇员，并且仅在为执行本合同所需的范围内进行该等披露；但是，接收方在釆取一切合理的预防措施之前，不得向其雇员披露任何保密信息，该等预防措施包括但不限于告知该等雇员将要披露信息的保密性质，由该等雇员做出至少与本合同保密义务一样严格的保密承诺等，以防止该等雇员为个人利益 使用保密信息或向任何第三方做出未经授权的任何披露。接收方雇员违反保密义务的，视为接收方违反保密义务。</w:t>
      </w:r>
    </w:p>
    <w:p w14:paraId="1979760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10.3 接收方的律师、会计师、承包商和顾问为提供专业协助而需要了解保密信息时，接收方可向其披露保密信息，但是，其应要求上述人员签订保密协议或按照有关职业道德标准履行保密义务。</w:t>
      </w:r>
    </w:p>
    <w:p w14:paraId="389A80F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10.4 如相关政府部门或监管机构要求接收方披露任何保密信息，接收方可在该政府部门或机构要求的范围内做出披露而无需承担本合同项下的责任。但前提是，该接收方应立即将需披露的信息书面通知提供方，以便提供方采取必要的保护措施，且该等通知应尽可能在信息披露前做出，并且接收方应尽商业上合理的努力确保该等被披露的信息获得有关政府机关或机构的保密待遇。</w:t>
      </w:r>
    </w:p>
    <w:p w14:paraId="71D5952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10.5 在任何情形下，本条所规定的保密义务应永久持续有效。</w:t>
      </w:r>
    </w:p>
    <w:p w14:paraId="495668A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10.6 当本合同解除或终止时，接收方应立即停止使用且不得许可第三方使用提供方的保密信息，同时，接收方应按照提供方的书面要求，将提供方提供的保密信息退还提供方或予以删除或销毁，不得以任何形式留存。</w:t>
      </w:r>
    </w:p>
    <w:p w14:paraId="6974BC8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第11条 违约责任</w:t>
      </w:r>
    </w:p>
    <w:p w14:paraId="0B8FE91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11.1 如乙方未按合同约定时间完成软件开发、验收，或者质保期内未按合同约定提供服务，每逾期一(1)日,应按合同总价的万分之五(0.05%)向甲方支付逾期违约金。乙方逾期超过三十(30)日的，甲方有权单方解除本合同，同时，乙方应赔偿由此给甲方造成的全部损失。</w:t>
      </w:r>
    </w:p>
    <w:p w14:paraId="4D070E5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11.2任何一方违反保密义务，应立即停止违约行为、采取措施减小违约造成的损失，并应向保密信息拥有方支付合同总价百分之十(10)%的违约金。上述违约金不足以弥补保密信息拥有方所受损失的，违约方还应予以赔偿。</w:t>
      </w:r>
    </w:p>
    <w:p w14:paraId="4CC216D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11.3 对于乙方依据本合同约定应当承担的各项违约金及损失赔偿，甲方均有权从应支付乙方的任意一笔款项中扣除。如乙方对前述扣款事项有异议，应在接到甲方通知后五(5)日内提出。</w:t>
      </w:r>
    </w:p>
    <w:p w14:paraId="431DB57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第12条 不可抗力</w:t>
      </w:r>
    </w:p>
    <w:p w14:paraId="69D739A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12.1 合同所指不可抗力，是指不能预见、不能避免并不能克服的客观情况。</w:t>
      </w:r>
    </w:p>
    <w:p w14:paraId="1CD4091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12.2 由于不可抗力事件，致使一方在履行其在本合同项下的义务过程中遇到障碍或延误，不能按约定的条款全部或部分履行其义务的，遇到不可抗力事件的一方</w:t>
      </w:r>
      <w:r>
        <w:rPr>
          <w:rFonts w:hint="eastAsia" w:ascii="宋体" w:hAnsi="宋体" w:cs="宋体"/>
          <w:kern w:val="0"/>
          <w:sz w:val="24"/>
          <w:lang w:val="zh-CN" w:eastAsia="zh-CN"/>
        </w:rPr>
        <w:t>(“受</w:t>
      </w:r>
      <w:r>
        <w:rPr>
          <w:rFonts w:hint="eastAsia" w:ascii="宋体" w:hAnsi="宋体" w:cs="宋体"/>
          <w:kern w:val="0"/>
          <w:sz w:val="24"/>
          <w:lang w:val="en-US" w:eastAsia="zh-CN"/>
        </w:rPr>
        <w:t>阻方”)，只要满足下列所有条件，不应视为违反本合同：</w:t>
      </w:r>
    </w:p>
    <w:p w14:paraId="01BF777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12.2.1 受阻方不能全部或部分履行其义务，是由于不可抗力事件直接造成的，且在不可抗力发生时受阻方不存在迟延履行相关义务的情形;</w:t>
      </w:r>
    </w:p>
    <w:p w14:paraId="7978507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12.2.2 受阻方已尽最大努力履行其义务并减少由于不可抗力事件给另一方造成的损失；</w:t>
      </w:r>
    </w:p>
    <w:p w14:paraId="6B65501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12.2.3 不可抗力事件发生时，受阻方立即通知了对方，并在不可抗力事件发生后的十五(15)日内提供有关该事件的公证文书或书面说明,书面说明中应包括对延迟履行或部分履行本合同的原因说明。</w:t>
      </w:r>
    </w:p>
    <w:p w14:paraId="133ABFB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12.3 不可抗力事件终止或被排除后，受阻方应继续履行本合同，并应尽快 通知另一方。受阻方应可延长履行义务的时间，延长期应相当于不可抗力事件实际造成延误的时间。</w:t>
      </w:r>
    </w:p>
    <w:p w14:paraId="42F7F89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12.4 如果不可抗力事件的影响持续达三十(30)日或以上时，双方应根据该事件对本合同履行的影响程度协商对本合同的修改或终止。如在一方发出协商书面通知之日起十(10)日内双方无法就此达成一致，任何一方均有权解除本合同而无需承担违约责任。</w:t>
      </w:r>
    </w:p>
    <w:p w14:paraId="2F37560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第13条 通知与送达</w:t>
      </w:r>
    </w:p>
    <w:p w14:paraId="27161B7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13.1 根据本合同需要发出的全部通知，均须采取书面形式，以专人递送、 传真、电子邮件、特快专递或挂号信件发出。特快专递或挂号信件的交寄日以邮戳为准。上述书面通知均须标明合同对方为收件人。</w:t>
      </w:r>
    </w:p>
    <w:p w14:paraId="262F3EB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13.2 上述书面通知按对方在本合同签署页所列的地址发出，并按本合同条款规定时间被视为已经送达。如双方中任何一方的地址有变更时，须在变更前十日以书面形式通知对方，因迟延通知而造成的损失，由迟延通知方承担责任。</w:t>
      </w:r>
    </w:p>
    <w:p w14:paraId="5433A6D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bookmarkStart w:id="40" w:name="bookmark64"/>
      <w:bookmarkStart w:id="41" w:name="bookmark62"/>
      <w:bookmarkStart w:id="42" w:name="bookmark63"/>
      <w:r>
        <w:rPr>
          <w:rFonts w:hint="eastAsia" w:ascii="黑体" w:hAnsi="黑体" w:eastAsia="黑体" w:cs="黑体"/>
          <w:kern w:val="0"/>
          <w:sz w:val="24"/>
          <w:lang w:val="en-US" w:eastAsia="zh-CN"/>
        </w:rPr>
        <w:t>第14条 法律适用和争议解决</w:t>
      </w:r>
      <w:bookmarkEnd w:id="40"/>
      <w:bookmarkEnd w:id="41"/>
      <w:bookmarkEnd w:id="42"/>
    </w:p>
    <w:p w14:paraId="785BB1A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14.1 本合同的成立、有效性、解释、履行、签署、修订和终止以及争议的解决均应适用中国法律。</w:t>
      </w:r>
    </w:p>
    <w:p w14:paraId="24A77AB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14.2 如果任何争议或权利要求起因于本合同或与本合同有关或与本合同的解释、违约、终止或效力有关，都应由双方通过友好协商解决。协商应在一方向另一方送达关于协商的书面要求后立即开始。如果在一方提出协商要求后的十(10)日内，双方通过协商不能解决争议，任一方均有权向本合同签署地有管辖权的人民法院起诉。</w:t>
      </w:r>
    </w:p>
    <w:p w14:paraId="31E59BBF">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14.3 争议解决过程中，除双方有争议的部分外，本合同其他部分仍然有效，双方应继续履行。</w:t>
      </w:r>
    </w:p>
    <w:p w14:paraId="1B81363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14.4 本合同全部或部分无效的，本条依然有效。</w:t>
      </w:r>
    </w:p>
    <w:p w14:paraId="47CCD60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黑体" w:hAnsi="黑体" w:eastAsia="黑体" w:cs="黑体"/>
          <w:kern w:val="0"/>
          <w:sz w:val="24"/>
          <w:lang w:val="en-US" w:eastAsia="zh-CN"/>
        </w:rPr>
      </w:pPr>
      <w:bookmarkStart w:id="43" w:name="bookmark66"/>
      <w:bookmarkStart w:id="44" w:name="bookmark67"/>
      <w:bookmarkStart w:id="45" w:name="bookmark65"/>
      <w:r>
        <w:rPr>
          <w:rFonts w:hint="eastAsia" w:ascii="黑体" w:hAnsi="黑体" w:eastAsia="黑体" w:cs="黑体"/>
          <w:kern w:val="0"/>
          <w:sz w:val="24"/>
          <w:lang w:val="en-US" w:eastAsia="zh-CN"/>
        </w:rPr>
        <w:t>第15条 合同生效、终止及其他</w:t>
      </w:r>
      <w:bookmarkEnd w:id="43"/>
      <w:bookmarkEnd w:id="44"/>
      <w:bookmarkEnd w:id="45"/>
    </w:p>
    <w:p w14:paraId="25F5EA1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15.1 本合同由双方授权代表签字，并加盖公章或合同专用章后生效。合同将保持其效力直至双方已完全履行合同项下的所有义务并且甲、乙双方之间的所有付款和索赔已结清。</w:t>
      </w:r>
    </w:p>
    <w:p w14:paraId="011F397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15.2 未经另一方书面同意，任何一方不得转让本合同项下任何权利义务。</w:t>
      </w:r>
    </w:p>
    <w:p w14:paraId="7142419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15.3本合同未尽事宜，应由双方友好协商解决。如需对本合同及其附件作 任何修改或补充,须由双方以书面做出并经双方签署后方为有效。补充协议与本合同存在不一致之处的，以补充协议为准。</w:t>
      </w:r>
    </w:p>
    <w:p w14:paraId="23EB94F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15.4</w:t>
      </w:r>
      <w:r>
        <w:rPr>
          <w:rFonts w:hint="eastAsia" w:ascii="宋体" w:hAnsi="Calibri"/>
          <w:sz w:val="24"/>
        </w:rPr>
        <w:t>本合同一式捌份，自双方签字并盖章之日起生效。甲方叁份，乙方叁份，同级财政部门备案贰份，具有同等法律效力。</w:t>
      </w:r>
    </w:p>
    <w:p w14:paraId="15836A6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15.5本合同附件是本合同不可分割的部分，若附件与合同正文</w:t>
      </w:r>
      <w:r>
        <w:rPr>
          <w:rFonts w:hint="eastAsia" w:ascii="宋体" w:hAnsi="宋体" w:cs="宋体"/>
          <w:kern w:val="0"/>
          <w:sz w:val="24"/>
          <w:lang w:val="zh-CN" w:eastAsia="zh-CN"/>
        </w:rPr>
        <w:t>冲突，</w:t>
      </w:r>
      <w:r>
        <w:rPr>
          <w:rFonts w:hint="eastAsia" w:ascii="宋体" w:hAnsi="宋体" w:cs="宋体"/>
          <w:kern w:val="0"/>
          <w:sz w:val="24"/>
          <w:lang w:val="en-US" w:eastAsia="zh-CN"/>
        </w:rPr>
        <w:t>以本合同正文为准。</w:t>
      </w:r>
    </w:p>
    <w:p w14:paraId="61C3B31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p>
    <w:p w14:paraId="32EFBDE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附件：</w:t>
      </w:r>
      <w:r>
        <w:rPr>
          <w:rFonts w:hint="eastAsia" w:ascii="宋体" w:hAnsi="宋体" w:eastAsia="宋体" w:cs="宋体"/>
          <w:kern w:val="0"/>
          <w:sz w:val="24"/>
        </w:rPr>
        <w:t>驻马店市</w:t>
      </w:r>
      <w:r>
        <w:rPr>
          <w:rFonts w:hint="eastAsia" w:ascii="宋体" w:hAnsi="宋体" w:cs="宋体"/>
          <w:kern w:val="0"/>
          <w:sz w:val="24"/>
          <w:lang w:eastAsia="zh-CN"/>
        </w:rPr>
        <w:t>智慧就业（零工市场）信息化平台</w:t>
      </w:r>
      <w:r>
        <w:rPr>
          <w:rFonts w:hint="eastAsia" w:ascii="宋体" w:hAnsi="宋体" w:eastAsia="宋体" w:cs="宋体"/>
          <w:kern w:val="0"/>
          <w:sz w:val="24"/>
        </w:rPr>
        <w:t>功能清单</w:t>
      </w:r>
    </w:p>
    <w:p w14:paraId="7843BF4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sectPr>
          <w:footerReference r:id="rId3" w:type="default"/>
          <w:pgSz w:w="11900" w:h="16840"/>
          <w:pgMar w:top="2098" w:right="1531" w:bottom="1928" w:left="1587" w:header="0" w:footer="1140" w:gutter="0"/>
          <w:pgBorders>
            <w:top w:val="none" w:sz="0" w:space="0"/>
            <w:left w:val="none" w:sz="0" w:space="0"/>
            <w:bottom w:val="none" w:sz="0" w:space="0"/>
            <w:right w:val="none" w:sz="0" w:space="0"/>
          </w:pgBorders>
          <w:pgNumType w:fmt="numberInDash" w:start="1"/>
          <w:cols w:space="0" w:num="1"/>
          <w:rtlGutter w:val="0"/>
          <w:docGrid w:linePitch="360" w:charSpace="0"/>
        </w:sectPr>
      </w:pPr>
      <w:r>
        <w:rPr>
          <w:rFonts w:hint="eastAsia" w:ascii="宋体" w:hAnsi="宋体" w:cs="宋体"/>
          <w:kern w:val="0"/>
          <w:sz w:val="24"/>
          <w:lang w:val="en-US" w:eastAsia="zh-CN"/>
        </w:rPr>
        <w:t>（以下无正文）</w:t>
      </w:r>
    </w:p>
    <w:p w14:paraId="07FCD18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p>
    <w:p w14:paraId="3AC6B210">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cs="宋体"/>
          <w:kern w:val="0"/>
          <w:sz w:val="24"/>
          <w:lang w:val="en-US" w:eastAsia="zh-CN"/>
        </w:rPr>
      </w:pPr>
      <w:r>
        <w:rPr>
          <w:rFonts w:hint="eastAsia" w:ascii="宋体" w:hAnsi="宋体" w:cs="宋体"/>
          <w:kern w:val="0"/>
          <w:sz w:val="24"/>
          <w:lang w:val="en-US" w:eastAsia="zh-CN"/>
        </w:rPr>
        <w:br w:type="page"/>
      </w:r>
    </w:p>
    <w:p w14:paraId="27C3CF7E">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cs="宋体"/>
          <w:kern w:val="0"/>
          <w:sz w:val="24"/>
          <w:u w:val="none"/>
          <w:lang w:val="en-US" w:eastAsia="zh-CN"/>
        </w:rPr>
      </w:pPr>
      <w:r>
        <w:rPr>
          <w:rFonts w:hint="eastAsia" w:ascii="宋体" w:hAnsi="宋体" w:cs="宋体"/>
          <w:kern w:val="0"/>
          <w:sz w:val="24"/>
          <w:u w:val="none"/>
          <w:lang w:val="en-US" w:eastAsia="zh-CN"/>
        </w:rPr>
        <w:t>（本页无正文，为《</w:t>
      </w:r>
      <w:r>
        <w:rPr>
          <w:rFonts w:hint="eastAsia" w:ascii="宋体" w:hAnsi="宋体" w:eastAsia="宋体" w:cs="宋体"/>
          <w:kern w:val="0"/>
          <w:sz w:val="24"/>
          <w:u w:val="none"/>
        </w:rPr>
        <w:t>驻马店市</w:t>
      </w:r>
      <w:r>
        <w:rPr>
          <w:rFonts w:hint="eastAsia" w:ascii="宋体" w:hAnsi="宋体" w:cs="宋体"/>
          <w:kern w:val="0"/>
          <w:sz w:val="24"/>
          <w:u w:val="none"/>
          <w:lang w:val="en-US" w:eastAsia="zh-CN"/>
        </w:rPr>
        <w:t>智慧就业（零工市场）信息化平台项目建设采购合同》的签署页）</w:t>
      </w:r>
    </w:p>
    <w:p w14:paraId="670AE932">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p>
    <w:p w14:paraId="40B6631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合同签署地：河南省驻马店市</w:t>
      </w:r>
    </w:p>
    <w:p w14:paraId="28FB704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甲 方（盖章）：</w:t>
      </w:r>
      <w:r>
        <w:rPr>
          <w:rFonts w:hint="eastAsia" w:ascii="宋体" w:hAnsi="宋体" w:eastAsia="宋体" w:cs="宋体"/>
          <w:kern w:val="0"/>
          <w:sz w:val="24"/>
          <w:lang w:val="en-US" w:eastAsia="zh-CN"/>
        </w:rPr>
        <w:t>驻马店市</w:t>
      </w:r>
      <w:r>
        <w:rPr>
          <w:rFonts w:hint="eastAsia" w:ascii="宋体" w:hAnsi="宋体" w:cs="宋体"/>
          <w:kern w:val="0"/>
          <w:sz w:val="24"/>
          <w:lang w:val="en-US" w:eastAsia="zh-CN"/>
        </w:rPr>
        <w:t>就业创业服务中心</w:t>
      </w:r>
    </w:p>
    <w:p w14:paraId="5CB6929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授权代表（签字）：</w:t>
      </w:r>
    </w:p>
    <w:p w14:paraId="399FB7B1">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地址： </w:t>
      </w:r>
    </w:p>
    <w:p w14:paraId="5B4D1B3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联系电话： </w:t>
      </w:r>
    </w:p>
    <w:p w14:paraId="4C49C78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日期:       年  月  日</w:t>
      </w:r>
    </w:p>
    <w:p w14:paraId="273B784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sectPr>
          <w:footerReference r:id="rId6" w:type="first"/>
          <w:footerReference r:id="rId4" w:type="default"/>
          <w:footerReference r:id="rId5" w:type="even"/>
          <w:type w:val="continuous"/>
          <w:pgSz w:w="11900" w:h="16840"/>
          <w:pgMar w:top="2098" w:right="1531" w:bottom="1984" w:left="1587" w:header="0" w:footer="6" w:gutter="0"/>
          <w:pgBorders>
            <w:top w:val="none" w:sz="0" w:space="0"/>
            <w:left w:val="none" w:sz="0" w:space="0"/>
            <w:bottom w:val="none" w:sz="0" w:space="0"/>
            <w:right w:val="none" w:sz="0" w:space="0"/>
          </w:pgBorders>
          <w:pgNumType w:fmt="numberInDash"/>
          <w:cols w:space="0" w:num="1"/>
          <w:docGrid w:linePitch="360" w:charSpace="0"/>
        </w:sectPr>
      </w:pPr>
    </w:p>
    <w:p w14:paraId="26FFE29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p>
    <w:p w14:paraId="7DCA6F4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乙 方（盖章）：河南物联网技术有限公司</w:t>
      </w:r>
    </w:p>
    <w:p w14:paraId="5BF9027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授权代表（签字）：</w:t>
      </w:r>
    </w:p>
    <w:p w14:paraId="435F2B9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地址： </w:t>
      </w:r>
    </w:p>
    <w:p w14:paraId="200E774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联系电话： </w:t>
      </w:r>
    </w:p>
    <w:p w14:paraId="63F4A155">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kern w:val="0"/>
          <w:sz w:val="24"/>
          <w:lang w:val="en-US" w:eastAsia="zh-CN"/>
        </w:rPr>
        <w:sectPr>
          <w:footerReference r:id="rId9" w:type="first"/>
          <w:footerReference r:id="rId7" w:type="default"/>
          <w:footerReference r:id="rId8" w:type="even"/>
          <w:type w:val="continuous"/>
          <w:pgSz w:w="11900" w:h="16840"/>
          <w:pgMar w:top="2098" w:right="1531" w:bottom="1984" w:left="1587" w:header="0" w:footer="6" w:gutter="0"/>
          <w:pgBorders>
            <w:top w:val="none" w:sz="0" w:space="0"/>
            <w:left w:val="none" w:sz="0" w:space="0"/>
            <w:bottom w:val="none" w:sz="0" w:space="0"/>
            <w:right w:val="none" w:sz="0" w:space="0"/>
          </w:pgBorders>
          <w:pgNumType w:fmt="numberInDash"/>
          <w:cols w:space="0" w:num="1"/>
          <w:docGrid w:linePitch="360" w:charSpace="0"/>
        </w:sectPr>
      </w:pPr>
      <w:r>
        <w:rPr>
          <w:rFonts w:hint="eastAsia" w:ascii="宋体" w:hAnsi="宋体" w:cs="宋体"/>
          <w:kern w:val="0"/>
          <w:sz w:val="24"/>
          <w:lang w:val="en-US" w:eastAsia="zh-CN"/>
        </w:rPr>
        <w:t>日期:       年  月  日</w:t>
      </w:r>
    </w:p>
    <w:p w14:paraId="3A1943DA">
      <w:pPr>
        <w:pStyle w:val="20"/>
        <w:keepNext w:val="0"/>
        <w:keepLines w:val="0"/>
        <w:pageBreakBefore w:val="0"/>
        <w:widowControl w:val="0"/>
        <w:kinsoku/>
        <w:wordWrap/>
        <w:overflowPunct/>
        <w:topLinePunct w:val="0"/>
        <w:bidi w:val="0"/>
        <w:snapToGrid/>
        <w:spacing w:line="360" w:lineRule="auto"/>
        <w:ind w:firstLine="0" w:firstLineChars="0"/>
        <w:textAlignment w:val="auto"/>
        <w:rPr>
          <w:rFonts w:hint="eastAsia" w:ascii="黑体" w:hAnsi="黑体" w:eastAsia="黑体" w:cs="黑体"/>
          <w:kern w:val="0"/>
          <w:sz w:val="24"/>
          <w:lang w:val="en-US" w:eastAsia="zh-CN"/>
        </w:rPr>
      </w:pPr>
      <w:r>
        <w:rPr>
          <w:rFonts w:hint="eastAsia" w:ascii="黑体" w:hAnsi="黑体" w:eastAsia="黑体" w:cs="黑体"/>
          <w:kern w:val="0"/>
          <w:sz w:val="24"/>
          <w:lang w:val="en-US" w:eastAsia="zh-CN"/>
        </w:rPr>
        <w:t>附件：</w:t>
      </w:r>
    </w:p>
    <w:p w14:paraId="6DBEA5F4">
      <w:pPr>
        <w:pStyle w:val="20"/>
        <w:keepNext w:val="0"/>
        <w:keepLines w:val="0"/>
        <w:pageBreakBefore w:val="0"/>
        <w:widowControl w:val="0"/>
        <w:kinsoku/>
        <w:wordWrap/>
        <w:overflowPunct/>
        <w:topLinePunct w:val="0"/>
        <w:bidi w:val="0"/>
        <w:snapToGrid/>
        <w:spacing w:line="360" w:lineRule="auto"/>
        <w:ind w:firstLine="0" w:firstLineChars="0"/>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驻马店市</w:t>
      </w:r>
      <w:r>
        <w:rPr>
          <w:rFonts w:hint="eastAsia" w:ascii="方正小标宋简体" w:hAnsi="方正小标宋简体" w:eastAsia="方正小标宋简体" w:cs="方正小标宋简体"/>
          <w:kern w:val="0"/>
          <w:sz w:val="44"/>
          <w:szCs w:val="44"/>
          <w:lang w:eastAsia="zh-CN"/>
        </w:rPr>
        <w:t>智慧就业（零工市场）信息化平台</w:t>
      </w:r>
      <w:r>
        <w:rPr>
          <w:rFonts w:hint="eastAsia" w:ascii="方正小标宋简体" w:hAnsi="方正小标宋简体" w:eastAsia="方正小标宋简体" w:cs="方正小标宋简体"/>
          <w:kern w:val="0"/>
          <w:sz w:val="44"/>
          <w:szCs w:val="44"/>
        </w:rPr>
        <w:t>功能清单</w:t>
      </w:r>
    </w:p>
    <w:tbl>
      <w:tblPr>
        <w:tblStyle w:val="16"/>
        <w:tblW w:w="521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6"/>
        <w:gridCol w:w="2093"/>
        <w:gridCol w:w="5918"/>
      </w:tblGrid>
      <w:tr w14:paraId="5EFB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37AAE8D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aps w:val="0"/>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b/>
                <w:bCs/>
                <w:i w:val="0"/>
                <w:iCs w:val="0"/>
                <w:caps w:val="0"/>
                <w:spacing w:val="0"/>
                <w:kern w:val="0"/>
                <w:sz w:val="28"/>
                <w:szCs w:val="28"/>
                <w:shd w:val="clear" w:color="auto" w:fill="FFFFFF"/>
                <w:vertAlign w:val="baseline"/>
                <w:lang w:val="en-US" w:eastAsia="zh-CN"/>
              </w:rPr>
              <w:t>序号</w:t>
            </w:r>
          </w:p>
        </w:tc>
        <w:tc>
          <w:tcPr>
            <w:tcW w:w="1177" w:type="pct"/>
            <w:tcBorders>
              <w:top w:val="single" w:color="000000" w:sz="4" w:space="0"/>
              <w:left w:val="single" w:color="000000" w:sz="4" w:space="0"/>
              <w:bottom w:val="single" w:color="000000" w:sz="4" w:space="0"/>
              <w:right w:val="single" w:color="000000" w:sz="4" w:space="0"/>
            </w:tcBorders>
            <w:noWrap/>
            <w:vAlign w:val="center"/>
          </w:tcPr>
          <w:p w14:paraId="1FE0149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aps w:val="0"/>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b/>
                <w:bCs/>
                <w:i w:val="0"/>
                <w:iCs w:val="0"/>
                <w:caps w:val="0"/>
                <w:spacing w:val="0"/>
                <w:kern w:val="0"/>
                <w:sz w:val="28"/>
                <w:szCs w:val="28"/>
                <w:shd w:val="clear" w:color="auto" w:fill="FFFFFF"/>
                <w:vertAlign w:val="baseline"/>
                <w:lang w:val="en-US" w:eastAsia="zh-CN"/>
              </w:rPr>
              <w:t>功能模块</w:t>
            </w:r>
          </w:p>
        </w:tc>
        <w:tc>
          <w:tcPr>
            <w:tcW w:w="3328" w:type="pct"/>
            <w:tcBorders>
              <w:top w:val="single" w:color="000000" w:sz="4" w:space="0"/>
              <w:left w:val="single" w:color="000000" w:sz="4" w:space="0"/>
              <w:bottom w:val="single" w:color="000000" w:sz="4" w:space="0"/>
              <w:right w:val="single" w:color="000000" w:sz="4" w:space="0"/>
            </w:tcBorders>
            <w:noWrap/>
            <w:vAlign w:val="center"/>
          </w:tcPr>
          <w:p w14:paraId="05B2A4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default" w:ascii="方正仿宋_GB2312" w:hAnsi="方正仿宋_GB2312" w:eastAsia="方正仿宋_GB2312" w:cs="方正仿宋_GB2312"/>
                <w:b/>
                <w:bCs/>
                <w:i w:val="0"/>
                <w:iCs w:val="0"/>
                <w:caps w:val="0"/>
                <w:spacing w:val="0"/>
                <w:kern w:val="0"/>
                <w:sz w:val="28"/>
                <w:szCs w:val="28"/>
                <w:shd w:val="clear" w:color="auto" w:fill="FFFFFF"/>
                <w:vertAlign w:val="baseline"/>
                <w:lang w:val="en-US" w:eastAsia="zh-CN"/>
              </w:rPr>
              <w:t>核心功能概述</w:t>
            </w:r>
          </w:p>
        </w:tc>
      </w:tr>
      <w:tr w14:paraId="6BB4F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4"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3D3068F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1</w:t>
            </w:r>
          </w:p>
        </w:tc>
        <w:tc>
          <w:tcPr>
            <w:tcW w:w="1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3399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智慧就业微平台（移动端）</w:t>
            </w:r>
          </w:p>
        </w:tc>
        <w:tc>
          <w:tcPr>
            <w:tcW w:w="33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234B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提供求职登记、招工发布、企业展示、政策资讯、招聘会报名、全局检索、岗位/零工大厅、个人中心（证书维护、法律援助、投诉建议、隐私设置等）全流程服务。支持微信/短信登录、实名认证、AI辅助生成岗位需求。</w:t>
            </w:r>
          </w:p>
        </w:tc>
      </w:tr>
      <w:tr w14:paraId="69B14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4"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6E2DB50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2</w:t>
            </w:r>
          </w:p>
        </w:tc>
        <w:tc>
          <w:tcPr>
            <w:tcW w:w="1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42DB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用工管理系统</w:t>
            </w:r>
          </w:p>
        </w:tc>
        <w:tc>
          <w:tcPr>
            <w:tcW w:w="33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EFB1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面向企业，涵盖注册登录、企业认证与风采展示、岗位发布与管理、投递与面试跟踪、人才库多维度筛选与智能匹配、政策查询及问题反馈、多员工账号管理。</w:t>
            </w:r>
          </w:p>
        </w:tc>
      </w:tr>
      <w:tr w14:paraId="7AED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4"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72A2FC5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3</w:t>
            </w:r>
          </w:p>
        </w:tc>
        <w:tc>
          <w:tcPr>
            <w:tcW w:w="1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B791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零工业务管理系统</w:t>
            </w:r>
          </w:p>
        </w:tc>
        <w:tc>
          <w:tcPr>
            <w:tcW w:w="33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5F46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面向运营方，覆盖注册用户及认证审核、工种分级管理、求职/招聘信息管控、投递与面试记录跟踪、政策新闻发布、招聘会组织与报名管理、一体机设备管理、系统角色权限及敏感词管控、操作日志审计。</w:t>
            </w:r>
          </w:p>
        </w:tc>
      </w:tr>
      <w:tr w14:paraId="28429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4"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6F9E0CA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4</w:t>
            </w:r>
          </w:p>
        </w:tc>
        <w:tc>
          <w:tcPr>
            <w:tcW w:w="1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B152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自助服务一体机系统</w:t>
            </w:r>
          </w:p>
        </w:tc>
        <w:tc>
          <w:tcPr>
            <w:tcW w:w="33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6211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面向线下用户，支持身份证/手机号/二维码登录，提供用工与零工信息检索、岗位详情查看、简历投递、电话咨询、导航、评价查看及政策新闻查阅，弥补线上服务盲区。</w:t>
            </w:r>
          </w:p>
        </w:tc>
      </w:tr>
      <w:tr w14:paraId="1233D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4"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41EBF53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宋体" w:hAnsi="宋体" w:eastAsia="宋体" w:cs="宋体"/>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5</w:t>
            </w:r>
          </w:p>
        </w:tc>
        <w:tc>
          <w:tcPr>
            <w:tcW w:w="1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B6EB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多媒体信息发布系统</w:t>
            </w:r>
          </w:p>
        </w:tc>
        <w:tc>
          <w:tcPr>
            <w:tcW w:w="33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56DB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eastAsia"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bidi="ar-SA"/>
              </w:rPr>
            </w:pPr>
            <w:r>
              <w:rPr>
                <w:rFonts w:hint="default" w:ascii="方正仿宋_GB2312" w:hAnsi="方正仿宋_GB2312" w:eastAsia="方正仿宋_GB2312" w:cs="方正仿宋_GB2312"/>
                <w:i w:val="0"/>
                <w:iCs w:val="0"/>
                <w:caps w:val="0"/>
                <w:spacing w:val="0"/>
                <w:kern w:val="0"/>
                <w:sz w:val="28"/>
                <w:szCs w:val="28"/>
                <w:shd w:val="clear" w:color="auto" w:fill="FFFFFF"/>
                <w:vertAlign w:val="baseline"/>
                <w:lang w:val="en-US" w:eastAsia="zh-CN"/>
              </w:rPr>
              <w:t>面向信息传播，集中管理终端设备档案与状态监测，统一素材库，支持节目编辑与上下架，提供设备运行及节目展示数据统计，实现招聘和政策资讯的精准投放。</w:t>
            </w:r>
          </w:p>
        </w:tc>
      </w:tr>
      <w:tr w14:paraId="4C5FD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4" w:hRule="atLeast"/>
        </w:trPr>
        <w:tc>
          <w:tcPr>
            <w:tcW w:w="493" w:type="pct"/>
            <w:tcBorders>
              <w:top w:val="single" w:color="000000" w:sz="4" w:space="0"/>
              <w:left w:val="single" w:color="000000" w:sz="4" w:space="0"/>
              <w:bottom w:val="single" w:color="000000" w:sz="4" w:space="0"/>
              <w:right w:val="single" w:color="000000" w:sz="4" w:space="0"/>
            </w:tcBorders>
            <w:noWrap/>
            <w:vAlign w:val="center"/>
          </w:tcPr>
          <w:p w14:paraId="08CD6BA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t>6</w:t>
            </w:r>
          </w:p>
        </w:tc>
        <w:tc>
          <w:tcPr>
            <w:tcW w:w="1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F952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center"/>
              <w:textAlignment w:val="baseline"/>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pPr>
            <w:r>
              <w:rPr>
                <w:rFonts w:hint="eastAsia"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t>其他内容</w:t>
            </w:r>
          </w:p>
        </w:tc>
        <w:tc>
          <w:tcPr>
            <w:tcW w:w="33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7736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pPr>
            <w:r>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t>第三方软件测试</w:t>
            </w:r>
          </w:p>
          <w:p w14:paraId="31D55EA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pPr>
            <w:r>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t>安全等级保护测评（三级）</w:t>
            </w:r>
          </w:p>
          <w:p w14:paraId="666E1FF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79" w:lineRule="exact"/>
              <w:ind w:left="0" w:leftChars="0" w:right="0" w:rightChars="0" w:firstLine="140" w:firstLineChars="50"/>
              <w:jc w:val="both"/>
              <w:textAlignment w:val="baseline"/>
              <w:rPr>
                <w:rFonts w:hint="default" w:ascii="var(--dsw-font-markdown-table)" w:hAnsi="var(--dsw-font-markdown-table)" w:eastAsia="var(--dsw-font-markdown-table)" w:cs="var(--dsw-font-markdown-table)"/>
                <w:color w:val="auto"/>
                <w:kern w:val="0"/>
                <w:sz w:val="24"/>
                <w:szCs w:val="24"/>
                <w:lang w:val="en-US" w:eastAsia="zh-CN" w:bidi="ar"/>
              </w:rPr>
            </w:pPr>
            <w:r>
              <w:rPr>
                <w:rFonts w:hint="default" w:ascii="方正仿宋_GB2312" w:hAnsi="方正仿宋_GB2312" w:eastAsia="方正仿宋_GB2312" w:cs="方正仿宋_GB2312"/>
                <w:i w:val="0"/>
                <w:iCs w:val="0"/>
                <w:caps w:val="0"/>
                <w:color w:val="auto"/>
                <w:spacing w:val="0"/>
                <w:kern w:val="0"/>
                <w:sz w:val="28"/>
                <w:szCs w:val="28"/>
                <w:shd w:val="clear" w:color="auto" w:fill="FFFFFF"/>
                <w:vertAlign w:val="baseline"/>
                <w:lang w:val="en-US" w:eastAsia="zh-CN"/>
              </w:rPr>
              <w:t>商用密码应用安全性评估</w:t>
            </w:r>
          </w:p>
        </w:tc>
      </w:tr>
    </w:tbl>
    <w:p w14:paraId="521E317A">
      <w:pPr>
        <w:pStyle w:val="20"/>
        <w:keepNext w:val="0"/>
        <w:keepLines w:val="0"/>
        <w:pageBreakBefore w:val="0"/>
        <w:widowControl w:val="0"/>
        <w:kinsoku/>
        <w:wordWrap/>
        <w:overflowPunct/>
        <w:topLinePunct w:val="0"/>
        <w:bidi w:val="0"/>
        <w:snapToGrid/>
        <w:spacing w:line="360" w:lineRule="auto"/>
        <w:ind w:firstLine="0" w:firstLineChars="0"/>
        <w:jc w:val="center"/>
        <w:textAlignment w:val="auto"/>
        <w:rPr>
          <w:rFonts w:hint="eastAsia" w:ascii="方正小标宋简体" w:hAnsi="方正小标宋简体" w:eastAsia="方正小标宋简体" w:cs="方正小标宋简体"/>
          <w:kern w:val="0"/>
          <w:sz w:val="44"/>
          <w:szCs w:val="44"/>
        </w:rPr>
      </w:pPr>
    </w:p>
    <w:p w14:paraId="3389B3AA">
      <w:pPr>
        <w:pStyle w:val="20"/>
        <w:keepNext w:val="0"/>
        <w:keepLines w:val="0"/>
        <w:pageBreakBefore w:val="0"/>
        <w:widowControl w:val="0"/>
        <w:kinsoku/>
        <w:wordWrap/>
        <w:overflowPunct/>
        <w:topLinePunct w:val="0"/>
        <w:bidi w:val="0"/>
        <w:snapToGrid/>
        <w:spacing w:line="360" w:lineRule="auto"/>
        <w:ind w:firstLine="0" w:firstLineChars="0"/>
        <w:jc w:val="center"/>
        <w:textAlignment w:val="auto"/>
        <w:rPr>
          <w:rFonts w:hint="eastAsia" w:ascii="方正小标宋简体" w:hAnsi="方正小标宋简体" w:eastAsia="方正小标宋简体" w:cs="方正小标宋简体"/>
          <w:kern w:val="0"/>
          <w:sz w:val="44"/>
          <w:szCs w:val="44"/>
        </w:rPr>
      </w:pPr>
    </w:p>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简标宋">
    <w:altName w:val="方正书宋_GBK"/>
    <w:panose1 w:val="00000000000000000000"/>
    <w:charset w:val="86"/>
    <w:family w:val="auto"/>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var(--dsw-font-markdown-tabl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Liberation Serif">
    <w:panose1 w:val="02020603050405020304"/>
    <w:charset w:val="00"/>
    <w:family w:val="auto"/>
    <w:pitch w:val="default"/>
    <w:sig w:usb0="A00002AF" w:usb1="500078FB" w:usb2="00000000" w:usb3="00000000" w:csb0="6000009F" w:csb1="DFD7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4B31">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E8285">
                          <w:pPr>
                            <w:pStyle w:val="11"/>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fldChar w:fldCharType="begin"/>
                          </w:r>
                          <w:r>
                            <w:rPr>
                              <w:rFonts w:hint="eastAsia" w:ascii="楷体_GB2312" w:hAnsi="楷体_GB2312" w:eastAsia="楷体_GB2312" w:cs="楷体_GB2312"/>
                              <w:sz w:val="24"/>
                              <w:szCs w:val="24"/>
                            </w:rPr>
                            <w:instrText xml:space="preserve"> PAGE  \* MERGEFORMAT </w:instrText>
                          </w:r>
                          <w:r>
                            <w:rPr>
                              <w:rFonts w:hint="eastAsia" w:ascii="楷体_GB2312" w:hAnsi="楷体_GB2312" w:eastAsia="楷体_GB2312" w:cs="楷体_GB2312"/>
                              <w:sz w:val="24"/>
                              <w:szCs w:val="24"/>
                            </w:rPr>
                            <w:fldChar w:fldCharType="separate"/>
                          </w:r>
                          <w:r>
                            <w:rPr>
                              <w:rFonts w:hint="eastAsia" w:ascii="楷体_GB2312" w:hAnsi="楷体_GB2312" w:eastAsia="楷体_GB2312" w:cs="楷体_GB2312"/>
                              <w:sz w:val="24"/>
                              <w:szCs w:val="24"/>
                            </w:rPr>
                            <w:t>1</w:t>
                          </w:r>
                          <w:r>
                            <w:rPr>
                              <w:rFonts w:hint="eastAsia" w:ascii="楷体_GB2312" w:hAnsi="楷体_GB2312" w:eastAsia="楷体_GB2312" w:cs="楷体_GB231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01E8285">
                    <w:pPr>
                      <w:pStyle w:val="11"/>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fldChar w:fldCharType="begin"/>
                    </w:r>
                    <w:r>
                      <w:rPr>
                        <w:rFonts w:hint="eastAsia" w:ascii="楷体_GB2312" w:hAnsi="楷体_GB2312" w:eastAsia="楷体_GB2312" w:cs="楷体_GB2312"/>
                        <w:sz w:val="24"/>
                        <w:szCs w:val="24"/>
                      </w:rPr>
                      <w:instrText xml:space="preserve"> PAGE  \* MERGEFORMAT </w:instrText>
                    </w:r>
                    <w:r>
                      <w:rPr>
                        <w:rFonts w:hint="eastAsia" w:ascii="楷体_GB2312" w:hAnsi="楷体_GB2312" w:eastAsia="楷体_GB2312" w:cs="楷体_GB2312"/>
                        <w:sz w:val="24"/>
                        <w:szCs w:val="24"/>
                      </w:rPr>
                      <w:fldChar w:fldCharType="separate"/>
                    </w:r>
                    <w:r>
                      <w:rPr>
                        <w:rFonts w:hint="eastAsia" w:ascii="楷体_GB2312" w:hAnsi="楷体_GB2312" w:eastAsia="楷体_GB2312" w:cs="楷体_GB2312"/>
                        <w:sz w:val="24"/>
                        <w:szCs w:val="24"/>
                      </w:rPr>
                      <w:t>1</w:t>
                    </w:r>
                    <w:r>
                      <w:rPr>
                        <w:rFonts w:hint="eastAsia" w:ascii="楷体_GB2312" w:hAnsi="楷体_GB2312" w:eastAsia="楷体_GB2312" w:cs="楷体_GB2312"/>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0D7E6">
    <w:pPr>
      <w:spacing w:line="1" w:lineRule="exact"/>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B40DD">
                          <w:pPr>
                            <w:pStyle w:val="11"/>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97B40DD">
                    <w:pPr>
                      <w:pStyle w:val="11"/>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D0006">
    <w:pPr>
      <w:spacing w:line="1" w:lineRule="exact"/>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F1B0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FBF1B0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648D2">
    <w:pPr>
      <w:spacing w:line="1" w:lineRule="exact"/>
    </w:pPr>
    <w:r>
      <mc:AlternateContent>
        <mc:Choice Requires="wps">
          <w:drawing>
            <wp:anchor distT="0" distB="0" distL="0" distR="0" simplePos="0" relativeHeight="251659264" behindDoc="1" locked="0" layoutInCell="1" allowOverlap="1">
              <wp:simplePos x="0" y="0"/>
              <wp:positionH relativeFrom="page">
                <wp:posOffset>3357245</wp:posOffset>
              </wp:positionH>
              <wp:positionV relativeFrom="page">
                <wp:posOffset>9775190</wp:posOffset>
              </wp:positionV>
              <wp:extent cx="301625" cy="89535"/>
              <wp:effectExtent l="0" t="0" r="0" b="0"/>
              <wp:wrapNone/>
              <wp:docPr id="35" name="Shape 35"/>
              <wp:cNvGraphicFramePr/>
              <a:graphic xmlns:a="http://schemas.openxmlformats.org/drawingml/2006/main">
                <a:graphicData uri="http://schemas.microsoft.com/office/word/2010/wordprocessingShape">
                  <wps:wsp>
                    <wps:cNvSpPr txBox="1"/>
                    <wps:spPr>
                      <a:xfrm>
                        <a:off x="0" y="0"/>
                        <a:ext cx="301625" cy="89535"/>
                      </a:xfrm>
                      <a:prstGeom prst="rect">
                        <a:avLst/>
                      </a:prstGeom>
                      <a:noFill/>
                    </wps:spPr>
                    <wps:txbx>
                      <w:txbxContent>
                        <w:p w14:paraId="2698DD76">
                          <w:pPr>
                            <w:pStyle w:val="32"/>
                          </w:pPr>
                          <w:r>
                            <w:fldChar w:fldCharType="begin"/>
                          </w:r>
                          <w:r>
                            <w:instrText xml:space="preserve"> PAGE \* MERGEFORMAT </w:instrText>
                          </w:r>
                          <w:r>
                            <w:fldChar w:fldCharType="separate"/>
                          </w:r>
                          <w:r>
                            <w:t>#</w:t>
                          </w:r>
                          <w:r>
                            <w:fldChar w:fldCharType="end"/>
                          </w:r>
                          <w:r>
                            <w:t>/14</w:t>
                          </w:r>
                        </w:p>
                      </w:txbxContent>
                    </wps:txbx>
                    <wps:bodyPr wrap="none" lIns="0" tIns="0" rIns="0" bIns="0">
                      <a:spAutoFit/>
                    </wps:bodyPr>
                  </wps:wsp>
                </a:graphicData>
              </a:graphic>
            </wp:anchor>
          </w:drawing>
        </mc:Choice>
        <mc:Fallback>
          <w:pict>
            <v:shape id="Shape 35" o:spid="_x0000_s1026" o:spt="202" type="#_x0000_t202" style="position:absolute;left:0pt;margin-left:264.35pt;margin-top:769.7pt;height:7.05pt;width:23.75pt;mso-position-horizontal-relative:page;mso-position-vertical-relative:page;mso-wrap-style:none;z-index:-251657216;mso-width-relative:page;mso-height-relative:page;" filled="f" stroked="f" coordsize="21600,21600" o:gfxdata="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xYtQ/Z&#10;AAAADQEAAA8AAAAAAAAAAQAgAAAAIgAAAGRycy9kb3ducmV2LnhtbFBLAQIUABQAAAAIAIdO4kBt&#10;JYe2rQEAAHADAAAOAAAAAAAAAAEAIAAAACgBAABkcnMvZTJvRG9jLnhtbFBLBQYAAAAABgAGAFkB&#10;AABHBQAAAAA=&#10;">
              <v:fill on="f" focussize="0,0"/>
              <v:stroke on="f"/>
              <v:imagedata o:title=""/>
              <o:lock v:ext="edit" aspectratio="f"/>
              <v:textbox inset="0mm,0mm,0mm,0mm" style="mso-fit-shape-to-text:t;">
                <w:txbxContent>
                  <w:p w14:paraId="2698DD76">
                    <w:pPr>
                      <w:pStyle w:val="32"/>
                    </w:pPr>
                    <w:r>
                      <w:fldChar w:fldCharType="begin"/>
                    </w:r>
                    <w:r>
                      <w:instrText xml:space="preserve"> PAGE \* MERGEFORMAT </w:instrText>
                    </w:r>
                    <w:r>
                      <w:fldChar w:fldCharType="separate"/>
                    </w:r>
                    <w:r>
                      <w:t>#</w:t>
                    </w:r>
                    <w:r>
                      <w:fldChar w:fldCharType="end"/>
                    </w:r>
                    <w:r>
                      <w:t>/14</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9D939">
    <w:pPr>
      <w:spacing w:line="1" w:lineRule="exact"/>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D8975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1D8975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3CB93">
    <w:pPr>
      <w:spacing w:line="1" w:lineRule="exact"/>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D5F9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E2D5F9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FED9E">
    <w:pPr>
      <w:spacing w:line="1" w:lineRule="exact"/>
    </w:pPr>
    <w:r>
      <mc:AlternateContent>
        <mc:Choice Requires="wps">
          <w:drawing>
            <wp:anchor distT="0" distB="0" distL="0" distR="0" simplePos="0" relativeHeight="251660288" behindDoc="1" locked="0" layoutInCell="1" allowOverlap="1">
              <wp:simplePos x="0" y="0"/>
              <wp:positionH relativeFrom="page">
                <wp:posOffset>3357245</wp:posOffset>
              </wp:positionH>
              <wp:positionV relativeFrom="page">
                <wp:posOffset>9775190</wp:posOffset>
              </wp:positionV>
              <wp:extent cx="301625" cy="89535"/>
              <wp:effectExtent l="0" t="0" r="0" b="0"/>
              <wp:wrapNone/>
              <wp:docPr id="1" name="Shape 35"/>
              <wp:cNvGraphicFramePr/>
              <a:graphic xmlns:a="http://schemas.openxmlformats.org/drawingml/2006/main">
                <a:graphicData uri="http://schemas.microsoft.com/office/word/2010/wordprocessingShape">
                  <wps:wsp>
                    <wps:cNvSpPr txBox="1"/>
                    <wps:spPr>
                      <a:xfrm>
                        <a:off x="0" y="0"/>
                        <a:ext cx="301625" cy="89535"/>
                      </a:xfrm>
                      <a:prstGeom prst="rect">
                        <a:avLst/>
                      </a:prstGeom>
                      <a:noFill/>
                    </wps:spPr>
                    <wps:txbx>
                      <w:txbxContent>
                        <w:p w14:paraId="3D3C06BD">
                          <w:pPr>
                            <w:pStyle w:val="32"/>
                          </w:pPr>
                          <w:r>
                            <w:fldChar w:fldCharType="begin"/>
                          </w:r>
                          <w:r>
                            <w:instrText xml:space="preserve"> PAGE \* MERGEFORMAT </w:instrText>
                          </w:r>
                          <w:r>
                            <w:fldChar w:fldCharType="separate"/>
                          </w:r>
                          <w:r>
                            <w:t>#</w:t>
                          </w:r>
                          <w:r>
                            <w:fldChar w:fldCharType="end"/>
                          </w:r>
                          <w:r>
                            <w:t>/14</w:t>
                          </w:r>
                        </w:p>
                      </w:txbxContent>
                    </wps:txbx>
                    <wps:bodyPr wrap="none" lIns="0" tIns="0" rIns="0" bIns="0">
                      <a:spAutoFit/>
                    </wps:bodyPr>
                  </wps:wsp>
                </a:graphicData>
              </a:graphic>
            </wp:anchor>
          </w:drawing>
        </mc:Choice>
        <mc:Fallback>
          <w:pict>
            <v:shape id="Shape 35" o:spid="_x0000_s1026" o:spt="202" type="#_x0000_t202" style="position:absolute;left:0pt;margin-left:264.35pt;margin-top:769.7pt;height:7.05pt;width:23.75pt;mso-position-horizontal-relative:page;mso-position-vertical-relative:page;mso-wrap-style:none;z-index:-251656192;mso-width-relative:page;mso-height-relative:page;" filled="f" stroked="f" coordsize="21600,21600" o:gfxdata="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vFi1D9kA&#10;AAANAQAADwAAAAAAAAABACAAAAAiAAAAZHJzL2Rvd25yZXYueG1sUEsBAhQAFAAAAAgAh07iQDGA&#10;MJKsAQAAbwMAAA4AAAAAAAAAAQAgAAAAKAEAAGRycy9lMm9Eb2MueG1sUEsFBgAAAAAGAAYAWQEA&#10;AEYFAAAAAA==&#10;">
              <v:fill on="f" focussize="0,0"/>
              <v:stroke on="f"/>
              <v:imagedata o:title=""/>
              <o:lock v:ext="edit" aspectratio="f"/>
              <v:textbox inset="0mm,0mm,0mm,0mm" style="mso-fit-shape-to-text:t;">
                <w:txbxContent>
                  <w:p w14:paraId="3D3C06BD">
                    <w:pPr>
                      <w:pStyle w:val="32"/>
                    </w:pPr>
                    <w:r>
                      <w:fldChar w:fldCharType="begin"/>
                    </w:r>
                    <w:r>
                      <w:instrText xml:space="preserve"> PAGE \* MERGEFORMAT </w:instrText>
                    </w:r>
                    <w:r>
                      <w:fldChar w:fldCharType="separate"/>
                    </w:r>
                    <w:r>
                      <w:t>#</w:t>
                    </w:r>
                    <w:r>
                      <w:fldChar w:fldCharType="end"/>
                    </w:r>
                    <w:r>
                      <w:t>/14</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37013">
    <w:pPr>
      <w:pStyle w:val="11"/>
    </w:pP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D7746A"/>
    <w:multiLevelType w:val="multilevel"/>
    <w:tmpl w:val="51D7746A"/>
    <w:lvl w:ilvl="0" w:tentative="0">
      <w:start w:val="1"/>
      <w:numFmt w:val="chineseCountingThousand"/>
      <w:suff w:val="nothing"/>
      <w:lvlText w:val="%1"/>
      <w:lvlJc w:val="left"/>
      <w:pPr>
        <w:ind w:left="0" w:firstLine="0"/>
      </w:pPr>
      <w:rPr>
        <w:rFonts w:hint="eastAsia"/>
      </w:rPr>
    </w:lvl>
    <w:lvl w:ilvl="1" w:tentative="0">
      <w:start w:val="1"/>
      <w:numFmt w:val="decimal"/>
      <w:pStyle w:val="2"/>
      <w:isLgl/>
      <w:suff w:val="nothing"/>
      <w:lvlText w:val="%1.%2"/>
      <w:lvlJc w:val="left"/>
      <w:pPr>
        <w:ind w:left="0" w:firstLine="0"/>
      </w:pPr>
      <w:rPr>
        <w:rFonts w:hint="eastAsia"/>
      </w:rPr>
    </w:lvl>
    <w:lvl w:ilvl="2" w:tentative="0">
      <w:start w:val="1"/>
      <w:numFmt w:val="decimal"/>
      <w:pStyle w:val="3"/>
      <w:isLgl/>
      <w:suff w:val="nothing"/>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2MTJmNTNkZTlhYTA3MDNiMDU5OTc2NmYyYWYxN2UifQ=="/>
  </w:docVars>
  <w:rsids>
    <w:rsidRoot w:val="00A4535C"/>
    <w:rsid w:val="0021099A"/>
    <w:rsid w:val="00444D7F"/>
    <w:rsid w:val="0050757E"/>
    <w:rsid w:val="00515950"/>
    <w:rsid w:val="005A3B84"/>
    <w:rsid w:val="00760526"/>
    <w:rsid w:val="007F7811"/>
    <w:rsid w:val="00813667"/>
    <w:rsid w:val="00862C1F"/>
    <w:rsid w:val="009F7596"/>
    <w:rsid w:val="00A4535C"/>
    <w:rsid w:val="00B86E62"/>
    <w:rsid w:val="00B91340"/>
    <w:rsid w:val="00BF37A6"/>
    <w:rsid w:val="00C01994"/>
    <w:rsid w:val="00CB27C8"/>
    <w:rsid w:val="00CB51C1"/>
    <w:rsid w:val="00DD5A58"/>
    <w:rsid w:val="00F60473"/>
    <w:rsid w:val="00FB623C"/>
    <w:rsid w:val="019039CB"/>
    <w:rsid w:val="01BF5575"/>
    <w:rsid w:val="03530242"/>
    <w:rsid w:val="04181BB6"/>
    <w:rsid w:val="06FFD8DE"/>
    <w:rsid w:val="07E55609"/>
    <w:rsid w:val="084B1FD4"/>
    <w:rsid w:val="09C82073"/>
    <w:rsid w:val="09F57B86"/>
    <w:rsid w:val="0A79652B"/>
    <w:rsid w:val="0C7851A8"/>
    <w:rsid w:val="0C8F1DB6"/>
    <w:rsid w:val="10CA0BF9"/>
    <w:rsid w:val="10EE2CC4"/>
    <w:rsid w:val="11FA3177"/>
    <w:rsid w:val="12B31DFB"/>
    <w:rsid w:val="14776777"/>
    <w:rsid w:val="149364BD"/>
    <w:rsid w:val="15E52C78"/>
    <w:rsid w:val="15FD18F9"/>
    <w:rsid w:val="16114E0F"/>
    <w:rsid w:val="167E3082"/>
    <w:rsid w:val="173266DD"/>
    <w:rsid w:val="17515961"/>
    <w:rsid w:val="176C18A3"/>
    <w:rsid w:val="18A06C86"/>
    <w:rsid w:val="194523AC"/>
    <w:rsid w:val="1B9C027D"/>
    <w:rsid w:val="1BD00496"/>
    <w:rsid w:val="1BD46048"/>
    <w:rsid w:val="1BEE424F"/>
    <w:rsid w:val="1DE65D03"/>
    <w:rsid w:val="1E42510C"/>
    <w:rsid w:val="1E504853"/>
    <w:rsid w:val="1E553BD5"/>
    <w:rsid w:val="1E8044B1"/>
    <w:rsid w:val="1EB8BB6C"/>
    <w:rsid w:val="1EDED284"/>
    <w:rsid w:val="1EFD7BBA"/>
    <w:rsid w:val="1F3B124C"/>
    <w:rsid w:val="1F5D6901"/>
    <w:rsid w:val="20164539"/>
    <w:rsid w:val="204E3345"/>
    <w:rsid w:val="20E41210"/>
    <w:rsid w:val="212D7022"/>
    <w:rsid w:val="21584C14"/>
    <w:rsid w:val="21BF4CC5"/>
    <w:rsid w:val="21DF1970"/>
    <w:rsid w:val="22120F3B"/>
    <w:rsid w:val="22D93B65"/>
    <w:rsid w:val="23575D2E"/>
    <w:rsid w:val="23ED3D6C"/>
    <w:rsid w:val="246E4536"/>
    <w:rsid w:val="254D441C"/>
    <w:rsid w:val="26802C75"/>
    <w:rsid w:val="292D39B4"/>
    <w:rsid w:val="2A566E9F"/>
    <w:rsid w:val="2A7C3749"/>
    <w:rsid w:val="2B583471"/>
    <w:rsid w:val="2BDD77BF"/>
    <w:rsid w:val="2C554743"/>
    <w:rsid w:val="2E9F54CF"/>
    <w:rsid w:val="2F762E67"/>
    <w:rsid w:val="31961D9E"/>
    <w:rsid w:val="31F233F9"/>
    <w:rsid w:val="32C91984"/>
    <w:rsid w:val="3428494C"/>
    <w:rsid w:val="34D84646"/>
    <w:rsid w:val="37123024"/>
    <w:rsid w:val="37A4D3B7"/>
    <w:rsid w:val="37B276DD"/>
    <w:rsid w:val="387B329C"/>
    <w:rsid w:val="39AE31FE"/>
    <w:rsid w:val="3AFFE178"/>
    <w:rsid w:val="3BAC19BF"/>
    <w:rsid w:val="3C335C3C"/>
    <w:rsid w:val="3CE2434F"/>
    <w:rsid w:val="3D1254D4"/>
    <w:rsid w:val="3D73BAC2"/>
    <w:rsid w:val="3E69C0C2"/>
    <w:rsid w:val="3F483E3D"/>
    <w:rsid w:val="3FE7B753"/>
    <w:rsid w:val="401E2E70"/>
    <w:rsid w:val="40210BCD"/>
    <w:rsid w:val="41CF4659"/>
    <w:rsid w:val="42747C66"/>
    <w:rsid w:val="429F0BF0"/>
    <w:rsid w:val="43214CCF"/>
    <w:rsid w:val="43EE241A"/>
    <w:rsid w:val="441A6054"/>
    <w:rsid w:val="46212ADE"/>
    <w:rsid w:val="46815F57"/>
    <w:rsid w:val="46C167DF"/>
    <w:rsid w:val="46DF0E9A"/>
    <w:rsid w:val="481B5A1B"/>
    <w:rsid w:val="486951E3"/>
    <w:rsid w:val="48CE7418"/>
    <w:rsid w:val="48D37C96"/>
    <w:rsid w:val="48F74BC1"/>
    <w:rsid w:val="4AC46D25"/>
    <w:rsid w:val="4BE40D01"/>
    <w:rsid w:val="4E3B10F4"/>
    <w:rsid w:val="4F960564"/>
    <w:rsid w:val="4FB235F0"/>
    <w:rsid w:val="50131BB5"/>
    <w:rsid w:val="50577CF3"/>
    <w:rsid w:val="50B82E88"/>
    <w:rsid w:val="511A45CC"/>
    <w:rsid w:val="513C1DF9"/>
    <w:rsid w:val="51810ACE"/>
    <w:rsid w:val="530D3867"/>
    <w:rsid w:val="54A73660"/>
    <w:rsid w:val="57FB1818"/>
    <w:rsid w:val="5A2F138E"/>
    <w:rsid w:val="5ABD3EAA"/>
    <w:rsid w:val="5B1F1C27"/>
    <w:rsid w:val="5BB353D3"/>
    <w:rsid w:val="5BBBE400"/>
    <w:rsid w:val="5C0A6562"/>
    <w:rsid w:val="5C95673E"/>
    <w:rsid w:val="5CD20DC1"/>
    <w:rsid w:val="5DF208E5"/>
    <w:rsid w:val="5E4044BD"/>
    <w:rsid w:val="5E9B3DFD"/>
    <w:rsid w:val="5EA902B4"/>
    <w:rsid w:val="5F1B36D9"/>
    <w:rsid w:val="60A06F83"/>
    <w:rsid w:val="60E72DE0"/>
    <w:rsid w:val="632232F0"/>
    <w:rsid w:val="640A56A7"/>
    <w:rsid w:val="64CA359F"/>
    <w:rsid w:val="64F227E5"/>
    <w:rsid w:val="64F806E5"/>
    <w:rsid w:val="65A90B99"/>
    <w:rsid w:val="65B23EF2"/>
    <w:rsid w:val="66BF6E25"/>
    <w:rsid w:val="67E3848B"/>
    <w:rsid w:val="67FF8579"/>
    <w:rsid w:val="68CC0CD7"/>
    <w:rsid w:val="69733331"/>
    <w:rsid w:val="6A7B7CED"/>
    <w:rsid w:val="6BD050D2"/>
    <w:rsid w:val="6BEF15EA"/>
    <w:rsid w:val="6C4D40F8"/>
    <w:rsid w:val="6D996082"/>
    <w:rsid w:val="6DD70CC3"/>
    <w:rsid w:val="6E7D5A47"/>
    <w:rsid w:val="6EDBCE69"/>
    <w:rsid w:val="6FB7C11F"/>
    <w:rsid w:val="6FE92343"/>
    <w:rsid w:val="6FEBE780"/>
    <w:rsid w:val="6FF7047F"/>
    <w:rsid w:val="6FF7886E"/>
    <w:rsid w:val="703B0F88"/>
    <w:rsid w:val="72323CC5"/>
    <w:rsid w:val="72866E1C"/>
    <w:rsid w:val="7318110C"/>
    <w:rsid w:val="73B46EC3"/>
    <w:rsid w:val="73D54FB8"/>
    <w:rsid w:val="73FF8D1B"/>
    <w:rsid w:val="74DA01CA"/>
    <w:rsid w:val="755F0C9C"/>
    <w:rsid w:val="75814CF8"/>
    <w:rsid w:val="75E3B53B"/>
    <w:rsid w:val="76AD7DBE"/>
    <w:rsid w:val="76FC18EE"/>
    <w:rsid w:val="771E006A"/>
    <w:rsid w:val="77956B05"/>
    <w:rsid w:val="77EA61D2"/>
    <w:rsid w:val="77FF16B6"/>
    <w:rsid w:val="77FF6472"/>
    <w:rsid w:val="78DD1B54"/>
    <w:rsid w:val="79FF863F"/>
    <w:rsid w:val="7AAF07C5"/>
    <w:rsid w:val="7B3A7C23"/>
    <w:rsid w:val="7B455754"/>
    <w:rsid w:val="7B5C9B35"/>
    <w:rsid w:val="7B73C233"/>
    <w:rsid w:val="7BB5990D"/>
    <w:rsid w:val="7D3F7B5A"/>
    <w:rsid w:val="7D7FFFC5"/>
    <w:rsid w:val="7DA91336"/>
    <w:rsid w:val="7DC077CE"/>
    <w:rsid w:val="7DFFBEDB"/>
    <w:rsid w:val="7E574001"/>
    <w:rsid w:val="7EFFC906"/>
    <w:rsid w:val="7F6EF713"/>
    <w:rsid w:val="7F97F587"/>
    <w:rsid w:val="7FBFA1CD"/>
    <w:rsid w:val="7FDB91FE"/>
    <w:rsid w:val="7FEF90FA"/>
    <w:rsid w:val="7FF6651E"/>
    <w:rsid w:val="7FF67C2C"/>
    <w:rsid w:val="7FF7AB17"/>
    <w:rsid w:val="7FFD0B29"/>
    <w:rsid w:val="93FB7F12"/>
    <w:rsid w:val="9FE9AA4F"/>
    <w:rsid w:val="9FFF3AC5"/>
    <w:rsid w:val="9FFFB38B"/>
    <w:rsid w:val="A2EFE1C8"/>
    <w:rsid w:val="ACB35367"/>
    <w:rsid w:val="ADFBAA69"/>
    <w:rsid w:val="AFB6CA02"/>
    <w:rsid w:val="B3FF885F"/>
    <w:rsid w:val="B7AB8B37"/>
    <w:rsid w:val="B7D556ED"/>
    <w:rsid w:val="B7FE396C"/>
    <w:rsid w:val="BB5CB1C3"/>
    <w:rsid w:val="BC3EB431"/>
    <w:rsid w:val="BEFF9568"/>
    <w:rsid w:val="BFE73D34"/>
    <w:rsid w:val="BFED46B3"/>
    <w:rsid w:val="BFFB2925"/>
    <w:rsid w:val="BFFE97F0"/>
    <w:rsid w:val="C7A37514"/>
    <w:rsid w:val="D7DE07ED"/>
    <w:rsid w:val="DB773B99"/>
    <w:rsid w:val="DF7B2647"/>
    <w:rsid w:val="DF7F4563"/>
    <w:rsid w:val="DFFD59B2"/>
    <w:rsid w:val="DFFFFFBB"/>
    <w:rsid w:val="E3FB331B"/>
    <w:rsid w:val="E6FFB548"/>
    <w:rsid w:val="E9FFEF5C"/>
    <w:rsid w:val="EE356A82"/>
    <w:rsid w:val="F452DD49"/>
    <w:rsid w:val="F5E72955"/>
    <w:rsid w:val="F6735A8A"/>
    <w:rsid w:val="FACD2285"/>
    <w:rsid w:val="FB7B7024"/>
    <w:rsid w:val="FBFBE09C"/>
    <w:rsid w:val="FDEF3E1F"/>
    <w:rsid w:val="FE4F7CE2"/>
    <w:rsid w:val="FF7E2E2F"/>
    <w:rsid w:val="FF9EB02E"/>
    <w:rsid w:val="FFBE55E9"/>
    <w:rsid w:val="FFEFF94A"/>
    <w:rsid w:val="FFF384F3"/>
    <w:rsid w:val="FFFF9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numPr>
        <w:ilvl w:val="1"/>
        <w:numId w:val="1"/>
      </w:numPr>
      <w:autoSpaceDE w:val="0"/>
      <w:autoSpaceDN w:val="0"/>
      <w:adjustRightInd w:val="0"/>
      <w:spacing w:before="260" w:after="260" w:line="240" w:lineRule="auto"/>
      <w:ind w:firstLineChars="0"/>
      <w:jc w:val="left"/>
      <w:outlineLvl w:val="1"/>
    </w:pPr>
    <w:rPr>
      <w:rFonts w:ascii="黑体" w:eastAsia="黑体"/>
      <w:b/>
      <w:bCs/>
      <w:kern w:val="0"/>
      <w:sz w:val="30"/>
      <w:szCs w:val="30"/>
      <w:lang w:val="zh-CN"/>
    </w:rPr>
  </w:style>
  <w:style w:type="paragraph" w:styleId="3">
    <w:name w:val="heading 3"/>
    <w:basedOn w:val="1"/>
    <w:next w:val="1"/>
    <w:qFormat/>
    <w:uiPriority w:val="0"/>
    <w:pPr>
      <w:numPr>
        <w:ilvl w:val="2"/>
        <w:numId w:val="1"/>
      </w:numPr>
      <w:autoSpaceDE w:val="0"/>
      <w:autoSpaceDN w:val="0"/>
      <w:adjustRightInd w:val="0"/>
      <w:spacing w:before="200" w:after="200"/>
      <w:ind w:firstLineChars="0"/>
      <w:jc w:val="left"/>
      <w:outlineLvl w:val="2"/>
    </w:pPr>
    <w:rPr>
      <w:rFonts w:ascii="黑体" w:eastAsia="黑体"/>
      <w:b/>
      <w:kern w:val="0"/>
      <w:sz w:val="30"/>
      <w:szCs w:val="30"/>
      <w:lang w:val="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annotation text"/>
    <w:basedOn w:val="1"/>
    <w:link w:val="21"/>
    <w:qFormat/>
    <w:uiPriority w:val="0"/>
    <w:pPr>
      <w:jc w:val="left"/>
    </w:pPr>
  </w:style>
  <w:style w:type="paragraph" w:styleId="6">
    <w:name w:val="Body Text"/>
    <w:basedOn w:val="1"/>
    <w:qFormat/>
    <w:uiPriority w:val="0"/>
    <w:pPr>
      <w:spacing w:after="120"/>
    </w:pPr>
    <w:rPr>
      <w:rFonts w:ascii="@微软简标宋" w:hAnsi="@微软简标宋" w:eastAsia="@微软简标宋" w:cs="@微软简标宋"/>
      <w:szCs w:val="24"/>
      <w:lang w:val="zh-CN"/>
    </w:rPr>
  </w:style>
  <w:style w:type="paragraph" w:styleId="7">
    <w:name w:val="Body Text Indent"/>
    <w:basedOn w:val="1"/>
    <w:next w:val="8"/>
    <w:qFormat/>
    <w:uiPriority w:val="0"/>
    <w:pPr>
      <w:widowControl/>
      <w:spacing w:before="100" w:beforeAutospacing="1" w:after="100" w:afterAutospacing="1"/>
      <w:jc w:val="left"/>
    </w:pPr>
    <w:rPr>
      <w:rFonts w:ascii="宋体" w:hAnsi="宋体" w:cs="宋体"/>
      <w:kern w:val="0"/>
      <w:sz w:val="24"/>
    </w:rPr>
  </w:style>
  <w:style w:type="paragraph" w:styleId="8">
    <w:name w:val="envelope return"/>
    <w:basedOn w:val="1"/>
    <w:qFormat/>
    <w:uiPriority w:val="99"/>
    <w:pPr>
      <w:snapToGrid w:val="0"/>
    </w:pPr>
    <w:rPr>
      <w:rFonts w:ascii="Arial" w:hAnsi="Arial"/>
    </w:rPr>
  </w:style>
  <w:style w:type="paragraph" w:styleId="9">
    <w:name w:val="Date"/>
    <w:basedOn w:val="1"/>
    <w:next w:val="1"/>
    <w:qFormat/>
    <w:uiPriority w:val="99"/>
    <w:pPr>
      <w:ind w:left="100" w:leftChars="2500"/>
    </w:pPr>
  </w:style>
  <w:style w:type="paragraph" w:styleId="10">
    <w:name w:val="Balloon Text"/>
    <w:basedOn w:val="1"/>
    <w:link w:val="23"/>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Body Text 2"/>
    <w:basedOn w:val="1"/>
    <w:qFormat/>
    <w:uiPriority w:val="0"/>
    <w:pPr>
      <w:spacing w:after="120" w:line="480" w:lineRule="auto"/>
    </w:pPr>
  </w:style>
  <w:style w:type="paragraph" w:styleId="14">
    <w:name w:val="annotation subject"/>
    <w:basedOn w:val="5"/>
    <w:next w:val="5"/>
    <w:link w:val="22"/>
    <w:qFormat/>
    <w:uiPriority w:val="0"/>
    <w:rPr>
      <w:b/>
      <w:bCs/>
    </w:rPr>
  </w:style>
  <w:style w:type="paragraph" w:styleId="15">
    <w:name w:val="Body Text First Indent 2"/>
    <w:basedOn w:val="7"/>
    <w:next w:val="9"/>
    <w:qFormat/>
    <w:uiPriority w:val="0"/>
    <w:pPr>
      <w:ind w:firstLine="420" w:firstLineChars="200"/>
    </w:pPr>
    <w:rPr>
      <w:rFonts w:ascii="Times New Roman" w:hAnsi="Times New Roman"/>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qFormat/>
    <w:uiPriority w:val="0"/>
    <w:rPr>
      <w:sz w:val="21"/>
      <w:szCs w:val="21"/>
    </w:rPr>
  </w:style>
  <w:style w:type="paragraph" w:customStyle="1" w:styleId="20">
    <w:name w:val="my正文"/>
    <w:basedOn w:val="1"/>
    <w:qFormat/>
    <w:uiPriority w:val="0"/>
    <w:pPr>
      <w:spacing w:line="360" w:lineRule="auto"/>
      <w:ind w:firstLine="480" w:firstLineChars="200"/>
    </w:pPr>
    <w:rPr>
      <w:szCs w:val="21"/>
    </w:rPr>
  </w:style>
  <w:style w:type="character" w:customStyle="1" w:styleId="21">
    <w:name w:val="批注文字 字符"/>
    <w:basedOn w:val="18"/>
    <w:link w:val="5"/>
    <w:qFormat/>
    <w:uiPriority w:val="0"/>
    <w:rPr>
      <w:rFonts w:ascii="Times New Roman" w:hAnsi="Times New Roman" w:eastAsia="宋体" w:cs="Times New Roman"/>
      <w:kern w:val="2"/>
      <w:sz w:val="21"/>
      <w:szCs w:val="24"/>
    </w:rPr>
  </w:style>
  <w:style w:type="character" w:customStyle="1" w:styleId="22">
    <w:name w:val="批注主题 字符"/>
    <w:basedOn w:val="21"/>
    <w:link w:val="14"/>
    <w:qFormat/>
    <w:uiPriority w:val="0"/>
    <w:rPr>
      <w:rFonts w:ascii="Times New Roman" w:hAnsi="Times New Roman" w:eastAsia="宋体" w:cs="Times New Roman"/>
      <w:b/>
      <w:bCs/>
      <w:kern w:val="2"/>
      <w:sz w:val="21"/>
      <w:szCs w:val="24"/>
    </w:rPr>
  </w:style>
  <w:style w:type="character" w:customStyle="1" w:styleId="23">
    <w:name w:val="批注框文本 字符"/>
    <w:basedOn w:val="18"/>
    <w:link w:val="10"/>
    <w:qFormat/>
    <w:uiPriority w:val="0"/>
    <w:rPr>
      <w:rFonts w:ascii="Times New Roman" w:hAnsi="Times New Roman" w:eastAsia="宋体" w:cs="Times New Roman"/>
      <w:kern w:val="2"/>
      <w:sz w:val="18"/>
      <w:szCs w:val="18"/>
    </w:rPr>
  </w:style>
  <w:style w:type="paragraph" w:customStyle="1" w:styleId="24">
    <w:name w:val="a"/>
    <w:basedOn w:val="1"/>
    <w:qFormat/>
    <w:uiPriority w:val="0"/>
    <w:pPr>
      <w:widowControl/>
      <w:spacing w:before="100" w:beforeAutospacing="1" w:after="100" w:afterAutospacing="1"/>
      <w:jc w:val="left"/>
    </w:pPr>
    <w:rPr>
      <w:rFonts w:ascii="宋体" w:hAnsi="宋体" w:cs="宋体"/>
      <w:kern w:val="0"/>
      <w:sz w:val="24"/>
    </w:rPr>
  </w:style>
  <w:style w:type="character" w:customStyle="1" w:styleId="25">
    <w:name w:val="a0"/>
    <w:basedOn w:val="18"/>
    <w:qFormat/>
    <w:uiPriority w:val="0"/>
  </w:style>
  <w:style w:type="paragraph" w:customStyle="1" w:styleId="26">
    <w:name w:val="Heading 1"/>
    <w:basedOn w:val="1"/>
    <w:next w:val="27"/>
    <w:qFormat/>
    <w:uiPriority w:val="0"/>
    <w:pPr>
      <w:keepNext/>
      <w:keepLines/>
      <w:spacing w:before="340" w:after="330"/>
      <w:jc w:val="center"/>
      <w:outlineLvl w:val="0"/>
    </w:pPr>
    <w:rPr>
      <w:rFonts w:ascii="宋体" w:hAnsi="宋体" w:eastAsia="黑体" w:cs="宋体"/>
      <w:b/>
      <w:bCs/>
      <w:kern w:val="44"/>
      <w:sz w:val="32"/>
      <w:szCs w:val="32"/>
    </w:rPr>
  </w:style>
  <w:style w:type="paragraph" w:customStyle="1" w:styleId="27">
    <w:name w:val="Normal"/>
    <w:qFormat/>
    <w:uiPriority w:val="0"/>
    <w:pPr>
      <w:widowControl w:val="0"/>
      <w:spacing w:line="360" w:lineRule="auto"/>
      <w:ind w:firstLine="1040" w:firstLineChars="200"/>
      <w:jc w:val="both"/>
    </w:pPr>
    <w:rPr>
      <w:rFonts w:ascii="Times New Roman" w:hAnsi="Times New Roman" w:eastAsia="仿宋" w:cs="Times New Roman"/>
      <w:kern w:val="2"/>
      <w:sz w:val="24"/>
      <w:szCs w:val="24"/>
      <w:lang w:val="en-US" w:eastAsia="zh-CN" w:bidi="ar-SA"/>
    </w:rPr>
  </w:style>
  <w:style w:type="paragraph" w:customStyle="1" w:styleId="28">
    <w:name w:val="Body text|1"/>
    <w:basedOn w:val="1"/>
    <w:qFormat/>
    <w:uiPriority w:val="0"/>
    <w:pPr>
      <w:spacing w:after="160" w:line="468" w:lineRule="auto"/>
      <w:ind w:firstLine="400"/>
    </w:pPr>
    <w:rPr>
      <w:rFonts w:ascii="宋体" w:hAnsi="宋体" w:eastAsia="宋体" w:cs="宋体"/>
      <w:sz w:val="20"/>
      <w:szCs w:val="20"/>
      <w:lang w:val="zh-TW" w:eastAsia="zh-TW" w:bidi="zh-TW"/>
    </w:rPr>
  </w:style>
  <w:style w:type="paragraph" w:customStyle="1" w:styleId="29">
    <w:name w:val="Heading #1|1"/>
    <w:basedOn w:val="1"/>
    <w:qFormat/>
    <w:uiPriority w:val="0"/>
    <w:pPr>
      <w:spacing w:after="140" w:line="445" w:lineRule="exact"/>
      <w:ind w:firstLine="380"/>
      <w:outlineLvl w:val="0"/>
    </w:pPr>
    <w:rPr>
      <w:rFonts w:ascii="宋体" w:hAnsi="宋体" w:eastAsia="宋体" w:cs="宋体"/>
      <w:b/>
      <w:bCs/>
      <w:sz w:val="20"/>
      <w:szCs w:val="20"/>
      <w:lang w:val="zh-TW" w:eastAsia="zh-TW" w:bidi="zh-TW"/>
    </w:rPr>
  </w:style>
  <w:style w:type="paragraph" w:customStyle="1" w:styleId="30">
    <w:name w:val="Body text|2"/>
    <w:basedOn w:val="1"/>
    <w:qFormat/>
    <w:uiPriority w:val="0"/>
    <w:pPr>
      <w:spacing w:after="160" w:line="472" w:lineRule="exact"/>
      <w:ind w:firstLine="440"/>
    </w:pPr>
    <w:rPr>
      <w:rFonts w:ascii="宋体" w:hAnsi="宋体" w:eastAsia="宋体" w:cs="宋体"/>
      <w:lang w:val="zh-TW" w:eastAsia="zh-TW" w:bidi="zh-TW"/>
    </w:rPr>
  </w:style>
  <w:style w:type="paragraph" w:customStyle="1" w:styleId="31">
    <w:name w:val="Body text|3"/>
    <w:basedOn w:val="1"/>
    <w:qFormat/>
    <w:uiPriority w:val="0"/>
    <w:pPr>
      <w:ind w:left="440"/>
    </w:pPr>
    <w:rPr>
      <w:sz w:val="20"/>
      <w:szCs w:val="20"/>
      <w:lang w:val="zh-TW" w:eastAsia="zh-TW" w:bidi="zh-TW"/>
    </w:rPr>
  </w:style>
  <w:style w:type="paragraph" w:customStyle="1" w:styleId="32">
    <w:name w:val="Header or footer|1"/>
    <w:basedOn w:val="1"/>
    <w:qFormat/>
    <w:uiPriority w:val="0"/>
    <w:rPr>
      <w:b/>
      <w:bCs/>
      <w:sz w:val="22"/>
      <w:szCs w:val="22"/>
      <w:lang w:val="zh-TW" w:eastAsia="zh-TW" w:bidi="zh-TW"/>
    </w:rPr>
  </w:style>
  <w:style w:type="paragraph" w:customStyle="1" w:styleId="33">
    <w:name w:val="aaa正文"/>
    <w:basedOn w:val="1"/>
    <w:qFormat/>
    <w:uiPriority w:val="0"/>
    <w:pPr>
      <w:spacing w:line="360" w:lineRule="auto"/>
      <w:ind w:firstLine="480" w:firstLineChars="200"/>
    </w:pPr>
    <w:rPr>
      <w:rFonts w:ascii="宋体" w:hAnsi="宋体" w:eastAsia="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6005</Words>
  <Characters>6347</Characters>
  <Lines>77</Lines>
  <Paragraphs>21</Paragraphs>
  <TotalTime>7</TotalTime>
  <ScaleCrop>false</ScaleCrop>
  <LinksUpToDate>false</LinksUpToDate>
  <CharactersWithSpaces>6531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2022-01-15T03:22:00Z</dcterms:created>
  <dc:creator>小益001</dc:creator>
  <cp:lastModifiedBy>平林新月</cp:lastModifiedBy>
  <cp:lastPrinted>2023-08-23T00:46:00Z</cp:lastPrinted>
  <dcterms:modified xsi:type="dcterms:W3CDTF">2026-10-16T11:54:09Z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E5043B5B788645CB88EF7619875F56D2_13</vt:lpwstr>
  </property>
  <property fmtid="{D5CDD505-2E9C-101B-9397-08002B2CF9AE}" pid="4" name="KSOTemplateDocerSaveRecord">
    <vt:lpwstr>eyJoZGlkIjoiODM2MTJmNTNkZTlhYTA3MDNiMDU5OTc2NmYyYWYxN2UiLCJ1c2VySWQiOiIyOTU4NDE5MzUifQ==</vt:lpwstr>
  </property>
</Properties>
</file>