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8B660">
      <w:pPr>
        <w:pStyle w:val="21"/>
        <w:keepNext w:val="0"/>
        <w:keepLines w:val="0"/>
        <w:pageBreakBefore w:val="0"/>
        <w:widowControl w:val="0"/>
        <w:kinsoku/>
        <w:wordWrap w:val="0"/>
        <w:overflowPunct/>
        <w:topLinePunct w:val="0"/>
        <w:autoSpaceDE/>
        <w:autoSpaceDN/>
        <w:bidi w:val="0"/>
        <w:adjustRightInd/>
        <w:snapToGrid/>
        <w:spacing w:line="360" w:lineRule="auto"/>
        <w:ind w:right="-34" w:rightChars="-16"/>
        <w:textAlignment w:val="auto"/>
        <w:rPr>
          <w:rFonts w:hint="eastAsia" w:ascii="宋体" w:hAnsi="宋体" w:eastAsia="宋体" w:cs="宋体"/>
          <w:color w:val="auto"/>
          <w:sz w:val="48"/>
          <w:szCs w:val="21"/>
          <w:highlight w:val="none"/>
          <w:lang w:val="en-US" w:eastAsia="zh-CN"/>
        </w:rPr>
      </w:pPr>
    </w:p>
    <w:p w14:paraId="1DCCE451">
      <w:pPr>
        <w:pStyle w:val="21"/>
        <w:keepNext w:val="0"/>
        <w:keepLines w:val="0"/>
        <w:pageBreakBefore w:val="0"/>
        <w:widowControl w:val="0"/>
        <w:kinsoku/>
        <w:wordWrap w:val="0"/>
        <w:overflowPunct/>
        <w:topLinePunct w:val="0"/>
        <w:autoSpaceDE/>
        <w:autoSpaceDN/>
        <w:bidi w:val="0"/>
        <w:adjustRightInd/>
        <w:snapToGrid/>
        <w:spacing w:line="360" w:lineRule="auto"/>
        <w:ind w:right="-34" w:rightChars="-16"/>
        <w:textAlignment w:val="auto"/>
        <w:rPr>
          <w:rStyle w:val="36"/>
          <w:rFonts w:hint="eastAsia" w:ascii="宋体" w:hAnsi="宋体" w:eastAsia="宋体" w:cs="宋体"/>
          <w:color w:val="auto"/>
          <w:sz w:val="72"/>
          <w:szCs w:val="72"/>
          <w:highlight w:val="none"/>
          <w:u w:val="none"/>
        </w:rPr>
      </w:pPr>
      <w:r>
        <w:rPr>
          <w:rFonts w:hint="eastAsia" w:ascii="宋体" w:hAnsi="宋体" w:eastAsia="宋体" w:cs="宋体"/>
          <w:color w:val="auto"/>
          <w:sz w:val="48"/>
          <w:szCs w:val="21"/>
          <w:highlight w:val="none"/>
          <w:lang w:val="en-US" w:eastAsia="zh-CN"/>
        </w:rPr>
        <w:t>确山县老乐山区建筑石料用灰岩矿山生态修复工程（河南桐柏-大别山历史遗留废弃矿山生态修复示范工程子项目Ⅱ-2）施工项目</w:t>
      </w:r>
    </w:p>
    <w:p w14:paraId="57FB1E17">
      <w:pPr>
        <w:pStyle w:val="21"/>
        <w:keepNext w:val="0"/>
        <w:keepLines w:val="0"/>
        <w:pageBreakBefore w:val="0"/>
        <w:widowControl w:val="0"/>
        <w:kinsoku/>
        <w:wordWrap w:val="0"/>
        <w:overflowPunct/>
        <w:topLinePunct w:val="0"/>
        <w:autoSpaceDE/>
        <w:autoSpaceDN/>
        <w:bidi w:val="0"/>
        <w:adjustRightInd/>
        <w:snapToGrid/>
        <w:spacing w:line="360" w:lineRule="auto"/>
        <w:ind w:right="-34" w:rightChars="-16"/>
        <w:textAlignment w:val="auto"/>
        <w:rPr>
          <w:rStyle w:val="36"/>
          <w:rFonts w:hint="eastAsia" w:ascii="宋体" w:hAnsi="宋体" w:eastAsia="宋体" w:cs="宋体"/>
          <w:color w:val="auto"/>
          <w:sz w:val="72"/>
          <w:szCs w:val="72"/>
          <w:highlight w:val="none"/>
          <w:u w:val="none"/>
        </w:rPr>
      </w:pPr>
    </w:p>
    <w:p w14:paraId="48BAF60E">
      <w:pPr>
        <w:pStyle w:val="21"/>
        <w:keepNext w:val="0"/>
        <w:keepLines w:val="0"/>
        <w:pageBreakBefore w:val="0"/>
        <w:widowControl w:val="0"/>
        <w:kinsoku/>
        <w:wordWrap w:val="0"/>
        <w:overflowPunct/>
        <w:topLinePunct w:val="0"/>
        <w:autoSpaceDE/>
        <w:autoSpaceDN/>
        <w:bidi w:val="0"/>
        <w:adjustRightInd/>
        <w:snapToGrid/>
        <w:spacing w:line="360" w:lineRule="auto"/>
        <w:ind w:right="-34" w:rightChars="-16"/>
        <w:textAlignment w:val="auto"/>
        <w:rPr>
          <w:rStyle w:val="36"/>
          <w:rFonts w:hint="eastAsia" w:ascii="宋体" w:hAnsi="宋体" w:eastAsia="宋体" w:cs="宋体"/>
          <w:color w:val="auto"/>
          <w:sz w:val="72"/>
          <w:szCs w:val="72"/>
          <w:highlight w:val="none"/>
          <w:u w:val="none"/>
          <w:lang w:val="en-US" w:eastAsia="zh-CN"/>
        </w:rPr>
      </w:pPr>
    </w:p>
    <w:p w14:paraId="33588B16">
      <w:pPr>
        <w:pStyle w:val="21"/>
        <w:keepNext w:val="0"/>
        <w:keepLines w:val="0"/>
        <w:pageBreakBefore w:val="0"/>
        <w:widowControl w:val="0"/>
        <w:kinsoku/>
        <w:wordWrap w:val="0"/>
        <w:overflowPunct/>
        <w:topLinePunct w:val="0"/>
        <w:autoSpaceDE/>
        <w:autoSpaceDN/>
        <w:bidi w:val="0"/>
        <w:adjustRightInd/>
        <w:snapToGrid/>
        <w:spacing w:line="360" w:lineRule="auto"/>
        <w:ind w:right="-34" w:rightChars="-16"/>
        <w:textAlignment w:val="auto"/>
        <w:rPr>
          <w:rStyle w:val="36"/>
          <w:rFonts w:hint="eastAsia" w:ascii="宋体" w:hAnsi="宋体" w:eastAsia="宋体" w:cs="宋体"/>
          <w:color w:val="auto"/>
          <w:sz w:val="72"/>
          <w:szCs w:val="72"/>
          <w:highlight w:val="none"/>
          <w:u w:val="none"/>
        </w:rPr>
      </w:pPr>
      <w:r>
        <w:rPr>
          <w:rStyle w:val="36"/>
          <w:rFonts w:hint="eastAsia" w:ascii="宋体" w:hAnsi="宋体" w:eastAsia="宋体" w:cs="宋体"/>
          <w:color w:val="auto"/>
          <w:sz w:val="72"/>
          <w:szCs w:val="72"/>
          <w:highlight w:val="none"/>
          <w:u w:val="none"/>
          <w:lang w:val="en-US" w:eastAsia="zh-CN"/>
        </w:rPr>
        <w:t>监理</w:t>
      </w:r>
      <w:r>
        <w:rPr>
          <w:rStyle w:val="36"/>
          <w:rFonts w:hint="eastAsia" w:ascii="宋体" w:hAnsi="宋体" w:eastAsia="宋体" w:cs="宋体"/>
          <w:color w:val="auto"/>
          <w:sz w:val="72"/>
          <w:szCs w:val="72"/>
          <w:highlight w:val="none"/>
          <w:u w:val="none"/>
        </w:rPr>
        <w:t>招标文件</w:t>
      </w:r>
    </w:p>
    <w:p w14:paraId="2C529E1B">
      <w:pPr>
        <w:pageBreakBefore w:val="0"/>
        <w:bidi w:val="0"/>
        <w:spacing w:line="360" w:lineRule="auto"/>
        <w:jc w:val="center"/>
        <w:textAlignment w:val="auto"/>
        <w:rPr>
          <w:rFonts w:hint="eastAsia" w:ascii="宋体" w:hAnsi="宋体" w:eastAsia="宋体" w:cs="宋体"/>
          <w:color w:val="auto"/>
          <w:highlight w:val="none"/>
          <w:lang w:eastAsia="zh-CN"/>
        </w:rPr>
      </w:pPr>
    </w:p>
    <w:p w14:paraId="07C58CE0">
      <w:pPr>
        <w:pageBreakBefore w:val="0"/>
        <w:bidi w:val="0"/>
        <w:spacing w:line="360" w:lineRule="auto"/>
        <w:jc w:val="center"/>
        <w:textAlignment w:val="auto"/>
        <w:rPr>
          <w:rFonts w:hint="eastAsia" w:ascii="宋体" w:hAnsi="宋体" w:eastAsia="宋体" w:cs="宋体"/>
          <w:color w:val="auto"/>
          <w:highlight w:val="none"/>
          <w:lang w:eastAsia="zh-CN"/>
        </w:rPr>
      </w:pPr>
    </w:p>
    <w:p w14:paraId="0CC97683">
      <w:pPr>
        <w:pageBreakBefore w:val="0"/>
        <w:bidi w:val="0"/>
        <w:spacing w:line="360" w:lineRule="auto"/>
        <w:jc w:val="center"/>
        <w:textAlignment w:val="auto"/>
        <w:rPr>
          <w:rFonts w:hint="eastAsia" w:ascii="宋体" w:hAnsi="宋体" w:eastAsia="宋体" w:cs="宋体"/>
          <w:color w:val="auto"/>
          <w:highlight w:val="none"/>
          <w:lang w:eastAsia="zh-CN"/>
        </w:rPr>
      </w:pPr>
    </w:p>
    <w:p w14:paraId="35070A81">
      <w:pPr>
        <w:pageBreakBefore w:val="0"/>
        <w:bidi w:val="0"/>
        <w:spacing w:line="360" w:lineRule="auto"/>
        <w:jc w:val="center"/>
        <w:textAlignment w:val="auto"/>
        <w:rPr>
          <w:rFonts w:hint="eastAsia" w:ascii="宋体" w:hAnsi="宋体" w:eastAsia="宋体" w:cs="宋体"/>
          <w:color w:val="auto"/>
          <w:highlight w:val="none"/>
          <w:lang w:eastAsia="zh-CN"/>
        </w:rPr>
      </w:pPr>
    </w:p>
    <w:p w14:paraId="73D791C7">
      <w:pPr>
        <w:pageBreakBefore w:val="0"/>
        <w:bidi w:val="0"/>
        <w:spacing w:line="360" w:lineRule="auto"/>
        <w:jc w:val="center"/>
        <w:textAlignment w:val="auto"/>
        <w:rPr>
          <w:rFonts w:hint="eastAsia" w:ascii="宋体" w:hAnsi="宋体" w:eastAsia="宋体" w:cs="宋体"/>
          <w:color w:val="auto"/>
          <w:highlight w:val="none"/>
          <w:lang w:eastAsia="zh-CN"/>
        </w:rPr>
      </w:pPr>
    </w:p>
    <w:p w14:paraId="54FB9001">
      <w:pPr>
        <w:pageBreakBefore w:val="0"/>
        <w:bidi w:val="0"/>
        <w:spacing w:line="360" w:lineRule="auto"/>
        <w:jc w:val="center"/>
        <w:textAlignment w:val="auto"/>
        <w:rPr>
          <w:rFonts w:hint="eastAsia" w:ascii="宋体" w:hAnsi="宋体" w:eastAsia="宋体" w:cs="宋体"/>
          <w:color w:val="auto"/>
          <w:highlight w:val="none"/>
          <w:lang w:eastAsia="zh-CN"/>
        </w:rPr>
      </w:pPr>
    </w:p>
    <w:p w14:paraId="7131AD57">
      <w:pPr>
        <w:pageBreakBefore w:val="0"/>
        <w:bidi w:val="0"/>
        <w:spacing w:line="360" w:lineRule="auto"/>
        <w:jc w:val="center"/>
        <w:textAlignment w:val="auto"/>
        <w:rPr>
          <w:rFonts w:hint="eastAsia" w:ascii="宋体" w:hAnsi="宋体" w:eastAsia="宋体" w:cs="宋体"/>
          <w:color w:val="auto"/>
          <w:highlight w:val="none"/>
          <w:lang w:eastAsia="zh-CN"/>
        </w:rPr>
      </w:pPr>
    </w:p>
    <w:p w14:paraId="419AF465">
      <w:pPr>
        <w:pageBreakBefore w:val="0"/>
        <w:bidi w:val="0"/>
        <w:spacing w:line="360" w:lineRule="auto"/>
        <w:jc w:val="both"/>
        <w:textAlignment w:val="auto"/>
        <w:rPr>
          <w:rFonts w:hint="eastAsia" w:ascii="宋体" w:hAnsi="宋体" w:eastAsia="宋体" w:cs="宋体"/>
          <w:color w:val="auto"/>
          <w:highlight w:val="none"/>
          <w:lang w:eastAsia="zh-CN"/>
        </w:rPr>
      </w:pPr>
    </w:p>
    <w:p w14:paraId="656DBBD2">
      <w:pPr>
        <w:pageBreakBefore w:val="0"/>
        <w:bidi w:val="0"/>
        <w:spacing w:line="360" w:lineRule="auto"/>
        <w:jc w:val="center"/>
        <w:textAlignment w:val="auto"/>
        <w:rPr>
          <w:rFonts w:hint="eastAsia" w:ascii="宋体" w:hAnsi="宋体" w:eastAsia="宋体" w:cs="宋体"/>
          <w:color w:val="auto"/>
          <w:highlight w:val="none"/>
          <w:lang w:eastAsia="zh-CN"/>
        </w:rPr>
      </w:pPr>
    </w:p>
    <w:p w14:paraId="53E0D7EA">
      <w:pPr>
        <w:pageBreakBefore w:val="0"/>
        <w:bidi w:val="0"/>
        <w:spacing w:line="360" w:lineRule="auto"/>
        <w:ind w:right="-34" w:rightChars="-16"/>
        <w:jc w:val="left"/>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招</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标</w:t>
      </w:r>
      <w:r>
        <w:rPr>
          <w:rFonts w:hint="eastAsia" w:ascii="宋体" w:hAnsi="宋体" w:eastAsia="宋体" w:cs="宋体"/>
          <w:b/>
          <w:bCs/>
          <w:color w:val="auto"/>
          <w:sz w:val="28"/>
          <w:szCs w:val="28"/>
          <w:highlight w:val="none"/>
          <w:lang w:val="en-US" w:eastAsia="zh-CN"/>
        </w:rPr>
        <w:t xml:space="preserve"> 人</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确山县自然资源局</w:t>
      </w:r>
    </w:p>
    <w:p w14:paraId="5C13BC6C">
      <w:pPr>
        <w:pageBreakBefore w:val="0"/>
        <w:bidi w:val="0"/>
        <w:spacing w:line="360" w:lineRule="auto"/>
        <w:ind w:right="-34" w:rightChars="-16"/>
        <w:jc w:val="left"/>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招标</w:t>
      </w:r>
      <w:r>
        <w:rPr>
          <w:rFonts w:hint="eastAsia" w:ascii="宋体" w:hAnsi="宋体" w:eastAsia="宋体" w:cs="宋体"/>
          <w:b/>
          <w:bCs/>
          <w:color w:val="auto"/>
          <w:sz w:val="28"/>
          <w:szCs w:val="28"/>
          <w:highlight w:val="none"/>
        </w:rPr>
        <w:t>代理机构：</w:t>
      </w:r>
      <w:r>
        <w:rPr>
          <w:rFonts w:hint="eastAsia" w:ascii="宋体" w:hAnsi="宋体" w:eastAsia="宋体" w:cs="宋体"/>
          <w:b/>
          <w:bCs/>
          <w:color w:val="auto"/>
          <w:sz w:val="28"/>
          <w:szCs w:val="28"/>
          <w:highlight w:val="none"/>
          <w:lang w:val="en-US" w:eastAsia="zh-CN"/>
        </w:rPr>
        <w:t>河南全过程工程研究院有限公司</w:t>
      </w:r>
    </w:p>
    <w:p w14:paraId="18E66AA7">
      <w:pPr>
        <w:pageBreakBefore w:val="0"/>
        <w:bidi w:val="0"/>
        <w:spacing w:line="360" w:lineRule="auto"/>
        <w:ind w:right="-34" w:rightChars="-16"/>
        <w:jc w:val="left"/>
        <w:textAlignment w:val="auto"/>
        <w:rPr>
          <w:rFonts w:hint="eastAsia" w:ascii="宋体" w:hAnsi="宋体" w:eastAsia="宋体" w:cs="宋体"/>
          <w:b/>
          <w:color w:val="auto"/>
          <w:sz w:val="36"/>
          <w:szCs w:val="36"/>
          <w:highlight w:val="none"/>
        </w:rPr>
        <w:sectPr>
          <w:headerReference r:id="rId3" w:type="default"/>
          <w:pgSz w:w="11906" w:h="16838"/>
          <w:pgMar w:top="1417" w:right="1417" w:bottom="1417" w:left="1701" w:header="851" w:footer="851"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宋体" w:hAnsi="宋体" w:eastAsia="宋体" w:cs="宋体"/>
          <w:b/>
          <w:bCs/>
          <w:color w:val="auto"/>
          <w:sz w:val="28"/>
          <w:szCs w:val="28"/>
          <w:highlight w:val="none"/>
        </w:rPr>
        <w:t>日   期：二〇二</w:t>
      </w: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年</w:t>
      </w:r>
      <w:r>
        <w:rPr>
          <w:rFonts w:hint="eastAsia" w:ascii="宋体" w:hAnsi="宋体" w:cs="宋体"/>
          <w:b/>
          <w:bCs/>
          <w:color w:val="auto"/>
          <w:sz w:val="28"/>
          <w:szCs w:val="28"/>
          <w:highlight w:val="none"/>
          <w:lang w:val="en-US" w:eastAsia="zh-CN"/>
        </w:rPr>
        <w:t>十</w:t>
      </w:r>
      <w:r>
        <w:rPr>
          <w:rFonts w:hint="eastAsia" w:ascii="宋体" w:hAnsi="宋体" w:eastAsia="宋体" w:cs="宋体"/>
          <w:b/>
          <w:bCs/>
          <w:color w:val="auto"/>
          <w:sz w:val="28"/>
          <w:szCs w:val="28"/>
          <w:highlight w:val="none"/>
          <w:lang w:val="en-US" w:eastAsia="zh-CN"/>
        </w:rPr>
        <w:t>月</w:t>
      </w:r>
    </w:p>
    <w:p w14:paraId="073FFC84">
      <w:pPr>
        <w:pageBreakBefore w:val="0"/>
        <w:bidi w:val="0"/>
        <w:spacing w:line="360" w:lineRule="auto"/>
        <w:ind w:right="-34" w:rightChars="-16"/>
        <w:jc w:val="center"/>
        <w:textAlignment w:val="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招标代理项目部人员组成</w:t>
      </w:r>
    </w:p>
    <w:p w14:paraId="281AE1F6">
      <w:pPr>
        <w:keepNext w:val="0"/>
        <w:keepLines w:val="0"/>
        <w:pageBreakBefore w:val="0"/>
        <w:widowControl w:val="0"/>
        <w:kinsoku/>
        <w:wordWrap/>
        <w:overflowPunct/>
        <w:topLinePunct w:val="0"/>
        <w:autoSpaceDE/>
        <w:autoSpaceDN/>
        <w:bidi w:val="0"/>
        <w:adjustRightInd/>
        <w:snapToGrid/>
        <w:spacing w:line="360" w:lineRule="auto"/>
        <w:ind w:right="-34" w:rightChars="-16" w:firstLine="663" w:firstLineChars="150"/>
        <w:textAlignment w:val="auto"/>
        <w:rPr>
          <w:rFonts w:hint="eastAsia" w:ascii="宋体" w:hAnsi="宋体" w:eastAsia="宋体" w:cs="宋体"/>
          <w:b/>
          <w:color w:val="auto"/>
          <w:sz w:val="44"/>
          <w:szCs w:val="44"/>
          <w:highlight w:val="none"/>
        </w:rPr>
      </w:pPr>
    </w:p>
    <w:p w14:paraId="45213C9E">
      <w:pPr>
        <w:rPr>
          <w:rFonts w:ascii="宋体" w:hAnsi="宋体" w:cs="宋体"/>
          <w:b/>
          <w:bCs/>
          <w:sz w:val="20"/>
        </w:rPr>
      </w:pPr>
    </w:p>
    <w:p w14:paraId="22F0E6CE">
      <w:pPr>
        <w:pageBreakBefore w:val="0"/>
        <w:numPr>
          <w:ilvl w:val="0"/>
          <w:numId w:val="0"/>
        </w:numPr>
        <w:kinsoku/>
        <w:wordWrap w:val="0"/>
        <w:overflowPunct/>
        <w:topLinePunct w:val="0"/>
        <w:bidi w:val="0"/>
        <w:spacing w:line="360" w:lineRule="auto"/>
        <w:ind w:left="899" w:leftChars="0" w:hanging="720" w:firstLineChars="0"/>
        <w:outlineLvl w:val="9"/>
        <w:rPr>
          <w:rFonts w:hint="eastAsia" w:ascii="宋体" w:hAnsi="宋体" w:eastAsia="宋体" w:cs="宋体"/>
          <w:color w:val="auto"/>
          <w:sz w:val="28"/>
          <w:szCs w:val="28"/>
          <w:highlight w:val="none"/>
        </w:rPr>
      </w:pPr>
      <w:r>
        <w:rPr>
          <w:rFonts w:hint="eastAsia" w:ascii="宋体" w:hAnsi="宋体" w:eastAsia="宋体" w:cs="宋体"/>
          <w:color w:val="auto"/>
          <w:kern w:val="2"/>
          <w:sz w:val="28"/>
          <w:szCs w:val="28"/>
          <w:highlight w:val="none"/>
          <w:lang w:val="en-US" w:eastAsia="zh-CN" w:bidi="ar-SA"/>
        </w:rPr>
        <w:t>一、</w:t>
      </w:r>
      <w:r>
        <w:rPr>
          <w:rFonts w:hint="eastAsia" w:ascii="宋体" w:hAnsi="宋体" w:eastAsia="宋体" w:cs="宋体"/>
          <w:color w:val="auto"/>
          <w:sz w:val="28"/>
          <w:szCs w:val="28"/>
          <w:highlight w:val="none"/>
        </w:rPr>
        <w:t>项目负责人</w:t>
      </w:r>
      <w:r>
        <w:rPr>
          <w:rFonts w:hint="eastAsia" w:ascii="宋体" w:hAnsi="宋体" w:eastAsia="宋体" w:cs="宋体"/>
          <w:color w:val="auto"/>
          <w:sz w:val="28"/>
          <w:szCs w:val="28"/>
          <w:highlight w:val="none"/>
          <w:u w:val="single"/>
          <w:lang w:val="en-US" w:eastAsia="zh-CN"/>
        </w:rPr>
        <w:t>郑佳</w:t>
      </w:r>
      <w:r>
        <w:rPr>
          <w:rFonts w:hint="eastAsia" w:ascii="宋体" w:hAnsi="宋体" w:eastAsia="宋体" w:cs="宋体"/>
          <w:color w:val="auto"/>
          <w:sz w:val="28"/>
          <w:szCs w:val="28"/>
          <w:highlight w:val="none"/>
        </w:rPr>
        <w:t>（建设类注册执业（职业）资格证号：</w:t>
      </w:r>
      <w:r>
        <w:rPr>
          <w:rFonts w:hint="eastAsia" w:ascii="宋体" w:hAnsi="宋体" w:eastAsia="宋体" w:cs="宋体"/>
          <w:color w:val="auto"/>
          <w:sz w:val="28"/>
          <w:szCs w:val="28"/>
          <w:highlight w:val="none"/>
          <w:u w:val="single"/>
          <w:lang w:val="en-US" w:eastAsia="zh-CN"/>
        </w:rPr>
        <w:t>建[造]11214100004249</w:t>
      </w:r>
      <w:r>
        <w:rPr>
          <w:rFonts w:hint="eastAsia" w:ascii="宋体" w:hAnsi="宋体" w:eastAsia="宋体" w:cs="宋体"/>
          <w:color w:val="auto"/>
          <w:sz w:val="28"/>
          <w:szCs w:val="28"/>
          <w:highlight w:val="none"/>
        </w:rPr>
        <w:t>）</w:t>
      </w:r>
    </w:p>
    <w:p w14:paraId="2F6E2A60">
      <w:pPr>
        <w:pageBreakBefore w:val="0"/>
        <w:numPr>
          <w:ilvl w:val="0"/>
          <w:numId w:val="0"/>
        </w:numPr>
        <w:kinsoku/>
        <w:wordWrap w:val="0"/>
        <w:overflowPunct/>
        <w:topLinePunct w:val="0"/>
        <w:bidi w:val="0"/>
        <w:spacing w:line="360" w:lineRule="auto"/>
        <w:ind w:left="899" w:leftChars="0" w:hanging="720" w:firstLineChars="0"/>
        <w:outlineLvl w:val="9"/>
        <w:rPr>
          <w:rFonts w:hint="eastAsia" w:ascii="宋体" w:hAnsi="宋体" w:eastAsia="宋体" w:cs="宋体"/>
          <w:color w:val="auto"/>
          <w:sz w:val="28"/>
          <w:szCs w:val="28"/>
          <w:highlight w:val="none"/>
        </w:rPr>
      </w:pPr>
      <w:r>
        <w:rPr>
          <w:rFonts w:hint="eastAsia" w:ascii="宋体" w:hAnsi="宋体" w:eastAsia="宋体" w:cs="宋体"/>
          <w:color w:val="auto"/>
          <w:kern w:val="2"/>
          <w:sz w:val="28"/>
          <w:szCs w:val="28"/>
          <w:highlight w:val="none"/>
          <w:lang w:val="en-US" w:eastAsia="zh-CN" w:bidi="ar-SA"/>
        </w:rPr>
        <w:t>二、</w:t>
      </w:r>
      <w:r>
        <w:rPr>
          <w:rFonts w:hint="eastAsia" w:ascii="宋体" w:hAnsi="宋体" w:eastAsia="宋体" w:cs="宋体"/>
          <w:color w:val="auto"/>
          <w:sz w:val="28"/>
          <w:szCs w:val="28"/>
          <w:highlight w:val="none"/>
        </w:rPr>
        <w:t>其他人员</w:t>
      </w:r>
    </w:p>
    <w:p w14:paraId="06969F8D">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cs="宋体"/>
          <w:color w:val="auto"/>
          <w:kern w:val="2"/>
          <w:sz w:val="28"/>
          <w:szCs w:val="28"/>
          <w:highlight w:val="none"/>
          <w:lang w:val="en-US" w:eastAsia="zh-CN" w:bidi="ar-SA"/>
        </w:rPr>
        <w:t>1.</w:t>
      </w: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lang w:val="en-US" w:eastAsia="zh-CN"/>
        </w:rPr>
        <w:t>荆龙飞</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rPr>
        <w:t>岗位证号</w:t>
      </w:r>
      <w:r>
        <w:rPr>
          <w:rFonts w:hint="eastAsia" w:ascii="宋体" w:hAnsi="宋体" w:eastAsia="宋体" w:cs="宋体"/>
          <w:color w:val="auto"/>
          <w:sz w:val="28"/>
          <w:szCs w:val="28"/>
          <w:highlight w:val="none"/>
          <w:u w:val="single"/>
          <w:lang w:eastAsia="zh-CN"/>
        </w:rPr>
        <w:t>：</w:t>
      </w:r>
      <w:r>
        <w:rPr>
          <w:rFonts w:hint="eastAsia" w:ascii="宋体" w:hAnsi="宋体" w:eastAsia="宋体" w:cs="宋体"/>
          <w:color w:val="auto"/>
          <w:sz w:val="28"/>
          <w:szCs w:val="28"/>
          <w:highlight w:val="none"/>
          <w:u w:val="single"/>
          <w:lang w:val="en-US" w:eastAsia="zh-CN"/>
        </w:rPr>
        <w:t xml:space="preserve">Z4501017752 </w:t>
      </w:r>
    </w:p>
    <w:p w14:paraId="47D5D418">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2"/>
          <w:sz w:val="28"/>
          <w:szCs w:val="28"/>
          <w:highlight w:val="none"/>
          <w:lang w:val="en-US" w:eastAsia="zh-CN" w:bidi="ar-SA"/>
        </w:rPr>
        <w:t>2.</w:t>
      </w: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lang w:val="en-US" w:eastAsia="zh-CN"/>
        </w:rPr>
        <w:t>袁红梅</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rPr>
        <w:t>岗位证号</w:t>
      </w:r>
      <w:r>
        <w:rPr>
          <w:rFonts w:hint="eastAsia" w:ascii="宋体" w:hAnsi="宋体" w:eastAsia="宋体" w:cs="宋体"/>
          <w:color w:val="auto"/>
          <w:sz w:val="28"/>
          <w:szCs w:val="28"/>
          <w:highlight w:val="none"/>
          <w:u w:val="single"/>
          <w:lang w:eastAsia="zh-CN"/>
        </w:rPr>
        <w:t>：</w:t>
      </w:r>
      <w:r>
        <w:rPr>
          <w:rFonts w:hint="eastAsia" w:ascii="宋体" w:hAnsi="宋体" w:eastAsia="宋体" w:cs="宋体"/>
          <w:color w:val="auto"/>
          <w:sz w:val="28"/>
          <w:szCs w:val="28"/>
          <w:highlight w:val="none"/>
          <w:u w:val="single"/>
          <w:lang w:val="en-US" w:eastAsia="zh-CN"/>
        </w:rPr>
        <w:t xml:space="preserve">Z45020202860 </w:t>
      </w:r>
    </w:p>
    <w:p w14:paraId="56097747">
      <w:pPr>
        <w:ind w:firstLine="560" w:firstLineChars="200"/>
        <w:rPr>
          <w:rFonts w:hint="eastAsia" w:eastAsia="宋体"/>
          <w:color w:val="auto"/>
          <w:highlight w:val="none"/>
          <w:lang w:eastAsia="zh-CN"/>
        </w:rPr>
      </w:pPr>
      <w:r>
        <w:rPr>
          <w:rFonts w:hint="eastAsia" w:ascii="宋体" w:hAnsi="宋体" w:cs="宋体"/>
          <w:color w:val="auto"/>
          <w:kern w:val="2"/>
          <w:sz w:val="28"/>
          <w:szCs w:val="28"/>
          <w:highlight w:val="none"/>
          <w:lang w:val="en-US" w:eastAsia="zh-CN" w:bidi="ar-SA"/>
        </w:rPr>
        <w:t>3.</w:t>
      </w: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lang w:val="en-US" w:eastAsia="zh-CN"/>
        </w:rPr>
        <w:t>胡国仓</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rPr>
        <w:t>岗位证号</w:t>
      </w:r>
      <w:r>
        <w:rPr>
          <w:rFonts w:hint="eastAsia" w:ascii="宋体" w:hAnsi="宋体" w:eastAsia="宋体" w:cs="宋体"/>
          <w:color w:val="auto"/>
          <w:sz w:val="28"/>
          <w:szCs w:val="28"/>
          <w:highlight w:val="none"/>
          <w:u w:val="single"/>
          <w:lang w:eastAsia="zh-CN"/>
        </w:rPr>
        <w:t>：Z45020240696</w:t>
      </w:r>
      <w:r>
        <w:rPr>
          <w:rFonts w:hint="eastAsia" w:ascii="宋体" w:hAnsi="宋体" w:eastAsia="宋体" w:cs="宋体"/>
          <w:color w:val="auto"/>
          <w:sz w:val="28"/>
          <w:szCs w:val="28"/>
          <w:highlight w:val="none"/>
          <w:u w:val="single"/>
          <w:lang w:val="en-US" w:eastAsia="zh-CN"/>
        </w:rPr>
        <w:t xml:space="preserve"> </w:t>
      </w:r>
    </w:p>
    <w:p w14:paraId="53CF2D12">
      <w:pPr>
        <w:pStyle w:val="41"/>
        <w:rPr>
          <w:rFonts w:hint="eastAsia"/>
          <w:color w:val="auto"/>
          <w:highlight w:val="none"/>
          <w:lang w:eastAsia="zh-CN"/>
        </w:rPr>
      </w:pPr>
    </w:p>
    <w:p w14:paraId="544C3EE7">
      <w:pPr>
        <w:pStyle w:val="6"/>
        <w:rPr>
          <w:rFonts w:hint="eastAsia"/>
          <w:color w:val="auto"/>
          <w:highlight w:val="none"/>
          <w:lang w:eastAsia="zh-CN"/>
        </w:rPr>
      </w:pPr>
    </w:p>
    <w:p w14:paraId="026DADF8">
      <w:pPr>
        <w:rPr>
          <w:rFonts w:hint="eastAsia"/>
          <w:color w:val="auto"/>
          <w:highlight w:val="none"/>
          <w:lang w:eastAsia="zh-CN"/>
        </w:rPr>
      </w:pPr>
    </w:p>
    <w:p w14:paraId="699460EC">
      <w:pPr>
        <w:spacing w:before="574" w:beforeLines="200" w:after="574" w:afterLines="200" w:line="360" w:lineRule="auto"/>
        <w:ind w:left="178" w:leftChars="85" w:right="-34" w:rightChars="-16" w:firstLine="640" w:firstLineChars="200"/>
        <w:rPr>
          <w:rFonts w:hint="eastAsia" w:ascii="宋体" w:hAnsi="宋体"/>
          <w:color w:val="auto"/>
          <w:sz w:val="32"/>
          <w:szCs w:val="32"/>
          <w:highlight w:val="none"/>
        </w:rPr>
      </w:pPr>
    </w:p>
    <w:p w14:paraId="55B24D7B">
      <w:pPr>
        <w:widowControl w:val="0"/>
        <w:spacing w:after="400" w:line="360" w:lineRule="auto"/>
        <w:ind w:firstLine="400"/>
        <w:jc w:val="left"/>
        <w:rPr>
          <w:rFonts w:ascii="宋体" w:hAnsi="宋体" w:eastAsia="宋体" w:cs="宋体"/>
          <w:color w:val="auto"/>
          <w:kern w:val="2"/>
          <w:sz w:val="30"/>
          <w:szCs w:val="30"/>
          <w:highlight w:val="none"/>
          <w:lang w:val="zh-TW" w:eastAsia="zh-TW" w:bidi="zh-TW"/>
        </w:rPr>
      </w:pPr>
    </w:p>
    <w:p w14:paraId="425036CF">
      <w:pPr>
        <w:rPr>
          <w:color w:val="auto"/>
          <w:highlight w:val="none"/>
        </w:rPr>
      </w:pPr>
    </w:p>
    <w:p w14:paraId="4CF42148">
      <w:pPr>
        <w:rPr>
          <w:color w:val="auto"/>
          <w:highlight w:val="none"/>
        </w:rPr>
      </w:pPr>
    </w:p>
    <w:p w14:paraId="201CF9C7">
      <w:pPr>
        <w:rPr>
          <w:color w:val="auto"/>
          <w:highlight w:val="none"/>
        </w:rPr>
      </w:pPr>
    </w:p>
    <w:p w14:paraId="706A7A42">
      <w:pPr>
        <w:rPr>
          <w:color w:val="auto"/>
          <w:highlight w:val="none"/>
        </w:rPr>
      </w:pPr>
    </w:p>
    <w:p w14:paraId="77097C18">
      <w:pPr>
        <w:rPr>
          <w:color w:val="auto"/>
          <w:highlight w:val="none"/>
        </w:rPr>
      </w:pPr>
    </w:p>
    <w:p w14:paraId="152690B8">
      <w:pPr>
        <w:rPr>
          <w:color w:val="auto"/>
          <w:highlight w:val="none"/>
        </w:rPr>
      </w:pPr>
    </w:p>
    <w:p w14:paraId="36918C6B">
      <w:pPr>
        <w:rPr>
          <w:color w:val="auto"/>
          <w:highlight w:val="none"/>
        </w:rPr>
      </w:pPr>
    </w:p>
    <w:p w14:paraId="5C81FDE4">
      <w:pPr>
        <w:rPr>
          <w:color w:val="auto"/>
          <w:highlight w:val="none"/>
        </w:rPr>
      </w:pPr>
    </w:p>
    <w:p w14:paraId="1271B48D">
      <w:pPr>
        <w:rPr>
          <w:color w:val="auto"/>
          <w:highlight w:val="none"/>
        </w:rPr>
      </w:pPr>
    </w:p>
    <w:p w14:paraId="1889E723">
      <w:pPr>
        <w:rPr>
          <w:color w:val="auto"/>
          <w:highlight w:val="none"/>
        </w:rPr>
        <w:sectPr>
          <w:pgSz w:w="11906" w:h="16838"/>
          <w:pgMar w:top="1440" w:right="1800" w:bottom="1440" w:left="1800" w:header="851" w:footer="992" w:gutter="0"/>
          <w:cols w:space="425" w:num="1"/>
          <w:docGrid w:type="lines" w:linePitch="312" w:charSpace="0"/>
        </w:sectPr>
      </w:pPr>
    </w:p>
    <w:p w14:paraId="46F99E69">
      <w:pPr>
        <w:jc w:val="center"/>
        <w:rPr>
          <w:color w:val="auto"/>
          <w:sz w:val="20"/>
          <w:szCs w:val="18"/>
          <w:highlight w:val="none"/>
        </w:rPr>
      </w:pPr>
      <w:r>
        <w:rPr>
          <w:rFonts w:hint="eastAsia" w:ascii="宋体" w:hAnsi="宋体" w:eastAsia="宋体" w:cs="宋体"/>
          <w:b/>
          <w:bCs/>
          <w:color w:val="auto"/>
          <w:kern w:val="0"/>
          <w:sz w:val="40"/>
          <w:szCs w:val="56"/>
          <w:highlight w:val="none"/>
          <w:lang w:val="en-US" w:eastAsia="zh-CN"/>
        </w:rPr>
        <w:t>目  录</w:t>
      </w:r>
    </w:p>
    <w:p w14:paraId="143B4646">
      <w:pPr>
        <w:pStyle w:val="18"/>
        <w:tabs>
          <w:tab w:val="right" w:leader="dot" w:pos="8306"/>
        </w:tabs>
        <w:spacing w:line="480" w:lineRule="auto"/>
        <w:rPr>
          <w:color w:val="auto"/>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_Toc27276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eastAsia="zh-CN"/>
        </w:rPr>
        <w:t>第一章</w:t>
      </w:r>
      <w:r>
        <w:rPr>
          <w:rFonts w:hint="eastAsia" w:ascii="宋体" w:hAnsi="宋体" w:eastAsia="宋体" w:cs="宋体"/>
          <w:color w:val="auto"/>
          <w:kern w:val="0"/>
          <w:szCs w:val="44"/>
          <w:highlight w:val="none"/>
          <w:lang w:val="en-US" w:eastAsia="zh-CN"/>
        </w:rPr>
        <w:t xml:space="preserve"> </w:t>
      </w:r>
      <w:r>
        <w:rPr>
          <w:rFonts w:hint="eastAsia" w:ascii="宋体" w:hAnsi="宋体" w:eastAsia="宋体" w:cs="宋体"/>
          <w:color w:val="auto"/>
          <w:kern w:val="0"/>
          <w:szCs w:val="44"/>
          <w:highlight w:val="none"/>
        </w:rPr>
        <w:t>招标公告</w:t>
      </w:r>
      <w:r>
        <w:rPr>
          <w:color w:val="auto"/>
          <w:highlight w:val="none"/>
        </w:rPr>
        <w:tab/>
      </w:r>
      <w:r>
        <w:rPr>
          <w:color w:val="auto"/>
          <w:highlight w:val="none"/>
        </w:rPr>
        <w:fldChar w:fldCharType="begin"/>
      </w:r>
      <w:r>
        <w:rPr>
          <w:color w:val="auto"/>
          <w:highlight w:val="none"/>
        </w:rPr>
        <w:instrText xml:space="preserve"> PAGEREF _Toc27276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eastAsia="宋体" w:cs="宋体"/>
          <w:color w:val="auto"/>
          <w:szCs w:val="24"/>
          <w:highlight w:val="none"/>
        </w:rPr>
        <w:fldChar w:fldCharType="end"/>
      </w:r>
    </w:p>
    <w:p w14:paraId="17E2D06A">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_Toc28956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eastAsia="zh-CN"/>
        </w:rPr>
        <w:t>第</w:t>
      </w:r>
      <w:r>
        <w:rPr>
          <w:rFonts w:hint="eastAsia" w:ascii="宋体" w:hAnsi="宋体" w:cs="宋体"/>
          <w:color w:val="auto"/>
          <w:kern w:val="0"/>
          <w:szCs w:val="44"/>
          <w:highlight w:val="none"/>
          <w:lang w:eastAsia="zh-CN"/>
        </w:rPr>
        <w:t>二</w:t>
      </w:r>
      <w:r>
        <w:rPr>
          <w:rFonts w:hint="eastAsia" w:ascii="宋体" w:hAnsi="宋体" w:eastAsia="宋体" w:cs="宋体"/>
          <w:color w:val="auto"/>
          <w:kern w:val="0"/>
          <w:szCs w:val="44"/>
          <w:highlight w:val="none"/>
          <w:lang w:eastAsia="zh-CN"/>
        </w:rPr>
        <w:t>章</w:t>
      </w:r>
      <w:r>
        <w:rPr>
          <w:rFonts w:hint="eastAsia" w:ascii="宋体" w:hAnsi="宋体" w:eastAsia="宋体" w:cs="宋体"/>
          <w:color w:val="auto"/>
          <w:kern w:val="0"/>
          <w:szCs w:val="44"/>
          <w:highlight w:val="none"/>
          <w:lang w:val="en-US" w:eastAsia="zh-CN"/>
        </w:rPr>
        <w:t xml:space="preserve"> </w:t>
      </w:r>
      <w:r>
        <w:rPr>
          <w:rFonts w:hint="eastAsia" w:ascii="宋体" w:hAnsi="宋体" w:cs="宋体"/>
          <w:color w:val="auto"/>
          <w:kern w:val="0"/>
          <w:szCs w:val="44"/>
          <w:highlight w:val="none"/>
          <w:lang w:eastAsia="zh-CN"/>
        </w:rPr>
        <w:t>投标人须知</w:t>
      </w:r>
      <w:r>
        <w:rPr>
          <w:color w:val="auto"/>
          <w:highlight w:val="none"/>
        </w:rPr>
        <w:tab/>
      </w:r>
      <w:r>
        <w:rPr>
          <w:color w:val="auto"/>
          <w:highlight w:val="none"/>
        </w:rPr>
        <w:fldChar w:fldCharType="begin"/>
      </w:r>
      <w:r>
        <w:rPr>
          <w:color w:val="auto"/>
          <w:highlight w:val="none"/>
        </w:rPr>
        <w:instrText xml:space="preserve"> PAGEREF _Toc28956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color w:val="auto"/>
          <w:szCs w:val="24"/>
          <w:highlight w:val="none"/>
        </w:rPr>
        <w:fldChar w:fldCharType="end"/>
      </w:r>
    </w:p>
    <w:p w14:paraId="523BA4C2">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_Toc15310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eastAsia="zh-CN"/>
        </w:rPr>
        <w:t>第</w:t>
      </w:r>
      <w:r>
        <w:rPr>
          <w:rFonts w:hint="eastAsia" w:ascii="宋体" w:hAnsi="宋体" w:cs="宋体"/>
          <w:color w:val="auto"/>
          <w:kern w:val="0"/>
          <w:szCs w:val="44"/>
          <w:highlight w:val="none"/>
          <w:lang w:eastAsia="zh-CN"/>
        </w:rPr>
        <w:t>三</w:t>
      </w:r>
      <w:r>
        <w:rPr>
          <w:rFonts w:hint="eastAsia" w:ascii="宋体" w:hAnsi="宋体" w:eastAsia="宋体" w:cs="宋体"/>
          <w:color w:val="auto"/>
          <w:kern w:val="0"/>
          <w:szCs w:val="44"/>
          <w:highlight w:val="none"/>
          <w:lang w:eastAsia="zh-CN"/>
        </w:rPr>
        <w:t>章</w:t>
      </w:r>
      <w:r>
        <w:rPr>
          <w:rFonts w:hint="eastAsia" w:ascii="宋体" w:hAnsi="宋体" w:eastAsia="宋体" w:cs="宋体"/>
          <w:color w:val="auto"/>
          <w:kern w:val="0"/>
          <w:szCs w:val="44"/>
          <w:highlight w:val="none"/>
          <w:lang w:val="en-US" w:eastAsia="zh-CN"/>
        </w:rPr>
        <w:t xml:space="preserve"> 评标办法</w:t>
      </w:r>
      <w:r>
        <w:rPr>
          <w:rFonts w:hint="eastAsia" w:ascii="宋体" w:hAnsi="宋体" w:cs="宋体"/>
          <w:color w:val="auto"/>
          <w:kern w:val="0"/>
          <w:szCs w:val="44"/>
          <w:highlight w:val="none"/>
          <w:lang w:val="en-US" w:eastAsia="zh-CN"/>
        </w:rPr>
        <w:t>（综合评估法）</w:t>
      </w:r>
      <w:r>
        <w:rPr>
          <w:color w:val="auto"/>
          <w:highlight w:val="none"/>
        </w:rPr>
        <w:tab/>
      </w:r>
      <w:r>
        <w:rPr>
          <w:color w:val="auto"/>
          <w:highlight w:val="none"/>
        </w:rPr>
        <w:fldChar w:fldCharType="begin"/>
      </w:r>
      <w:r>
        <w:rPr>
          <w:color w:val="auto"/>
          <w:highlight w:val="none"/>
        </w:rPr>
        <w:instrText xml:space="preserve"> PAGEREF _Toc15310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color w:val="auto"/>
          <w:szCs w:val="24"/>
          <w:highlight w:val="none"/>
        </w:rPr>
        <w:fldChar w:fldCharType="end"/>
      </w:r>
    </w:p>
    <w:p w14:paraId="2BAE8DFE">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_Toc19554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val="en-US" w:eastAsia="zh-CN"/>
        </w:rPr>
        <w:t>第四章 定标办法</w:t>
      </w:r>
      <w:r>
        <w:rPr>
          <w:rFonts w:hint="eastAsia" w:ascii="宋体" w:hAnsi="宋体" w:cs="宋体"/>
          <w:color w:val="auto"/>
          <w:kern w:val="0"/>
          <w:szCs w:val="44"/>
          <w:highlight w:val="none"/>
          <w:lang w:val="en-US" w:eastAsia="zh-CN"/>
        </w:rPr>
        <w:t>（核查随机法）</w:t>
      </w:r>
      <w:r>
        <w:rPr>
          <w:color w:val="auto"/>
          <w:highlight w:val="none"/>
        </w:rPr>
        <w:tab/>
      </w:r>
      <w:r>
        <w:rPr>
          <w:color w:val="auto"/>
          <w:highlight w:val="none"/>
        </w:rPr>
        <w:fldChar w:fldCharType="begin"/>
      </w:r>
      <w:r>
        <w:rPr>
          <w:color w:val="auto"/>
          <w:highlight w:val="none"/>
        </w:rPr>
        <w:instrText xml:space="preserve"> PAGEREF _Toc19554 \h </w:instrText>
      </w:r>
      <w:r>
        <w:rPr>
          <w:color w:val="auto"/>
          <w:highlight w:val="none"/>
        </w:rPr>
        <w:fldChar w:fldCharType="separate"/>
      </w:r>
      <w:r>
        <w:rPr>
          <w:color w:val="auto"/>
          <w:highlight w:val="none"/>
        </w:rPr>
        <w:t>36</w:t>
      </w:r>
      <w:r>
        <w:rPr>
          <w:color w:val="auto"/>
          <w:highlight w:val="none"/>
        </w:rPr>
        <w:fldChar w:fldCharType="end"/>
      </w:r>
      <w:r>
        <w:rPr>
          <w:rFonts w:hint="eastAsia" w:ascii="宋体" w:hAnsi="宋体" w:eastAsia="宋体" w:cs="宋体"/>
          <w:color w:val="auto"/>
          <w:szCs w:val="24"/>
          <w:highlight w:val="none"/>
        </w:rPr>
        <w:fldChar w:fldCharType="end"/>
      </w:r>
    </w:p>
    <w:p w14:paraId="11DB30F0">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_Toc3324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val="en-US" w:eastAsia="zh-CN"/>
        </w:rPr>
        <w:t>第五章 合同条款及格式</w:t>
      </w:r>
      <w:r>
        <w:rPr>
          <w:color w:val="auto"/>
          <w:highlight w:val="none"/>
        </w:rPr>
        <w:tab/>
      </w:r>
      <w:r>
        <w:rPr>
          <w:color w:val="auto"/>
          <w:highlight w:val="none"/>
        </w:rPr>
        <w:fldChar w:fldCharType="begin"/>
      </w:r>
      <w:r>
        <w:rPr>
          <w:color w:val="auto"/>
          <w:highlight w:val="none"/>
        </w:rPr>
        <w:instrText xml:space="preserve"> PAGEREF _Toc3324 \h </w:instrText>
      </w:r>
      <w:r>
        <w:rPr>
          <w:color w:val="auto"/>
          <w:highlight w:val="none"/>
        </w:rPr>
        <w:fldChar w:fldCharType="separate"/>
      </w:r>
      <w:r>
        <w:rPr>
          <w:color w:val="auto"/>
          <w:highlight w:val="none"/>
        </w:rPr>
        <w:t>42</w:t>
      </w:r>
      <w:r>
        <w:rPr>
          <w:color w:val="auto"/>
          <w:highlight w:val="none"/>
        </w:rPr>
        <w:fldChar w:fldCharType="end"/>
      </w:r>
      <w:r>
        <w:rPr>
          <w:rFonts w:hint="eastAsia" w:ascii="宋体" w:hAnsi="宋体" w:eastAsia="宋体" w:cs="宋体"/>
          <w:color w:val="auto"/>
          <w:szCs w:val="24"/>
          <w:highlight w:val="none"/>
        </w:rPr>
        <w:fldChar w:fldCharType="end"/>
      </w:r>
    </w:p>
    <w:p w14:paraId="546BF961">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_Toc3104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val="en-US" w:eastAsia="zh-CN"/>
        </w:rPr>
        <w:t>第六章 技术标准和要求</w:t>
      </w:r>
      <w:r>
        <w:rPr>
          <w:color w:val="auto"/>
          <w:highlight w:val="none"/>
        </w:rPr>
        <w:tab/>
      </w:r>
      <w:r>
        <w:rPr>
          <w:color w:val="auto"/>
          <w:highlight w:val="none"/>
        </w:rPr>
        <w:fldChar w:fldCharType="begin"/>
      </w:r>
      <w:r>
        <w:rPr>
          <w:color w:val="auto"/>
          <w:highlight w:val="none"/>
        </w:rPr>
        <w:instrText xml:space="preserve"> PAGEREF _Toc3104 \h </w:instrText>
      </w:r>
      <w:r>
        <w:rPr>
          <w:color w:val="auto"/>
          <w:highlight w:val="none"/>
        </w:rPr>
        <w:fldChar w:fldCharType="separate"/>
      </w:r>
      <w:r>
        <w:rPr>
          <w:color w:val="auto"/>
          <w:highlight w:val="none"/>
        </w:rPr>
        <w:t>50</w:t>
      </w:r>
      <w:r>
        <w:rPr>
          <w:color w:val="auto"/>
          <w:highlight w:val="none"/>
        </w:rPr>
        <w:fldChar w:fldCharType="end"/>
      </w:r>
      <w:r>
        <w:rPr>
          <w:rFonts w:hint="eastAsia" w:ascii="宋体" w:hAnsi="宋体" w:eastAsia="宋体" w:cs="宋体"/>
          <w:color w:val="auto"/>
          <w:szCs w:val="24"/>
          <w:highlight w:val="none"/>
        </w:rPr>
        <w:fldChar w:fldCharType="end"/>
      </w:r>
    </w:p>
    <w:p w14:paraId="59DF35E7">
      <w:pPr>
        <w:pStyle w:val="18"/>
        <w:tabs>
          <w:tab w:val="right" w:leader="dot" w:pos="8306"/>
        </w:tabs>
        <w:spacing w:line="480" w:lineRule="auto"/>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_Toc29032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kern w:val="0"/>
          <w:szCs w:val="44"/>
          <w:highlight w:val="none"/>
          <w:lang w:val="en-US" w:eastAsia="zh-CN"/>
        </w:rPr>
        <w:t>第七章 投标文件格式</w:t>
      </w:r>
      <w:r>
        <w:rPr>
          <w:color w:val="auto"/>
          <w:highlight w:val="none"/>
        </w:rPr>
        <w:tab/>
      </w:r>
      <w:r>
        <w:rPr>
          <w:color w:val="auto"/>
          <w:highlight w:val="none"/>
        </w:rPr>
        <w:fldChar w:fldCharType="begin"/>
      </w:r>
      <w:r>
        <w:rPr>
          <w:color w:val="auto"/>
          <w:highlight w:val="none"/>
        </w:rPr>
        <w:instrText xml:space="preserve"> PAGEREF _Toc29032 \h </w:instrText>
      </w:r>
      <w:r>
        <w:rPr>
          <w:color w:val="auto"/>
          <w:highlight w:val="none"/>
        </w:rPr>
        <w:fldChar w:fldCharType="separate"/>
      </w:r>
      <w:r>
        <w:rPr>
          <w:color w:val="auto"/>
          <w:highlight w:val="none"/>
        </w:rPr>
        <w:t>51</w:t>
      </w:r>
      <w:r>
        <w:rPr>
          <w:color w:val="auto"/>
          <w:highlight w:val="none"/>
        </w:rPr>
        <w:fldChar w:fldCharType="end"/>
      </w:r>
      <w:r>
        <w:rPr>
          <w:rFonts w:hint="eastAsia" w:ascii="宋体" w:hAnsi="宋体" w:eastAsia="宋体" w:cs="宋体"/>
          <w:color w:val="auto"/>
          <w:szCs w:val="24"/>
          <w:highlight w:val="none"/>
        </w:rPr>
        <w:fldChar w:fldCharType="end"/>
      </w:r>
    </w:p>
    <w:p w14:paraId="3CEB699D">
      <w:pPr>
        <w:pStyle w:val="19"/>
        <w:tabs>
          <w:tab w:val="right" w:leader="dot" w:pos="8306"/>
        </w:tabs>
        <w:rPr>
          <w:color w:val="auto"/>
          <w:highlight w:val="none"/>
        </w:rPr>
      </w:pPr>
    </w:p>
    <w:p w14:paraId="4B572FF1">
      <w:pPr>
        <w:spacing w:line="360" w:lineRule="auto"/>
        <w:rPr>
          <w:color w:val="auto"/>
          <w:highlight w:val="none"/>
        </w:rPr>
      </w:pPr>
      <w:r>
        <w:rPr>
          <w:rFonts w:hint="eastAsia" w:ascii="宋体" w:hAnsi="宋体" w:eastAsia="宋体" w:cs="宋体"/>
          <w:color w:val="auto"/>
          <w:szCs w:val="24"/>
          <w:highlight w:val="none"/>
        </w:rPr>
        <w:fldChar w:fldCharType="end"/>
      </w:r>
    </w:p>
    <w:p w14:paraId="76A19D2D">
      <w:pPr>
        <w:rPr>
          <w:color w:val="auto"/>
          <w:highlight w:val="none"/>
        </w:rPr>
      </w:pPr>
    </w:p>
    <w:p w14:paraId="696F57B4">
      <w:pPr>
        <w:pStyle w:val="6"/>
        <w:rPr>
          <w:color w:val="auto"/>
          <w:highlight w:val="none"/>
        </w:rPr>
      </w:pPr>
    </w:p>
    <w:p w14:paraId="570AFD7B">
      <w:pPr>
        <w:rPr>
          <w:color w:val="auto"/>
          <w:highlight w:val="none"/>
        </w:rPr>
        <w:sectPr>
          <w:pgSz w:w="11906" w:h="16838"/>
          <w:pgMar w:top="1440" w:right="1800" w:bottom="1440" w:left="1800" w:header="851" w:footer="992" w:gutter="0"/>
          <w:cols w:space="425" w:num="1"/>
          <w:docGrid w:type="lines" w:linePitch="312" w:charSpace="0"/>
        </w:sectPr>
      </w:pPr>
    </w:p>
    <w:p w14:paraId="1680E49E">
      <w:pPr>
        <w:spacing w:line="360" w:lineRule="auto"/>
        <w:jc w:val="center"/>
        <w:outlineLvl w:val="0"/>
        <w:rPr>
          <w:color w:val="auto"/>
          <w:highlight w:val="none"/>
        </w:rPr>
      </w:pPr>
      <w:bookmarkStart w:id="0" w:name="_Toc19414"/>
      <w:bookmarkStart w:id="1" w:name="_Toc30035"/>
      <w:bookmarkStart w:id="2" w:name="_Toc6440"/>
      <w:bookmarkStart w:id="3" w:name="_Toc27276"/>
      <w:bookmarkStart w:id="4" w:name="_Toc6793"/>
      <w:bookmarkStart w:id="5" w:name="_Toc22525"/>
      <w:r>
        <w:rPr>
          <w:rFonts w:hint="eastAsia" w:ascii="宋体" w:hAnsi="宋体" w:eastAsia="宋体" w:cs="宋体"/>
          <w:b/>
          <w:color w:val="auto"/>
          <w:kern w:val="0"/>
          <w:sz w:val="44"/>
          <w:szCs w:val="44"/>
          <w:highlight w:val="none"/>
          <w:lang w:eastAsia="zh-CN"/>
        </w:rPr>
        <w:t>第一章</w:t>
      </w:r>
      <w:r>
        <w:rPr>
          <w:rFonts w:hint="eastAsia" w:ascii="宋体" w:hAnsi="宋体" w:eastAsia="宋体" w:cs="宋体"/>
          <w:b/>
          <w:color w:val="auto"/>
          <w:kern w:val="0"/>
          <w:sz w:val="44"/>
          <w:szCs w:val="44"/>
          <w:highlight w:val="none"/>
          <w:lang w:val="en-US" w:eastAsia="zh-CN"/>
        </w:rPr>
        <w:t xml:space="preserve"> </w:t>
      </w:r>
      <w:r>
        <w:rPr>
          <w:rFonts w:hint="eastAsia" w:ascii="宋体" w:hAnsi="宋体" w:eastAsia="宋体" w:cs="宋体"/>
          <w:b/>
          <w:color w:val="auto"/>
          <w:kern w:val="0"/>
          <w:sz w:val="44"/>
          <w:szCs w:val="44"/>
          <w:highlight w:val="none"/>
        </w:rPr>
        <w:t>招标公告</w:t>
      </w:r>
      <w:bookmarkEnd w:id="0"/>
      <w:bookmarkEnd w:id="1"/>
      <w:bookmarkEnd w:id="2"/>
      <w:bookmarkEnd w:id="3"/>
      <w:bookmarkEnd w:id="4"/>
      <w:bookmarkEnd w:id="5"/>
    </w:p>
    <w:p w14:paraId="32C2DA18">
      <w:pPr>
        <w:pStyle w:val="21"/>
        <w:keepNext w:val="0"/>
        <w:keepLines w:val="0"/>
        <w:pageBreakBefore w:val="0"/>
        <w:widowControl w:val="0"/>
        <w:kinsoku/>
        <w:wordWrap w:val="0"/>
        <w:overflowPunct/>
        <w:topLinePunct w:val="0"/>
        <w:autoSpaceDE/>
        <w:autoSpaceDN/>
        <w:bidi w:val="0"/>
        <w:adjustRightInd/>
        <w:snapToGrid/>
        <w:spacing w:line="360" w:lineRule="auto"/>
        <w:ind w:right="0" w:rightChars="0"/>
        <w:textAlignment w:val="auto"/>
        <w:rPr>
          <w:rFonts w:hint="eastAsia" w:ascii="宋体" w:hAnsi="宋体" w:eastAsia="宋体" w:cs="宋体"/>
          <w:bCs/>
          <w:i w:val="0"/>
          <w:iCs w:val="0"/>
          <w:color w:val="auto"/>
          <w:sz w:val="32"/>
          <w:szCs w:val="32"/>
          <w:highlight w:val="none"/>
          <w:lang w:val="en-US" w:eastAsia="zh-CN"/>
        </w:rPr>
      </w:pPr>
      <w:bookmarkStart w:id="6" w:name="_Toc35242692"/>
      <w:bookmarkStart w:id="7" w:name="_Toc28162416"/>
      <w:r>
        <w:rPr>
          <w:rFonts w:hint="eastAsia" w:ascii="宋体" w:hAnsi="宋体" w:eastAsia="宋体" w:cs="宋体"/>
          <w:bCs/>
          <w:i w:val="0"/>
          <w:iCs w:val="0"/>
          <w:color w:val="auto"/>
          <w:sz w:val="32"/>
          <w:szCs w:val="32"/>
          <w:highlight w:val="none"/>
          <w:lang w:val="en-US" w:eastAsia="zh-CN"/>
        </w:rPr>
        <w:t>确山县老乐山区建筑石料用灰岩矿山生态修复工程（河南桐柏-大别山历史遗留废弃矿山生态修复示范工程子项目Ⅱ-2）施工项目招标公告</w:t>
      </w:r>
    </w:p>
    <w:p w14:paraId="740E715F">
      <w:pPr>
        <w:pStyle w:val="23"/>
        <w:pageBreakBefore w:val="0"/>
        <w:wordWrap w:val="0"/>
        <w:bidi w:val="0"/>
        <w:spacing w:line="360" w:lineRule="auto"/>
        <w:ind w:left="0" w:leftChars="0" w:firstLine="0" w:firstLineChars="0"/>
        <w:jc w:val="center"/>
        <w:textAlignment w:val="auto"/>
        <w:outlineLvl w:val="9"/>
        <w:rPr>
          <w:rFonts w:hint="eastAsia" w:ascii="宋体" w:hAnsi="宋体" w:eastAsia="宋体" w:cs="宋体"/>
          <w:color w:val="auto"/>
          <w:sz w:val="18"/>
          <w:szCs w:val="18"/>
          <w:highlight w:val="none"/>
        </w:rPr>
      </w:pPr>
      <w:r>
        <w:rPr>
          <w:rFonts w:hint="eastAsia" w:ascii="宋体" w:hAnsi="宋体" w:eastAsia="宋体" w:cs="宋体"/>
          <w:bCs/>
          <w:color w:val="auto"/>
          <w:kern w:val="0"/>
          <w:sz w:val="22"/>
          <w:szCs w:val="20"/>
          <w:highlight w:val="none"/>
        </w:rPr>
        <w:t>（采用</w:t>
      </w:r>
      <w:r>
        <w:rPr>
          <w:rFonts w:hint="eastAsia" w:ascii="宋体" w:hAnsi="宋体" w:eastAsia="宋体" w:cs="宋体"/>
          <w:color w:val="auto"/>
          <w:kern w:val="0"/>
          <w:sz w:val="22"/>
          <w:szCs w:val="20"/>
          <w:highlight w:val="none"/>
        </w:rPr>
        <w:t>电子标书和计算机辅助评标及不见面开标方式</w:t>
      </w:r>
      <w:r>
        <w:rPr>
          <w:rFonts w:hint="eastAsia" w:ascii="宋体" w:hAnsi="宋体" w:eastAsia="宋体" w:cs="宋体"/>
          <w:bCs/>
          <w:color w:val="auto"/>
          <w:kern w:val="0"/>
          <w:sz w:val="22"/>
          <w:szCs w:val="20"/>
          <w:highlight w:val="none"/>
        </w:rPr>
        <w:t>）</w:t>
      </w:r>
      <w:bookmarkEnd w:id="6"/>
      <w:bookmarkEnd w:id="7"/>
    </w:p>
    <w:p w14:paraId="25366C1D">
      <w:pPr>
        <w:keepNext w:val="0"/>
        <w:keepLines w:val="0"/>
        <w:pageBreakBefore w:val="0"/>
        <w:kinsoku/>
        <w:wordWrap w:val="0"/>
        <w:overflowPunct/>
        <w:topLinePunct w:val="0"/>
        <w:autoSpaceDE/>
        <w:autoSpaceDN/>
        <w:bidi w:val="0"/>
        <w:adjustRightInd/>
        <w:snapToGrid/>
        <w:spacing w:line="360" w:lineRule="auto"/>
        <w:ind w:right="115" w:rightChars="55"/>
        <w:jc w:val="center"/>
        <w:textAlignment w:val="auto"/>
        <w:outlineLvl w:val="9"/>
        <w:rPr>
          <w:rFonts w:hint="eastAsia" w:ascii="宋体" w:hAnsi="宋体" w:eastAsia="宋体" w:cs="宋体"/>
          <w:b/>
          <w:color w:val="auto"/>
          <w:kern w:val="0"/>
          <w:sz w:val="22"/>
          <w:szCs w:val="22"/>
          <w:highlight w:val="none"/>
          <w:lang w:val="en-US" w:eastAsia="zh-CN"/>
        </w:rPr>
      </w:pPr>
      <w:r>
        <w:rPr>
          <w:rFonts w:hint="eastAsia" w:ascii="宋体" w:hAnsi="宋体" w:eastAsia="宋体" w:cs="宋体"/>
          <w:b/>
          <w:color w:val="auto"/>
          <w:kern w:val="0"/>
          <w:sz w:val="22"/>
          <w:szCs w:val="22"/>
          <w:highlight w:val="none"/>
        </w:rPr>
        <w:t>项目编号：</w:t>
      </w:r>
      <w:bookmarkStart w:id="8" w:name="_Toc646"/>
      <w:r>
        <w:rPr>
          <w:rFonts w:hint="eastAsia" w:ascii="宋体" w:hAnsi="宋体" w:eastAsia="宋体" w:cs="宋体"/>
          <w:b/>
          <w:color w:val="auto"/>
          <w:kern w:val="0"/>
          <w:sz w:val="22"/>
          <w:szCs w:val="22"/>
          <w:highlight w:val="none"/>
        </w:rPr>
        <w:t>确政采</w:t>
      </w:r>
      <w:r>
        <w:rPr>
          <w:rFonts w:hint="eastAsia" w:ascii="宋体" w:hAnsi="宋体" w:eastAsia="宋体" w:cs="宋体"/>
          <w:b/>
          <w:color w:val="auto"/>
          <w:kern w:val="0"/>
          <w:sz w:val="22"/>
          <w:szCs w:val="22"/>
          <w:highlight w:val="none"/>
          <w:lang w:val="en-US" w:eastAsia="zh-CN"/>
        </w:rPr>
        <w:t>招</w:t>
      </w:r>
      <w:r>
        <w:rPr>
          <w:rFonts w:hint="eastAsia" w:ascii="宋体" w:hAnsi="宋体" w:eastAsia="宋体" w:cs="宋体"/>
          <w:b/>
          <w:color w:val="auto"/>
          <w:kern w:val="0"/>
          <w:sz w:val="22"/>
          <w:szCs w:val="22"/>
          <w:highlight w:val="none"/>
        </w:rPr>
        <w:t>-2026-</w:t>
      </w:r>
      <w:r>
        <w:rPr>
          <w:rFonts w:hint="eastAsia" w:ascii="宋体" w:hAnsi="宋体" w:eastAsia="宋体" w:cs="宋体"/>
          <w:b/>
          <w:color w:val="auto"/>
          <w:kern w:val="0"/>
          <w:sz w:val="22"/>
          <w:szCs w:val="22"/>
          <w:highlight w:val="none"/>
          <w:lang w:val="en-US" w:eastAsia="zh-CN"/>
        </w:rPr>
        <w:t>08</w:t>
      </w:r>
      <w:r>
        <w:rPr>
          <w:rFonts w:hint="eastAsia" w:ascii="宋体" w:hAnsi="宋体" w:eastAsia="宋体" w:cs="宋体"/>
          <w:b/>
          <w:color w:val="auto"/>
          <w:kern w:val="0"/>
          <w:sz w:val="22"/>
          <w:szCs w:val="22"/>
          <w:highlight w:val="none"/>
        </w:rPr>
        <w:t>-</w:t>
      </w:r>
      <w:r>
        <w:rPr>
          <w:rFonts w:hint="eastAsia" w:ascii="宋体" w:hAnsi="宋体" w:eastAsia="宋体" w:cs="宋体"/>
          <w:b/>
          <w:color w:val="auto"/>
          <w:kern w:val="0"/>
          <w:sz w:val="22"/>
          <w:szCs w:val="22"/>
          <w:highlight w:val="none"/>
          <w:lang w:val="en-US" w:eastAsia="zh-CN"/>
        </w:rPr>
        <w:t>4</w:t>
      </w:r>
    </w:p>
    <w:p w14:paraId="013245B8">
      <w:pPr>
        <w:keepNext w:val="0"/>
        <w:keepLines w:val="0"/>
        <w:pageBreakBefore w:val="0"/>
        <w:kinsoku/>
        <w:wordWrap w:val="0"/>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招标条件</w:t>
      </w:r>
      <w:bookmarkEnd w:id="8"/>
    </w:p>
    <w:p w14:paraId="5EB85E89">
      <w:pPr>
        <w:keepNext w:val="0"/>
        <w:keepLines w:val="0"/>
        <w:pageBreakBefore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bookmarkStart w:id="9" w:name="_Toc20873"/>
      <w:r>
        <w:rPr>
          <w:rFonts w:hint="eastAsia" w:ascii="宋体" w:hAnsi="宋体" w:eastAsia="宋体" w:cs="宋体"/>
          <w:color w:val="auto"/>
          <w:sz w:val="21"/>
          <w:szCs w:val="21"/>
          <w:highlight w:val="none"/>
          <w:lang w:val="en-US" w:eastAsia="zh-CN"/>
        </w:rPr>
        <w:t>确山县老乐山区建筑石料用灰岩矿山生态修复工程（河南桐柏-大别山历史遗留废弃矿山生态修复示范工程子项目Ⅱ-2）施工项目已经相关部门备案批准实施，项目代码：2508-411725-04-05-535244，招标人为确山县自然资源局，建设资金为中央财政资金及县财政配套资金，项目已具备招标条件，现对本项目的施工、监理进行公开招标，欢迎符合条件的潜在投标人参加投标活动。</w:t>
      </w:r>
    </w:p>
    <w:p w14:paraId="208A5E55">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highlight w:val="none"/>
          <w:lang w:val="en-US" w:eastAsia="zh-CN" w:bidi="ar-SA"/>
        </w:rPr>
        <w:t>2.</w:t>
      </w:r>
      <w:r>
        <w:rPr>
          <w:rFonts w:hint="eastAsia" w:ascii="宋体" w:hAnsi="宋体" w:eastAsia="宋体" w:cs="宋体"/>
          <w:b/>
          <w:color w:val="auto"/>
          <w:sz w:val="21"/>
          <w:szCs w:val="21"/>
          <w:highlight w:val="none"/>
        </w:rPr>
        <w:t>项目概况与招标范围</w:t>
      </w:r>
      <w:bookmarkEnd w:id="9"/>
    </w:p>
    <w:p w14:paraId="76626DE5">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2.1</w:t>
      </w:r>
      <w:r>
        <w:rPr>
          <w:rFonts w:hint="eastAsia" w:ascii="宋体" w:hAnsi="宋体" w:eastAsia="宋体" w:cs="宋体"/>
          <w:bCs/>
          <w:color w:val="auto"/>
          <w:sz w:val="21"/>
          <w:szCs w:val="21"/>
          <w:highlight w:val="none"/>
          <w:lang w:val="en-US" w:eastAsia="zh-CN"/>
        </w:rPr>
        <w:t>项目名称：</w:t>
      </w:r>
      <w:bookmarkStart w:id="10" w:name="_Toc23832"/>
      <w:r>
        <w:rPr>
          <w:rFonts w:hint="eastAsia" w:ascii="宋体" w:hAnsi="宋体" w:eastAsia="宋体" w:cs="宋体"/>
          <w:bCs/>
          <w:color w:val="auto"/>
          <w:sz w:val="21"/>
          <w:szCs w:val="21"/>
          <w:highlight w:val="none"/>
          <w:lang w:val="en-US" w:eastAsia="zh-CN"/>
        </w:rPr>
        <w:t>确山县老乐山区建筑石料用灰岩矿山生态修复工程（河南桐柏-大别山历史遗留废弃矿山生态修复示范工程子项目Ⅱ-2）施工项目</w:t>
      </w:r>
    </w:p>
    <w:p w14:paraId="21229C92">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2.2建设地点：确山县境内；</w:t>
      </w:r>
    </w:p>
    <w:p w14:paraId="3E73339B">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2.3</w:t>
      </w:r>
      <w:bookmarkStart w:id="11" w:name="OLE_LINK12"/>
      <w:bookmarkStart w:id="12" w:name="OLE_LINK11"/>
      <w:r>
        <w:rPr>
          <w:rFonts w:hint="eastAsia" w:ascii="宋体" w:hAnsi="宋体" w:eastAsia="宋体" w:cs="宋体"/>
          <w:color w:val="auto"/>
          <w:kern w:val="0"/>
          <w:sz w:val="22"/>
          <w:szCs w:val="22"/>
        </w:rPr>
        <w:t>项目</w:t>
      </w:r>
      <w:r>
        <w:rPr>
          <w:rFonts w:hint="eastAsia" w:ascii="宋体" w:hAnsi="宋体" w:eastAsia="宋体" w:cs="宋体"/>
          <w:bCs/>
          <w:color w:val="auto"/>
          <w:sz w:val="21"/>
          <w:szCs w:val="21"/>
          <w:highlight w:val="none"/>
          <w:lang w:val="en-US" w:eastAsia="zh-CN"/>
        </w:rPr>
        <w:t>概况：本项目规划设计修复治理总面积为269.7公顷(4</w:t>
      </w:r>
      <w:r>
        <w:rPr>
          <w:rFonts w:hint="eastAsia" w:ascii="宋体" w:hAnsi="宋体" w:cs="宋体"/>
          <w:bCs/>
          <w:color w:val="auto"/>
          <w:sz w:val="21"/>
          <w:szCs w:val="21"/>
          <w:highlight w:val="none"/>
          <w:lang w:val="en-US" w:eastAsia="zh-CN"/>
        </w:rPr>
        <w:t>045.5</w:t>
      </w:r>
      <w:r>
        <w:rPr>
          <w:rFonts w:hint="eastAsia" w:ascii="宋体" w:hAnsi="宋体" w:eastAsia="宋体" w:cs="宋体"/>
          <w:bCs/>
          <w:color w:val="auto"/>
          <w:sz w:val="21"/>
          <w:szCs w:val="21"/>
          <w:highlight w:val="none"/>
          <w:lang w:val="en-US" w:eastAsia="zh-CN"/>
        </w:rPr>
        <w:t>亩)，主要建设内容为:矿山地质环境治理工程、地形重塑工程、土壤重构工程、植被重建工程、废弃及受损土地复垦利用工程、监测评估工程和后期管护工程。</w:t>
      </w:r>
      <w:bookmarkEnd w:id="11"/>
      <w:bookmarkEnd w:id="12"/>
    </w:p>
    <w:p w14:paraId="4CFC76DB">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2.4标段划分：本项目共分2个标段，施工标段和监理标段。</w:t>
      </w:r>
    </w:p>
    <w:p w14:paraId="5D52F8DD">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2.5招标范围：</w:t>
      </w:r>
    </w:p>
    <w:p w14:paraId="633A6DA0">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2.5.1施工标段招标范围：本项目施工图纸、工程量清单和招标文件所含全部内容；</w:t>
      </w:r>
    </w:p>
    <w:p w14:paraId="0F71F2AD">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2.5.2监理标段招标范围：项目实施及缺陷责任期全过程监理服务。</w:t>
      </w:r>
    </w:p>
    <w:p w14:paraId="74F62634">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2.6质量要求：</w:t>
      </w:r>
    </w:p>
    <w:p w14:paraId="100B22E9">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2.6.1施工标段质量要求：合格；</w:t>
      </w:r>
    </w:p>
    <w:p w14:paraId="655C2313">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2.6.2 监理标段质量要求：达到国家及地方现行施工质量验收规范合格等级标准。</w:t>
      </w:r>
    </w:p>
    <w:p w14:paraId="52E01617">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2.7工   期：</w:t>
      </w:r>
    </w:p>
    <w:p w14:paraId="301C67F2">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2.7.1施工标段：820日历天；</w:t>
      </w:r>
    </w:p>
    <w:p w14:paraId="604C39E8">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2.7.2监理标段：同施工工期，控制在招标人与施工中标单位签订的合同工期之内（考虑正常延期）。</w:t>
      </w:r>
    </w:p>
    <w:p w14:paraId="23A68A3D">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2.8项目招标控制价：施工标段85319688.96元，监理标段1207100.00元。</w:t>
      </w:r>
    </w:p>
    <w:p w14:paraId="36D54F22">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bCs/>
          <w:color w:val="auto"/>
          <w:sz w:val="21"/>
          <w:szCs w:val="21"/>
          <w:highlight w:val="none"/>
          <w:lang w:val="en-US" w:eastAsia="zh-CN"/>
        </w:rPr>
        <w:t>2.9</w:t>
      </w:r>
      <w:r>
        <w:rPr>
          <w:rFonts w:hint="eastAsia" w:ascii="宋体" w:hAnsi="宋体" w:eastAsia="宋体" w:cs="宋体"/>
          <w:color w:val="auto"/>
          <w:sz w:val="21"/>
          <w:szCs w:val="21"/>
          <w:highlight w:val="none"/>
          <w:shd w:val="clear" w:color="auto" w:fill="FFFFFF"/>
          <w:lang w:val="en-US" w:eastAsia="zh-CN"/>
        </w:rPr>
        <w:t>本项目</w:t>
      </w:r>
      <w:r>
        <w:rPr>
          <w:rFonts w:hint="eastAsia" w:ascii="宋体" w:hAnsi="宋体" w:eastAsia="宋体" w:cs="宋体"/>
          <w:color w:val="auto"/>
          <w:sz w:val="21"/>
          <w:szCs w:val="21"/>
          <w:highlight w:val="none"/>
          <w:shd w:val="clear" w:color="auto" w:fill="FFFFFF"/>
          <w:lang w:eastAsia="zh-CN"/>
        </w:rPr>
        <w:t>采用</w:t>
      </w:r>
      <w:r>
        <w:rPr>
          <w:rFonts w:hint="eastAsia" w:ascii="宋体" w:hAnsi="宋体" w:eastAsia="宋体" w:cs="宋体"/>
          <w:b/>
          <w:bCs/>
          <w:color w:val="auto"/>
          <w:sz w:val="21"/>
          <w:szCs w:val="21"/>
          <w:highlight w:val="none"/>
          <w:shd w:val="clear" w:color="auto" w:fill="FFFFFF"/>
          <w:lang w:eastAsia="zh-CN"/>
        </w:rPr>
        <w:t>评定分离</w:t>
      </w:r>
      <w:r>
        <w:rPr>
          <w:rFonts w:hint="eastAsia" w:ascii="宋体" w:hAnsi="宋体" w:eastAsia="宋体" w:cs="宋体"/>
          <w:color w:val="auto"/>
          <w:sz w:val="21"/>
          <w:szCs w:val="21"/>
          <w:highlight w:val="none"/>
          <w:shd w:val="clear" w:color="auto" w:fill="FFFFFF"/>
          <w:lang w:eastAsia="zh-CN"/>
        </w:rPr>
        <w:t>方式确定中标人。</w:t>
      </w:r>
    </w:p>
    <w:p w14:paraId="33A509B9">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评标办法：采用“综合评估法”的方式；</w:t>
      </w:r>
    </w:p>
    <w:p w14:paraId="2B78203C">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lang w:val="en-US" w:eastAsia="zh-CN"/>
        </w:rPr>
        <w:t>定标办法：采用“核查随机法”的方式。</w:t>
      </w:r>
    </w:p>
    <w:bookmarkEnd w:id="10"/>
    <w:p w14:paraId="5F1000EA">
      <w:pPr>
        <w:keepNext w:val="0"/>
        <w:keepLines w:val="0"/>
        <w:pageBreakBefore w:val="0"/>
        <w:numPr>
          <w:ilvl w:val="0"/>
          <w:numId w:val="0"/>
        </w:numPr>
        <w:kinsoku/>
        <w:wordWrap w:val="0"/>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3.投标人资格要求：</w:t>
      </w:r>
    </w:p>
    <w:p w14:paraId="46AAF3E9">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3.1 施工标段：</w:t>
      </w:r>
    </w:p>
    <w:p w14:paraId="7519B732">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3.1.1具有独立企业法人资格，具备有效的营业执照；</w:t>
      </w:r>
    </w:p>
    <w:p w14:paraId="2DF209B9">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3.1.2投标人具有自然资源管理部门（或原国土资源部门）颁发的地质灾害防治施工甲级资质，具备有效的安全生产许可证，并在人员、设备、资金等方面具有相应的施工能力；</w:t>
      </w:r>
    </w:p>
    <w:p w14:paraId="244C78C7">
      <w:pPr>
        <w:spacing w:line="360" w:lineRule="auto"/>
        <w:ind w:firstLine="420"/>
        <w:jc w:val="left"/>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3.1.3投标人拟派项目负责人须具有地质类等相关专业高级（含）以上技术职称证，且未担任其他在建项目的项目负责人（出具无在建工程承诺书），同时提供劳动合同及近期的社保证明(或依法免交社保证明)；</w:t>
      </w:r>
    </w:p>
    <w:p w14:paraId="6FD16D86">
      <w:pPr>
        <w:spacing w:line="360" w:lineRule="auto"/>
        <w:ind w:firstLine="420"/>
        <w:jc w:val="left"/>
        <w:rPr>
          <w:rFonts w:hint="eastAsia" w:ascii="宋体" w:hAnsi="宋体"/>
          <w:kern w:val="0"/>
          <w:sz w:val="21"/>
          <w:szCs w:val="21"/>
          <w:shd w:val="clear" w:color="auto" w:fill="FFFFFF"/>
        </w:rPr>
      </w:pPr>
      <w:r>
        <w:rPr>
          <w:rFonts w:hint="eastAsia" w:ascii="宋体" w:hAnsi="宋体" w:eastAsia="宋体" w:cs="宋体"/>
          <w:color w:val="auto"/>
          <w:kern w:val="0"/>
          <w:sz w:val="21"/>
          <w:szCs w:val="21"/>
          <w:highlight w:val="none"/>
          <w:shd w:val="clear" w:color="auto" w:fill="FFFFFF"/>
          <w:lang w:val="en-US" w:eastAsia="zh-CN" w:bidi="ar-SA"/>
        </w:rPr>
        <w:t>3.1.4本标段接受联合体投标；</w:t>
      </w:r>
    </w:p>
    <w:p w14:paraId="6BB1F2A7">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3.2监理标段：</w:t>
      </w:r>
    </w:p>
    <w:p w14:paraId="05972ED4">
      <w:pPr>
        <w:keepNext w:val="0"/>
        <w:keepLines w:val="0"/>
        <w:pageBreakBefore w:val="0"/>
        <w:widowControl/>
        <w:kinsoku/>
        <w:overflowPunct/>
        <w:topLinePunct w:val="0"/>
        <w:autoSpaceDE/>
        <w:autoSpaceDN/>
        <w:bidi w:val="0"/>
        <w:spacing w:before="0" w:beforeAutospacing="0" w:after="0" w:afterAutospacing="0" w:line="360" w:lineRule="auto"/>
        <w:ind w:left="399" w:leftChars="190" w:right="0" w:rightChars="0" w:firstLine="0" w:firstLineChars="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3.2.1具有独立企业法人资格，具备有效的营业执照；</w:t>
      </w:r>
      <w:r>
        <w:rPr>
          <w:rFonts w:hint="eastAsia" w:ascii="宋体" w:hAnsi="宋体" w:eastAsia="宋体" w:cs="宋体"/>
          <w:color w:val="auto"/>
          <w:kern w:val="0"/>
          <w:sz w:val="21"/>
          <w:szCs w:val="21"/>
          <w:highlight w:val="none"/>
          <w:shd w:val="clear" w:color="auto" w:fill="FFFFFF"/>
          <w:lang w:val="en-US" w:eastAsia="zh-CN" w:bidi="ar-SA"/>
        </w:rPr>
        <w:br w:type="textWrapping"/>
      </w:r>
      <w:r>
        <w:rPr>
          <w:rFonts w:hint="eastAsia" w:ascii="宋体" w:hAnsi="宋体" w:eastAsia="宋体" w:cs="宋体"/>
          <w:color w:val="auto"/>
          <w:kern w:val="0"/>
          <w:sz w:val="21"/>
          <w:szCs w:val="21"/>
          <w:highlight w:val="none"/>
          <w:shd w:val="clear" w:color="auto" w:fill="FFFFFF"/>
          <w:lang w:val="en-US" w:eastAsia="zh-CN" w:bidi="ar-SA"/>
        </w:rPr>
        <w:t>3.2.2投标人具有自然资源（原国土资源）主管部门颁发的地质灾害治理工程监理甲级资质；</w:t>
      </w:r>
    </w:p>
    <w:p w14:paraId="3CA81828">
      <w:pPr>
        <w:spacing w:line="360" w:lineRule="auto"/>
        <w:ind w:firstLine="420"/>
        <w:jc w:val="left"/>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3.2.3投标人拟派项目总监须具有地质类相关专业高级</w:t>
      </w:r>
      <w:r>
        <w:rPr>
          <w:rFonts w:hint="eastAsia" w:ascii="宋体" w:hAnsi="宋体" w:cs="宋体"/>
          <w:color w:val="auto"/>
          <w:kern w:val="0"/>
          <w:sz w:val="21"/>
          <w:szCs w:val="21"/>
          <w:highlight w:val="none"/>
          <w:shd w:val="clear" w:color="auto" w:fill="FFFFFF"/>
          <w:lang w:val="en-US" w:eastAsia="zh-CN" w:bidi="ar-SA"/>
        </w:rPr>
        <w:t>及以上</w:t>
      </w:r>
      <w:r>
        <w:rPr>
          <w:rFonts w:hint="eastAsia" w:ascii="宋体" w:hAnsi="宋体" w:eastAsia="宋体" w:cs="宋体"/>
          <w:color w:val="auto"/>
          <w:kern w:val="0"/>
          <w:sz w:val="21"/>
          <w:szCs w:val="21"/>
          <w:highlight w:val="none"/>
          <w:shd w:val="clear" w:color="auto" w:fill="FFFFFF"/>
          <w:lang w:val="en-US" w:eastAsia="zh-CN" w:bidi="ar-SA"/>
        </w:rPr>
        <w:t>技术职称证书及有效的</w:t>
      </w:r>
      <w:r>
        <w:rPr>
          <w:rFonts w:hint="eastAsia" w:ascii="宋体" w:hAnsi="宋体" w:cs="宋体"/>
          <w:color w:val="auto"/>
          <w:kern w:val="0"/>
          <w:sz w:val="21"/>
          <w:szCs w:val="21"/>
          <w:highlight w:val="none"/>
          <w:shd w:val="clear" w:color="auto" w:fill="FFFFFF"/>
          <w:lang w:val="en-US" w:eastAsia="zh-CN" w:bidi="ar-SA"/>
        </w:rPr>
        <w:t>注册</w:t>
      </w:r>
      <w:r>
        <w:rPr>
          <w:rFonts w:hint="eastAsia" w:ascii="宋体" w:hAnsi="宋体" w:eastAsia="宋体" w:cs="宋体"/>
          <w:color w:val="auto"/>
          <w:kern w:val="0"/>
          <w:sz w:val="21"/>
          <w:szCs w:val="21"/>
          <w:highlight w:val="none"/>
          <w:shd w:val="clear" w:color="auto" w:fill="FFFFFF"/>
          <w:lang w:val="en-US" w:eastAsia="zh-CN" w:bidi="ar-SA"/>
        </w:rPr>
        <w:t>监理</w:t>
      </w:r>
      <w:r>
        <w:rPr>
          <w:rFonts w:hint="eastAsia" w:ascii="宋体" w:hAnsi="宋体" w:cs="宋体"/>
          <w:color w:val="auto"/>
          <w:kern w:val="0"/>
          <w:sz w:val="21"/>
          <w:szCs w:val="21"/>
          <w:highlight w:val="none"/>
          <w:shd w:val="clear" w:color="auto" w:fill="FFFFFF"/>
          <w:lang w:val="en-US" w:eastAsia="zh-CN" w:bidi="ar-SA"/>
        </w:rPr>
        <w:t>工程师证书</w:t>
      </w:r>
      <w:r>
        <w:rPr>
          <w:rFonts w:hint="eastAsia" w:ascii="宋体" w:hAnsi="宋体" w:eastAsia="宋体" w:cs="宋体"/>
          <w:color w:val="auto"/>
          <w:kern w:val="0"/>
          <w:sz w:val="21"/>
          <w:szCs w:val="21"/>
          <w:highlight w:val="none"/>
          <w:shd w:val="clear" w:color="auto" w:fill="FFFFFF"/>
          <w:lang w:val="en-US" w:eastAsia="zh-CN" w:bidi="ar-SA"/>
        </w:rPr>
        <w:t>，同时提供劳动合同及近期的社保证明(或依法免交社保证明)；</w:t>
      </w:r>
    </w:p>
    <w:p w14:paraId="0F3E35DE">
      <w:pPr>
        <w:spacing w:line="360" w:lineRule="auto"/>
        <w:ind w:firstLine="420"/>
        <w:jc w:val="left"/>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3.2.4本标段不接受联合体投标；</w:t>
      </w:r>
    </w:p>
    <w:p w14:paraId="642B53EF">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kern w:val="0"/>
          <w:sz w:val="21"/>
          <w:szCs w:val="21"/>
          <w:shd w:val="clear" w:color="auto" w:fill="FFFFFF"/>
        </w:rPr>
      </w:pPr>
      <w:r>
        <w:rPr>
          <w:rFonts w:hint="eastAsia" w:ascii="宋体" w:hAnsi="宋体" w:eastAsia="宋体" w:cs="宋体"/>
          <w:color w:val="auto"/>
          <w:kern w:val="0"/>
          <w:sz w:val="21"/>
          <w:szCs w:val="21"/>
          <w:highlight w:val="none"/>
          <w:shd w:val="clear" w:color="auto" w:fill="FFFFFF"/>
          <w:lang w:val="en-US" w:eastAsia="zh-CN" w:bidi="ar-SA"/>
        </w:rPr>
        <w:t>3.3投标人没有处于财产被接管、冻结、破产状态，投标人须提供2023、2024、2025年度经会计事务所或第三方审计机构审计后的财务报告</w:t>
      </w:r>
      <w:r>
        <w:rPr>
          <w:rFonts w:hint="eastAsia" w:ascii="宋体" w:hAnsi="宋体"/>
          <w:kern w:val="0"/>
          <w:sz w:val="21"/>
          <w:szCs w:val="21"/>
          <w:shd w:val="clear" w:color="auto" w:fill="FFFFFF"/>
        </w:rPr>
        <w:t>（成立不足三年的公司从成立之日起计算；新成立或成立不足一年的公司，提供基本开户银行出具的资信证明）</w:t>
      </w:r>
      <w:r>
        <w:rPr>
          <w:rFonts w:hint="eastAsia" w:ascii="宋体" w:hAnsi="宋体" w:eastAsia="宋体" w:cs="宋体"/>
          <w:color w:val="auto"/>
          <w:kern w:val="0"/>
          <w:sz w:val="21"/>
          <w:szCs w:val="21"/>
          <w:highlight w:val="none"/>
          <w:shd w:val="clear" w:color="auto" w:fill="FFFFFF"/>
          <w:lang w:val="en-US" w:eastAsia="zh-CN" w:bidi="ar-SA"/>
        </w:rPr>
        <w:t>；</w:t>
      </w:r>
    </w:p>
    <w:p w14:paraId="17013191">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3.4投标人需提供近3年内（响应文件递交截止之日往前推算）与本项目同类相关业绩不少于2个（以合同签订时间为准，提供中标通知书、合同原件扫描件及中标公示网页截图）。</w:t>
      </w:r>
    </w:p>
    <w:p w14:paraId="228B1E37">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3.5投标人须提供“信用中国”网站（www.creditchina.gov.cn）“失信被执行人”（此项查询以信用中国网站自动链接至中国执行信息公开网的查询结果为准）和“重大税收违法失信主体”，“中国政府采购网”网站（www.ccgp.gov.cn）的“政府采购严重违法失信行为名单”查询结果页面，若有不良记录投标无效。（查询日期为招标公告发布日期之后，投标人出具网页加盖企业公章）。    </w:t>
      </w:r>
    </w:p>
    <w:p w14:paraId="2908835A">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3.6单位负责人为同一人或者存在控股、管理关系的不同单位，不得同时参加同一标段投标；须提供加盖单位公章的“国家企业信用信息公示系统”中公示的公司信息、股东或投资人信息；</w:t>
      </w:r>
    </w:p>
    <w:p w14:paraId="4B28ECAE">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3.7信誉要求：</w:t>
      </w:r>
    </w:p>
    <w:p w14:paraId="3F1FB692">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投标人及其法定代表人和项目负责人、项目总监理工程师不得存在以下情形：</w:t>
      </w:r>
    </w:p>
    <w:p w14:paraId="641E1D0E">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被列入国家企业信用信息公示系统“严重违法失信名单”且在管理期限内的（投标人）；</w:t>
      </w:r>
    </w:p>
    <w:p w14:paraId="49C16B91">
      <w:pPr>
        <w:keepNext w:val="0"/>
        <w:keepLines w:val="0"/>
        <w:pageBreakBefore w:val="0"/>
        <w:widowControl/>
        <w:kinsoku/>
        <w:overflowPunct/>
        <w:topLinePunct w:val="0"/>
        <w:autoSpaceDE/>
        <w:autoSpaceDN/>
        <w:bidi w:val="0"/>
        <w:spacing w:before="0" w:beforeAutospacing="0" w:after="0" w:afterAutospacing="0" w:line="360" w:lineRule="auto"/>
        <w:ind w:right="0" w:rightChars="0" w:firstLine="420" w:firstLineChars="200"/>
        <w:jc w:val="left"/>
        <w:textAlignment w:val="auto"/>
        <w:outlineLvl w:val="9"/>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投标人需提供上述途径查询结果截图，并对其真实性负责。查询时间为招标公告发布之日后，投标截止时间前，查询结果需显示时间。若存在一个及以上记录的，其投标资格应予以否决。</w:t>
      </w:r>
    </w:p>
    <w:p w14:paraId="1F876393">
      <w:pPr>
        <w:keepNext w:val="0"/>
        <w:keepLines w:val="0"/>
        <w:pageBreakBefore w:val="0"/>
        <w:kinsoku/>
        <w:overflowPunct/>
        <w:topLinePunct w:val="0"/>
        <w:autoSpaceDE/>
        <w:autoSpaceDN/>
        <w:bidi w:val="0"/>
        <w:spacing w:line="360" w:lineRule="auto"/>
        <w:ind w:left="0" w:leftChars="0" w:right="0" w:rightChars="0" w:firstLine="422"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4．企业注册</w:t>
      </w:r>
    </w:p>
    <w:p w14:paraId="3068F8C4">
      <w:pPr>
        <w:keepNext w:val="0"/>
        <w:keepLines w:val="0"/>
        <w:pageBreakBefore w:val="0"/>
        <w:kinsoku/>
        <w:overflowPunct/>
        <w:topLinePunct w:val="0"/>
        <w:autoSpaceDE/>
        <w:autoSpaceDN/>
        <w:bidi w:val="0"/>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深圳CA：4X123838  北京CA：4009197888)，完成CA密钥的办理，完成注册。</w:t>
      </w:r>
    </w:p>
    <w:p w14:paraId="65FFE985">
      <w:pPr>
        <w:keepNext w:val="0"/>
        <w:keepLines w:val="0"/>
        <w:pageBreakBefore w:val="0"/>
        <w:kinsoku/>
        <w:overflowPunct/>
        <w:topLinePunct w:val="0"/>
        <w:autoSpaceDE/>
        <w:autoSpaceDN/>
        <w:bidi w:val="0"/>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4.2请各投标人注意完善“交易平台网站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"http://www.zmdggzy.gov.cn/TPFront/"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”（https://ggzy.zhumadian.gov.cn/TPFront/</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）主体信息（如开户银行及开户账号等），以免未填写或错误导致系统判定废标。</w:t>
      </w:r>
    </w:p>
    <w:p w14:paraId="62125363">
      <w:pPr>
        <w:keepNext w:val="0"/>
        <w:keepLines w:val="0"/>
        <w:pageBreakBefore w:val="0"/>
        <w:kinsoku/>
        <w:overflowPunct/>
        <w:topLinePunct w:val="0"/>
        <w:autoSpaceDE/>
        <w:autoSpaceDN/>
        <w:bidi w:val="0"/>
        <w:spacing w:line="360" w:lineRule="auto"/>
        <w:ind w:left="0" w:leftChars="0" w:right="0" w:rightChars="0" w:firstLine="422"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5．招标文件的获取</w:t>
      </w:r>
    </w:p>
    <w:p w14:paraId="2E3F845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5.1招标文件获取时间：凡有意参加投标者，请于202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日8：00时至202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日18:00时，登录“交易平台网站”（https://ggzy.zhumadian.gov.cn/TPFront/），凭领取的企业身份认证锁（CA密钥）登录系统进行免费下载招标文件。</w:t>
      </w:r>
    </w:p>
    <w:p w14:paraId="6EE6499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5.2招标文件获取方式：凭 CA 密钥登陆会员系统并按网上提示下载招标文件及资料。（详见交易平台网站下载中心栏目里投标人操作手册）。</w:t>
      </w:r>
    </w:p>
    <w:p w14:paraId="7BC0915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5.3获取招标文件后，投标人请到“交易平台网站”（https://ggzy.zhumadian.gov.cn/TPFront/）下载中心栏目下载最新版本的投标文件制作工具安装包，并使用安装后的最新版本投标文件制作工具以及 CA 密钥制作电子投标文件。</w:t>
      </w:r>
    </w:p>
    <w:p w14:paraId="78CBA12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6.资格审查方式</w:t>
      </w:r>
    </w:p>
    <w:p w14:paraId="69074C9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6.1本次招标实行资格后审，主要资格审查标准和内容详见招标文件，只有资格审查合格的投标申请人才有可能被授予合同。</w:t>
      </w:r>
    </w:p>
    <w:p w14:paraId="7AF1586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本项目采用不见面开标，投标人无需递交纸质投标文件及原件，投标企业应在项目开标前，将项目经理、人员、资质、业绩、荣誉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p>
    <w:p w14:paraId="75D90AC6">
      <w:pPr>
        <w:keepNext w:val="0"/>
        <w:keepLines w:val="0"/>
        <w:pageBreakBefore w:val="0"/>
        <w:widowControl/>
        <w:kinsoku/>
        <w:overflowPunct/>
        <w:topLinePunct w:val="0"/>
        <w:autoSpaceDE/>
        <w:autoSpaceDN/>
        <w:bidi w:val="0"/>
        <w:spacing w:line="360" w:lineRule="auto"/>
        <w:ind w:left="0" w:leftChars="0" w:right="0" w:rightChars="0" w:firstLine="422" w:firstLineChars="200"/>
        <w:jc w:val="left"/>
        <w:textAlignment w:val="auto"/>
        <w:outlineLvl w:val="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7.投标文件的上传/递交</w:t>
      </w:r>
    </w:p>
    <w:p w14:paraId="344C80F7">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7.1本项目采用不见面开标、投标人需要递交电子投标文件，无需递交纸质文件。</w:t>
      </w:r>
    </w:p>
    <w:p w14:paraId="19A13218">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7.2投标文件的上传/递交截止时间为2026年11月12日09 时 00 分（北京时间）。加密电子投标文件（*.ZMDTF格式）应在投标截止时间前通过驻马店市公共资源交易电子交易平台（http://ggzy.zhumadian.gov.cn:8820/TPbidder/login.aspx）上传完成。</w:t>
      </w:r>
    </w:p>
    <w:p w14:paraId="398E5AF8">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的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E769BA2">
      <w:pPr>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7.4远程开标前，投标人务必在驻马店市公共资源交易平台（http://ggzy.zhumadian.gov.cn:8820/TPBidder）投标文件上传模块中使用“模拟解密”功能，验证本机远程自助解密环境。</w:t>
      </w:r>
    </w:p>
    <w:p w14:paraId="7FD42881">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7.5逾期上传/送达的或者未上传/未送达指定地点的投标文件，招标人不予受理。</w:t>
      </w:r>
    </w:p>
    <w:p w14:paraId="3F575425">
      <w:pPr>
        <w:keepNext w:val="0"/>
        <w:keepLines w:val="0"/>
        <w:pageBreakBefore w:val="0"/>
        <w:widowControl/>
        <w:kinsoku/>
        <w:overflowPunct/>
        <w:topLinePunct w:val="0"/>
        <w:autoSpaceDE/>
        <w:autoSpaceDN/>
        <w:bidi w:val="0"/>
        <w:spacing w:line="360" w:lineRule="auto"/>
        <w:ind w:left="0" w:leftChars="0" w:right="0" w:rightChars="0" w:firstLine="422" w:firstLineChars="200"/>
        <w:jc w:val="left"/>
        <w:textAlignment w:val="auto"/>
        <w:outlineLvl w:val="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8.发布公告的媒介</w:t>
      </w:r>
    </w:p>
    <w:p w14:paraId="753A0B35">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本次招标公告在《驻马店市公共资源交易中心网》、《河南省政府采购网》、《中国招标投标公共服务平台》上发布。</w:t>
      </w:r>
    </w:p>
    <w:p w14:paraId="4B885416">
      <w:pPr>
        <w:keepNext w:val="0"/>
        <w:keepLines w:val="0"/>
        <w:pageBreakBefore w:val="0"/>
        <w:widowControl/>
        <w:kinsoku/>
        <w:overflowPunct/>
        <w:topLinePunct w:val="0"/>
        <w:autoSpaceDE/>
        <w:autoSpaceDN/>
        <w:bidi w:val="0"/>
        <w:spacing w:line="360" w:lineRule="auto"/>
        <w:ind w:left="0" w:leftChars="0" w:right="0" w:rightChars="0" w:firstLine="422" w:firstLineChars="200"/>
        <w:jc w:val="left"/>
        <w:textAlignment w:val="auto"/>
        <w:outlineLvl w:val="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9.特别提醒</w:t>
      </w:r>
    </w:p>
    <w:p w14:paraId="2B140791">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因驻马店不见面交易系统具备视频直播、语音通话等，对网络带宽及硬件要求相对较高的功能，故投标人在参与使用不见面交易系统开标的项目时，需确认是否满足如下要求：</w:t>
      </w:r>
    </w:p>
    <w:p w14:paraId="5E8C8037">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9.1网络要求：</w:t>
      </w:r>
    </w:p>
    <w:p w14:paraId="3C8878A9">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网络带宽4M以上。</w:t>
      </w:r>
    </w:p>
    <w:p w14:paraId="2DCEB3A1">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9.2硬件要求</w:t>
      </w:r>
    </w:p>
    <w:p w14:paraId="54C00D66">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电脑要求内存4G及以上，且需配套网络摄像头、麦克风、音箱等，并确保其均能正常运转。操作系统要求Windows7及以上，IE浏览器IE11及以上。</w:t>
      </w:r>
    </w:p>
    <w:p w14:paraId="08813310">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9.3人员要求</w:t>
      </w:r>
    </w:p>
    <w:p w14:paraId="5FB2E484">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对于参与驻马店不见面交易系统开标的投标人，要求能熟练掌握电脑基础操作。不见面开标操作手册下载地址：</w:t>
      </w:r>
    </w:p>
    <w:p w14:paraId="174A5B64">
      <w:pPr>
        <w:keepNext w:val="0"/>
        <w:keepLines w:val="0"/>
        <w:pageBreakBefore w:val="0"/>
        <w:widowControl/>
        <w:kinsoku/>
        <w:overflowPunct/>
        <w:topLinePunct w:val="0"/>
        <w:autoSpaceDE/>
        <w:autoSpaceDN/>
        <w:bidi w:val="0"/>
        <w:spacing w:before="0"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（http://ggzy.zhumadian.gov.cn:9190/BidOpening/bidopeninghallaction/hall/login）</w:t>
      </w:r>
    </w:p>
    <w:p w14:paraId="35FEA6D9">
      <w:pPr>
        <w:keepNext w:val="0"/>
        <w:keepLines w:val="0"/>
        <w:pageBreakBefore w:val="0"/>
        <w:widowControl/>
        <w:kinsoku/>
        <w:overflowPunct/>
        <w:topLinePunct w:val="0"/>
        <w:autoSpaceDE/>
        <w:autoSpaceDN/>
        <w:bidi w:val="0"/>
        <w:spacing w:line="360" w:lineRule="auto"/>
        <w:ind w:left="0" w:leftChars="0" w:right="0" w:rightChars="0" w:firstLine="422" w:firstLineChars="200"/>
        <w:jc w:val="left"/>
        <w:textAlignment w:val="auto"/>
        <w:outlineLvl w:val="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10.联系方式</w:t>
      </w:r>
    </w:p>
    <w:p w14:paraId="06076CAE">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outlineLvl w:val="9"/>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eastAsia="zh-CN"/>
        </w:rPr>
        <w:t>招</w:t>
      </w:r>
      <w:r>
        <w:rPr>
          <w:rFonts w:hint="eastAsia" w:ascii="宋体" w:hAnsi="宋体" w:eastAsia="宋体" w:cs="宋体"/>
          <w:color w:val="auto"/>
          <w:kern w:val="0"/>
          <w:sz w:val="21"/>
          <w:szCs w:val="21"/>
          <w:highlight w:val="none"/>
          <w:u w:val="none"/>
          <w:lang w:val="en-US" w:eastAsia="zh-CN"/>
        </w:rPr>
        <w:t xml:space="preserve"> 标 人：</w:t>
      </w:r>
      <w:r>
        <w:rPr>
          <w:rFonts w:hint="eastAsia" w:ascii="宋体" w:hAnsi="宋体" w:eastAsia="宋体" w:cs="宋体"/>
          <w:color w:val="auto"/>
          <w:sz w:val="21"/>
          <w:szCs w:val="21"/>
          <w:highlight w:val="none"/>
          <w:lang w:val="en-US" w:eastAsia="zh-CN"/>
        </w:rPr>
        <w:t>确山县自然资源局</w:t>
      </w:r>
    </w:p>
    <w:p w14:paraId="138BE846">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outlineLvl w:val="9"/>
        <w:rPr>
          <w:rFonts w:hint="default"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地    址：确山县工人文化宫4楼</w:t>
      </w:r>
    </w:p>
    <w:p w14:paraId="55FC1A78">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outlineLvl w:val="9"/>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联 系 人：马先生</w:t>
      </w:r>
    </w:p>
    <w:p w14:paraId="441BEA88">
      <w:pPr>
        <w:keepNext w:val="0"/>
        <w:keepLines w:val="0"/>
        <w:pageBreakBefore w:val="0"/>
        <w:widowControl w:val="0"/>
        <w:kinsoku/>
        <w:wordWrap/>
        <w:overflowPunct/>
        <w:topLinePunct w:val="0"/>
        <w:autoSpaceDE/>
        <w:autoSpaceDN/>
        <w:bidi w:val="0"/>
        <w:spacing w:line="360" w:lineRule="auto"/>
        <w:ind w:left="0" w:leftChars="0" w:right="0" w:rightChars="0" w:firstLine="420" w:firstLineChars="200"/>
        <w:textAlignment w:val="auto"/>
        <w:outlineLvl w:val="9"/>
        <w:rPr>
          <w:rFonts w:hint="default"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电 话：17634560025</w:t>
      </w:r>
    </w:p>
    <w:p w14:paraId="4B1373BC">
      <w:pPr>
        <w:pageBreakBefore w:val="0"/>
        <w:bidi w:val="0"/>
        <w:spacing w:line="360" w:lineRule="auto"/>
        <w:ind w:firstLine="420" w:firstLineChars="200"/>
        <w:textAlignment w:val="auto"/>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招标代理：河南全过程工程研究院有限公司</w:t>
      </w:r>
    </w:p>
    <w:p w14:paraId="12B730FD">
      <w:pPr>
        <w:pageBreakBefore w:val="0"/>
        <w:bidi w:val="0"/>
        <w:spacing w:line="360" w:lineRule="auto"/>
        <w:ind w:firstLine="420" w:firstLineChars="200"/>
        <w:textAlignment w:val="auto"/>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地  址：郑州经济技术开发区郑州国际物流园区浔江东路西段6号</w:t>
      </w:r>
    </w:p>
    <w:p w14:paraId="0A425231">
      <w:pPr>
        <w:pageBreakBefore w:val="0"/>
        <w:bidi w:val="0"/>
        <w:spacing w:line="360" w:lineRule="auto"/>
        <w:ind w:firstLine="420" w:firstLineChars="200"/>
        <w:textAlignment w:val="auto"/>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联系人：郑先生</w:t>
      </w:r>
    </w:p>
    <w:p w14:paraId="05C6196C">
      <w:pPr>
        <w:pageBreakBefore w:val="0"/>
        <w:bidi w:val="0"/>
        <w:spacing w:line="360" w:lineRule="auto"/>
        <w:ind w:firstLine="420" w:firstLineChars="200"/>
        <w:textAlignment w:val="auto"/>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电 话：15638526666</w:t>
      </w:r>
    </w:p>
    <w:p w14:paraId="436B51CD">
      <w:pPr>
        <w:keepNext w:val="0"/>
        <w:keepLines w:val="0"/>
        <w:pageBreakBefore w:val="0"/>
        <w:widowControl/>
        <w:kinsoku/>
        <w:overflowPunct/>
        <w:topLinePunct w:val="0"/>
        <w:autoSpaceDE/>
        <w:autoSpaceDN/>
        <w:bidi w:val="0"/>
        <w:spacing w:line="360" w:lineRule="auto"/>
        <w:ind w:left="0" w:leftChars="0" w:right="0" w:rightChars="0" w:firstLine="422" w:firstLineChars="200"/>
        <w:jc w:val="left"/>
        <w:textAlignment w:val="auto"/>
        <w:outlineLvl w:val="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11.监督部门</w:t>
      </w:r>
    </w:p>
    <w:p w14:paraId="74D4EE78">
      <w:pPr>
        <w:pageBreakBefore w:val="0"/>
        <w:bidi w:val="0"/>
        <w:spacing w:line="360" w:lineRule="auto"/>
        <w:ind w:firstLine="420" w:firstLineChars="200"/>
        <w:textAlignment w:val="auto"/>
        <w:rPr>
          <w:rFonts w:hint="eastAsia"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监管部门：</w:t>
      </w:r>
      <w:r>
        <w:rPr>
          <w:rFonts w:hint="eastAsia" w:ascii="宋体" w:hAnsi="宋体" w:eastAsia="宋体" w:cs="宋体"/>
          <w:color w:val="auto"/>
          <w:sz w:val="21"/>
          <w:szCs w:val="21"/>
          <w:highlight w:val="none"/>
          <w:lang w:val="en-US" w:eastAsia="zh-CN"/>
        </w:rPr>
        <w:t>确山县自然资源局</w:t>
      </w:r>
    </w:p>
    <w:p w14:paraId="340E4EE1">
      <w:pPr>
        <w:pageBreakBefore w:val="0"/>
        <w:bidi w:val="0"/>
        <w:spacing w:line="360" w:lineRule="auto"/>
        <w:ind w:firstLine="420" w:firstLineChars="200"/>
        <w:textAlignment w:val="auto"/>
        <w:rPr>
          <w:rFonts w:hint="default"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联系人：</w:t>
      </w:r>
      <w:r>
        <w:rPr>
          <w:rFonts w:hint="eastAsia" w:ascii="宋体" w:hAnsi="宋体" w:cs="宋体"/>
          <w:color w:val="auto"/>
          <w:kern w:val="0"/>
          <w:sz w:val="21"/>
          <w:szCs w:val="21"/>
          <w:highlight w:val="none"/>
          <w:u w:val="none"/>
          <w:lang w:val="en-US" w:eastAsia="zh-CN"/>
        </w:rPr>
        <w:t>连冬杰</w:t>
      </w:r>
    </w:p>
    <w:p w14:paraId="3EA48783">
      <w:pPr>
        <w:pageBreakBefore w:val="0"/>
        <w:bidi w:val="0"/>
        <w:spacing w:line="360" w:lineRule="auto"/>
        <w:ind w:firstLine="420" w:firstLineChars="200"/>
        <w:textAlignment w:val="auto"/>
        <w:rPr>
          <w:rFonts w:hint="default" w:ascii="宋体" w:hAnsi="宋体" w:eastAsia="宋体" w:cs="宋体"/>
          <w:color w:val="auto"/>
          <w:kern w:val="0"/>
          <w:sz w:val="21"/>
          <w:szCs w:val="21"/>
          <w:highlight w:val="none"/>
          <w:u w:val="none"/>
          <w:lang w:val="en-US" w:eastAsia="zh-CN"/>
        </w:rPr>
      </w:pPr>
      <w:r>
        <w:rPr>
          <w:rFonts w:hint="eastAsia" w:ascii="宋体" w:hAnsi="宋体" w:eastAsia="宋体" w:cs="宋体"/>
          <w:color w:val="auto"/>
          <w:kern w:val="0"/>
          <w:sz w:val="21"/>
          <w:szCs w:val="21"/>
          <w:highlight w:val="none"/>
          <w:u w:val="none"/>
          <w:lang w:val="en-US" w:eastAsia="zh-CN"/>
        </w:rPr>
        <w:t>联系电话：</w:t>
      </w:r>
      <w:r>
        <w:rPr>
          <w:rFonts w:hint="eastAsia" w:ascii="宋体" w:hAnsi="宋体" w:cs="宋体"/>
          <w:color w:val="auto"/>
          <w:kern w:val="0"/>
          <w:sz w:val="21"/>
          <w:szCs w:val="21"/>
          <w:highlight w:val="none"/>
          <w:u w:val="none"/>
          <w:lang w:val="en-US" w:eastAsia="zh-CN"/>
        </w:rPr>
        <w:t>03967018628</w:t>
      </w:r>
    </w:p>
    <w:p w14:paraId="730DE263">
      <w:pPr>
        <w:rPr>
          <w:color w:val="auto"/>
          <w:highlight w:val="none"/>
        </w:rPr>
      </w:pPr>
    </w:p>
    <w:p w14:paraId="57E49275">
      <w:pPr>
        <w:rPr>
          <w:color w:val="auto"/>
          <w:highlight w:val="none"/>
        </w:rPr>
        <w:sectPr>
          <w:footerReference r:id="rId4" w:type="default"/>
          <w:pgSz w:w="11906" w:h="16838"/>
          <w:pgMar w:top="1440" w:right="1800" w:bottom="1440" w:left="1800" w:header="851" w:footer="992" w:gutter="0"/>
          <w:pgNumType w:fmt="decimal" w:start="1"/>
          <w:cols w:space="425" w:num="1"/>
          <w:docGrid w:type="lines" w:linePitch="312" w:charSpace="0"/>
        </w:sectPr>
      </w:pPr>
    </w:p>
    <w:p w14:paraId="46A9704C">
      <w:pPr>
        <w:numPr>
          <w:ilvl w:val="0"/>
          <w:numId w:val="3"/>
        </w:numPr>
        <w:spacing w:line="360" w:lineRule="auto"/>
        <w:jc w:val="center"/>
        <w:outlineLvl w:val="0"/>
        <w:rPr>
          <w:rFonts w:hint="eastAsia" w:ascii="宋体" w:hAnsi="宋体" w:cs="宋体"/>
          <w:b/>
          <w:color w:val="auto"/>
          <w:kern w:val="0"/>
          <w:sz w:val="44"/>
          <w:szCs w:val="44"/>
          <w:highlight w:val="none"/>
          <w:lang w:eastAsia="zh-CN"/>
        </w:rPr>
      </w:pPr>
      <w:bookmarkStart w:id="13" w:name="_Toc28956"/>
      <w:bookmarkStart w:id="14" w:name="_Toc18998"/>
      <w:r>
        <w:rPr>
          <w:rFonts w:hint="eastAsia" w:ascii="宋体" w:hAnsi="宋体" w:cs="宋体"/>
          <w:b/>
          <w:color w:val="auto"/>
          <w:kern w:val="0"/>
          <w:sz w:val="44"/>
          <w:szCs w:val="44"/>
          <w:highlight w:val="none"/>
          <w:lang w:eastAsia="zh-CN"/>
        </w:rPr>
        <w:t>投标人须知</w:t>
      </w:r>
      <w:bookmarkEnd w:id="13"/>
      <w:bookmarkEnd w:id="14"/>
    </w:p>
    <w:p w14:paraId="02906101">
      <w:pPr>
        <w:spacing w:line="360" w:lineRule="auto"/>
        <w:jc w:val="center"/>
        <w:outlineLvl w:val="1"/>
        <w:rPr>
          <w:color w:val="auto"/>
          <w:sz w:val="32"/>
          <w:szCs w:val="32"/>
          <w:highlight w:val="none"/>
        </w:rPr>
      </w:pPr>
      <w:r>
        <w:rPr>
          <w:rFonts w:hint="eastAsia" w:ascii="宋体" w:hAnsi="宋体" w:eastAsia="宋体" w:cs="宋体"/>
          <w:b/>
          <w:color w:val="auto"/>
          <w:kern w:val="0"/>
          <w:sz w:val="28"/>
          <w:szCs w:val="28"/>
          <w:highlight w:val="none"/>
        </w:rPr>
        <w:t>投标人须知前附表</w:t>
      </w:r>
    </w:p>
    <w:tbl>
      <w:tblPr>
        <w:tblStyle w:val="26"/>
        <w:tblpPr w:leftFromText="180" w:rightFromText="180" w:vertAnchor="text" w:horzAnchor="page" w:tblpX="1252" w:tblpY="614"/>
        <w:tblOverlap w:val="never"/>
        <w:tblW w:w="95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2123"/>
        <w:gridCol w:w="6140"/>
      </w:tblGrid>
      <w:tr w14:paraId="35CD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30" w:type="dxa"/>
            <w:vAlign w:val="center"/>
          </w:tcPr>
          <w:p w14:paraId="47EEDDA7">
            <w:pPr>
              <w:jc w:val="center"/>
              <w:rPr>
                <w:rFonts w:hint="eastAsia" w:ascii="宋体" w:hAnsi="宋体" w:eastAsia="宋体" w:cs="宋体"/>
                <w:b/>
                <w:bCs/>
                <w:color w:val="auto"/>
                <w:sz w:val="21"/>
                <w:szCs w:val="21"/>
                <w:highlight w:val="none"/>
                <w:vertAlign w:val="baseline"/>
                <w:lang w:eastAsia="zh-CN"/>
              </w:rPr>
            </w:pPr>
            <w:bookmarkStart w:id="15" w:name="_Toc10603"/>
            <w:bookmarkStart w:id="16" w:name="_Toc26210"/>
            <w:r>
              <w:rPr>
                <w:rFonts w:hint="eastAsia" w:ascii="宋体" w:hAnsi="宋体" w:eastAsia="宋体" w:cs="宋体"/>
                <w:b/>
                <w:bCs/>
                <w:color w:val="auto"/>
                <w:sz w:val="21"/>
                <w:szCs w:val="21"/>
                <w:highlight w:val="none"/>
                <w:vertAlign w:val="baseline"/>
                <w:lang w:eastAsia="zh-CN"/>
              </w:rPr>
              <w:t>条款号</w:t>
            </w:r>
          </w:p>
        </w:tc>
        <w:tc>
          <w:tcPr>
            <w:tcW w:w="2123" w:type="dxa"/>
            <w:vAlign w:val="center"/>
          </w:tcPr>
          <w:p w14:paraId="555B50A0">
            <w:pPr>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rPr>
              <w:t>条款名称</w:t>
            </w:r>
          </w:p>
        </w:tc>
        <w:tc>
          <w:tcPr>
            <w:tcW w:w="6140" w:type="dxa"/>
            <w:vAlign w:val="center"/>
          </w:tcPr>
          <w:p w14:paraId="28F80C10">
            <w:pPr>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rPr>
              <w:t>编列内容</w:t>
            </w:r>
          </w:p>
        </w:tc>
      </w:tr>
      <w:tr w14:paraId="0AF1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30" w:type="dxa"/>
            <w:vAlign w:val="center"/>
          </w:tcPr>
          <w:p w14:paraId="0344D929">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1.1.2</w:t>
            </w:r>
          </w:p>
        </w:tc>
        <w:tc>
          <w:tcPr>
            <w:tcW w:w="2123" w:type="dxa"/>
            <w:vAlign w:val="center"/>
          </w:tcPr>
          <w:p w14:paraId="21F795E2">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招标人</w:t>
            </w:r>
          </w:p>
        </w:tc>
        <w:tc>
          <w:tcPr>
            <w:tcW w:w="6140" w:type="dxa"/>
            <w:vAlign w:val="center"/>
          </w:tcPr>
          <w:p w14:paraId="171585B7">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招</w:t>
            </w:r>
            <w:r>
              <w:rPr>
                <w:rFonts w:hint="eastAsia" w:ascii="宋体" w:hAnsi="宋体" w:eastAsia="宋体" w:cs="宋体"/>
                <w:color w:val="auto"/>
                <w:kern w:val="0"/>
                <w:sz w:val="21"/>
                <w:szCs w:val="21"/>
                <w:highlight w:val="none"/>
                <w:lang w:val="en-US" w:eastAsia="zh-CN"/>
              </w:rPr>
              <w:t xml:space="preserve"> 标 人：确山县自然资源局</w:t>
            </w:r>
          </w:p>
          <w:p w14:paraId="0B9A77B9">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址：确山县工人文化宫4楼</w:t>
            </w:r>
          </w:p>
          <w:p w14:paraId="74B854B4">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人：马先生</w:t>
            </w:r>
          </w:p>
          <w:p w14:paraId="54F2D530">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kern w:val="0"/>
                <w:sz w:val="21"/>
                <w:szCs w:val="21"/>
                <w:highlight w:val="none"/>
                <w:lang w:val="en-US" w:eastAsia="zh-CN"/>
              </w:rPr>
              <w:t>电 话：17634560025</w:t>
            </w:r>
          </w:p>
        </w:tc>
      </w:tr>
      <w:tr w14:paraId="4249D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0" w:type="dxa"/>
            <w:vAlign w:val="center"/>
          </w:tcPr>
          <w:p w14:paraId="4284C22B">
            <w:pPr>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1.1.3</w:t>
            </w:r>
          </w:p>
        </w:tc>
        <w:tc>
          <w:tcPr>
            <w:tcW w:w="2123" w:type="dxa"/>
            <w:vAlign w:val="center"/>
          </w:tcPr>
          <w:p w14:paraId="68AEB693">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招标代理机构</w:t>
            </w:r>
          </w:p>
        </w:tc>
        <w:tc>
          <w:tcPr>
            <w:tcW w:w="6140" w:type="dxa"/>
            <w:vAlign w:val="center"/>
          </w:tcPr>
          <w:p w14:paraId="4ACF9182">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招标代理：河南全过程工程研究院有限公司</w:t>
            </w:r>
          </w:p>
          <w:p w14:paraId="442EE182">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址：郑州经济技术开发区郑州国际物流园区浔江东路西段6号</w:t>
            </w:r>
          </w:p>
          <w:p w14:paraId="0DFD383C">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联系人：郑先生</w:t>
            </w:r>
          </w:p>
          <w:p w14:paraId="0618BC36">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电 话：15638526666</w:t>
            </w:r>
          </w:p>
        </w:tc>
      </w:tr>
      <w:tr w14:paraId="6A5B1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EFBDA4D">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1.1.4</w:t>
            </w:r>
          </w:p>
        </w:tc>
        <w:tc>
          <w:tcPr>
            <w:tcW w:w="2123" w:type="dxa"/>
            <w:vAlign w:val="center"/>
          </w:tcPr>
          <w:p w14:paraId="0F1222FF">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项目名称</w:t>
            </w:r>
          </w:p>
        </w:tc>
        <w:tc>
          <w:tcPr>
            <w:tcW w:w="6140" w:type="dxa"/>
            <w:vAlign w:val="center"/>
          </w:tcPr>
          <w:p w14:paraId="221D6951">
            <w:pPr>
              <w:keepNext w:val="0"/>
              <w:keepLines w:val="0"/>
              <w:pageBreakBefore w:val="0"/>
              <w:kinsoku/>
              <w:wordWrap w:val="0"/>
              <w:overflowPunct/>
              <w:topLinePunct w:val="0"/>
              <w:bidi w:val="0"/>
              <w:spacing w:line="360" w:lineRule="auto"/>
              <w:ind w:left="0" w:leftChars="0" w:right="0" w:rightChars="0" w:firstLine="0" w:firstLineChars="0"/>
              <w:jc w:val="left"/>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bCs/>
                <w:color w:val="auto"/>
                <w:sz w:val="21"/>
                <w:szCs w:val="21"/>
                <w:highlight w:val="none"/>
                <w:lang w:val="en-US" w:eastAsia="zh-CN"/>
              </w:rPr>
              <w:t>确山县老乐山区建筑石料用灰岩矿山生态修复工程（河南桐柏-大别山历史遗留废弃矿山生态修复示范工程子项目Ⅱ-2）施工项目</w:t>
            </w:r>
          </w:p>
        </w:tc>
      </w:tr>
      <w:tr w14:paraId="6D288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C16D1CC">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1.1.5</w:t>
            </w:r>
          </w:p>
        </w:tc>
        <w:tc>
          <w:tcPr>
            <w:tcW w:w="2123" w:type="dxa"/>
            <w:vAlign w:val="center"/>
          </w:tcPr>
          <w:p w14:paraId="1C90B314">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建设地点</w:t>
            </w:r>
          </w:p>
        </w:tc>
        <w:tc>
          <w:tcPr>
            <w:tcW w:w="6140" w:type="dxa"/>
            <w:vAlign w:val="center"/>
          </w:tcPr>
          <w:p w14:paraId="3BCD5CDC">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both"/>
              <w:textAlignment w:val="auto"/>
              <w:outlineLvl w:val="9"/>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确山县</w:t>
            </w:r>
          </w:p>
        </w:tc>
      </w:tr>
      <w:tr w14:paraId="02B0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5CBEDCCE">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1.1.6</w:t>
            </w:r>
          </w:p>
        </w:tc>
        <w:tc>
          <w:tcPr>
            <w:tcW w:w="2123" w:type="dxa"/>
            <w:vAlign w:val="center"/>
          </w:tcPr>
          <w:p w14:paraId="79D6ADD6">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建设规模</w:t>
            </w:r>
          </w:p>
        </w:tc>
        <w:tc>
          <w:tcPr>
            <w:tcW w:w="6140" w:type="dxa"/>
            <w:vAlign w:val="center"/>
          </w:tcPr>
          <w:p w14:paraId="12BAC735">
            <w:pPr>
              <w:keepNext w:val="0"/>
              <w:keepLines w:val="0"/>
              <w:pageBreakBefore w:val="0"/>
              <w:kinsoku/>
              <w:wordWrap w:val="0"/>
              <w:overflowPunct/>
              <w:topLinePunct w:val="0"/>
              <w:autoSpaceDE w:val="0"/>
              <w:autoSpaceDN w:val="0"/>
              <w:bidi w:val="0"/>
              <w:adjustRightInd w:val="0"/>
              <w:spacing w:line="360" w:lineRule="auto"/>
              <w:ind w:left="0" w:leftChars="0" w:right="0" w:rightChars="0" w:firstLine="0" w:firstLineChars="0"/>
              <w:jc w:val="left"/>
              <w:textAlignment w:val="auto"/>
              <w:outlineLvl w:val="9"/>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本项目规划设计修复治理总面积为</w:t>
            </w:r>
            <w:r>
              <w:rPr>
                <w:rFonts w:hint="eastAsia" w:ascii="宋体" w:hAnsi="宋体" w:eastAsia="宋体" w:cs="宋体"/>
                <w:bCs/>
                <w:color w:val="auto"/>
                <w:sz w:val="21"/>
                <w:szCs w:val="21"/>
                <w:highlight w:val="none"/>
                <w:lang w:val="en-US" w:eastAsia="zh-CN"/>
              </w:rPr>
              <w:t>269.7公顷(4</w:t>
            </w:r>
            <w:r>
              <w:rPr>
                <w:rFonts w:hint="eastAsia" w:ascii="宋体" w:hAnsi="宋体" w:cs="宋体"/>
                <w:bCs/>
                <w:color w:val="auto"/>
                <w:sz w:val="21"/>
                <w:szCs w:val="21"/>
                <w:highlight w:val="none"/>
                <w:lang w:val="en-US" w:eastAsia="zh-CN"/>
              </w:rPr>
              <w:t>045.5</w:t>
            </w:r>
            <w:r>
              <w:rPr>
                <w:rFonts w:hint="eastAsia" w:ascii="宋体" w:hAnsi="宋体" w:eastAsia="宋体" w:cs="宋体"/>
                <w:bCs/>
                <w:color w:val="auto"/>
                <w:sz w:val="21"/>
                <w:szCs w:val="21"/>
                <w:highlight w:val="none"/>
                <w:lang w:val="en-US" w:eastAsia="zh-CN"/>
              </w:rPr>
              <w:t>亩)</w:t>
            </w:r>
            <w:r>
              <w:rPr>
                <w:rFonts w:hint="eastAsia" w:ascii="宋体" w:hAnsi="宋体" w:eastAsia="宋体" w:cs="宋体"/>
                <w:color w:val="auto"/>
                <w:kern w:val="0"/>
                <w:sz w:val="21"/>
                <w:szCs w:val="21"/>
                <w:highlight w:val="none"/>
                <w:lang w:val="en-US" w:eastAsia="zh-CN"/>
              </w:rPr>
              <w:t>，主要建设内容为:矿山地质环境治理工程、地形重塑工程、土壤重构工程、植被重建工程、废弃及受损土地复垦利用工程、监测评估工程和后期管护工程。</w:t>
            </w:r>
          </w:p>
        </w:tc>
      </w:tr>
      <w:tr w14:paraId="0B0B1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E7CB943">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1.2.1</w:t>
            </w:r>
          </w:p>
        </w:tc>
        <w:tc>
          <w:tcPr>
            <w:tcW w:w="2123" w:type="dxa"/>
            <w:vAlign w:val="center"/>
          </w:tcPr>
          <w:p w14:paraId="1F4F51F1">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资金来源</w:t>
            </w:r>
          </w:p>
        </w:tc>
        <w:tc>
          <w:tcPr>
            <w:tcW w:w="6140" w:type="dxa"/>
            <w:vAlign w:val="center"/>
          </w:tcPr>
          <w:p w14:paraId="2FE0803B">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中央财政资金及县财政配套资金</w:t>
            </w:r>
          </w:p>
        </w:tc>
      </w:tr>
      <w:tr w14:paraId="5111A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58688B74">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1.2.2</w:t>
            </w:r>
          </w:p>
        </w:tc>
        <w:tc>
          <w:tcPr>
            <w:tcW w:w="2123" w:type="dxa"/>
            <w:vAlign w:val="center"/>
          </w:tcPr>
          <w:p w14:paraId="2B01A295">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资金落实情况</w:t>
            </w:r>
          </w:p>
        </w:tc>
        <w:tc>
          <w:tcPr>
            <w:tcW w:w="6140" w:type="dxa"/>
            <w:vAlign w:val="center"/>
          </w:tcPr>
          <w:p w14:paraId="60F30CB0">
            <w:pP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已落实</w:t>
            </w:r>
          </w:p>
        </w:tc>
      </w:tr>
      <w:tr w14:paraId="4916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F31A1A2">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1.3.1</w:t>
            </w:r>
          </w:p>
        </w:tc>
        <w:tc>
          <w:tcPr>
            <w:tcW w:w="2123" w:type="dxa"/>
            <w:vAlign w:val="center"/>
          </w:tcPr>
          <w:p w14:paraId="081F0313">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招标范围</w:t>
            </w:r>
          </w:p>
        </w:tc>
        <w:tc>
          <w:tcPr>
            <w:tcW w:w="6140" w:type="dxa"/>
            <w:vAlign w:val="center"/>
          </w:tcPr>
          <w:p w14:paraId="749ADD72">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项目实施及缺陷责任期全过程监理服务</w:t>
            </w:r>
          </w:p>
        </w:tc>
      </w:tr>
      <w:tr w14:paraId="32BBE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6B7BF62">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1.3.2</w:t>
            </w:r>
          </w:p>
        </w:tc>
        <w:tc>
          <w:tcPr>
            <w:tcW w:w="2123" w:type="dxa"/>
            <w:vAlign w:val="center"/>
          </w:tcPr>
          <w:p w14:paraId="0E77BA2D">
            <w:pPr>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质量监控目标</w:t>
            </w:r>
          </w:p>
        </w:tc>
        <w:tc>
          <w:tcPr>
            <w:tcW w:w="6140" w:type="dxa"/>
            <w:vAlign w:val="center"/>
          </w:tcPr>
          <w:p w14:paraId="14EC969A">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达到国家及地方现行施工质量验收规范合格等级标准</w:t>
            </w:r>
          </w:p>
        </w:tc>
      </w:tr>
      <w:tr w14:paraId="2A614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E67A63F">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1.3.3</w:t>
            </w:r>
          </w:p>
        </w:tc>
        <w:tc>
          <w:tcPr>
            <w:tcW w:w="2123" w:type="dxa"/>
            <w:vAlign w:val="center"/>
          </w:tcPr>
          <w:p w14:paraId="2388E34E">
            <w:pPr>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工期监控目标</w:t>
            </w:r>
          </w:p>
        </w:tc>
        <w:tc>
          <w:tcPr>
            <w:tcW w:w="6140" w:type="dxa"/>
            <w:vAlign w:val="center"/>
          </w:tcPr>
          <w:p w14:paraId="0556F5E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同施工工期，控制在招标人与总承包单位签订的合同工期之内（考虑正常延期）。</w:t>
            </w:r>
          </w:p>
        </w:tc>
      </w:tr>
      <w:tr w14:paraId="668B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7A93B4E">
            <w:pPr>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1.3.4</w:t>
            </w:r>
          </w:p>
        </w:tc>
        <w:tc>
          <w:tcPr>
            <w:tcW w:w="2123" w:type="dxa"/>
            <w:vAlign w:val="center"/>
          </w:tcPr>
          <w:p w14:paraId="00B0273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投资控制目标</w:t>
            </w:r>
          </w:p>
        </w:tc>
        <w:tc>
          <w:tcPr>
            <w:tcW w:w="6140" w:type="dxa"/>
            <w:vAlign w:val="center"/>
          </w:tcPr>
          <w:p w14:paraId="064FFEC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控制在承包人与发包人签订的合同价内</w:t>
            </w:r>
          </w:p>
        </w:tc>
      </w:tr>
      <w:tr w14:paraId="0292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1330" w:type="dxa"/>
            <w:vAlign w:val="center"/>
          </w:tcPr>
          <w:p w14:paraId="0500A030">
            <w:pPr>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1.3.5</w:t>
            </w:r>
          </w:p>
        </w:tc>
        <w:tc>
          <w:tcPr>
            <w:tcW w:w="2123" w:type="dxa"/>
            <w:vAlign w:val="center"/>
          </w:tcPr>
          <w:p w14:paraId="0E733972">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监理主要工作内容</w:t>
            </w:r>
          </w:p>
        </w:tc>
        <w:tc>
          <w:tcPr>
            <w:tcW w:w="6140" w:type="dxa"/>
            <w:vAlign w:val="center"/>
          </w:tcPr>
          <w:p w14:paraId="161D027F">
            <w:pPr>
              <w:widowControl/>
              <w:spacing w:line="360" w:lineRule="auto"/>
              <w:ind w:left="105" w:leftChars="50"/>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负责招标范围内工程过程中的质量、进度、费用控制，安全生产监督管理、合同、信息等方面的协调管理。</w:t>
            </w:r>
          </w:p>
        </w:tc>
      </w:tr>
      <w:tr w14:paraId="7F2AB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9077081">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1.3.6</w:t>
            </w:r>
          </w:p>
        </w:tc>
        <w:tc>
          <w:tcPr>
            <w:tcW w:w="2123" w:type="dxa"/>
            <w:vAlign w:val="center"/>
          </w:tcPr>
          <w:p w14:paraId="4D73AC35">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标段划分情况</w:t>
            </w:r>
          </w:p>
        </w:tc>
        <w:tc>
          <w:tcPr>
            <w:tcW w:w="6140" w:type="dxa"/>
            <w:vAlign w:val="center"/>
          </w:tcPr>
          <w:p w14:paraId="66263EC6">
            <w:pP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本项目</w:t>
            </w:r>
            <w:r>
              <w:rPr>
                <w:rFonts w:hint="eastAsia" w:ascii="宋体" w:hAnsi="宋体" w:eastAsia="宋体" w:cs="宋体"/>
                <w:color w:val="auto"/>
                <w:sz w:val="21"/>
                <w:szCs w:val="21"/>
                <w:highlight w:val="none"/>
                <w:vertAlign w:val="baseline"/>
                <w:lang w:eastAsia="zh-CN"/>
              </w:rPr>
              <w:t>共划分</w:t>
            </w:r>
            <w:r>
              <w:rPr>
                <w:rFonts w:hint="eastAsia" w:ascii="宋体" w:hAnsi="宋体" w:eastAsia="宋体" w:cs="宋体"/>
                <w:color w:val="auto"/>
                <w:sz w:val="21"/>
                <w:szCs w:val="21"/>
                <w:highlight w:val="none"/>
                <w:vertAlign w:val="baseline"/>
                <w:lang w:val="en-US" w:eastAsia="zh-CN"/>
              </w:rPr>
              <w:t>2</w:t>
            </w:r>
            <w:r>
              <w:rPr>
                <w:rFonts w:hint="eastAsia" w:ascii="宋体" w:hAnsi="宋体" w:eastAsia="宋体" w:cs="宋体"/>
                <w:color w:val="auto"/>
                <w:sz w:val="21"/>
                <w:szCs w:val="21"/>
                <w:highlight w:val="none"/>
                <w:vertAlign w:val="baseline"/>
              </w:rPr>
              <w:t>个标段</w:t>
            </w:r>
            <w:r>
              <w:rPr>
                <w:rFonts w:hint="eastAsia" w:ascii="宋体" w:hAnsi="宋体" w:eastAsia="宋体" w:cs="宋体"/>
                <w:color w:val="auto"/>
                <w:sz w:val="21"/>
                <w:szCs w:val="21"/>
                <w:highlight w:val="none"/>
                <w:vertAlign w:val="baseline"/>
                <w:lang w:eastAsia="zh-CN"/>
              </w:rPr>
              <w:t>。</w:t>
            </w:r>
          </w:p>
          <w:p w14:paraId="3EC88EA7">
            <w:pP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一标段：施工</w:t>
            </w:r>
          </w:p>
          <w:p w14:paraId="61546194">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二标段：监理</w:t>
            </w:r>
          </w:p>
        </w:tc>
      </w:tr>
      <w:tr w14:paraId="5ABC8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30" w:type="dxa"/>
            <w:vAlign w:val="center"/>
          </w:tcPr>
          <w:p w14:paraId="0A30AB7E">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1.4.1</w:t>
            </w:r>
          </w:p>
        </w:tc>
        <w:tc>
          <w:tcPr>
            <w:tcW w:w="2123" w:type="dxa"/>
            <w:vAlign w:val="center"/>
          </w:tcPr>
          <w:p w14:paraId="02BC346D">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投标人资质条件、能力和信誉</w:t>
            </w:r>
          </w:p>
        </w:tc>
        <w:tc>
          <w:tcPr>
            <w:tcW w:w="6140" w:type="dxa"/>
            <w:vAlign w:val="center"/>
          </w:tcPr>
          <w:p w14:paraId="4CF5E45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rPr>
              <w:t>详见第一章招标公告“3.投标人资格要求”</w:t>
            </w:r>
          </w:p>
        </w:tc>
      </w:tr>
      <w:tr w14:paraId="52D9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57E375C9">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1.4.2</w:t>
            </w:r>
          </w:p>
        </w:tc>
        <w:tc>
          <w:tcPr>
            <w:tcW w:w="2123" w:type="dxa"/>
            <w:vAlign w:val="center"/>
          </w:tcPr>
          <w:p w14:paraId="515AF8F0">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是否接受联合体投标</w:t>
            </w:r>
          </w:p>
        </w:tc>
        <w:tc>
          <w:tcPr>
            <w:tcW w:w="6140" w:type="dxa"/>
            <w:vAlign w:val="center"/>
          </w:tcPr>
          <w:p w14:paraId="2EE4ECA4">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不接受</w:t>
            </w:r>
          </w:p>
          <w:p w14:paraId="02F7C223">
            <w:pPr>
              <w:spacing w:line="360" w:lineRule="auto"/>
              <w:rPr>
                <w:rFonts w:hint="default" w:ascii="宋体" w:hAnsi="宋体" w:eastAsia="宋体" w:cs="宋体"/>
                <w:color w:val="auto"/>
                <w:sz w:val="21"/>
                <w:szCs w:val="21"/>
                <w:highlight w:val="none"/>
                <w:vertAlign w:val="baseline"/>
                <w:lang w:val="en-US"/>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接受，联合体投标的，应满足下列要求：</w:t>
            </w:r>
            <w:r>
              <w:rPr>
                <w:rFonts w:hint="eastAsia" w:ascii="宋体" w:hAnsi="宋体" w:cs="宋体"/>
                <w:color w:val="auto"/>
                <w:sz w:val="21"/>
                <w:szCs w:val="21"/>
                <w:highlight w:val="none"/>
                <w:lang w:val="en-US" w:eastAsia="zh-CN"/>
              </w:rPr>
              <w:t>/</w:t>
            </w:r>
          </w:p>
        </w:tc>
      </w:tr>
      <w:tr w14:paraId="4C2D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46C46D3">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1.9.1</w:t>
            </w:r>
          </w:p>
        </w:tc>
        <w:tc>
          <w:tcPr>
            <w:tcW w:w="2123" w:type="dxa"/>
            <w:vAlign w:val="center"/>
          </w:tcPr>
          <w:p w14:paraId="2A61B127">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踏勘现场</w:t>
            </w:r>
          </w:p>
        </w:tc>
        <w:tc>
          <w:tcPr>
            <w:tcW w:w="6140" w:type="dxa"/>
            <w:vAlign w:val="center"/>
          </w:tcPr>
          <w:p w14:paraId="1A9C87F8">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☑不组织</w:t>
            </w:r>
            <w:r>
              <w:rPr>
                <w:rFonts w:hint="eastAsia" w:ascii="宋体" w:hAnsi="宋体" w:eastAsia="宋体" w:cs="宋体"/>
                <w:color w:val="auto"/>
                <w:sz w:val="21"/>
                <w:szCs w:val="21"/>
                <w:highlight w:val="none"/>
                <w:vertAlign w:val="baseline"/>
                <w:lang w:eastAsia="zh-CN"/>
              </w:rPr>
              <w:t>，</w:t>
            </w:r>
            <w:r>
              <w:rPr>
                <w:rFonts w:hint="eastAsia" w:ascii="宋体" w:hAnsi="宋体" w:eastAsia="宋体" w:cs="宋体"/>
                <w:color w:val="auto"/>
                <w:sz w:val="21"/>
                <w:szCs w:val="21"/>
                <w:highlight w:val="none"/>
                <w:vertAlign w:val="baseline"/>
              </w:rPr>
              <w:t>投标人自行踏勘现场</w:t>
            </w:r>
          </w:p>
        </w:tc>
      </w:tr>
      <w:tr w14:paraId="7970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0BCD361">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1.10.1</w:t>
            </w:r>
          </w:p>
        </w:tc>
        <w:tc>
          <w:tcPr>
            <w:tcW w:w="2123" w:type="dxa"/>
            <w:vAlign w:val="center"/>
          </w:tcPr>
          <w:p w14:paraId="5349C90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投标预备会</w:t>
            </w:r>
          </w:p>
        </w:tc>
        <w:tc>
          <w:tcPr>
            <w:tcW w:w="6140" w:type="dxa"/>
            <w:vAlign w:val="center"/>
          </w:tcPr>
          <w:p w14:paraId="45D546A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☑不召开</w:t>
            </w:r>
          </w:p>
          <w:p w14:paraId="3953AB73">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投标</w:t>
            </w:r>
            <w:r>
              <w:rPr>
                <w:rFonts w:hint="eastAsia" w:ascii="宋体" w:hAnsi="宋体" w:cs="宋体"/>
                <w:color w:val="auto"/>
                <w:sz w:val="21"/>
                <w:szCs w:val="21"/>
                <w:highlight w:val="none"/>
                <w:lang w:eastAsia="zh-CN"/>
              </w:rPr>
              <w:t>人</w:t>
            </w:r>
            <w:r>
              <w:rPr>
                <w:rFonts w:hint="eastAsia" w:ascii="宋体" w:hAnsi="宋体" w:eastAsia="宋体" w:cs="宋体"/>
                <w:color w:val="auto"/>
                <w:sz w:val="21"/>
                <w:szCs w:val="21"/>
                <w:highlight w:val="none"/>
              </w:rPr>
              <w:t>在收到招标文件三日内，如有疑问登录交易平台向招标</w:t>
            </w:r>
            <w:r>
              <w:rPr>
                <w:rFonts w:hint="eastAsia" w:ascii="宋体" w:hAnsi="宋体" w:cs="宋体"/>
                <w:color w:val="auto"/>
                <w:sz w:val="21"/>
                <w:szCs w:val="21"/>
                <w:highlight w:val="none"/>
                <w:lang w:eastAsia="zh-CN"/>
              </w:rPr>
              <w:t>人</w:t>
            </w:r>
            <w:r>
              <w:rPr>
                <w:rFonts w:hint="eastAsia" w:ascii="宋体" w:hAnsi="宋体" w:eastAsia="宋体" w:cs="宋体"/>
                <w:color w:val="auto"/>
                <w:sz w:val="21"/>
                <w:szCs w:val="21"/>
                <w:highlight w:val="none"/>
              </w:rPr>
              <w:t>和招标代理机构提问，招标</w:t>
            </w:r>
            <w:r>
              <w:rPr>
                <w:rFonts w:hint="eastAsia" w:ascii="宋体" w:hAnsi="宋体" w:cs="宋体"/>
                <w:color w:val="auto"/>
                <w:sz w:val="21"/>
                <w:szCs w:val="21"/>
                <w:highlight w:val="none"/>
                <w:lang w:eastAsia="zh-CN"/>
              </w:rPr>
              <w:t>人</w:t>
            </w:r>
            <w:r>
              <w:rPr>
                <w:rFonts w:hint="eastAsia" w:ascii="宋体" w:hAnsi="宋体" w:eastAsia="宋体" w:cs="宋体"/>
                <w:color w:val="auto"/>
                <w:sz w:val="21"/>
                <w:szCs w:val="21"/>
                <w:highlight w:val="none"/>
              </w:rPr>
              <w:t>和招标代理机构审查后认为如有必要答疑，会将答疑纪要在交易平台公布。</w:t>
            </w:r>
          </w:p>
        </w:tc>
      </w:tr>
      <w:tr w14:paraId="6B69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E2FA228">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1.11</w:t>
            </w:r>
          </w:p>
        </w:tc>
        <w:tc>
          <w:tcPr>
            <w:tcW w:w="2123" w:type="dxa"/>
            <w:vAlign w:val="center"/>
          </w:tcPr>
          <w:p w14:paraId="76FD5FCD">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分包</w:t>
            </w:r>
          </w:p>
        </w:tc>
        <w:tc>
          <w:tcPr>
            <w:tcW w:w="6140" w:type="dxa"/>
            <w:vAlign w:val="center"/>
          </w:tcPr>
          <w:p w14:paraId="565F5CF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☑不允许</w:t>
            </w:r>
          </w:p>
          <w:p w14:paraId="640B155B">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□允许，非主体部分经甲方同意后允许分包。</w:t>
            </w:r>
          </w:p>
        </w:tc>
      </w:tr>
      <w:tr w14:paraId="68DA3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F414F35">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1.12</w:t>
            </w:r>
          </w:p>
        </w:tc>
        <w:tc>
          <w:tcPr>
            <w:tcW w:w="2123" w:type="dxa"/>
            <w:vAlign w:val="center"/>
          </w:tcPr>
          <w:p w14:paraId="2B2D7677">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偏离</w:t>
            </w:r>
          </w:p>
        </w:tc>
        <w:tc>
          <w:tcPr>
            <w:tcW w:w="6140" w:type="dxa"/>
            <w:vAlign w:val="center"/>
          </w:tcPr>
          <w:p w14:paraId="2A83B59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☑不允许</w:t>
            </w:r>
          </w:p>
          <w:p w14:paraId="2070E2B7">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□允许，可偏离的项目和范围</w:t>
            </w:r>
            <w:r>
              <w:rPr>
                <w:rFonts w:hint="eastAsia" w:ascii="宋体" w:hAnsi="宋体" w:cs="宋体"/>
                <w:color w:val="auto"/>
                <w:sz w:val="21"/>
                <w:szCs w:val="21"/>
                <w:highlight w:val="none"/>
                <w:lang w:val="en-US" w:eastAsia="zh-CN"/>
              </w:rPr>
              <w:t>：</w:t>
            </w:r>
          </w:p>
        </w:tc>
      </w:tr>
      <w:tr w14:paraId="414C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40FB8EF6">
            <w:pPr>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2.1</w:t>
            </w:r>
          </w:p>
        </w:tc>
        <w:tc>
          <w:tcPr>
            <w:tcW w:w="2123" w:type="dxa"/>
            <w:vAlign w:val="center"/>
          </w:tcPr>
          <w:p w14:paraId="43FD0879">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构成招标文件的其他材料</w:t>
            </w:r>
          </w:p>
        </w:tc>
        <w:tc>
          <w:tcPr>
            <w:tcW w:w="6140" w:type="dxa"/>
            <w:vAlign w:val="center"/>
          </w:tcPr>
          <w:p w14:paraId="386B6BFC">
            <w:pP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招标文件的补充文件</w:t>
            </w:r>
            <w:r>
              <w:rPr>
                <w:rFonts w:hint="eastAsia" w:ascii="宋体" w:hAnsi="宋体" w:eastAsia="宋体" w:cs="宋体"/>
                <w:color w:val="auto"/>
                <w:sz w:val="21"/>
                <w:szCs w:val="21"/>
                <w:highlight w:val="none"/>
                <w:vertAlign w:val="baseline"/>
                <w:lang w:eastAsia="zh-CN"/>
              </w:rPr>
              <w:t>（</w:t>
            </w:r>
            <w:r>
              <w:rPr>
                <w:rFonts w:hint="eastAsia" w:ascii="宋体" w:hAnsi="宋体" w:eastAsia="宋体" w:cs="宋体"/>
                <w:color w:val="auto"/>
                <w:sz w:val="21"/>
                <w:szCs w:val="21"/>
                <w:highlight w:val="none"/>
                <w:vertAlign w:val="baseline"/>
              </w:rPr>
              <w:t>如有</w:t>
            </w:r>
            <w:r>
              <w:rPr>
                <w:rFonts w:hint="eastAsia" w:ascii="宋体" w:hAnsi="宋体" w:eastAsia="宋体" w:cs="宋体"/>
                <w:color w:val="auto"/>
                <w:sz w:val="21"/>
                <w:szCs w:val="21"/>
                <w:highlight w:val="none"/>
                <w:vertAlign w:val="baseline"/>
                <w:lang w:eastAsia="zh-CN"/>
              </w:rPr>
              <w:t>）</w:t>
            </w:r>
          </w:p>
        </w:tc>
      </w:tr>
      <w:tr w14:paraId="52E7E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868C34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2.2.1</w:t>
            </w:r>
          </w:p>
        </w:tc>
        <w:tc>
          <w:tcPr>
            <w:tcW w:w="2123" w:type="dxa"/>
            <w:vAlign w:val="center"/>
          </w:tcPr>
          <w:p w14:paraId="19E9A2A1">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投标人要求澄清招标文件的截止时间</w:t>
            </w:r>
          </w:p>
        </w:tc>
        <w:tc>
          <w:tcPr>
            <w:tcW w:w="6140" w:type="dxa"/>
            <w:vAlign w:val="center"/>
          </w:tcPr>
          <w:p w14:paraId="59FA0443">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时间：递交投标文件截止之日17日前</w:t>
            </w:r>
          </w:p>
          <w:p w14:paraId="7EA3A7DE">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形式：登录交易平台匿名提出</w:t>
            </w:r>
          </w:p>
        </w:tc>
      </w:tr>
      <w:tr w14:paraId="5D038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131CF81">
            <w:pPr>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2.3.1</w:t>
            </w:r>
          </w:p>
        </w:tc>
        <w:tc>
          <w:tcPr>
            <w:tcW w:w="2123" w:type="dxa"/>
            <w:vAlign w:val="center"/>
          </w:tcPr>
          <w:p w14:paraId="198EE8D2">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招标人书面澄清的时间</w:t>
            </w:r>
          </w:p>
        </w:tc>
        <w:tc>
          <w:tcPr>
            <w:tcW w:w="6140" w:type="dxa"/>
            <w:vAlign w:val="center"/>
          </w:tcPr>
          <w:p w14:paraId="1767C5C0">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递交投标文件截止之日15日前</w:t>
            </w:r>
          </w:p>
          <w:p w14:paraId="501BA3B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形式：交易平台书面澄清</w:t>
            </w:r>
          </w:p>
        </w:tc>
      </w:tr>
      <w:tr w14:paraId="68B8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57CC303">
            <w:pPr>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2.2.3</w:t>
            </w:r>
          </w:p>
        </w:tc>
        <w:tc>
          <w:tcPr>
            <w:tcW w:w="2123" w:type="dxa"/>
            <w:vAlign w:val="center"/>
          </w:tcPr>
          <w:p w14:paraId="73C52CA0">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投标人确认收到招标文件澄清的时间</w:t>
            </w:r>
          </w:p>
        </w:tc>
        <w:tc>
          <w:tcPr>
            <w:tcW w:w="6140" w:type="dxa"/>
            <w:vAlign w:val="center"/>
          </w:tcPr>
          <w:p w14:paraId="0F13687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招标文件的补充文件发出之日2日内</w:t>
            </w:r>
          </w:p>
          <w:p w14:paraId="3D167EF4">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形式：登录交易平台匿名确认</w:t>
            </w:r>
          </w:p>
        </w:tc>
      </w:tr>
      <w:tr w14:paraId="6A45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CFE553B">
            <w:pPr>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2.3.2</w:t>
            </w:r>
          </w:p>
        </w:tc>
        <w:tc>
          <w:tcPr>
            <w:tcW w:w="2123" w:type="dxa"/>
            <w:vAlign w:val="center"/>
          </w:tcPr>
          <w:p w14:paraId="5FD06016">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投标人确认收到招标文件修改的时间</w:t>
            </w:r>
          </w:p>
        </w:tc>
        <w:tc>
          <w:tcPr>
            <w:tcW w:w="6140" w:type="dxa"/>
            <w:vAlign w:val="center"/>
          </w:tcPr>
          <w:p w14:paraId="2E10A09D">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招标文件的补充文件发出之日2日内</w:t>
            </w:r>
          </w:p>
          <w:p w14:paraId="7F6E559F">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形式：登录交易平台匿名确认</w:t>
            </w:r>
          </w:p>
        </w:tc>
      </w:tr>
      <w:tr w14:paraId="586EE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C9CE238">
            <w:pPr>
              <w:jc w:val="center"/>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2.4</w:t>
            </w:r>
          </w:p>
        </w:tc>
        <w:tc>
          <w:tcPr>
            <w:tcW w:w="2123" w:type="dxa"/>
            <w:vAlign w:val="center"/>
          </w:tcPr>
          <w:p w14:paraId="4E6D1612">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投标人对招标文件提出异议的截止时间</w:t>
            </w:r>
          </w:p>
        </w:tc>
        <w:tc>
          <w:tcPr>
            <w:tcW w:w="6140" w:type="dxa"/>
            <w:vAlign w:val="center"/>
          </w:tcPr>
          <w:p w14:paraId="7423F55F">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递交投标文件截止之日10日前，招标人收到异议，3日内给予答复；逾期未提出的视为无异议。</w:t>
            </w:r>
          </w:p>
        </w:tc>
      </w:tr>
      <w:tr w14:paraId="37C2E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C24239E">
            <w:pPr>
              <w:jc w:val="center"/>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3.1.1</w:t>
            </w:r>
          </w:p>
        </w:tc>
        <w:tc>
          <w:tcPr>
            <w:tcW w:w="2123" w:type="dxa"/>
            <w:vAlign w:val="center"/>
          </w:tcPr>
          <w:p w14:paraId="36114213">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构成投标文件的其他材料</w:t>
            </w:r>
          </w:p>
        </w:tc>
        <w:tc>
          <w:tcPr>
            <w:tcW w:w="6140" w:type="dxa"/>
            <w:vAlign w:val="center"/>
          </w:tcPr>
          <w:p w14:paraId="1BBDB8EF">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投标人自行提供</w:t>
            </w:r>
          </w:p>
        </w:tc>
      </w:tr>
      <w:tr w14:paraId="128B9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776ECA3">
            <w:pPr>
              <w:jc w:val="center"/>
              <w:rPr>
                <w:rFonts w:hint="eastAsia"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3.3.1</w:t>
            </w:r>
          </w:p>
        </w:tc>
        <w:tc>
          <w:tcPr>
            <w:tcW w:w="2123" w:type="dxa"/>
            <w:vAlign w:val="center"/>
          </w:tcPr>
          <w:p w14:paraId="33810033">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投标有效期</w:t>
            </w:r>
          </w:p>
        </w:tc>
        <w:tc>
          <w:tcPr>
            <w:tcW w:w="6140" w:type="dxa"/>
            <w:vAlign w:val="center"/>
          </w:tcPr>
          <w:p w14:paraId="68E01099">
            <w:pP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6</w:t>
            </w:r>
            <w:r>
              <w:rPr>
                <w:rFonts w:hint="eastAsia" w:ascii="宋体" w:hAnsi="宋体" w:eastAsia="宋体" w:cs="宋体"/>
                <w:color w:val="auto"/>
                <w:sz w:val="21"/>
                <w:szCs w:val="21"/>
                <w:highlight w:val="none"/>
                <w:vertAlign w:val="baseline"/>
              </w:rPr>
              <w:t>0日历天</w:t>
            </w:r>
            <w:r>
              <w:rPr>
                <w:rFonts w:hint="eastAsia" w:ascii="宋体" w:hAnsi="宋体" w:cs="宋体"/>
                <w:color w:val="auto"/>
                <w:sz w:val="21"/>
                <w:szCs w:val="21"/>
                <w:highlight w:val="none"/>
                <w:vertAlign w:val="baseline"/>
                <w:lang w:eastAsia="zh-CN"/>
              </w:rPr>
              <w:t>（</w:t>
            </w:r>
            <w:r>
              <w:rPr>
                <w:rFonts w:hint="eastAsia" w:ascii="宋体" w:hAnsi="宋体" w:eastAsia="宋体" w:cs="宋体"/>
                <w:color w:val="auto"/>
                <w:sz w:val="21"/>
                <w:szCs w:val="21"/>
                <w:highlight w:val="none"/>
                <w:vertAlign w:val="baseline"/>
              </w:rPr>
              <w:t>从投标截止之日算起</w:t>
            </w:r>
            <w:r>
              <w:rPr>
                <w:rFonts w:hint="eastAsia" w:ascii="宋体" w:hAnsi="宋体" w:cs="宋体"/>
                <w:color w:val="auto"/>
                <w:sz w:val="21"/>
                <w:szCs w:val="21"/>
                <w:highlight w:val="none"/>
                <w:vertAlign w:val="baseline"/>
                <w:lang w:eastAsia="zh-CN"/>
              </w:rPr>
              <w:t>）</w:t>
            </w:r>
          </w:p>
        </w:tc>
      </w:tr>
      <w:tr w14:paraId="2AD83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4D10DF4">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3.4.1</w:t>
            </w:r>
          </w:p>
        </w:tc>
        <w:tc>
          <w:tcPr>
            <w:tcW w:w="2123" w:type="dxa"/>
            <w:vAlign w:val="center"/>
          </w:tcPr>
          <w:p w14:paraId="2D590566">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投标保证金</w:t>
            </w:r>
          </w:p>
        </w:tc>
        <w:tc>
          <w:tcPr>
            <w:tcW w:w="6140" w:type="dxa"/>
            <w:vAlign w:val="center"/>
          </w:tcPr>
          <w:p w14:paraId="0D5392C9">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是否要求投标人递交投标保证金：</w:t>
            </w:r>
          </w:p>
          <w:p w14:paraId="3F3F5D3E">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☑要求</w:t>
            </w:r>
          </w:p>
          <w:p w14:paraId="6BD8B791">
            <w:pPr>
              <w:keepNext w:val="0"/>
              <w:keepLines w:val="0"/>
              <w:pageBreakBefore w:val="0"/>
              <w:kinsoku/>
              <w:wordWrap w:val="0"/>
              <w:overflowPunct/>
              <w:topLinePunct w:val="0"/>
              <w:bidi w:val="0"/>
              <w:adjustRightInd w:val="0"/>
              <w:snapToGrid w:val="0"/>
              <w:spacing w:line="360" w:lineRule="auto"/>
              <w:ind w:left="0" w:leftChars="0" w:right="0" w:rightChars="0" w:firstLine="0" w:firstLine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投标保证金的金额：</w:t>
            </w:r>
            <w:r>
              <w:rPr>
                <w:rFonts w:hint="eastAsia" w:ascii="宋体" w:hAnsi="宋体" w:eastAsia="宋体" w:cs="宋体"/>
                <w:bCs/>
                <w:color w:val="auto"/>
                <w:sz w:val="21"/>
                <w:szCs w:val="21"/>
                <w:highlight w:val="none"/>
                <w:u w:val="single"/>
                <w:lang w:val="en-US" w:eastAsia="zh-CN"/>
              </w:rPr>
              <w:t>贰万元整（20000.00元）</w:t>
            </w:r>
          </w:p>
          <w:p w14:paraId="470FE41B">
            <w:pPr>
              <w:keepNext w:val="0"/>
              <w:keepLines w:val="0"/>
              <w:pageBreakBefore w:val="0"/>
              <w:kinsoku/>
              <w:overflowPunct/>
              <w:topLinePunct w:val="0"/>
              <w:bidi w:val="0"/>
              <w:adjustRightInd w:val="0"/>
              <w:snapToGrid w:val="0"/>
              <w:spacing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投标保证金提交截止时间：（同投标截止时间）</w:t>
            </w:r>
          </w:p>
          <w:p w14:paraId="16ECDAC8">
            <w:pPr>
              <w:keepNext w:val="0"/>
              <w:keepLines w:val="0"/>
              <w:pageBreakBefore w:val="0"/>
              <w:kinsoku/>
              <w:overflowPunct/>
              <w:topLinePunct w:val="0"/>
              <w:bidi w:val="0"/>
              <w:adjustRightInd w:val="0"/>
              <w:snapToGrid w:val="0"/>
              <w:spacing w:line="360" w:lineRule="auto"/>
              <w:ind w:left="0" w:leftChars="0" w:right="0" w:righ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投标保证金递交形式：转账或电子保函</w:t>
            </w:r>
          </w:p>
          <w:p w14:paraId="0CDC3334">
            <w:pPr>
              <w:keepNext w:val="0"/>
              <w:keepLines w:val="0"/>
              <w:pageBreakBefore w:val="0"/>
              <w:kinsoku/>
              <w:overflowPunct/>
              <w:topLinePunct w:val="0"/>
              <w:bidi w:val="0"/>
              <w:adjustRightInd w:val="0"/>
              <w:spacing w:line="360" w:lineRule="auto"/>
              <w:ind w:left="0" w:leftChars="0" w:right="0" w:rightChars="0" w:firstLine="0" w:firstLineChars="0"/>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color w:val="auto"/>
                <w:kern w:val="0"/>
                <w:sz w:val="21"/>
                <w:szCs w:val="21"/>
                <w:highlight w:val="none"/>
              </w:rPr>
              <w:t>转账形式：投标人</w:t>
            </w:r>
            <w:r>
              <w:rPr>
                <w:rFonts w:hint="eastAsia" w:ascii="宋体" w:hAnsi="宋体" w:eastAsia="宋体" w:cs="宋体"/>
                <w:b w:val="0"/>
                <w:bCs w:val="0"/>
                <w:color w:val="auto"/>
                <w:kern w:val="0"/>
                <w:sz w:val="21"/>
                <w:szCs w:val="21"/>
                <w:highlight w:val="none"/>
              </w:rPr>
              <w:t>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2394C201">
            <w:pPr>
              <w:keepNext w:val="0"/>
              <w:keepLines w:val="0"/>
              <w:pageBreakBefore w:val="0"/>
              <w:kinsoku/>
              <w:overflowPunct/>
              <w:topLinePunct w:val="0"/>
              <w:bidi w:val="0"/>
              <w:adjustRightInd w:val="0"/>
              <w:snapToGrid w:val="0"/>
              <w:spacing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 w:val="0"/>
                <w:bCs w:val="0"/>
                <w:color w:val="auto"/>
                <w:kern w:val="0"/>
                <w:sz w:val="21"/>
                <w:szCs w:val="21"/>
                <w:highlight w:val="none"/>
              </w:rPr>
              <w:t>投标人将投标保证金于开标时间前登录交易系统从本公司基本账户一次性足额存至驻马店市公共资源交易中心指定账户,</w:t>
            </w:r>
            <w:r>
              <w:rPr>
                <w:rFonts w:hint="eastAsia" w:ascii="宋体" w:hAnsi="宋体" w:eastAsia="宋体" w:cs="宋体"/>
                <w:b w:val="0"/>
                <w:bCs w:val="0"/>
                <w:color w:val="auto"/>
                <w:sz w:val="21"/>
                <w:szCs w:val="21"/>
                <w:highlight w:val="none"/>
              </w:rPr>
              <w:t>不得以现金提交，</w:t>
            </w:r>
            <w:r>
              <w:rPr>
                <w:rFonts w:hint="eastAsia" w:ascii="宋体" w:hAnsi="宋体" w:eastAsia="宋体" w:cs="宋体"/>
                <w:b w:val="0"/>
                <w:bCs w:val="0"/>
                <w:color w:val="auto"/>
                <w:kern w:val="0"/>
                <w:sz w:val="21"/>
                <w:szCs w:val="21"/>
                <w:highlight w:val="none"/>
              </w:rPr>
              <w:t>逾期到账的投标保证金不予受理。</w:t>
            </w:r>
            <w:r>
              <w:rPr>
                <w:rFonts w:hint="eastAsia" w:ascii="宋体" w:hAnsi="宋体" w:eastAsia="宋体" w:cs="宋体"/>
                <w:b w:val="0"/>
                <w:bCs w:val="0"/>
                <w:color w:val="auto"/>
                <w:sz w:val="21"/>
                <w:szCs w:val="21"/>
                <w:highlight w:val="none"/>
              </w:rPr>
              <w:t>（</w:t>
            </w:r>
            <w:r>
              <w:rPr>
                <w:rFonts w:hint="eastAsia" w:ascii="宋体" w:hAnsi="宋体" w:eastAsia="宋体" w:cs="宋体"/>
                <w:bCs/>
                <w:color w:val="auto"/>
                <w:sz w:val="21"/>
                <w:szCs w:val="21"/>
                <w:highlight w:val="none"/>
              </w:rPr>
              <w:t>未从基本账户汇出或未按时到账者视为无效）。如联合体投标，应当以联合体中牵头人的名义提交保证金。</w:t>
            </w:r>
          </w:p>
          <w:p w14:paraId="109B7A54">
            <w:pPr>
              <w:keepNext w:val="0"/>
              <w:keepLines w:val="0"/>
              <w:pageBreakBefore w:val="0"/>
              <w:kinsoku/>
              <w:overflowPunct/>
              <w:topLinePunct w:val="0"/>
              <w:bidi w:val="0"/>
              <w:adjustRightInd w:val="0"/>
              <w:spacing w:line="360" w:lineRule="auto"/>
              <w:ind w:left="0" w:leftChars="0" w:right="0" w:righ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形式：采用保函形式缴纳的，投标人在投标截止时间前须由专业担保机构出具投标保证金保函，并将保函证明按规定附于投标文件内并上传至项目资格审查材料内。如联合体投标，应当以联合体中牵头人的名义办理投标保证金保函。</w:t>
            </w:r>
          </w:p>
          <w:p w14:paraId="5E30CE24">
            <w:pPr>
              <w:keepNext w:val="0"/>
              <w:keepLines w:val="0"/>
              <w:pageBreakBefore w:val="0"/>
              <w:kinsoku/>
              <w:overflowPunct/>
              <w:topLinePunct w:val="0"/>
              <w:bidi w:val="0"/>
              <w:adjustRightInd w:val="0"/>
              <w:spacing w:line="360" w:lineRule="auto"/>
              <w:ind w:left="0" w:leftChars="0" w:right="0" w:righ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项目开标前，投标人在交易系统“电子保函申请”页面进行电子保函申请，出具保函的相关机构审批通过后，将以密文形式出具电子保函文件，投标人在金融服务平台可下载该保函文件。</w:t>
            </w:r>
          </w:p>
          <w:p w14:paraId="43121404">
            <w:pPr>
              <w:keepNext w:val="0"/>
              <w:keepLines w:val="0"/>
              <w:pageBreakBefore w:val="0"/>
              <w:kinsoku/>
              <w:overflowPunct/>
              <w:topLinePunct w:val="0"/>
              <w:bidi w:val="0"/>
              <w:adjustRightInd w:val="0"/>
              <w:spacing w:line="360" w:lineRule="auto"/>
              <w:ind w:left="0" w:leftChars="0" w:right="0" w:righ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电子保函的申请、使用、查看及应用过程中遇到问题可以咨询以下部门：</w:t>
            </w:r>
          </w:p>
          <w:p w14:paraId="4A4061C1">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交易平台技术咨询：0396-2613088</w:t>
            </w:r>
          </w:p>
          <w:p w14:paraId="75CE5F38">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开 户 行：河南确山农村商业银行股份有限公司营业部</w:t>
            </w:r>
            <w:bookmarkStart w:id="17" w:name="_Toc32236"/>
          </w:p>
          <w:p w14:paraId="23BD182C">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户   名：确山县公共资源交易中心</w:t>
            </w:r>
            <w:bookmarkEnd w:id="17"/>
            <w:bookmarkStart w:id="18" w:name="_Toc5826"/>
          </w:p>
          <w:p w14:paraId="34C7363A">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帐    号：</w:t>
            </w:r>
            <w:bookmarkEnd w:id="18"/>
            <w:bookmarkStart w:id="19" w:name="_Toc5915"/>
            <w:r>
              <w:rPr>
                <w:rFonts w:hint="eastAsia" w:ascii="宋体" w:hAnsi="宋体" w:eastAsia="宋体" w:cs="宋体"/>
                <w:color w:val="auto"/>
                <w:kern w:val="0"/>
                <w:sz w:val="21"/>
                <w:szCs w:val="21"/>
                <w:highlight w:val="none"/>
                <w:lang w:val="en-US" w:eastAsia="zh-CN"/>
              </w:rPr>
              <w:t>501010016000002103805</w:t>
            </w:r>
          </w:p>
          <w:p w14:paraId="188B74E9">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人：朱女士</w:t>
            </w:r>
            <w:bookmarkEnd w:id="19"/>
            <w:bookmarkStart w:id="20" w:name="_Toc10228"/>
          </w:p>
          <w:p w14:paraId="55031A47">
            <w:pPr>
              <w:keepNext w:val="0"/>
              <w:keepLines/>
              <w:pageBreakBefore w:val="0"/>
              <w:widowControl w:val="0"/>
              <w:suppressLineNumbers w:val="0"/>
              <w:kinsoku/>
              <w:wordWrap w:val="0"/>
              <w:overflowPunct/>
              <w:topLinePunct w:val="0"/>
              <w:autoSpaceDE w:val="0"/>
              <w:autoSpaceDN w:val="0"/>
              <w:bidi w:val="0"/>
              <w:adjustRightInd w:val="0"/>
              <w:spacing w:before="0" w:beforeAutospacing="0" w:after="0" w:afterAutospacing="0" w:line="320" w:lineRule="exact"/>
              <w:ind w:left="0" w:right="-34" w:rightChars="-16"/>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联系电话：0396-2782998</w:t>
            </w:r>
            <w:bookmarkEnd w:id="20"/>
          </w:p>
          <w:p w14:paraId="7BEDAF75">
            <w:pPr>
              <w:spacing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□不要求</w:t>
            </w:r>
          </w:p>
        </w:tc>
      </w:tr>
      <w:tr w14:paraId="6AE2B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5A182F9">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3.5.2</w:t>
            </w:r>
          </w:p>
        </w:tc>
        <w:tc>
          <w:tcPr>
            <w:tcW w:w="2123" w:type="dxa"/>
            <w:vAlign w:val="center"/>
          </w:tcPr>
          <w:p w14:paraId="0F975B2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近年财务状况的年份要求</w:t>
            </w:r>
          </w:p>
        </w:tc>
        <w:tc>
          <w:tcPr>
            <w:tcW w:w="6140" w:type="dxa"/>
            <w:vAlign w:val="center"/>
          </w:tcPr>
          <w:p w14:paraId="1B90FE4E">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三年（202</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年度、202</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年度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202</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年度）</w:t>
            </w:r>
            <w:r>
              <w:rPr>
                <w:rFonts w:hint="eastAsia" w:ascii="宋体" w:hAnsi="宋体" w:eastAsia="宋体" w:cs="宋体"/>
                <w:color w:val="auto"/>
                <w:sz w:val="21"/>
                <w:szCs w:val="21"/>
                <w:highlight w:val="none"/>
                <w:lang w:val="en-US" w:eastAsia="zh-CN"/>
              </w:rPr>
              <w:t>，若投标人成立时间不足三年的,提供自成立时间后年度财务报告</w:t>
            </w:r>
          </w:p>
        </w:tc>
      </w:tr>
      <w:tr w14:paraId="2BAA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1E1A89F">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3.5.3</w:t>
            </w:r>
          </w:p>
        </w:tc>
        <w:tc>
          <w:tcPr>
            <w:tcW w:w="2123" w:type="dxa"/>
            <w:vAlign w:val="center"/>
          </w:tcPr>
          <w:p w14:paraId="6EC4703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近年完成的类似项目的年份要求</w:t>
            </w:r>
          </w:p>
        </w:tc>
        <w:tc>
          <w:tcPr>
            <w:tcW w:w="6140" w:type="dxa"/>
            <w:vAlign w:val="center"/>
          </w:tcPr>
          <w:p w14:paraId="2EB3DFA3">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近3年（</w:t>
            </w:r>
            <w:r>
              <w:rPr>
                <w:rFonts w:hint="eastAsia" w:ascii="宋体" w:hAnsi="宋体" w:eastAsia="宋体" w:cs="宋体"/>
                <w:color w:val="auto"/>
                <w:kern w:val="0"/>
                <w:sz w:val="21"/>
                <w:szCs w:val="21"/>
                <w:highlight w:val="none"/>
                <w:shd w:val="clear" w:color="auto" w:fill="FFFFFF"/>
                <w:lang w:val="en-US" w:eastAsia="zh-CN" w:bidi="ar-SA"/>
              </w:rPr>
              <w:t>响应文件递交截止之日往前推算</w:t>
            </w:r>
            <w:r>
              <w:rPr>
                <w:rFonts w:hint="eastAsia" w:ascii="宋体" w:hAnsi="宋体" w:eastAsia="宋体" w:cs="宋体"/>
                <w:color w:val="auto"/>
                <w:sz w:val="21"/>
                <w:szCs w:val="21"/>
                <w:highlight w:val="none"/>
              </w:rPr>
              <w:t>）</w:t>
            </w:r>
          </w:p>
        </w:tc>
      </w:tr>
      <w:tr w14:paraId="4F1EE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8A85704">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3.5.4</w:t>
            </w:r>
          </w:p>
        </w:tc>
        <w:tc>
          <w:tcPr>
            <w:tcW w:w="2123" w:type="dxa"/>
            <w:vAlign w:val="center"/>
          </w:tcPr>
          <w:p w14:paraId="4270449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正在</w:t>
            </w:r>
            <w:r>
              <w:rPr>
                <w:rFonts w:hint="eastAsia" w:ascii="宋体" w:hAnsi="宋体" w:cs="宋体"/>
                <w:color w:val="auto"/>
                <w:sz w:val="21"/>
                <w:szCs w:val="21"/>
                <w:highlight w:val="none"/>
                <w:lang w:val="en-US" w:eastAsia="zh-CN"/>
              </w:rPr>
              <w:t>承做</w:t>
            </w:r>
            <w:r>
              <w:rPr>
                <w:rFonts w:hint="eastAsia" w:ascii="宋体" w:hAnsi="宋体" w:eastAsia="宋体" w:cs="宋体"/>
                <w:color w:val="auto"/>
                <w:sz w:val="21"/>
                <w:szCs w:val="21"/>
                <w:highlight w:val="none"/>
                <w:lang w:val="en-US" w:eastAsia="zh-CN"/>
              </w:rPr>
              <w:t>和新承接的项目的年份要求</w:t>
            </w:r>
          </w:p>
        </w:tc>
        <w:tc>
          <w:tcPr>
            <w:tcW w:w="6140" w:type="dxa"/>
            <w:vAlign w:val="center"/>
          </w:tcPr>
          <w:p w14:paraId="025E52BB">
            <w:pPr>
              <w:spacing w:line="360" w:lineRule="auto"/>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3803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956655F">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3.5.5</w:t>
            </w:r>
          </w:p>
        </w:tc>
        <w:tc>
          <w:tcPr>
            <w:tcW w:w="2123" w:type="dxa"/>
            <w:vAlign w:val="center"/>
          </w:tcPr>
          <w:p w14:paraId="073847D5">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近年发生的诉讼及仲裁情况的年份要求</w:t>
            </w:r>
          </w:p>
        </w:tc>
        <w:tc>
          <w:tcPr>
            <w:tcW w:w="6140" w:type="dxa"/>
            <w:vAlign w:val="center"/>
          </w:tcPr>
          <w:p w14:paraId="5BA1C7DE">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近3年（</w:t>
            </w:r>
            <w:r>
              <w:rPr>
                <w:rFonts w:hint="eastAsia" w:ascii="宋体" w:hAnsi="宋体" w:eastAsia="宋体" w:cs="宋体"/>
                <w:color w:val="auto"/>
                <w:kern w:val="0"/>
                <w:sz w:val="21"/>
                <w:szCs w:val="21"/>
                <w:highlight w:val="none"/>
                <w:shd w:val="clear" w:color="auto" w:fill="FFFFFF"/>
                <w:lang w:val="en-US" w:eastAsia="zh-CN" w:bidi="ar-SA"/>
              </w:rPr>
              <w:t>响应文件递交截止之日往前推算</w:t>
            </w:r>
            <w:r>
              <w:rPr>
                <w:rFonts w:hint="eastAsia" w:ascii="宋体" w:hAnsi="宋体" w:eastAsia="宋体" w:cs="宋体"/>
                <w:color w:val="auto"/>
                <w:sz w:val="21"/>
                <w:szCs w:val="21"/>
                <w:highlight w:val="none"/>
              </w:rPr>
              <w:t>）</w:t>
            </w:r>
          </w:p>
        </w:tc>
      </w:tr>
      <w:tr w14:paraId="297B2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4A3A266">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3.6</w:t>
            </w:r>
          </w:p>
        </w:tc>
        <w:tc>
          <w:tcPr>
            <w:tcW w:w="2123" w:type="dxa"/>
            <w:vAlign w:val="center"/>
          </w:tcPr>
          <w:p w14:paraId="51933D3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是否允许递交备选投标方案</w:t>
            </w:r>
          </w:p>
        </w:tc>
        <w:tc>
          <w:tcPr>
            <w:tcW w:w="6140" w:type="dxa"/>
            <w:vAlign w:val="center"/>
          </w:tcPr>
          <w:p w14:paraId="4FF031A4">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☑不允许</w:t>
            </w:r>
          </w:p>
          <w:p w14:paraId="5B2E1068">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□允许</w:t>
            </w:r>
          </w:p>
        </w:tc>
      </w:tr>
      <w:tr w14:paraId="799FC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B62C4B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3.7.3</w:t>
            </w:r>
          </w:p>
        </w:tc>
        <w:tc>
          <w:tcPr>
            <w:tcW w:w="2123" w:type="dxa"/>
            <w:vAlign w:val="center"/>
          </w:tcPr>
          <w:p w14:paraId="1D27315D">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签字或盖章要求</w:t>
            </w:r>
          </w:p>
        </w:tc>
        <w:tc>
          <w:tcPr>
            <w:tcW w:w="6140" w:type="dxa"/>
            <w:vAlign w:val="center"/>
          </w:tcPr>
          <w:p w14:paraId="7C12744A">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电子投标文件</w:t>
            </w:r>
          </w:p>
          <w:p w14:paraId="7C5ED343">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经过加密的电子投标文件上传件为正本。</w:t>
            </w:r>
          </w:p>
          <w:p w14:paraId="35028EB2">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所有要求投标人加盖公章的地方都须加盖投标人单位的CA印章。</w:t>
            </w:r>
          </w:p>
          <w:p w14:paraId="10FD4354">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所有要求法定代表人签字的地方都须加盖法定代表人CA印章,需要委托代理人签字的地方，可由委托代理人签字后以图片的形式扫描上传。</w:t>
            </w:r>
          </w:p>
        </w:tc>
      </w:tr>
      <w:tr w14:paraId="17DC1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AA7A2D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3.7.4</w:t>
            </w:r>
          </w:p>
        </w:tc>
        <w:tc>
          <w:tcPr>
            <w:tcW w:w="2123" w:type="dxa"/>
            <w:vAlign w:val="center"/>
          </w:tcPr>
          <w:p w14:paraId="067C808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投标文件份数</w:t>
            </w:r>
          </w:p>
        </w:tc>
        <w:tc>
          <w:tcPr>
            <w:tcW w:w="6140" w:type="dxa"/>
            <w:vAlign w:val="center"/>
          </w:tcPr>
          <w:p w14:paraId="7C70329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加密的电子投标文件壹份</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*.zmdtf格式，在交易系统指定位置上传</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tc>
      </w:tr>
      <w:tr w14:paraId="08BD3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681336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3.7.5</w:t>
            </w:r>
          </w:p>
        </w:tc>
        <w:tc>
          <w:tcPr>
            <w:tcW w:w="2123" w:type="dxa"/>
            <w:vAlign w:val="center"/>
          </w:tcPr>
          <w:p w14:paraId="5B57A4A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装订要求</w:t>
            </w:r>
          </w:p>
        </w:tc>
        <w:tc>
          <w:tcPr>
            <w:tcW w:w="6140" w:type="dxa"/>
            <w:vAlign w:val="center"/>
          </w:tcPr>
          <w:p w14:paraId="55ABFCB5">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中标单位提供与上传电子投标文件一致的纸质文件并装订成册，不得采用活页夹等可随时拆换的方式装订。</w:t>
            </w:r>
          </w:p>
        </w:tc>
      </w:tr>
      <w:tr w14:paraId="0B11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A0FA61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4.1.2</w:t>
            </w:r>
          </w:p>
        </w:tc>
        <w:tc>
          <w:tcPr>
            <w:tcW w:w="2123" w:type="dxa"/>
            <w:vAlign w:val="center"/>
          </w:tcPr>
          <w:p w14:paraId="19AD974A">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电子投标文件U盘、纸质投标文件密封要求</w:t>
            </w:r>
          </w:p>
        </w:tc>
        <w:tc>
          <w:tcPr>
            <w:tcW w:w="6140" w:type="dxa"/>
            <w:vAlign w:val="center"/>
          </w:tcPr>
          <w:p w14:paraId="79346006">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电子投标文件U盘、纸质投标文件无需提供</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中标候选人须在中标候选人公示期满后向招标人或招标代理机构提供与上传电子投标文件一致的纸质投标文件正本壹份、副本</w:t>
            </w:r>
            <w:r>
              <w:rPr>
                <w:rFonts w:hint="eastAsia" w:ascii="宋体" w:hAnsi="宋体" w:cs="宋体"/>
                <w:color w:val="auto"/>
                <w:sz w:val="21"/>
                <w:szCs w:val="21"/>
                <w:highlight w:val="none"/>
                <w:lang w:val="en-US" w:eastAsia="zh-CN"/>
              </w:rPr>
              <w:t>肆</w:t>
            </w:r>
            <w:r>
              <w:rPr>
                <w:rFonts w:hint="eastAsia" w:ascii="宋体" w:hAnsi="宋体" w:eastAsia="宋体" w:cs="宋体"/>
                <w:color w:val="auto"/>
                <w:sz w:val="21"/>
                <w:szCs w:val="21"/>
                <w:highlight w:val="none"/>
                <w:lang w:val="en-US" w:eastAsia="zh-CN"/>
              </w:rPr>
              <w:t>份，供定标委员会核查定标。</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tc>
      </w:tr>
      <w:tr w14:paraId="2E619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5A5979F">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4.2.1</w:t>
            </w:r>
          </w:p>
        </w:tc>
        <w:tc>
          <w:tcPr>
            <w:tcW w:w="2123" w:type="dxa"/>
            <w:vAlign w:val="center"/>
          </w:tcPr>
          <w:p w14:paraId="5648656F">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投标截止时间</w:t>
            </w:r>
          </w:p>
        </w:tc>
        <w:tc>
          <w:tcPr>
            <w:tcW w:w="6140" w:type="dxa"/>
            <w:vAlign w:val="center"/>
          </w:tcPr>
          <w:p w14:paraId="6A45540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11</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u w:val="single"/>
              </w:rPr>
              <w:t xml:space="preserve"> 9 </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u w:val="single"/>
              </w:rPr>
              <w:t xml:space="preserve"> 00 </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（北京时间）</w:t>
            </w:r>
          </w:p>
        </w:tc>
      </w:tr>
      <w:tr w14:paraId="044A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30" w:type="dxa"/>
            <w:vAlign w:val="center"/>
          </w:tcPr>
          <w:p w14:paraId="6FE7941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4.2.2</w:t>
            </w:r>
          </w:p>
        </w:tc>
        <w:tc>
          <w:tcPr>
            <w:tcW w:w="2123" w:type="dxa"/>
            <w:vAlign w:val="center"/>
          </w:tcPr>
          <w:p w14:paraId="0FE8282A">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投标文件递交</w:t>
            </w:r>
          </w:p>
        </w:tc>
        <w:tc>
          <w:tcPr>
            <w:tcW w:w="6140" w:type="dxa"/>
            <w:vAlign w:val="center"/>
          </w:tcPr>
          <w:p w14:paraId="7BC9BF90">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电子投标文件的递交</w:t>
            </w:r>
          </w:p>
          <w:p w14:paraId="4F883179">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各投标人应在投标截止时间前上传加密的电子投标文件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*.ZMDTF</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到会员系统的指定位置。上传时必须得到电脑“上传成功”的确认回复后方为上传成功，并且使用系统的“模拟解密”功能验证是否能够正常解密。请投标人在上传前务必认真检查上传投标文件是否完整、正确。</w:t>
            </w:r>
          </w:p>
        </w:tc>
      </w:tr>
      <w:tr w14:paraId="6A38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5B87BAE">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4.2.3</w:t>
            </w:r>
          </w:p>
        </w:tc>
        <w:tc>
          <w:tcPr>
            <w:tcW w:w="2123" w:type="dxa"/>
            <w:vAlign w:val="center"/>
          </w:tcPr>
          <w:p w14:paraId="4D33EA9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资格审查文件及业绩信誉资料原件的递交</w:t>
            </w:r>
          </w:p>
        </w:tc>
        <w:tc>
          <w:tcPr>
            <w:tcW w:w="6140" w:type="dxa"/>
            <w:vAlign w:val="center"/>
          </w:tcPr>
          <w:p w14:paraId="169019F2">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投标人无需递交纸质投标文件及原件，投标企业应在项目开标前，将项目</w:t>
            </w:r>
            <w:r>
              <w:rPr>
                <w:rFonts w:hint="eastAsia" w:ascii="宋体" w:hAnsi="宋体" w:cs="宋体"/>
                <w:color w:val="auto"/>
                <w:sz w:val="21"/>
                <w:szCs w:val="21"/>
                <w:highlight w:val="none"/>
                <w:lang w:val="en-US" w:eastAsia="zh-CN"/>
              </w:rPr>
              <w:t>总监理工程师</w:t>
            </w:r>
            <w:r>
              <w:rPr>
                <w:rFonts w:hint="eastAsia" w:ascii="宋体" w:hAnsi="宋体" w:eastAsia="宋体" w:cs="宋体"/>
                <w:color w:val="auto"/>
                <w:sz w:val="21"/>
                <w:szCs w:val="21"/>
                <w:highlight w:val="none"/>
                <w:lang w:val="en-US" w:eastAsia="zh-CN"/>
              </w:rPr>
              <w:t>、人员、资质、业绩、荣誉、财务等投标所需材料原件扫描件，上传至驻马店市公共资源电子交易平台诚信库中，并且在“资格审查材料</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不见面开标</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”菜单下按标段从诚信库中挑选该标段投标所用资格审查材料，以供评标过程中评委查阅。评标时以电子投标文件及“资格审查材料</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不见面开标</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”菜单中选取的信息为准。</w:t>
            </w:r>
          </w:p>
          <w:p w14:paraId="1FA8A8ED">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注：各投标企业应如实填报诚信库信息，因交易主体自行填报信息的错误、缺项、虚假而造成的后果由交易主体自行承担。</w:t>
            </w:r>
            <w:r>
              <w:rPr>
                <w:rFonts w:hint="eastAsia" w:ascii="宋体" w:hAnsi="宋体" w:cs="宋体"/>
                <w:color w:val="auto"/>
                <w:sz w:val="21"/>
                <w:szCs w:val="21"/>
                <w:highlight w:val="none"/>
                <w:lang w:val="en-US" w:eastAsia="zh-CN"/>
              </w:rPr>
              <w:t>）</w:t>
            </w:r>
          </w:p>
        </w:tc>
      </w:tr>
      <w:tr w14:paraId="35842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5326246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4.2.4</w:t>
            </w:r>
          </w:p>
        </w:tc>
        <w:tc>
          <w:tcPr>
            <w:tcW w:w="2123" w:type="dxa"/>
            <w:vAlign w:val="center"/>
          </w:tcPr>
          <w:p w14:paraId="1590386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是否退还投标文件</w:t>
            </w:r>
          </w:p>
        </w:tc>
        <w:tc>
          <w:tcPr>
            <w:tcW w:w="6140" w:type="dxa"/>
            <w:vAlign w:val="center"/>
          </w:tcPr>
          <w:p w14:paraId="0B93C2D3">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☑不退还          □退还</w:t>
            </w:r>
          </w:p>
        </w:tc>
      </w:tr>
      <w:tr w14:paraId="27DDC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5CDA320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5.1</w:t>
            </w:r>
          </w:p>
        </w:tc>
        <w:tc>
          <w:tcPr>
            <w:tcW w:w="2123" w:type="dxa"/>
            <w:vAlign w:val="center"/>
          </w:tcPr>
          <w:p w14:paraId="72A846E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开标时间和地点</w:t>
            </w:r>
          </w:p>
        </w:tc>
        <w:tc>
          <w:tcPr>
            <w:tcW w:w="6140" w:type="dxa"/>
            <w:vAlign w:val="center"/>
          </w:tcPr>
          <w:p w14:paraId="7B441BE8">
            <w:pPr>
              <w:spacing w:line="360" w:lineRule="auto"/>
              <w:jc w:val="lef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开标时间：</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lang w:val="en-US" w:eastAsia="zh-CN"/>
              </w:rPr>
              <w:t>年</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val="en-US" w:eastAsia="zh-CN"/>
              </w:rPr>
              <w:t>月</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日</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lang w:val="en-US" w:eastAsia="zh-CN"/>
              </w:rPr>
              <w:t>分</w:t>
            </w:r>
            <w:r>
              <w:rPr>
                <w:rFonts w:hint="eastAsia" w:ascii="宋体" w:hAnsi="宋体" w:cs="宋体"/>
                <w:color w:val="auto"/>
                <w:sz w:val="21"/>
                <w:szCs w:val="21"/>
                <w:highlight w:val="none"/>
                <w:lang w:val="en-US" w:eastAsia="zh-CN"/>
              </w:rPr>
              <w:t>（北京时间）</w:t>
            </w:r>
          </w:p>
          <w:p w14:paraId="2494420F">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开标地点：驻马店市公共资源交易中心不见面开标</w:t>
            </w:r>
            <w:r>
              <w:rPr>
                <w:rFonts w:hint="eastAsia" w:ascii="宋体" w:hAnsi="宋体" w:cs="宋体"/>
                <w:color w:val="auto"/>
                <w:sz w:val="21"/>
                <w:szCs w:val="21"/>
                <w:highlight w:val="none"/>
                <w:lang w:val="en-US" w:eastAsia="zh-CN"/>
              </w:rPr>
              <w:t>大</w:t>
            </w:r>
            <w:r>
              <w:rPr>
                <w:rFonts w:hint="eastAsia" w:ascii="宋体" w:hAnsi="宋体" w:eastAsia="宋体" w:cs="宋体"/>
                <w:color w:val="auto"/>
                <w:sz w:val="21"/>
                <w:szCs w:val="21"/>
                <w:highlight w:val="none"/>
                <w:lang w:val="en-US" w:eastAsia="zh-CN"/>
              </w:rPr>
              <w:t>厅</w:t>
            </w:r>
          </w:p>
          <w:p w14:paraId="037DEF0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电子投标文件必须凭制作投标文件所用的CA密匙在</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分钟内完成解密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tc>
      </w:tr>
      <w:tr w14:paraId="36EAE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4F529E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w:t>
            </w:r>
          </w:p>
        </w:tc>
        <w:tc>
          <w:tcPr>
            <w:tcW w:w="2123" w:type="dxa"/>
            <w:vAlign w:val="center"/>
          </w:tcPr>
          <w:p w14:paraId="345126E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开标程序</w:t>
            </w:r>
          </w:p>
        </w:tc>
        <w:tc>
          <w:tcPr>
            <w:tcW w:w="6140" w:type="dxa"/>
            <w:vAlign w:val="center"/>
          </w:tcPr>
          <w:p w14:paraId="46B53506">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本工程采用远程不见面交易的模式。开标当日，投标人无需到达开标现场，仅需在任意地点通过驻马店不见面开标系统</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http://ggzy.zhumadian.gov.cn:9190/BidOpening/bidopeninghallaction/hall/login</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及相应的配套硬件设备</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摄像头、话筒、麦克风等</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完成远程解密、评标办法与系数抽取、文件传输、提疑澄清、开标唱标、结果公布等交互环节。投标人必须使用能正确解密投标文件的“CA锁”在规定的时间内完成远程解密，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友情提示：若投标人已领取副锁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含多把副锁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请注意正副锁的使用差别</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tc>
      </w:tr>
      <w:tr w14:paraId="5D8D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46E1BA8A">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6.1.1</w:t>
            </w:r>
          </w:p>
        </w:tc>
        <w:tc>
          <w:tcPr>
            <w:tcW w:w="2123" w:type="dxa"/>
            <w:vAlign w:val="center"/>
          </w:tcPr>
          <w:p w14:paraId="23AD234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评标委员会的组建</w:t>
            </w:r>
          </w:p>
        </w:tc>
        <w:tc>
          <w:tcPr>
            <w:tcW w:w="6140" w:type="dxa"/>
            <w:vAlign w:val="center"/>
          </w:tcPr>
          <w:p w14:paraId="3EA38911">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评标委员会由招标人依法组建，由</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人组成；（经济类</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人，技术类</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人）；</w:t>
            </w:r>
          </w:p>
          <w:p w14:paraId="10495277">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其中招标人代表</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人（招标人代表应由具有评标专家相应或者类似条件的人员担任，或招标人从河南省综合专家库确定</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名评标专家作为招标人代表）；</w:t>
            </w:r>
          </w:p>
          <w:p w14:paraId="4B49DDF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评标专家</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人；</w:t>
            </w:r>
          </w:p>
          <w:p w14:paraId="2F07CC9D">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评标专家确定方式：</w:t>
            </w:r>
          </w:p>
          <w:p w14:paraId="63FB164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☑开标时在监督部门的监督下从《河南省综合专家库》中采用电脑随机抽签方式确定,负责评标活动。</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默认</w:t>
            </w:r>
            <w:r>
              <w:rPr>
                <w:rFonts w:hint="eastAsia" w:ascii="宋体" w:hAnsi="宋体" w:cs="宋体"/>
                <w:color w:val="auto"/>
                <w:sz w:val="21"/>
                <w:szCs w:val="21"/>
                <w:highlight w:val="none"/>
                <w:lang w:val="en-US" w:eastAsia="zh-CN"/>
              </w:rPr>
              <w:t>）</w:t>
            </w:r>
          </w:p>
          <w:p w14:paraId="39E39138">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w:t>
            </w:r>
            <w:r>
              <w:rPr>
                <w:rFonts w:hint="eastAsia" w:ascii="宋体" w:hAnsi="宋体" w:eastAsia="宋体" w:cs="宋体"/>
                <w:color w:val="auto"/>
                <w:sz w:val="21"/>
                <w:szCs w:val="21"/>
                <w:highlight w:val="none"/>
                <w:u w:val="single"/>
                <w:lang w:val="en-US" w:eastAsia="zh-CN"/>
              </w:rPr>
              <w:t xml:space="preserve">                   </w:t>
            </w:r>
          </w:p>
        </w:tc>
      </w:tr>
      <w:tr w14:paraId="70FC0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3D39CB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6.3.4</w:t>
            </w:r>
          </w:p>
        </w:tc>
        <w:tc>
          <w:tcPr>
            <w:tcW w:w="2123" w:type="dxa"/>
            <w:vAlign w:val="center"/>
          </w:tcPr>
          <w:p w14:paraId="6A4CC053">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本次评标采用的评标方法</w:t>
            </w:r>
          </w:p>
        </w:tc>
        <w:tc>
          <w:tcPr>
            <w:tcW w:w="6140" w:type="dxa"/>
            <w:vAlign w:val="center"/>
          </w:tcPr>
          <w:p w14:paraId="344037A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合格制+基准值</w:t>
            </w:r>
            <w:r>
              <w:rPr>
                <w:rFonts w:hint="eastAsia" w:ascii="宋体" w:hAnsi="宋体" w:cs="宋体"/>
                <w:color w:val="auto"/>
                <w:sz w:val="21"/>
                <w:szCs w:val="21"/>
                <w:highlight w:val="none"/>
                <w:lang w:val="en-US" w:eastAsia="zh-CN"/>
              </w:rPr>
              <w:t>）</w:t>
            </w:r>
          </w:p>
          <w:p w14:paraId="5EEEAC66">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综合评估法</w:t>
            </w:r>
          </w:p>
          <w:p w14:paraId="5115DC48">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□合理低价法</w:t>
            </w:r>
          </w:p>
        </w:tc>
      </w:tr>
      <w:tr w14:paraId="68B2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72A8B728">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6.3.5</w:t>
            </w:r>
          </w:p>
        </w:tc>
        <w:tc>
          <w:tcPr>
            <w:tcW w:w="2123" w:type="dxa"/>
            <w:vAlign w:val="center"/>
          </w:tcPr>
          <w:p w14:paraId="4080241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评标方式</w:t>
            </w:r>
          </w:p>
        </w:tc>
        <w:tc>
          <w:tcPr>
            <w:tcW w:w="6140" w:type="dxa"/>
            <w:vAlign w:val="center"/>
          </w:tcPr>
          <w:p w14:paraId="192ED53C">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□网络电子评标</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电子评标过程中当出现突发情况，导致系统无法正常运行且短时间内无法修复时，经监督部门同意，可以申请延期开标。</w:t>
            </w:r>
            <w:r>
              <w:rPr>
                <w:rFonts w:hint="eastAsia" w:ascii="宋体" w:hAnsi="宋体" w:cs="宋体"/>
                <w:color w:val="auto"/>
                <w:sz w:val="21"/>
                <w:szCs w:val="21"/>
                <w:highlight w:val="none"/>
                <w:lang w:val="en-US" w:eastAsia="zh-CN"/>
              </w:rPr>
              <w:t>）</w:t>
            </w:r>
          </w:p>
          <w:p w14:paraId="134A2BF4">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□纸质评标</w:t>
            </w:r>
          </w:p>
          <w:p w14:paraId="0894492A">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☑远程网络电子评标</w:t>
            </w:r>
          </w:p>
        </w:tc>
      </w:tr>
      <w:tr w14:paraId="0CC9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A53EDB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7.1</w:t>
            </w:r>
          </w:p>
        </w:tc>
        <w:tc>
          <w:tcPr>
            <w:tcW w:w="2123" w:type="dxa"/>
            <w:vAlign w:val="center"/>
          </w:tcPr>
          <w:p w14:paraId="27184D0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定标方式</w:t>
            </w:r>
          </w:p>
        </w:tc>
        <w:tc>
          <w:tcPr>
            <w:tcW w:w="6140" w:type="dxa"/>
            <w:vAlign w:val="center"/>
          </w:tcPr>
          <w:p w14:paraId="1E7A928C">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本项目采用评定分离方式确定中标人，定标采用核查</w:t>
            </w:r>
            <w:r>
              <w:rPr>
                <w:rFonts w:hint="eastAsia" w:ascii="宋体" w:hAnsi="宋体" w:cs="宋体"/>
                <w:color w:val="auto"/>
                <w:sz w:val="21"/>
                <w:szCs w:val="21"/>
                <w:highlight w:val="none"/>
                <w:lang w:val="en-US" w:eastAsia="zh-CN"/>
              </w:rPr>
              <w:t>随机法</w:t>
            </w:r>
            <w:r>
              <w:rPr>
                <w:rFonts w:hint="eastAsia" w:ascii="宋体" w:hAnsi="宋体" w:eastAsia="宋体" w:cs="宋体"/>
                <w:color w:val="auto"/>
                <w:sz w:val="21"/>
                <w:szCs w:val="21"/>
                <w:highlight w:val="none"/>
                <w:lang w:val="en-US" w:eastAsia="zh-CN"/>
              </w:rPr>
              <w:t>。评标委员会按照招标文件规定的方法和数量推荐中标候选人。招标人应当在中标候选人公示期满后7日内完成定标工作，招标人应当对定标过程进行音、视频记录，并存档备查。不能按时完成定标工作的，应当通过驻马店市公共资源交易中心发布延期原因和最终定标时间。</w:t>
            </w:r>
          </w:p>
        </w:tc>
      </w:tr>
      <w:tr w14:paraId="3C7C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8FBBF95">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7.6.1</w:t>
            </w:r>
          </w:p>
        </w:tc>
        <w:tc>
          <w:tcPr>
            <w:tcW w:w="2123" w:type="dxa"/>
            <w:vAlign w:val="center"/>
          </w:tcPr>
          <w:p w14:paraId="10A28BF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w:t>
            </w:r>
          </w:p>
        </w:tc>
        <w:tc>
          <w:tcPr>
            <w:tcW w:w="6140" w:type="dxa"/>
            <w:vAlign w:val="center"/>
          </w:tcPr>
          <w:p w14:paraId="19A64687">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是否要求中标人提供履约保证金：</w:t>
            </w:r>
          </w:p>
          <w:p w14:paraId="15C4283E">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☑要求提供</w:t>
            </w:r>
          </w:p>
          <w:p w14:paraId="00EE387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履约保证金的形式：现金转账或银行履约保函</w:t>
            </w:r>
          </w:p>
          <w:p w14:paraId="66FCD2C0">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履约保证金额：中标价的</w:t>
            </w:r>
            <w:r>
              <w:rPr>
                <w:rFonts w:hint="eastAsia" w:ascii="宋体" w:hAnsi="宋体" w:cs="宋体"/>
                <w:color w:val="auto"/>
                <w:sz w:val="21"/>
                <w:szCs w:val="21"/>
                <w:highlight w:val="none"/>
                <w:lang w:val="en-US" w:eastAsia="zh-CN"/>
              </w:rPr>
              <w:t xml:space="preserve">8 </w:t>
            </w:r>
            <w:r>
              <w:rPr>
                <w:rFonts w:hint="eastAsia" w:ascii="宋体" w:hAnsi="宋体" w:eastAsia="宋体" w:cs="宋体"/>
                <w:color w:val="auto"/>
                <w:sz w:val="21"/>
                <w:szCs w:val="21"/>
                <w:highlight w:val="none"/>
                <w:lang w:val="en-US" w:eastAsia="zh-CN"/>
              </w:rPr>
              <w:t>%</w:t>
            </w:r>
          </w:p>
          <w:p w14:paraId="50C459FD">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履约保证金递交时间：招标人确定中标人后，中标人应在接到招标人通知后5日内，将履约保证金打入招标人指定账户或按照招标文件要求的形式提交其他保证。逾期未缴纳的取消其中标资格。</w:t>
            </w:r>
          </w:p>
          <w:p w14:paraId="3CC75666">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□不要求</w:t>
            </w:r>
          </w:p>
        </w:tc>
      </w:tr>
      <w:tr w14:paraId="127C4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2991784D">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8.1</w:t>
            </w:r>
          </w:p>
        </w:tc>
        <w:tc>
          <w:tcPr>
            <w:tcW w:w="2123" w:type="dxa"/>
            <w:vAlign w:val="center"/>
          </w:tcPr>
          <w:p w14:paraId="2F6367B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重新招标和不再招标</w:t>
            </w:r>
          </w:p>
        </w:tc>
        <w:tc>
          <w:tcPr>
            <w:tcW w:w="6140" w:type="dxa"/>
            <w:vAlign w:val="center"/>
          </w:tcPr>
          <w:p w14:paraId="2FF6D6D5">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1、重新招标</w:t>
            </w:r>
          </w:p>
          <w:p w14:paraId="390A2495">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有下列情形之一的，招标人将重新招标：</w:t>
            </w:r>
          </w:p>
          <w:p w14:paraId="1196098F">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投标截止时间止，投标人少于3个的；</w:t>
            </w:r>
          </w:p>
          <w:p w14:paraId="0B70DAF9">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经评标委员会评审后否决所有投标的。</w:t>
            </w:r>
          </w:p>
          <w:p w14:paraId="16B71B1B">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2、不再招标</w:t>
            </w:r>
          </w:p>
          <w:p w14:paraId="7ABE3BF7">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依法必须进行施工招标的项目提交投标文件的投标人少于三个的，招标人在分析招标失败的原因并采取相应措施后应当依法重新招标，重新招标后投标人仍少于三个或者所有投标被否决的，属于必须审批或核准的工程建设项目，经原审批或核准部门批准后不再进行招标。</w:t>
            </w:r>
          </w:p>
        </w:tc>
      </w:tr>
      <w:tr w14:paraId="2F954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1EFC5F7A">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 需要补充的其他内容</w:t>
            </w:r>
          </w:p>
        </w:tc>
      </w:tr>
      <w:tr w14:paraId="32373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616EB811">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10.1 词语定义</w:t>
            </w:r>
          </w:p>
        </w:tc>
      </w:tr>
      <w:tr w14:paraId="00D78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CD4169E">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10.1.1</w:t>
            </w:r>
          </w:p>
        </w:tc>
        <w:tc>
          <w:tcPr>
            <w:tcW w:w="2123" w:type="dxa"/>
            <w:vAlign w:val="center"/>
          </w:tcPr>
          <w:p w14:paraId="500482C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不良行为记录</w:t>
            </w:r>
          </w:p>
        </w:tc>
        <w:tc>
          <w:tcPr>
            <w:tcW w:w="6140" w:type="dxa"/>
            <w:vAlign w:val="center"/>
          </w:tcPr>
          <w:p w14:paraId="7F205221">
            <w:pPr>
              <w:spacing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不良行为记录是指：/</w:t>
            </w:r>
          </w:p>
        </w:tc>
      </w:tr>
      <w:tr w14:paraId="26999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892232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23" w:type="dxa"/>
            <w:vAlign w:val="center"/>
          </w:tcPr>
          <w:p w14:paraId="25FC4668">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6140" w:type="dxa"/>
            <w:vAlign w:val="center"/>
          </w:tcPr>
          <w:p w14:paraId="3E7FB2C6">
            <w:pPr>
              <w:spacing w:line="360" w:lineRule="auto"/>
              <w:jc w:val="center"/>
              <w:rPr>
                <w:rFonts w:hint="eastAsia" w:ascii="宋体" w:hAnsi="宋体" w:eastAsia="宋体" w:cs="宋体"/>
                <w:color w:val="auto"/>
                <w:sz w:val="21"/>
                <w:szCs w:val="21"/>
                <w:highlight w:val="none"/>
                <w:lang w:val="en-US" w:eastAsia="zh-CN"/>
              </w:rPr>
            </w:pPr>
          </w:p>
        </w:tc>
      </w:tr>
      <w:tr w14:paraId="1119A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0201B1BA">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10.2 </w:t>
            </w:r>
            <w:r>
              <w:rPr>
                <w:rFonts w:hint="eastAsia" w:ascii="宋体" w:hAnsi="宋体" w:cs="宋体"/>
                <w:color w:val="auto"/>
                <w:sz w:val="21"/>
                <w:szCs w:val="21"/>
                <w:highlight w:val="none"/>
                <w:lang w:val="en-US" w:eastAsia="zh-CN"/>
              </w:rPr>
              <w:t>招标控制价</w:t>
            </w:r>
          </w:p>
        </w:tc>
      </w:tr>
      <w:tr w14:paraId="2DC1C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42A1F6C">
            <w:pPr>
              <w:jc w:val="center"/>
              <w:rPr>
                <w:rFonts w:hint="eastAsia" w:ascii="宋体" w:hAnsi="宋体" w:eastAsia="宋体" w:cs="宋体"/>
                <w:color w:val="auto"/>
                <w:sz w:val="21"/>
                <w:szCs w:val="21"/>
                <w:highlight w:val="none"/>
                <w:vertAlign w:val="baseline"/>
              </w:rPr>
            </w:pPr>
          </w:p>
        </w:tc>
        <w:tc>
          <w:tcPr>
            <w:tcW w:w="2123" w:type="dxa"/>
            <w:vAlign w:val="center"/>
          </w:tcPr>
          <w:p w14:paraId="0A0A0C2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招标控制价</w:t>
            </w:r>
          </w:p>
        </w:tc>
        <w:tc>
          <w:tcPr>
            <w:tcW w:w="6140" w:type="dxa"/>
            <w:vAlign w:val="center"/>
          </w:tcPr>
          <w:p w14:paraId="383E0DE6">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一、报价方式：</w:t>
            </w:r>
          </w:p>
          <w:p w14:paraId="77109349">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1.招标范围内所有工程建设内容费用均已含在投标人的报价中，报价时投标人应考虑各类风险。 </w:t>
            </w:r>
          </w:p>
          <w:p w14:paraId="69B764BE">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2.中标人意外险及法律法规规定应由中标人承担的所有保险，中标人应以招标人和中标人双方的名义为本合同工程投保，其费用含在投标报价中。</w:t>
            </w:r>
          </w:p>
          <w:p w14:paraId="7FBAB2AF">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lang w:eastAsia="zh-CN"/>
              </w:rPr>
              <w:t>（最高投标限价）</w:t>
            </w:r>
            <w:r>
              <w:rPr>
                <w:rFonts w:hint="eastAsia" w:ascii="宋体" w:hAnsi="宋体" w:eastAsia="宋体" w:cs="宋体"/>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1207100.00元</w:t>
            </w:r>
            <w:r>
              <w:rPr>
                <w:rFonts w:hint="eastAsia" w:ascii="宋体" w:hAnsi="宋体" w:eastAsia="宋体" w:cs="宋体"/>
                <w:color w:val="auto"/>
                <w:sz w:val="21"/>
                <w:szCs w:val="21"/>
                <w:highlight w:val="none"/>
                <w:lang w:val="en-US" w:eastAsia="zh-CN"/>
              </w:rPr>
              <w:t>；</w:t>
            </w:r>
          </w:p>
          <w:p w14:paraId="7A5FEF61">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投标人的投标报价不得超过上述</w:t>
            </w:r>
            <w:r>
              <w:rPr>
                <w:rFonts w:hint="eastAsia" w:ascii="宋体" w:hAnsi="宋体" w:cs="宋体"/>
                <w:color w:val="auto"/>
                <w:sz w:val="21"/>
                <w:szCs w:val="21"/>
                <w:highlight w:val="none"/>
                <w:lang w:val="en-US" w:eastAsia="zh-CN"/>
              </w:rPr>
              <w:t>招标控制价</w:t>
            </w:r>
            <w:r>
              <w:rPr>
                <w:rFonts w:hint="eastAsia" w:ascii="宋体" w:hAnsi="宋体" w:eastAsia="宋体" w:cs="宋体"/>
                <w:color w:val="auto"/>
                <w:sz w:val="21"/>
                <w:szCs w:val="21"/>
                <w:highlight w:val="none"/>
                <w:lang w:val="en-US" w:eastAsia="zh-CN"/>
              </w:rPr>
              <w:t>，否则视为不响应招标文件，其投标文件将被否决。</w:t>
            </w:r>
          </w:p>
        </w:tc>
      </w:tr>
      <w:tr w14:paraId="0E67E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5F51F878">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10.3 “暗标”评审</w:t>
            </w:r>
          </w:p>
        </w:tc>
      </w:tr>
      <w:tr w14:paraId="2AEC4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1DF19EC">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14D694AA">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本项目不采用“暗标”评审</w:t>
            </w:r>
          </w:p>
        </w:tc>
      </w:tr>
      <w:tr w14:paraId="07AE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4A3CE33C">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10.4 投标人代表出席开标会</w:t>
            </w:r>
          </w:p>
        </w:tc>
      </w:tr>
      <w:tr w14:paraId="3B6C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493ECF08">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1FCB9DD4">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本项目采用不见面开标，投标人代表无须现场签到</w:t>
            </w:r>
          </w:p>
        </w:tc>
      </w:tr>
      <w:tr w14:paraId="10192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4ABF7B5C">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10.5 中标候选人公示</w:t>
            </w:r>
          </w:p>
        </w:tc>
      </w:tr>
      <w:tr w14:paraId="226C1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CBC2724">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1421B8C2">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招标人收到评标委员会评标报告后3日内，应将中标候选人的情况在本招标项目招标公告</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文件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发布的同一媒介予以公示，公示期不少于</w:t>
            </w:r>
            <w:r>
              <w:rPr>
                <w:rFonts w:hint="eastAsia" w:ascii="宋体" w:hAnsi="宋体" w:eastAsia="宋体" w:cs="宋体"/>
                <w:color w:val="auto"/>
                <w:sz w:val="21"/>
                <w:szCs w:val="21"/>
                <w:highlight w:val="none"/>
                <w:u w:val="single"/>
                <w:lang w:val="en-US" w:eastAsia="zh-CN"/>
              </w:rPr>
              <w:t xml:space="preserve"> 3 </w:t>
            </w:r>
            <w:r>
              <w:rPr>
                <w:rFonts w:hint="eastAsia" w:ascii="宋体" w:hAnsi="宋体" w:eastAsia="宋体" w:cs="宋体"/>
                <w:color w:val="auto"/>
                <w:sz w:val="21"/>
                <w:szCs w:val="21"/>
                <w:highlight w:val="none"/>
                <w:lang w:val="en-US" w:eastAsia="zh-CN"/>
              </w:rPr>
              <w:t>日。</w:t>
            </w:r>
          </w:p>
        </w:tc>
      </w:tr>
      <w:tr w14:paraId="588F9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71DB78B7">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10.6 知识产权</w:t>
            </w:r>
          </w:p>
        </w:tc>
      </w:tr>
      <w:tr w14:paraId="4DCC3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8B17B0B">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28998E44">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0B19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149B5577">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10.7 同义词语</w:t>
            </w:r>
          </w:p>
        </w:tc>
      </w:tr>
      <w:tr w14:paraId="7E968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03029CB0">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744D526A">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构成招标文件组成部分的“通用合同条款”、“专用合同条款”</w:t>
            </w:r>
            <w:r>
              <w:rPr>
                <w:rFonts w:hint="eastAsia" w:ascii="宋体" w:hAnsi="宋体" w:cs="宋体"/>
                <w:color w:val="auto"/>
                <w:sz w:val="21"/>
                <w:szCs w:val="21"/>
                <w:highlight w:val="none"/>
                <w:lang w:val="en-US" w:eastAsia="zh-CN"/>
              </w:rPr>
              <w:t>和</w:t>
            </w:r>
            <w:r>
              <w:rPr>
                <w:rFonts w:hint="eastAsia" w:ascii="宋体" w:hAnsi="宋体" w:eastAsia="宋体" w:cs="宋体"/>
                <w:color w:val="auto"/>
                <w:sz w:val="21"/>
                <w:szCs w:val="21"/>
                <w:highlight w:val="none"/>
                <w:lang w:val="en-US" w:eastAsia="zh-CN"/>
              </w:rPr>
              <w:t>“技术标准和要求”等章节中出现的措辞“发包人”和“承包人”，在招标投标阶段应当分别按“招标人”和“投标人”进行理解。</w:t>
            </w:r>
          </w:p>
        </w:tc>
      </w:tr>
      <w:tr w14:paraId="3C65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6EBE3E9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10.8 监  督</w:t>
            </w:r>
          </w:p>
        </w:tc>
      </w:tr>
      <w:tr w14:paraId="28C2C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1BC76D39">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163F3E5B">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本项目的招标投标活动及其相关当事人应当接受有管辖权的建设工程招标投标行政监督部门依法实施的监督。监督单位及联系方式详见招标公告。</w:t>
            </w:r>
          </w:p>
        </w:tc>
      </w:tr>
      <w:tr w14:paraId="6F7B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6DE0975F">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10.9 解释权</w:t>
            </w:r>
          </w:p>
        </w:tc>
      </w:tr>
      <w:tr w14:paraId="53BD0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61AF222B">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7221F8B1">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投标邀请书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32591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93" w:type="dxa"/>
            <w:gridSpan w:val="3"/>
            <w:vAlign w:val="center"/>
          </w:tcPr>
          <w:p w14:paraId="2AA97702">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10.10 招标人补充的其他内容</w:t>
            </w:r>
          </w:p>
        </w:tc>
      </w:tr>
      <w:tr w14:paraId="29E6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30" w:type="dxa"/>
            <w:vAlign w:val="center"/>
          </w:tcPr>
          <w:p w14:paraId="30671CBF">
            <w:pPr>
              <w:jc w:val="center"/>
              <w:rPr>
                <w:rFonts w:hint="eastAsia" w:ascii="宋体" w:hAnsi="宋体" w:eastAsia="宋体" w:cs="宋体"/>
                <w:color w:val="auto"/>
                <w:sz w:val="21"/>
                <w:szCs w:val="21"/>
                <w:highlight w:val="none"/>
                <w:vertAlign w:val="baseline"/>
              </w:rPr>
            </w:pPr>
          </w:p>
        </w:tc>
        <w:tc>
          <w:tcPr>
            <w:tcW w:w="8263" w:type="dxa"/>
            <w:gridSpan w:val="2"/>
            <w:vAlign w:val="center"/>
          </w:tcPr>
          <w:p w14:paraId="32964B6E">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1、潜在投标人如对招标文件有异议，请在规定时间内在驻马店市公共资源交易系统平台上提出，以其他方式递交的异议不予接受。</w:t>
            </w:r>
          </w:p>
          <w:p w14:paraId="23BA2B1A">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2、投标人在投标截止时间前应随时关注驻马店市公共资源交易系统电子平台发出的有关本工程的答疑、修改等相关内容。</w:t>
            </w:r>
          </w:p>
          <w:p w14:paraId="7CECE250">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3、因驻马店市公共资源交易中心在开标前具有保密性，投标人在投标文件递交截止时间前须自行查看项目进展、变更通知、澄清及回复，因投标人未及时查看而造成的后果自负。</w:t>
            </w:r>
          </w:p>
          <w:p w14:paraId="4FA7ACAD">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请投标人持编制投标文件的CA钥匙进行在线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友情提示：若投标人已领取副锁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含多把副锁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请注意正副锁的使用差别</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p w14:paraId="13C67E86">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5、招标代理服务费支付约定：</w:t>
            </w:r>
            <w:r>
              <w:rPr>
                <w:rFonts w:hint="eastAsia" w:ascii="宋体" w:hAnsi="宋体" w:eastAsia="宋体" w:cs="宋体"/>
                <w:color w:val="auto"/>
                <w:sz w:val="21"/>
                <w:szCs w:val="21"/>
                <w:highlight w:val="none"/>
              </w:rPr>
              <w:t>本项目代理服务费参照河南省招标投标协会关于印发《河南省招标代理服务收费指导意见》的通知（豫招协【2023】002号），由中标人支付。</w:t>
            </w:r>
            <w:r>
              <w:rPr>
                <w:rFonts w:hint="eastAsia" w:ascii="宋体" w:hAnsi="宋体" w:eastAsia="宋体" w:cs="宋体"/>
                <w:color w:val="auto"/>
                <w:sz w:val="21"/>
                <w:szCs w:val="21"/>
                <w:highlight w:val="none"/>
                <w:lang w:val="en-US" w:eastAsia="zh-CN"/>
              </w:rPr>
              <w:t>中标人应在领取《中标通知书》原件之前向招标代理机构支付招标代理服务费。</w:t>
            </w:r>
          </w:p>
          <w:p w14:paraId="5235A2D7">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6、质疑与投诉：</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参与本项目的各投标人对评标结果有异议的，可在评标结果公示发布之日起三天内，以网上上传至“驻马店市公共资源电子交易系统”质疑投诉窗口或书面形式向招标人提出质疑</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加盖单位公章且法定代表人签字</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，由法定代表人携带营业执照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或授权委托代理人携带营业执照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、授权委托书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一并现场提交</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邮寄、传真件不予受理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。逾期未提交或未按照要求提交的质疑函不予受理。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投标人对招标人质疑回复不满的，可在法律规定的时间内向行政监督部门进行投诉。投诉函须以书面形式</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加盖单位公章且法定代表人签字</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，由法定代表人携带营业执照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或授权委托代理人携带营业执照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、授权委托书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一并提交</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邮寄、传真件不予受理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或以网上上传至“驻马店市公共资源电子交易系统”质疑投诉窗口。未按要求提交的投诉函将不予受理。</w:t>
            </w:r>
          </w:p>
          <w:p w14:paraId="13B29685">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注：若以网上上传至“驻马店市公共资源电子交易系统”质疑投诉窗口形式提出质疑投诉的，也应由法定代表人携带营业执照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或授权委托代理人携带营业执照</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、授权委托书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及本人身份证</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原件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一并现场提交质疑函或投诉函</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邮寄、传真件不予受理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tc>
      </w:tr>
      <w:bookmarkEnd w:id="15"/>
      <w:bookmarkEnd w:id="16"/>
    </w:tbl>
    <w:p w14:paraId="5234A066">
      <w:pPr>
        <w:rPr>
          <w:color w:val="auto"/>
          <w:highlight w:val="none"/>
        </w:rPr>
      </w:pPr>
    </w:p>
    <w:p w14:paraId="288723D4">
      <w:pPr>
        <w:rPr>
          <w:color w:val="auto"/>
          <w:highlight w:val="none"/>
        </w:rPr>
        <w:sectPr>
          <w:footerReference r:id="rId5" w:type="default"/>
          <w:pgSz w:w="11906" w:h="16838"/>
          <w:pgMar w:top="1440" w:right="1800" w:bottom="1440" w:left="1800" w:header="851" w:footer="992" w:gutter="0"/>
          <w:pgNumType w:fmt="decimal"/>
          <w:cols w:space="425" w:num="1"/>
          <w:docGrid w:type="lines" w:linePitch="312" w:charSpace="0"/>
        </w:sectPr>
      </w:pPr>
    </w:p>
    <w:p w14:paraId="6B71505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21" w:name="_Toc29780"/>
      <w:bookmarkStart w:id="22" w:name="_Toc31647"/>
      <w:r>
        <w:rPr>
          <w:rFonts w:hint="eastAsia" w:ascii="宋体" w:hAnsi="宋体" w:eastAsia="宋体" w:cs="宋体"/>
          <w:b/>
          <w:bCs/>
          <w:color w:val="auto"/>
          <w:sz w:val="22"/>
          <w:szCs w:val="22"/>
          <w:highlight w:val="none"/>
        </w:rPr>
        <w:t>1.总则</w:t>
      </w:r>
      <w:bookmarkEnd w:id="21"/>
      <w:bookmarkEnd w:id="22"/>
    </w:p>
    <w:p w14:paraId="09E03B9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项目概况</w:t>
      </w:r>
    </w:p>
    <w:p w14:paraId="2CC5A39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1.1.1根据《中华人民共和国招标投标法》、《中华人民共和国招标投标法实施条例》等有关法律、法规和规章的规定，本招标项目已具备招标条件，现对本项目进行公开招标。</w:t>
      </w:r>
    </w:p>
    <w:p w14:paraId="2DF8926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1.1.2本招标项目招标人：见投标人须知前附表。</w:t>
      </w:r>
    </w:p>
    <w:p w14:paraId="240FF38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1.1.3本项目招标代理机构：见投标人须知前附表。</w:t>
      </w:r>
    </w:p>
    <w:p w14:paraId="27760D1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1.1.4本招标工程名称：见投标人须知前附表。</w:t>
      </w:r>
    </w:p>
    <w:p w14:paraId="6430DBC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1.1.5本项目建设地点：见投标人须知前附表。</w:t>
      </w:r>
    </w:p>
    <w:p w14:paraId="532B85A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1.1.6本项目建设规模：见投标人须知前附表。</w:t>
      </w:r>
    </w:p>
    <w:p w14:paraId="7434163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资金来源和落实情况</w:t>
      </w:r>
    </w:p>
    <w:p w14:paraId="24258CE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1.2.1本招标项目的资金来源：见投标人须知前附表。</w:t>
      </w:r>
    </w:p>
    <w:p w14:paraId="1AAD827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1.2.2本招标项目的资金落实情况：见投标人须知前附表。</w:t>
      </w:r>
    </w:p>
    <w:p w14:paraId="084DC6D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1.3</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招标范围、计划工期和</w:t>
      </w:r>
      <w:r>
        <w:rPr>
          <w:rFonts w:hint="eastAsia" w:ascii="宋体" w:hAnsi="宋体" w:eastAsia="宋体" w:cs="宋体"/>
          <w:b/>
          <w:bCs/>
          <w:color w:val="auto"/>
          <w:sz w:val="21"/>
          <w:szCs w:val="21"/>
          <w:highlight w:val="none"/>
          <w:lang w:eastAsia="zh-CN"/>
        </w:rPr>
        <w:t>质量标准</w:t>
      </w:r>
    </w:p>
    <w:p w14:paraId="6E20BA6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1.3.1本次招标范围：见投标人须知前附表。</w:t>
      </w:r>
    </w:p>
    <w:p w14:paraId="3C756AC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1.3.2本项目的质量监控目标：见投标人须知前附表。</w:t>
      </w:r>
    </w:p>
    <w:p w14:paraId="1E1EEBE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1.3.3本项目的工期监控目标：见投标人须知前附表。</w:t>
      </w:r>
    </w:p>
    <w:p w14:paraId="5A899D3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1.3.4本项目投资控制目标：见投标人须知前附表。</w:t>
      </w:r>
    </w:p>
    <w:p w14:paraId="783DC48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1.3.5</w:t>
      </w:r>
      <w:r>
        <w:rPr>
          <w:rFonts w:hint="eastAsia" w:ascii="宋体" w:hAnsi="宋体" w:eastAsia="宋体" w:cs="宋体"/>
          <w:color w:val="auto"/>
          <w:sz w:val="21"/>
          <w:szCs w:val="21"/>
          <w:highlight w:val="none"/>
        </w:rPr>
        <w:t>本项目监理主要工作内容：见投标人须知前附表。</w:t>
      </w:r>
    </w:p>
    <w:p w14:paraId="04C0D46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1.3.6</w:t>
      </w:r>
      <w:r>
        <w:rPr>
          <w:rFonts w:hint="eastAsia" w:ascii="宋体" w:hAnsi="宋体" w:eastAsia="宋体" w:cs="宋体"/>
          <w:color w:val="auto"/>
          <w:sz w:val="21"/>
          <w:szCs w:val="21"/>
          <w:highlight w:val="none"/>
        </w:rPr>
        <w:t>本项目标段划分：见投标人须知前附表。</w:t>
      </w:r>
    </w:p>
    <w:p w14:paraId="3E4654F9">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1.4 投标人资格要求</w:t>
      </w:r>
    </w:p>
    <w:p w14:paraId="59FFC70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1.4.1投标人应具备承担本项目施工的资质条件、能力和信誉。</w:t>
      </w:r>
    </w:p>
    <w:p w14:paraId="45220E7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企业资质要求：见投标人须知前附表；</w:t>
      </w:r>
    </w:p>
    <w:p w14:paraId="3D5E217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）项目</w:t>
      </w:r>
      <w:r>
        <w:rPr>
          <w:rFonts w:hint="eastAsia" w:ascii="宋体" w:hAnsi="宋体" w:cs="宋体"/>
          <w:color w:val="auto"/>
          <w:sz w:val="21"/>
          <w:szCs w:val="21"/>
          <w:highlight w:val="none"/>
          <w:lang w:eastAsia="zh-CN"/>
        </w:rPr>
        <w:t>总监理工程师</w:t>
      </w:r>
      <w:r>
        <w:rPr>
          <w:rFonts w:hint="eastAsia" w:ascii="宋体" w:hAnsi="宋体" w:eastAsia="宋体" w:cs="宋体"/>
          <w:color w:val="auto"/>
          <w:sz w:val="21"/>
          <w:szCs w:val="21"/>
          <w:highlight w:val="none"/>
        </w:rPr>
        <w:t>要求：见投标人须知前附表；</w:t>
      </w:r>
    </w:p>
    <w:p w14:paraId="4239920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财务要求：见投标人须知前附表；</w:t>
      </w:r>
    </w:p>
    <w:p w14:paraId="4D5EDE6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信誉要求：见投标人须知前附表。</w:t>
      </w:r>
    </w:p>
    <w:p w14:paraId="317A81A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1.4.2是否接受联合体投标：见投标人须知前附表规定。</w:t>
      </w:r>
    </w:p>
    <w:p w14:paraId="5CE75F0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投标人须知前附表规定接受联合体投标的，除应符合本章第1.4.1项和投标人须知前附表的要求外，还应遵守以下规定： </w:t>
      </w:r>
    </w:p>
    <w:p w14:paraId="2473CBB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联合体各方应按招标文件提供的格式签订联合体协议书，明确联合体</w:t>
      </w:r>
      <w:r>
        <w:rPr>
          <w:rFonts w:hint="eastAsia" w:ascii="宋体" w:hAnsi="宋体" w:cs="宋体"/>
          <w:color w:val="auto"/>
          <w:sz w:val="21"/>
          <w:szCs w:val="21"/>
          <w:highlight w:val="none"/>
          <w:lang w:eastAsia="zh-CN"/>
        </w:rPr>
        <w:t>牵头方</w:t>
      </w:r>
      <w:r>
        <w:rPr>
          <w:rFonts w:hint="eastAsia" w:ascii="宋体" w:hAnsi="宋体" w:eastAsia="宋体" w:cs="宋体"/>
          <w:color w:val="auto"/>
          <w:sz w:val="21"/>
          <w:szCs w:val="21"/>
          <w:highlight w:val="none"/>
        </w:rPr>
        <w:t>和各方权利义务；</w:t>
      </w:r>
    </w:p>
    <w:p w14:paraId="40B226C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由同一专业的单位组成的联合体，按照资质等级较低的单位确定资质等级；</w:t>
      </w:r>
    </w:p>
    <w:p w14:paraId="72DB1DD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联合体各方不得再以自己名义单独或参加其他联合体在同一标段中投标。</w:t>
      </w:r>
    </w:p>
    <w:p w14:paraId="37A4D5B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1.4.3投标人不得存在下列情形之一：</w:t>
      </w:r>
    </w:p>
    <w:p w14:paraId="6895906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（1）为招标人不具有独立法人资格的附属机构（单位）；</w:t>
      </w:r>
    </w:p>
    <w:p w14:paraId="387471C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（2）与招标人存在利害关系且可能影响招标公正性；</w:t>
      </w:r>
    </w:p>
    <w:p w14:paraId="5B7B3EC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（3）与本招标项目的其他投标人为同一单位负责人；</w:t>
      </w:r>
    </w:p>
    <w:p w14:paraId="3C53576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（4）与本招标项目的其他投标人存在控股、管理关系；</w:t>
      </w:r>
    </w:p>
    <w:p w14:paraId="56FA928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（5）为本项目前期准备提供设计、编制技术规范或其他文件的咨询服务，但设计施工总承包的除外；</w:t>
      </w:r>
    </w:p>
    <w:p w14:paraId="14ECEA9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（6）为本项目的代建人；</w:t>
      </w:r>
    </w:p>
    <w:p w14:paraId="67F0667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（7）为本项目提供招标代理服务的；</w:t>
      </w:r>
    </w:p>
    <w:p w14:paraId="5C15980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（8）与本项目的代建人或招标代理机构同为一个法定代表人的；</w:t>
      </w:r>
    </w:p>
    <w:p w14:paraId="2C91C00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（9）与本项目代建人或招标代理机构相互控股或参股的；</w:t>
      </w:r>
    </w:p>
    <w:p w14:paraId="56917ED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（10）与本项目的代建人或招标代理机构相互任职或工作的；</w:t>
      </w:r>
    </w:p>
    <w:p w14:paraId="4183C32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（11）被责令停业、暂扣或者吊销许可证、暂扣或者吊销营业执照的；</w:t>
      </w:r>
    </w:p>
    <w:p w14:paraId="7122CD5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（12）被依法暂停或取消投标资格的；</w:t>
      </w:r>
    </w:p>
    <w:p w14:paraId="075C1EA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（13）进入清算程序，或被宣告财产，或其他丧失履约能力的情形；</w:t>
      </w:r>
    </w:p>
    <w:p w14:paraId="67D60B3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（14）在最近三年内有骗取中标或严重违约或重大工程质量安全问题的。</w:t>
      </w:r>
    </w:p>
    <w:p w14:paraId="343EE4F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（15）被最高人民法院在“信用中国”网站（www.creditchina.gov.cn）或各级信用信息共享平台中列入失信被执行人名单；</w:t>
      </w:r>
    </w:p>
    <w:p w14:paraId="667634D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（16）法律法规或投标人须知前附表规定的其他情形。</w:t>
      </w:r>
    </w:p>
    <w:p w14:paraId="3D0A2DD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1.5 投标人的监理责任期及要求</w:t>
      </w:r>
    </w:p>
    <w:p w14:paraId="5FB7FE0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1.5.1投标人的监理责任期为委托监理合同有效期；</w:t>
      </w:r>
    </w:p>
    <w:p w14:paraId="54F1DF5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1.5.2中标人在投标文件中拟定的总监理工程师及专业监理工程师在工程监理过程中不得更换；投标人须对此项要求做出响应承诺并附于在投标文件中。</w:t>
      </w:r>
    </w:p>
    <w:p w14:paraId="5C7D089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1.6中标人的责任和权利</w:t>
      </w:r>
    </w:p>
    <w:p w14:paraId="26FF881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1.6.1向招标人报送拟委派的总监理工程师及其监理机构主要成员名单、监理规划，完成约定的监理任务；</w:t>
      </w:r>
    </w:p>
    <w:p w14:paraId="0097796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1.6.2运用合理技能为招标人提供与其监理机构水平相适应的咨询意见，认真、勤奋工作，帮助招标人实现预定目标，公正地维护各方的合法权益；</w:t>
      </w:r>
    </w:p>
    <w:p w14:paraId="6183361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1.6.3未征得有关方面同意，不得泄漏与本工程业务活动有关的保密资料；</w:t>
      </w:r>
    </w:p>
    <w:p w14:paraId="760D59F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1.6.4按照保质量、保工期、降低成本的原则对工程承包商的施工组织设计和技术方案等提出审核意见并向招标人书面报告；</w:t>
      </w:r>
    </w:p>
    <w:p w14:paraId="091C265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1.6.5经招标人同意后发布开工令、停工令、复工令；</w:t>
      </w:r>
    </w:p>
    <w:p w14:paraId="2EE331A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1.6.6有对工程上使用的材料、设备以及施工质量的检验权；对于不符合施工规范和质量要求的工序、分项分部工程和不安全的施工作业，有权通知施工承包商整改、返工；对施工承包商不听监理方指令、拒不进行整改与返工的，在经过招标人同意后，有权签发暂停施工令；</w:t>
      </w:r>
    </w:p>
    <w:p w14:paraId="27B492E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1.6.7监督工程承包商按其合同约定工程质量等级标准设计和施工；达到约定工程质量等级，符合所报工程等级的验收条件；</w:t>
      </w:r>
    </w:p>
    <w:p w14:paraId="3911D85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1.6.8严格按照现行的国家、行业施工及验收规范、标准，监理规范执行。</w:t>
      </w:r>
    </w:p>
    <w:p w14:paraId="7028BD7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1.7费用承担</w:t>
      </w:r>
    </w:p>
    <w:p w14:paraId="5B3AC7E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6E92FF12">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1.8 保密</w:t>
      </w:r>
    </w:p>
    <w:p w14:paraId="5563AA4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参与招标投标活动的各方应对招标文件和投标文件中的商业和技术等秘密保密，违者应对由此造成的后果承担法律责任。</w:t>
      </w:r>
    </w:p>
    <w:p w14:paraId="5A631E0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1.9 语言文字</w:t>
      </w:r>
    </w:p>
    <w:p w14:paraId="6BD5385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除专用术语外，与招标投标有关的语言均使用中文。必要时专用术语应附有中文注释。</w:t>
      </w:r>
    </w:p>
    <w:p w14:paraId="38696C0D">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1.10 计量单位</w:t>
      </w:r>
    </w:p>
    <w:p w14:paraId="151860B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4308F15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1.11 踏勘现场</w:t>
      </w:r>
    </w:p>
    <w:p w14:paraId="20FEFB3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.1投标人须知前附表规定不组织踏勘现场。由投标人自行组织现场踏勘，发生费用自理。</w:t>
      </w:r>
    </w:p>
    <w:p w14:paraId="522AE38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.2投标人踏勘现场发生的费用自理。</w:t>
      </w:r>
    </w:p>
    <w:p w14:paraId="2F90DD7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.3除招标人的原因外，投标人自行负责在踏勘现场中所发生的人员伤亡和财产损失。</w:t>
      </w:r>
    </w:p>
    <w:p w14:paraId="082DDE8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.4招标人在踏勘现场中介绍的工程场地和相关的周边环境情况，供投标人在编制投标文件时参考，招标人不对投标人据此作出的判断和决策负责。</w:t>
      </w:r>
    </w:p>
    <w:p w14:paraId="0D6E28A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1.12 投标预备会</w:t>
      </w:r>
    </w:p>
    <w:p w14:paraId="1D84A13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.1投标人须知前附表规定召开投标预备会的，招标人按投标人须知前附表规定的时间和地点召开投标预备会，澄清投标人提出的问题。</w:t>
      </w:r>
    </w:p>
    <w:p w14:paraId="4EE78A6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.2投标单位在收到招标文件三日内，如有疑问登录交易平台向招标单位和招标代理机构提问，招标单位及招标代理机构审查后认为如有必要答疑，会将答疑纪要在交易平台公布。</w:t>
      </w:r>
    </w:p>
    <w:p w14:paraId="2E24E7C4">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1.13 分包</w:t>
      </w:r>
    </w:p>
    <w:p w14:paraId="399B7C3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不允许</w:t>
      </w:r>
      <w:r>
        <w:rPr>
          <w:rFonts w:hint="eastAsia" w:ascii="宋体" w:hAnsi="宋体" w:eastAsia="宋体" w:cs="宋体"/>
          <w:color w:val="auto"/>
          <w:sz w:val="21"/>
          <w:szCs w:val="21"/>
          <w:highlight w:val="none"/>
        </w:rPr>
        <w:t>。</w:t>
      </w:r>
    </w:p>
    <w:p w14:paraId="66CE23D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1.14 偏离</w:t>
      </w:r>
    </w:p>
    <w:p w14:paraId="4A1CE4B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不允许</w:t>
      </w:r>
      <w:r>
        <w:rPr>
          <w:rFonts w:hint="eastAsia" w:ascii="宋体" w:hAnsi="宋体" w:eastAsia="宋体" w:cs="宋体"/>
          <w:color w:val="auto"/>
          <w:sz w:val="21"/>
          <w:szCs w:val="21"/>
          <w:highlight w:val="none"/>
        </w:rPr>
        <w:t>。</w:t>
      </w:r>
    </w:p>
    <w:p w14:paraId="46622F2F">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23" w:name="_Toc23481"/>
      <w:bookmarkStart w:id="24" w:name="_Toc21791"/>
      <w:r>
        <w:rPr>
          <w:rFonts w:hint="eastAsia" w:ascii="宋体" w:hAnsi="宋体" w:eastAsia="宋体" w:cs="宋体"/>
          <w:b/>
          <w:bCs/>
          <w:color w:val="auto"/>
          <w:sz w:val="22"/>
          <w:szCs w:val="22"/>
          <w:highlight w:val="none"/>
        </w:rPr>
        <w:t>2.招标文件</w:t>
      </w:r>
      <w:bookmarkEnd w:id="23"/>
      <w:bookmarkEnd w:id="24"/>
    </w:p>
    <w:p w14:paraId="2CADEA4D">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2.1 招标文件的组成</w:t>
      </w:r>
    </w:p>
    <w:p w14:paraId="4F72174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089C061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招标公告；</w:t>
      </w:r>
    </w:p>
    <w:p w14:paraId="6A09D49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p>
    <w:p w14:paraId="3CC9C99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评标办法；</w:t>
      </w:r>
    </w:p>
    <w:p w14:paraId="6DF3006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定</w:t>
      </w:r>
      <w:r>
        <w:rPr>
          <w:rFonts w:hint="eastAsia" w:ascii="宋体" w:hAnsi="宋体" w:eastAsia="宋体" w:cs="宋体"/>
          <w:color w:val="auto"/>
          <w:sz w:val="21"/>
          <w:szCs w:val="21"/>
          <w:highlight w:val="none"/>
        </w:rPr>
        <w:t>标办法；</w:t>
      </w:r>
    </w:p>
    <w:p w14:paraId="682A896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合同条款及格式；</w:t>
      </w:r>
    </w:p>
    <w:p w14:paraId="70FB34B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技术标准和要求；</w:t>
      </w:r>
    </w:p>
    <w:p w14:paraId="55B13D6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投标文件格式；</w:t>
      </w:r>
    </w:p>
    <w:p w14:paraId="4D0E8D2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投标人须知前附表规定的其他材料。</w:t>
      </w:r>
    </w:p>
    <w:p w14:paraId="15708D4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根据本章第1.10款、第2.2款和第2.3款对招标文件所作的澄清、修改，构成招标文件的组成部分。</w:t>
      </w:r>
    </w:p>
    <w:p w14:paraId="39AD587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2.2 招标文件的澄清</w:t>
      </w:r>
    </w:p>
    <w:p w14:paraId="64605D1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14:paraId="3C94E62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招标文件的澄清将在投标人须知前附表规定的投标截止时间15日前在交易平台上发给所有购买招标文件的投标人，但不指明澄清问题的来源。如果澄清发出的时间距投标截止时间不足15天，相应延长投标截止时间。</w:t>
      </w:r>
    </w:p>
    <w:p w14:paraId="2BF7754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2.2.3投标人在收到澄清后，应在投标人须知前附表规定的时间内在交易平台上回复确认已收到该澄清。</w:t>
      </w:r>
    </w:p>
    <w:p w14:paraId="37EBA7F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2.2.4除非招标人认为确有必要答复，否则，招标人有权拒绝回复投标人在投标须知前附表第2.2.1项规定的时间后的任何澄清要求。</w:t>
      </w:r>
    </w:p>
    <w:p w14:paraId="6095E85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2.3 招标文件的修改</w:t>
      </w:r>
    </w:p>
    <w:p w14:paraId="0A39AF9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2.3.1在投标截止时间15天前，招标人可以修改招标文件。如有修改，应在交易平台上发给所有购买招标文件的投标人。如果修改招标文件的时间距投标截止时间不足15天，相应延长投标截止时间。 </w:t>
      </w:r>
    </w:p>
    <w:p w14:paraId="77AF782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2.3.2投标人收到修改内容后，应在投标人须知前附表规定的时间内在交易平台上回复确认已收到该修改。</w:t>
      </w:r>
    </w:p>
    <w:p w14:paraId="5C1335C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2.4 招标文件的异议</w:t>
      </w:r>
    </w:p>
    <w:p w14:paraId="21E88C0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投标人或者其他利害关系人对招标文件有异议的，应当在投标截止时间10日前在驻马店市公共资源交易中心电子交易平台匿名提出。招标人将在收到异议之日起3日内作出答复；作出答复前，将暂停招标投标活动。</w:t>
      </w:r>
    </w:p>
    <w:p w14:paraId="640AFDB2">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25" w:name="_Toc22277"/>
      <w:bookmarkStart w:id="26" w:name="_Toc1213"/>
      <w:r>
        <w:rPr>
          <w:rFonts w:hint="eastAsia" w:ascii="宋体" w:hAnsi="宋体" w:eastAsia="宋体" w:cs="宋体"/>
          <w:b/>
          <w:bCs/>
          <w:color w:val="auto"/>
          <w:sz w:val="22"/>
          <w:szCs w:val="22"/>
          <w:highlight w:val="none"/>
        </w:rPr>
        <w:t>3.投标文件</w:t>
      </w:r>
      <w:bookmarkEnd w:id="25"/>
      <w:bookmarkEnd w:id="26"/>
    </w:p>
    <w:p w14:paraId="71549D2D">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3.1 投标文件的组成</w:t>
      </w:r>
    </w:p>
    <w:p w14:paraId="4C8A964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3.1.1投标文件应包括下列内容：</w:t>
      </w:r>
    </w:p>
    <w:p w14:paraId="47E4247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）投标函及投标函附录；</w:t>
      </w:r>
    </w:p>
    <w:p w14:paraId="174481A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（2）法定代表人身份证明；</w:t>
      </w:r>
    </w:p>
    <w:p w14:paraId="1D66E32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（3）委托代理人授权委托书；</w:t>
      </w:r>
    </w:p>
    <w:p w14:paraId="7D1D010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（4）投标保证金；</w:t>
      </w:r>
    </w:p>
    <w:p w14:paraId="1665220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 监理大纲；</w:t>
      </w:r>
    </w:p>
    <w:p w14:paraId="23F2A7C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）技术规范；</w:t>
      </w:r>
    </w:p>
    <w:p w14:paraId="59A2341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）项目管理机构；</w:t>
      </w:r>
    </w:p>
    <w:p w14:paraId="4DB7957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）资格审查资料；</w:t>
      </w:r>
    </w:p>
    <w:p w14:paraId="757A01B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）其它资料</w:t>
      </w:r>
      <w:r>
        <w:rPr>
          <w:rFonts w:hint="eastAsia" w:ascii="宋体" w:hAnsi="宋体" w:cs="宋体"/>
          <w:color w:val="auto"/>
          <w:sz w:val="21"/>
          <w:szCs w:val="21"/>
          <w:highlight w:val="none"/>
          <w:lang w:eastAsia="zh-CN"/>
        </w:rPr>
        <w:t>。</w:t>
      </w:r>
    </w:p>
    <w:p w14:paraId="3778E22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投标人在评标过程中作出的符合法律法规和招标文件规定的澄清确认，构成投标文件的组成部分。</w:t>
      </w:r>
    </w:p>
    <w:p w14:paraId="4D712E60">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3.2 投标报价</w:t>
      </w:r>
    </w:p>
    <w:p w14:paraId="4542D21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3.2.1</w:t>
      </w:r>
      <w:r>
        <w:rPr>
          <w:rFonts w:hint="eastAsia" w:ascii="宋体" w:hAnsi="宋体" w:eastAsia="宋体" w:cs="宋体"/>
          <w:color w:val="auto"/>
          <w:sz w:val="21"/>
          <w:szCs w:val="21"/>
          <w:highlight w:val="none"/>
          <w:lang w:val="zh-CN"/>
        </w:rPr>
        <w:t>投标人的报价应包含完成本项目所发生的一切费用，除另有约定外，发包人对合同价格不予变动。</w:t>
      </w:r>
    </w:p>
    <w:p w14:paraId="784CC76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3.2.2投标人应按第七章“投标文件格式”的要求填写报价。</w:t>
      </w:r>
    </w:p>
    <w:p w14:paraId="4FE8A28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3.2.3投标人的监理酬金是在监理服务期内（双方约定的工期监控目标+合理的工程延期）投标人按合同规定的范围所提供全部服务所需的费用。 在报价时应考虑监理期间的物价上涨、政策性调整等诸多因素以及由此引起的费用变动并计入报价。</w:t>
      </w:r>
    </w:p>
    <w:p w14:paraId="6F338C0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3.2.4</w:t>
      </w:r>
      <w:r>
        <w:rPr>
          <w:rFonts w:hint="eastAsia" w:ascii="宋体" w:hAnsi="宋体" w:eastAsia="宋体" w:cs="宋体"/>
          <w:color w:val="auto"/>
          <w:sz w:val="21"/>
          <w:szCs w:val="21"/>
          <w:highlight w:val="none"/>
          <w:lang w:val="zh-CN"/>
        </w:rPr>
        <w:t>投标报价在合理范围内由投标单位自主报价，投标报价是固定价，在服务期内不予以调整。投标人根据项目内容及要求，结合市场情况进行投标报价</w:t>
      </w:r>
      <w:r>
        <w:rPr>
          <w:rFonts w:hint="eastAsia" w:ascii="宋体" w:hAnsi="宋体" w:eastAsia="宋体" w:cs="宋体"/>
          <w:color w:val="auto"/>
          <w:sz w:val="21"/>
          <w:szCs w:val="21"/>
          <w:highlight w:val="none"/>
          <w:lang w:val="zh-CN" w:eastAsia="zh-CN"/>
        </w:rPr>
        <w:t>，不得以低于成本的报价竞标，并作出书面保证附投标文件中</w:t>
      </w:r>
      <w:r>
        <w:rPr>
          <w:rFonts w:hint="eastAsia" w:ascii="宋体" w:hAnsi="宋体" w:eastAsia="宋体" w:cs="宋体"/>
          <w:color w:val="auto"/>
          <w:sz w:val="21"/>
          <w:szCs w:val="21"/>
          <w:highlight w:val="none"/>
          <w:lang w:val="zh-CN"/>
        </w:rPr>
        <w:t>。</w:t>
      </w:r>
    </w:p>
    <w:p w14:paraId="67F98D7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3.2.5</w:t>
      </w:r>
      <w:r>
        <w:rPr>
          <w:rFonts w:hint="eastAsia" w:ascii="宋体" w:hAnsi="宋体" w:eastAsia="宋体" w:cs="宋体"/>
          <w:color w:val="auto"/>
          <w:sz w:val="21"/>
          <w:szCs w:val="21"/>
          <w:highlight w:val="none"/>
          <w:lang w:val="zh-CN"/>
        </w:rPr>
        <w:t>本工程招标设</w:t>
      </w:r>
      <w:r>
        <w:rPr>
          <w:rFonts w:hint="eastAsia" w:ascii="宋体" w:hAnsi="宋体" w:cs="宋体"/>
          <w:color w:val="auto"/>
          <w:sz w:val="21"/>
          <w:szCs w:val="21"/>
          <w:highlight w:val="none"/>
          <w:lang w:val="zh-CN"/>
        </w:rPr>
        <w:t>招标控制价</w:t>
      </w:r>
      <w:r>
        <w:rPr>
          <w:rFonts w:hint="eastAsia" w:ascii="宋体" w:hAnsi="宋体" w:eastAsia="宋体" w:cs="宋体"/>
          <w:color w:val="auto"/>
          <w:sz w:val="21"/>
          <w:szCs w:val="21"/>
          <w:highlight w:val="none"/>
          <w:lang w:val="zh-CN"/>
        </w:rPr>
        <w:t>，高于</w:t>
      </w:r>
      <w:r>
        <w:rPr>
          <w:rFonts w:hint="eastAsia" w:ascii="宋体" w:hAnsi="宋体" w:cs="宋体"/>
          <w:color w:val="auto"/>
          <w:sz w:val="21"/>
          <w:szCs w:val="21"/>
          <w:highlight w:val="none"/>
          <w:lang w:val="zh-CN"/>
        </w:rPr>
        <w:t>招标控制价</w:t>
      </w:r>
      <w:r>
        <w:rPr>
          <w:rFonts w:hint="eastAsia" w:ascii="宋体" w:hAnsi="宋体" w:eastAsia="宋体" w:cs="宋体"/>
          <w:color w:val="auto"/>
          <w:sz w:val="21"/>
          <w:szCs w:val="21"/>
          <w:highlight w:val="none"/>
          <w:lang w:val="zh-CN"/>
        </w:rPr>
        <w:t>的投标报价其投标被拒绝。</w:t>
      </w:r>
    </w:p>
    <w:p w14:paraId="39EF5B0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3.2.6</w:t>
      </w:r>
      <w:r>
        <w:rPr>
          <w:rFonts w:hint="eastAsia" w:ascii="宋体" w:hAnsi="宋体" w:eastAsia="宋体" w:cs="宋体"/>
          <w:color w:val="auto"/>
          <w:sz w:val="21"/>
          <w:szCs w:val="21"/>
          <w:highlight w:val="none"/>
          <w:lang w:val="zh-CN"/>
        </w:rPr>
        <w:t>投标人只能提交一个报价，招标人不接受任何选择报价</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rPr>
        <w:t>。</w:t>
      </w:r>
    </w:p>
    <w:p w14:paraId="0DAACA67">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3.3 投标有效期</w:t>
      </w:r>
    </w:p>
    <w:p w14:paraId="02AD07C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3.3.1在投标人须知前附表规定的投标有效期内，投标人不得要求撤销或修改其投标文件。除投标人须知前附表另有规定外，投标有效期为60</w:t>
      </w:r>
      <w:r>
        <w:rPr>
          <w:rFonts w:hint="eastAsia" w:ascii="宋体" w:hAnsi="宋体" w:eastAsia="宋体" w:cs="宋体"/>
          <w:color w:val="auto"/>
          <w:sz w:val="21"/>
          <w:szCs w:val="21"/>
          <w:highlight w:val="none"/>
          <w:lang w:eastAsia="zh-CN"/>
        </w:rPr>
        <w:t>日历</w:t>
      </w:r>
      <w:r>
        <w:rPr>
          <w:rFonts w:hint="eastAsia" w:ascii="宋体" w:hAnsi="宋体" w:eastAsia="宋体" w:cs="宋体"/>
          <w:color w:val="auto"/>
          <w:sz w:val="21"/>
          <w:szCs w:val="21"/>
          <w:highlight w:val="none"/>
        </w:rPr>
        <w:t>天。</w:t>
      </w:r>
    </w:p>
    <w:p w14:paraId="611D357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14:paraId="47383617">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3.4 投标保证金</w:t>
      </w:r>
    </w:p>
    <w:p w14:paraId="60581BF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3.4.1投标人在递交投标文件的同时，应按投标人须知前附表规定的金额、递交形式和第</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章“投标文件格式”规定的投标保证金格式递交投标保证金，并作为其投标文件的组成部分。联合体投标的，其投标保证金由</w:t>
      </w:r>
      <w:r>
        <w:rPr>
          <w:rFonts w:hint="eastAsia" w:ascii="宋体" w:hAnsi="宋体" w:cs="宋体"/>
          <w:color w:val="auto"/>
          <w:sz w:val="21"/>
          <w:szCs w:val="21"/>
          <w:highlight w:val="none"/>
          <w:lang w:eastAsia="zh-CN"/>
        </w:rPr>
        <w:t>牵头方</w:t>
      </w:r>
      <w:r>
        <w:rPr>
          <w:rFonts w:hint="eastAsia" w:ascii="宋体" w:hAnsi="宋体" w:eastAsia="宋体" w:cs="宋体"/>
          <w:color w:val="auto"/>
          <w:sz w:val="21"/>
          <w:szCs w:val="21"/>
          <w:highlight w:val="none"/>
        </w:rPr>
        <w:t>递交，并应符合投标人须知前附表的规定。</w:t>
      </w:r>
    </w:p>
    <w:p w14:paraId="72CD863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3.4.2投标人不按本章第3.4.1项要求提交投标保证金的，其投标文件作无效标处理。</w:t>
      </w:r>
    </w:p>
    <w:p w14:paraId="6C3BD9E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3.4.3招标人与中标人签订合同后5日内，按有关规定向中标人和未中标人退还投标保证金。</w:t>
      </w:r>
    </w:p>
    <w:p w14:paraId="03618CC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有下列情形之一的，投标保证金将不予退还：</w:t>
      </w:r>
    </w:p>
    <w:p w14:paraId="7D7F1FB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投标人在规定的投标有效期内撤销或修改其投标文件；</w:t>
      </w:r>
    </w:p>
    <w:p w14:paraId="129FC8C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招标人发放中标通知书前，中标人除因被查实存在违法违规行为取消中标人资格和不可抗力放弃中标外，中标人放弃中标的，其递交的投标保证金招标人不予退还；</w:t>
      </w:r>
    </w:p>
    <w:p w14:paraId="3F8E7CB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中标人在收到中标通知书后无正当理由拒签合同协议书或未按招标文件规定提交履约保证金；</w:t>
      </w:r>
    </w:p>
    <w:p w14:paraId="5FF9A64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有串标、围标、弄虚作假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含不实承诺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等违规情况的。</w:t>
      </w:r>
    </w:p>
    <w:p w14:paraId="41DBE62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3.5 资格审查资料</w:t>
      </w:r>
    </w:p>
    <w:p w14:paraId="39D4691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投标人在编制投标文件时，应按招标文件资格审查要求提供相关资料并将所有复印件或扫描件附于标书内，以证实其各项资格条件能满足要求，具备承担本项目的资质条件、能力和信誉。</w:t>
      </w:r>
    </w:p>
    <w:p w14:paraId="68338F85">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3.6 备选投标方案</w:t>
      </w:r>
    </w:p>
    <w:p w14:paraId="0010C1C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5FAF283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3.7 投标文件的编制</w:t>
      </w:r>
    </w:p>
    <w:p w14:paraId="62EB6D3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3.7.1投标文件应按第</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章“投标文件格式”使用驻马店市公共资源交易系统投标文件制作专用工具软件编制。其中，投标函附录在满足招标文件实质性要求的基础上，可以提出比招标文件要求更有利于招标人的承诺。</w:t>
      </w:r>
    </w:p>
    <w:p w14:paraId="6937877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3.7.2投标文件应当对招标文件有关</w:t>
      </w:r>
      <w:r>
        <w:rPr>
          <w:rFonts w:hint="eastAsia" w:ascii="宋体" w:hAnsi="宋体" w:cs="宋体"/>
          <w:color w:val="auto"/>
          <w:sz w:val="21"/>
          <w:szCs w:val="21"/>
          <w:highlight w:val="none"/>
          <w:lang w:eastAsia="zh-CN"/>
        </w:rPr>
        <w:t>工期控制目标</w:t>
      </w:r>
      <w:r>
        <w:rPr>
          <w:rFonts w:hint="eastAsia" w:ascii="宋体" w:hAnsi="宋体" w:eastAsia="宋体" w:cs="宋体"/>
          <w:color w:val="auto"/>
          <w:sz w:val="21"/>
          <w:szCs w:val="21"/>
          <w:highlight w:val="none"/>
        </w:rPr>
        <w:t>、投标有效期、</w:t>
      </w:r>
      <w:r>
        <w:rPr>
          <w:rFonts w:hint="eastAsia" w:ascii="宋体" w:hAnsi="宋体" w:eastAsia="宋体" w:cs="宋体"/>
          <w:color w:val="auto"/>
          <w:sz w:val="21"/>
          <w:szCs w:val="21"/>
          <w:highlight w:val="none"/>
          <w:lang w:eastAsia="zh-CN"/>
        </w:rPr>
        <w:t>质量</w:t>
      </w:r>
      <w:r>
        <w:rPr>
          <w:rFonts w:hint="eastAsia" w:ascii="宋体" w:hAnsi="宋体" w:cs="宋体"/>
          <w:color w:val="auto"/>
          <w:sz w:val="21"/>
          <w:szCs w:val="21"/>
          <w:highlight w:val="none"/>
          <w:lang w:eastAsia="zh-CN"/>
        </w:rPr>
        <w:t>控制目标</w:t>
      </w:r>
      <w:r>
        <w:rPr>
          <w:rFonts w:hint="eastAsia" w:ascii="宋体" w:hAnsi="宋体" w:eastAsia="宋体" w:cs="宋体"/>
          <w:color w:val="auto"/>
          <w:sz w:val="21"/>
          <w:szCs w:val="21"/>
          <w:highlight w:val="none"/>
        </w:rPr>
        <w:t>、技术标准和要求、招标范围等实质性内容作出响应。</w:t>
      </w:r>
    </w:p>
    <w:p w14:paraId="3AF1865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友情提示：若投标人已领取副锁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含多把副锁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请注意正副锁的使用差别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6BCE9B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3.7.4纸质投标文件份数见投标人须知前附表。</w:t>
      </w:r>
    </w:p>
    <w:p w14:paraId="0533FED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3.7.5投标文件的分别装订成册，并编制目录，具体装订要求见投标人须知前附表规定。</w:t>
      </w:r>
    </w:p>
    <w:p w14:paraId="7C8FF906">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27" w:name="_Toc1386"/>
      <w:bookmarkStart w:id="28" w:name="_Toc22513"/>
      <w:r>
        <w:rPr>
          <w:rFonts w:hint="eastAsia" w:ascii="宋体" w:hAnsi="宋体" w:eastAsia="宋体" w:cs="宋体"/>
          <w:b/>
          <w:bCs/>
          <w:color w:val="auto"/>
          <w:sz w:val="22"/>
          <w:szCs w:val="22"/>
          <w:highlight w:val="none"/>
        </w:rPr>
        <w:t>4.投标</w:t>
      </w:r>
      <w:bookmarkEnd w:id="27"/>
      <w:bookmarkEnd w:id="28"/>
    </w:p>
    <w:p w14:paraId="4467010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4.1 投标文件的密封和标记</w:t>
      </w:r>
    </w:p>
    <w:p w14:paraId="31A6C98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4.1.1网上上传的电子投标文件应使用数字证书认证并加密；如网上上传的投标文件未按本章第3.7.3、3.7.4项要求加密和数字证书认证的投标文件，招标人将不予受理。</w:t>
      </w:r>
    </w:p>
    <w:p w14:paraId="0D38E13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4.2 投标文件的递交</w:t>
      </w:r>
    </w:p>
    <w:p w14:paraId="56D2AF9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4.2.1投标人应在投标人须知前附表规定的投标截止时间前递交投标文件。</w:t>
      </w:r>
    </w:p>
    <w:p w14:paraId="277DD0E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.2.2投标人递交投标文件的地点：见投标人须知前附表。</w:t>
      </w:r>
    </w:p>
    <w:p w14:paraId="0F04CA7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本项目采用不见面开标，投标人无需递交纸质投标文件及原件，投标企业应在项目开标前，将涉及的资格审查、业绩、荣誉、财务等投标所需材料扫描件等投标所需材料扫描件，上传至驻马店市公共资源电子交易平台诚信库中，并且在“资格审查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不见面开标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”菜单下按标段挑选该标段投标所用资格审查材料，以供评标过程中评委查阅。</w:t>
      </w:r>
    </w:p>
    <w:p w14:paraId="4DE5CB2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4.2.4除投标人须知前附表另有规定外，投标人所递交的投标文件不予退还。</w:t>
      </w:r>
    </w:p>
    <w:p w14:paraId="5558870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4.2.5逾期送达的或者未送达指定地点的投标文件，招标人不予受理。</w:t>
      </w:r>
    </w:p>
    <w:p w14:paraId="599AC38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4.3 投标文件的修改与撤回</w:t>
      </w:r>
    </w:p>
    <w:p w14:paraId="6B56542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4.3.1在投标人须知前附表4.2.1项规定的投标截止时间前，投标人可以多次修改或撤回已递交的投标文件，最终投标文件以投标截止时间前完成上传至驻马店市公共资源交易中心交易系统最后一份投标文件为准。</w:t>
      </w:r>
    </w:p>
    <w:p w14:paraId="743CFCA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4.3.2投标人修改或撤回已递交投标文件的书面通知应按照本章第3.7.3 项的要求签字或盖章。</w:t>
      </w:r>
    </w:p>
    <w:p w14:paraId="5A32E67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29" w:name="_Toc18727"/>
      <w:bookmarkStart w:id="30" w:name="_Toc9988"/>
      <w:r>
        <w:rPr>
          <w:rFonts w:hint="eastAsia" w:ascii="宋体" w:hAnsi="宋体" w:eastAsia="宋体" w:cs="宋体"/>
          <w:b/>
          <w:bCs/>
          <w:color w:val="auto"/>
          <w:sz w:val="22"/>
          <w:szCs w:val="22"/>
          <w:highlight w:val="none"/>
        </w:rPr>
        <w:t>5.开标</w:t>
      </w:r>
      <w:bookmarkEnd w:id="29"/>
      <w:bookmarkEnd w:id="30"/>
    </w:p>
    <w:p w14:paraId="009963D6">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5.1 开标的时间、地点和要求</w:t>
      </w:r>
    </w:p>
    <w:p w14:paraId="76BDFED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5.1.1招标人在本章第4.2.1项规定的投标截止时间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开标时间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和投标人须知前附表规定的地点开标。</w:t>
      </w:r>
    </w:p>
    <w:p w14:paraId="4BF3169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本项目采用远程不见面交易的模式。开标当日，投标人无需到达开标现场，仅需在任意地点通过驻马店不见面开标系统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http://ggzy.zhumadian.gov.cn:9190/BidOpening/bidopeninghallaction/hall/login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及相应的配套硬件设备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摄像头、话筒、麦克风等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完成远程解密、评标办法与系数抽取、文件传输、提疑澄清、开标唱标、结果公布等交互环节。投标人必须使用能正确解密投标文件的“CA锁”在规定的时间内完成远程解密，因投标人原因未及时签到、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友情提示：若投标人已领取副锁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含多把副锁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请注意正副锁的使用差别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2D36B24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5.1.2远程开标前，投标人务必在驻马店市公共资源交易电子交易平台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http://ggzy.zhumadian.gov.cn:8820/TPBidder</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投标文件上传模块中使用“模拟解密”功能，验证本机远程自助解密环境。</w:t>
      </w:r>
    </w:p>
    <w:p w14:paraId="21535B0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5.1.3逾期上传/送达的或者未上传/未送达指定地点的投标文件，招标人不予受理。投标人须在投标人须知前附表规定的时间内完成解密。</w:t>
      </w:r>
    </w:p>
    <w:p w14:paraId="0B1DB2DD">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5.2 开标程序</w:t>
      </w:r>
    </w:p>
    <w:p w14:paraId="528A0B2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本工程采用电子开标。投标截止时间到达后，各投标人按电子投标文件递交的顺序对电子投标文件进行解密。解密完成后各投标人的电子投标文件的实质性内容将自动显示在网页中。投标人在投标截止时间前未上传电子投标文件的将被视为放弃投标。</w:t>
      </w:r>
    </w:p>
    <w:p w14:paraId="43E552A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5.2.2若因招标人原因或网上招投标平台发生故障，导致无法按时完成投标文件解密或开、评标工作无法进行的，可根据实际情况相应延迟解密时间或调整开、评标时间。</w:t>
      </w:r>
    </w:p>
    <w:p w14:paraId="63ED2CE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5.2.3开标时出现下列情况的，招标人将拒绝其投标文件。</w:t>
      </w:r>
    </w:p>
    <w:p w14:paraId="00D1BBB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经检查数字证书无效的投标文件；</w:t>
      </w:r>
    </w:p>
    <w:p w14:paraId="30DC60B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投标人未按投标人须知表5.1项规定的时间内因投标人自身原因，导致电子投标文件上传件出现问题无法正常解密、解密失败或解密超时的；</w:t>
      </w:r>
    </w:p>
    <w:p w14:paraId="2D1A9E2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5.2.4纸质开标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本项目不适用</w:t>
      </w:r>
      <w:r>
        <w:rPr>
          <w:rFonts w:hint="eastAsia" w:ascii="宋体" w:hAnsi="宋体" w:eastAsia="宋体" w:cs="宋体"/>
          <w:color w:val="auto"/>
          <w:sz w:val="21"/>
          <w:szCs w:val="21"/>
          <w:highlight w:val="none"/>
          <w:lang w:eastAsia="zh-CN"/>
        </w:rPr>
        <w:t>）</w:t>
      </w:r>
    </w:p>
    <w:p w14:paraId="5CB640F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5.3 开标异议</w:t>
      </w:r>
    </w:p>
    <w:p w14:paraId="0A5F3C9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投标人对开标有异议的，应当在开标现场提出，招标人当场作出答复，并制作记录。</w:t>
      </w:r>
    </w:p>
    <w:p w14:paraId="362505CC">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31" w:name="_Toc21303"/>
      <w:bookmarkStart w:id="32" w:name="_Toc16852"/>
      <w:r>
        <w:rPr>
          <w:rFonts w:hint="eastAsia" w:ascii="宋体" w:hAnsi="宋体" w:eastAsia="宋体" w:cs="宋体"/>
          <w:b/>
          <w:bCs/>
          <w:color w:val="auto"/>
          <w:sz w:val="22"/>
          <w:szCs w:val="22"/>
          <w:highlight w:val="none"/>
        </w:rPr>
        <w:t>6.评标</w:t>
      </w:r>
      <w:bookmarkEnd w:id="31"/>
      <w:bookmarkEnd w:id="32"/>
    </w:p>
    <w:p w14:paraId="6976B15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6.1 评标委员会</w:t>
      </w:r>
    </w:p>
    <w:p w14:paraId="5030B32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6.1.1评标由招标人依法组建的评标委员会负责。评标委员会由有关技术、经济等方面的专家组成。评标委员会成员人数以及技术、经济等方面专家的确定方式见投标人须知前附表。</w:t>
      </w:r>
    </w:p>
    <w:p w14:paraId="4A77AE8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6.1.2评标委员会成员有下列情形之一的，应当回避：</w:t>
      </w:r>
    </w:p>
    <w:p w14:paraId="1FAA0FC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投标人的主要负责人的近亲属；</w:t>
      </w:r>
    </w:p>
    <w:p w14:paraId="1BBF34B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项目主管部门或者行政监督部门的人员；</w:t>
      </w:r>
    </w:p>
    <w:p w14:paraId="3C64E56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与投标人有经济利益关系，可能影响对投标公正评审的；</w:t>
      </w:r>
    </w:p>
    <w:p w14:paraId="30AD651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曾因在招标、评标以及其他与招标投标有关活动中从事违法行为而受过行政处罚或刑事处罚的。</w:t>
      </w:r>
    </w:p>
    <w:p w14:paraId="4340349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“信用中国”网站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www.creditchina,gov,cn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记录为失信被执行人的。</w:t>
      </w:r>
    </w:p>
    <w:p w14:paraId="57EBE407">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6.2 评标原则</w:t>
      </w:r>
    </w:p>
    <w:p w14:paraId="278222C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11A5D2D5">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6.3 评标</w:t>
      </w:r>
    </w:p>
    <w:p w14:paraId="0D4A6E0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照第三章“评标办法”规定的方法、评审因素、标准和程序对投标文件进行评审。第三章“评标办法”没有规定的方法、评审因素和标准，不作为评标依据。评标方法和评标方式见前附表6.3.4及6.3.5。</w:t>
      </w:r>
    </w:p>
    <w:p w14:paraId="19BE7DE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电子过程中当出现以下情况时，导致系统无法正常运行，根据实际情况延迟评标或调整评标时间：</w:t>
      </w:r>
    </w:p>
    <w:p w14:paraId="1440E27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系统服务器发生故障，无法访问或无法使用系统；</w:t>
      </w:r>
    </w:p>
    <w:p w14:paraId="5CCDD83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系统的软件或数据库出现错误，不能进行正常操作；</w:t>
      </w:r>
    </w:p>
    <w:p w14:paraId="3AABC43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系统发现有安全漏洞，有潜在的泄密危险；</w:t>
      </w:r>
    </w:p>
    <w:p w14:paraId="6F87D1D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出现断电事故；</w:t>
      </w:r>
    </w:p>
    <w:p w14:paraId="7A93F32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其他无法保证招投标过程正常进行的情形。</w:t>
      </w:r>
    </w:p>
    <w:p w14:paraId="6E6B9C19">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33" w:name="_Toc5515"/>
      <w:bookmarkStart w:id="34" w:name="_Toc3214"/>
      <w:r>
        <w:rPr>
          <w:rFonts w:hint="eastAsia" w:ascii="宋体" w:hAnsi="宋体" w:eastAsia="宋体" w:cs="宋体"/>
          <w:b/>
          <w:bCs/>
          <w:color w:val="auto"/>
          <w:sz w:val="22"/>
          <w:szCs w:val="22"/>
          <w:highlight w:val="none"/>
        </w:rPr>
        <w:t>7.合同授予</w:t>
      </w:r>
      <w:bookmarkEnd w:id="33"/>
      <w:bookmarkEnd w:id="34"/>
    </w:p>
    <w:p w14:paraId="3AD18B1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7.1 推荐中标候选人</w:t>
      </w:r>
    </w:p>
    <w:p w14:paraId="0323FEF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按照本招标文件第三章评标办法要求推荐3至10名中标候选人</w:t>
      </w:r>
      <w:r>
        <w:rPr>
          <w:rFonts w:hint="eastAsia" w:ascii="宋体" w:hAnsi="宋体" w:cs="宋体"/>
          <w:color w:val="auto"/>
          <w:sz w:val="21"/>
          <w:szCs w:val="21"/>
          <w:highlight w:val="none"/>
          <w:lang w:val="en-US" w:eastAsia="zh-CN"/>
        </w:rPr>
        <w:t>。</w:t>
      </w:r>
    </w:p>
    <w:p w14:paraId="4EAB7BE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7.2 中标候选人公示</w:t>
      </w:r>
    </w:p>
    <w:p w14:paraId="4AB1EC9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招标人应当在中标候选人公示前审查评标委员会提交的书面评标报告，发现异常情形的，依照法定程序复核，确认存在问题的，依照法定程序予以纠正。招标人不得擅自改变评标委员会评标结果。</w:t>
      </w:r>
    </w:p>
    <w:p w14:paraId="5F67546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r>
        <w:rPr>
          <w:rFonts w:hint="eastAsia" w:ascii="宋体" w:hAnsi="宋体" w:eastAsia="宋体" w:cs="宋体"/>
          <w:color w:val="auto"/>
          <w:sz w:val="21"/>
          <w:szCs w:val="21"/>
          <w:highlight w:val="none"/>
          <w:lang w:val="en-US" w:eastAsia="zh-CN"/>
        </w:rPr>
        <w:t>应当自</w:t>
      </w:r>
      <w:r>
        <w:rPr>
          <w:rFonts w:hint="eastAsia" w:ascii="宋体" w:hAnsi="宋体" w:eastAsia="宋体" w:cs="宋体"/>
          <w:color w:val="auto"/>
          <w:sz w:val="21"/>
          <w:szCs w:val="21"/>
          <w:highlight w:val="none"/>
        </w:rPr>
        <w:t>收到评标报告</w:t>
      </w:r>
      <w:r>
        <w:rPr>
          <w:rFonts w:hint="eastAsia" w:ascii="宋体" w:hAnsi="宋体" w:eastAsia="宋体" w:cs="宋体"/>
          <w:color w:val="auto"/>
          <w:sz w:val="21"/>
          <w:szCs w:val="21"/>
          <w:highlight w:val="none"/>
          <w:lang w:val="en-US" w:eastAsia="zh-CN"/>
        </w:rPr>
        <w:t>之日起</w:t>
      </w:r>
      <w:r>
        <w:rPr>
          <w:rFonts w:hint="eastAsia" w:ascii="宋体" w:hAnsi="宋体" w:eastAsia="宋体" w:cs="宋体"/>
          <w:color w:val="auto"/>
          <w:sz w:val="21"/>
          <w:szCs w:val="21"/>
          <w:highlight w:val="none"/>
        </w:rPr>
        <w:t>3日内，按照投标人须知前附表10.5款规定的公示媒介和期限公示中标候选人，公示期不少于3日。中标候选人公示应当载明所有投标人情况、推荐的中标候选人情况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包括项目投标信息、管理人员信息、业绩信息等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、否决投标情况及原因、异议方式、监督电话及投诉方式等内容。中标公示期间，招标人有权对中标人进行现场考察，如发现</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候选人有弄虚作假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含不实承诺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情况的，取消其</w:t>
      </w:r>
      <w:r>
        <w:rPr>
          <w:rFonts w:hint="eastAsia" w:ascii="宋体" w:hAnsi="宋体" w:eastAsia="宋体" w:cs="宋体"/>
          <w:color w:val="auto"/>
          <w:sz w:val="21"/>
          <w:szCs w:val="21"/>
          <w:highlight w:val="none"/>
          <w:lang w:eastAsia="zh-CN"/>
        </w:rPr>
        <w:t>候选人</w:t>
      </w:r>
      <w:r>
        <w:rPr>
          <w:rFonts w:hint="eastAsia" w:ascii="宋体" w:hAnsi="宋体" w:eastAsia="宋体" w:cs="宋体"/>
          <w:color w:val="auto"/>
          <w:sz w:val="21"/>
          <w:szCs w:val="21"/>
          <w:highlight w:val="none"/>
        </w:rPr>
        <w:t>资格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val="en-US" w:eastAsia="zh-CN"/>
        </w:rPr>
        <w:t>合格</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候选人</w:t>
      </w:r>
      <w:r>
        <w:rPr>
          <w:rFonts w:hint="eastAsia" w:ascii="宋体" w:hAnsi="宋体" w:eastAsia="宋体" w:cs="宋体"/>
          <w:color w:val="auto"/>
          <w:sz w:val="21"/>
          <w:szCs w:val="21"/>
          <w:highlight w:val="none"/>
          <w:lang w:val="en-US" w:eastAsia="zh-CN"/>
        </w:rPr>
        <w:t>少于3家（不含3家）</w:t>
      </w:r>
      <w:r>
        <w:rPr>
          <w:rFonts w:hint="eastAsia" w:ascii="宋体" w:hAnsi="宋体" w:eastAsia="宋体" w:cs="宋体"/>
          <w:color w:val="auto"/>
          <w:sz w:val="21"/>
          <w:szCs w:val="21"/>
          <w:highlight w:val="none"/>
        </w:rPr>
        <w:t>由招标人重新组织招标。</w:t>
      </w:r>
    </w:p>
    <w:p w14:paraId="039FBF99">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7.3 评标结果异议</w:t>
      </w:r>
    </w:p>
    <w:p w14:paraId="33788E0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投标人或者其他利害关系人对评标结果有异议的，应当在</w:t>
      </w:r>
      <w:r>
        <w:rPr>
          <w:rFonts w:hint="eastAsia" w:ascii="宋体" w:hAnsi="宋体" w:eastAsia="宋体" w:cs="宋体"/>
          <w:color w:val="auto"/>
          <w:sz w:val="21"/>
          <w:szCs w:val="21"/>
          <w:highlight w:val="none"/>
          <w:lang w:eastAsia="zh-CN"/>
        </w:rPr>
        <w:t>中标候选人</w:t>
      </w:r>
      <w:r>
        <w:rPr>
          <w:rFonts w:hint="eastAsia" w:ascii="宋体" w:hAnsi="宋体" w:eastAsia="宋体" w:cs="宋体"/>
          <w:color w:val="auto"/>
          <w:sz w:val="21"/>
          <w:szCs w:val="21"/>
          <w:highlight w:val="none"/>
        </w:rPr>
        <w:t>公示期间提出，招标人将在收到异议之日起3日内作出答复，作出答复前，将暂停招投标活动。</w:t>
      </w:r>
    </w:p>
    <w:p w14:paraId="223DDD5D">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7.4 中标候选人履约能力审查</w:t>
      </w:r>
    </w:p>
    <w:p w14:paraId="629F1C4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中标候选人</w:t>
      </w:r>
      <w:r>
        <w:rPr>
          <w:rFonts w:hint="eastAsia" w:ascii="宋体" w:hAnsi="宋体" w:eastAsia="宋体" w:cs="宋体"/>
          <w:color w:val="auto"/>
          <w:sz w:val="21"/>
          <w:szCs w:val="21"/>
          <w:highlight w:val="none"/>
        </w:rPr>
        <w:t>的经营、财务状况发生较大变化或存在违法行为，招标人认为可能影响其履约能力的，</w:t>
      </w:r>
      <w:r>
        <w:rPr>
          <w:rFonts w:hint="eastAsia" w:ascii="宋体" w:hAnsi="宋体" w:eastAsia="宋体" w:cs="宋体"/>
          <w:color w:val="auto"/>
          <w:sz w:val="21"/>
          <w:szCs w:val="21"/>
          <w:highlight w:val="none"/>
          <w:lang w:eastAsia="zh-CN"/>
        </w:rPr>
        <w:t>可</w:t>
      </w:r>
      <w:r>
        <w:rPr>
          <w:rFonts w:hint="eastAsia" w:ascii="宋体" w:hAnsi="宋体" w:eastAsia="宋体" w:cs="宋体"/>
          <w:color w:val="auto"/>
          <w:sz w:val="21"/>
          <w:szCs w:val="21"/>
          <w:highlight w:val="none"/>
        </w:rPr>
        <w:t>提请原评标委员会按照招标文件规定的标准和方法进行审查确认。</w:t>
      </w:r>
    </w:p>
    <w:p w14:paraId="607AACF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招标人发放中标通知书前，</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除因被查实存在违法违规行为取消</w:t>
      </w:r>
      <w:r>
        <w:rPr>
          <w:rFonts w:hint="eastAsia" w:ascii="宋体" w:hAnsi="宋体" w:eastAsia="宋体" w:cs="宋体"/>
          <w:color w:val="auto"/>
          <w:sz w:val="21"/>
          <w:szCs w:val="21"/>
          <w:highlight w:val="none"/>
          <w:lang w:eastAsia="zh-CN"/>
        </w:rPr>
        <w:t>其中标</w:t>
      </w:r>
      <w:r>
        <w:rPr>
          <w:rFonts w:hint="eastAsia" w:ascii="宋体" w:hAnsi="宋体" w:eastAsia="宋体" w:cs="宋体"/>
          <w:color w:val="auto"/>
          <w:sz w:val="21"/>
          <w:szCs w:val="21"/>
          <w:highlight w:val="none"/>
        </w:rPr>
        <w:t>人资格和不可抗力放弃中标外，</w:t>
      </w:r>
      <w:r>
        <w:rPr>
          <w:rFonts w:hint="eastAsia" w:ascii="宋体" w:hAnsi="宋体" w:eastAsia="宋体" w:cs="宋体"/>
          <w:color w:val="auto"/>
          <w:sz w:val="21"/>
          <w:szCs w:val="21"/>
          <w:highlight w:val="none"/>
          <w:lang w:eastAsia="zh-CN"/>
        </w:rPr>
        <w:t>中标人</w:t>
      </w:r>
      <w:r>
        <w:rPr>
          <w:rFonts w:hint="eastAsia" w:ascii="宋体" w:hAnsi="宋体" w:eastAsia="宋体" w:cs="宋体"/>
          <w:color w:val="auto"/>
          <w:sz w:val="21"/>
          <w:szCs w:val="21"/>
          <w:highlight w:val="none"/>
        </w:rPr>
        <w:t>放弃中标的，其递交的投标保证金招标人不予退还，并计入不良行为记录。</w:t>
      </w:r>
    </w:p>
    <w:p w14:paraId="03B74224">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7.5 </w:t>
      </w:r>
      <w:r>
        <w:rPr>
          <w:rFonts w:hint="eastAsia" w:ascii="宋体" w:hAnsi="宋体" w:cs="宋体"/>
          <w:b/>
          <w:bCs/>
          <w:color w:val="auto"/>
          <w:sz w:val="21"/>
          <w:szCs w:val="21"/>
          <w:highlight w:val="none"/>
          <w:lang w:val="en-US" w:eastAsia="zh-CN"/>
        </w:rPr>
        <w:fldChar w:fldCharType="begin"/>
      </w:r>
      <w:r>
        <w:rPr>
          <w:rFonts w:hint="eastAsia" w:ascii="宋体" w:hAnsi="宋体" w:cs="宋体"/>
          <w:b/>
          <w:bCs/>
          <w:color w:val="auto"/>
          <w:sz w:val="21"/>
          <w:szCs w:val="21"/>
          <w:highlight w:val="none"/>
          <w:lang w:val="en-US" w:eastAsia="zh-CN"/>
        </w:rPr>
        <w:instrText xml:space="preserve"> HYPERLINK \l "_Toc38738864" </w:instrText>
      </w:r>
      <w:r>
        <w:rPr>
          <w:rFonts w:hint="eastAsia" w:ascii="宋体" w:hAnsi="宋体" w:cs="宋体"/>
          <w:b/>
          <w:bCs/>
          <w:color w:val="auto"/>
          <w:sz w:val="21"/>
          <w:szCs w:val="21"/>
          <w:highlight w:val="none"/>
          <w:lang w:val="en-US" w:eastAsia="zh-CN"/>
        </w:rPr>
        <w:fldChar w:fldCharType="separate"/>
      </w:r>
      <w:r>
        <w:rPr>
          <w:rFonts w:hint="eastAsia" w:ascii="宋体" w:hAnsi="宋体" w:cs="宋体"/>
          <w:b/>
          <w:bCs/>
          <w:color w:val="auto"/>
          <w:sz w:val="21"/>
          <w:szCs w:val="21"/>
          <w:highlight w:val="none"/>
          <w:lang w:val="en-US" w:eastAsia="zh-CN"/>
        </w:rPr>
        <w:t>定标方式</w:t>
      </w:r>
      <w:r>
        <w:rPr>
          <w:rFonts w:hint="eastAsia" w:ascii="宋体" w:hAnsi="宋体" w:cs="宋体"/>
          <w:b/>
          <w:bCs/>
          <w:color w:val="auto"/>
          <w:sz w:val="21"/>
          <w:szCs w:val="21"/>
          <w:highlight w:val="none"/>
          <w:lang w:val="en-US" w:eastAsia="zh-CN"/>
        </w:rPr>
        <w:fldChar w:fldCharType="end"/>
      </w:r>
    </w:p>
    <w:p w14:paraId="3C5E7C84">
      <w:pPr>
        <w:keepLines w:val="0"/>
        <w:pageBreakBefore w:val="0"/>
        <w:widowControl w:val="0"/>
        <w:kinsoku/>
        <w:wordWrap w:val="0"/>
        <w:overflowPunct/>
        <w:topLinePunct w:val="0"/>
        <w:bidi w:val="0"/>
        <w:spacing w:after="0" w:line="440" w:lineRule="exact"/>
        <w:ind w:right="-34" w:rightChars="-16" w:firstLine="525" w:firstLineChars="250"/>
        <w:jc w:val="both"/>
        <w:outlineLvl w:val="9"/>
        <w:rPr>
          <w:rFonts w:hint="eastAsia" w:ascii="宋体" w:hAnsi="宋体" w:cs="宋体"/>
          <w:b/>
          <w:bCs/>
          <w:color w:val="auto"/>
          <w:sz w:val="21"/>
          <w:szCs w:val="21"/>
          <w:highlight w:val="none"/>
          <w:lang w:val="en-US" w:eastAsia="zh-CN"/>
        </w:rPr>
      </w:pPr>
      <w:r>
        <w:rPr>
          <w:rFonts w:hint="default" w:ascii="宋体" w:hAnsi="宋体" w:eastAsia="宋体" w:cs="宋体"/>
          <w:color w:val="auto"/>
          <w:kern w:val="0"/>
          <w:sz w:val="21"/>
          <w:szCs w:val="21"/>
          <w:highlight w:val="none"/>
          <w:lang w:val="en-US" w:eastAsia="zh-CN" w:bidi="ar-SA"/>
        </w:rPr>
        <w:t>按照本招标文件第</w:t>
      </w:r>
      <w:r>
        <w:rPr>
          <w:rFonts w:hint="eastAsia" w:ascii="宋体" w:hAnsi="宋体" w:eastAsia="宋体" w:cs="宋体"/>
          <w:color w:val="auto"/>
          <w:kern w:val="0"/>
          <w:sz w:val="21"/>
          <w:szCs w:val="21"/>
          <w:highlight w:val="none"/>
          <w:lang w:val="en-US" w:eastAsia="zh-CN" w:bidi="ar-SA"/>
        </w:rPr>
        <w:t>四</w:t>
      </w:r>
      <w:r>
        <w:rPr>
          <w:rFonts w:hint="default" w:ascii="宋体" w:hAnsi="宋体" w:eastAsia="宋体" w:cs="宋体"/>
          <w:color w:val="auto"/>
          <w:kern w:val="0"/>
          <w:sz w:val="21"/>
          <w:szCs w:val="21"/>
          <w:highlight w:val="none"/>
          <w:lang w:val="en-US" w:eastAsia="zh-CN" w:bidi="ar-SA"/>
        </w:rPr>
        <w:t>章</w:t>
      </w:r>
      <w:r>
        <w:rPr>
          <w:rFonts w:hint="eastAsia" w:ascii="宋体" w:hAnsi="宋体" w:eastAsia="宋体" w:cs="宋体"/>
          <w:color w:val="auto"/>
          <w:kern w:val="0"/>
          <w:sz w:val="21"/>
          <w:szCs w:val="21"/>
          <w:highlight w:val="none"/>
          <w:lang w:val="en-US" w:eastAsia="zh-CN" w:bidi="ar-SA"/>
        </w:rPr>
        <w:t>定</w:t>
      </w:r>
      <w:r>
        <w:rPr>
          <w:rFonts w:hint="default" w:ascii="宋体" w:hAnsi="宋体" w:eastAsia="宋体" w:cs="宋体"/>
          <w:color w:val="auto"/>
          <w:kern w:val="0"/>
          <w:sz w:val="21"/>
          <w:szCs w:val="21"/>
          <w:highlight w:val="none"/>
          <w:lang w:val="en-US" w:eastAsia="zh-CN" w:bidi="ar-SA"/>
        </w:rPr>
        <w:t>标办法要求</w:t>
      </w:r>
      <w:r>
        <w:rPr>
          <w:rFonts w:hint="eastAsia" w:ascii="宋体" w:hAnsi="宋体" w:eastAsia="宋体" w:cs="宋体"/>
          <w:color w:val="auto"/>
          <w:kern w:val="0"/>
          <w:sz w:val="21"/>
          <w:szCs w:val="21"/>
          <w:highlight w:val="none"/>
          <w:lang w:val="en-US" w:eastAsia="zh-CN" w:bidi="ar-SA"/>
        </w:rPr>
        <w:t>定标办法定标</w:t>
      </w:r>
      <w:r>
        <w:rPr>
          <w:rFonts w:hint="default" w:ascii="宋体" w:hAnsi="宋体" w:eastAsia="宋体" w:cs="宋体"/>
          <w:color w:val="auto"/>
          <w:kern w:val="0"/>
          <w:sz w:val="21"/>
          <w:szCs w:val="21"/>
          <w:highlight w:val="none"/>
          <w:lang w:val="en-US" w:eastAsia="zh-CN" w:bidi="ar-SA"/>
        </w:rPr>
        <w:t>。</w:t>
      </w:r>
    </w:p>
    <w:p w14:paraId="371D2524">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7.6中标通知</w:t>
      </w:r>
    </w:p>
    <w:p w14:paraId="50C7386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在本章第3.3.1款规定的投标有效期内，招标人以书面形式向中标人发出中标通知书，同时将中标结果通知未中标的投标人。</w:t>
      </w:r>
    </w:p>
    <w:p w14:paraId="2A74E8D3">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7.7履约保证金</w:t>
      </w:r>
    </w:p>
    <w:p w14:paraId="3BCDDF4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.1在签订合同前，中标人应按投标人须知前附表规定的金额、担保形式和招标文件第</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章“合同条款及格式”规定的履约担保格式向招标人提交履约担保。联合体中标的，其履约担保由</w:t>
      </w:r>
      <w:r>
        <w:rPr>
          <w:rFonts w:hint="eastAsia" w:ascii="宋体" w:hAnsi="宋体" w:cs="宋体"/>
          <w:color w:val="auto"/>
          <w:sz w:val="21"/>
          <w:szCs w:val="21"/>
          <w:highlight w:val="none"/>
          <w:lang w:eastAsia="zh-CN"/>
        </w:rPr>
        <w:t>牵头方</w:t>
      </w:r>
      <w:r>
        <w:rPr>
          <w:rFonts w:hint="eastAsia" w:ascii="宋体" w:hAnsi="宋体" w:eastAsia="宋体" w:cs="宋体"/>
          <w:color w:val="auto"/>
          <w:sz w:val="21"/>
          <w:szCs w:val="21"/>
          <w:highlight w:val="none"/>
        </w:rPr>
        <w:t>递交，并应符合投标人须知前附表规定的金额、担保形式和招标文件第</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章“合同条款及格式”规定的履约担保格式要求。</w:t>
      </w:r>
    </w:p>
    <w:p w14:paraId="10CDD45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.2中标人不能按本章第7.6.1项要求提交履约保证金的，视为放弃中标，其投标保证金不予退还，给招标人造成的损失超过投标保证金数额的，中标人还应当对超过部分予以赔偿。</w:t>
      </w:r>
    </w:p>
    <w:p w14:paraId="04FF4DAF">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7.8 签订合同</w:t>
      </w:r>
    </w:p>
    <w:p w14:paraId="44AC788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1招标人和中标人应当自中标通知书发出之日起30天内，根据招标文件和中标人的投标文件订立书面合同。具体合同与招标人签订。中标人无正当理由拒签合同的，招标人取消其中标资格，其投标保证金不予退还；给招标人造成的损失超过投标保证金数额的，中标人还应当对超过部分予以赔偿。</w:t>
      </w:r>
    </w:p>
    <w:p w14:paraId="662AB7F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.2发出中标通知书后，招标人无正当理由拒签合同的，招标人向中标人退还投标保证金；给中标人造成损失的，还应当赔偿损失。</w:t>
      </w:r>
    </w:p>
    <w:p w14:paraId="5936C07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35" w:name="_Toc52"/>
      <w:bookmarkStart w:id="36" w:name="_Toc19663"/>
      <w:r>
        <w:rPr>
          <w:rFonts w:hint="eastAsia" w:ascii="宋体" w:hAnsi="宋体" w:eastAsia="宋体" w:cs="宋体"/>
          <w:b/>
          <w:bCs/>
          <w:color w:val="auto"/>
          <w:sz w:val="22"/>
          <w:szCs w:val="22"/>
          <w:highlight w:val="none"/>
        </w:rPr>
        <w:t>8.重新招标和不再招标</w:t>
      </w:r>
      <w:bookmarkEnd w:id="35"/>
      <w:bookmarkEnd w:id="36"/>
    </w:p>
    <w:p w14:paraId="6A8B4CC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8.1 重新招标</w:t>
      </w:r>
    </w:p>
    <w:p w14:paraId="422B007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63727DA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投标截止时间止，投标人少于3个的；</w:t>
      </w:r>
    </w:p>
    <w:p w14:paraId="6033468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经评标委员会评审后否决所有投标的。</w:t>
      </w:r>
    </w:p>
    <w:p w14:paraId="17BA5B55">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8.2 不再招标</w:t>
      </w:r>
    </w:p>
    <w:p w14:paraId="4E68CFE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法必须进行施工招标的项目提交投标文件的投标人少于三个的，招标人在分析招标失败的原因并采取相应措施后应当依法重新招标，重新招标后投标人仍少于三个或者所有投标被否决的，属于必须审批或核准的工程建设项目，经原审批或核准部门批准后不再进行招标。</w:t>
      </w:r>
    </w:p>
    <w:p w14:paraId="0E40FF92">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37" w:name="_Toc22526"/>
      <w:bookmarkStart w:id="38" w:name="_Toc11948"/>
      <w:r>
        <w:rPr>
          <w:rFonts w:hint="eastAsia" w:ascii="宋体" w:hAnsi="宋体" w:eastAsia="宋体" w:cs="宋体"/>
          <w:b/>
          <w:bCs/>
          <w:color w:val="auto"/>
          <w:sz w:val="22"/>
          <w:szCs w:val="22"/>
          <w:highlight w:val="none"/>
        </w:rPr>
        <w:t>9.纪律和监督</w:t>
      </w:r>
      <w:bookmarkEnd w:id="37"/>
      <w:bookmarkEnd w:id="38"/>
    </w:p>
    <w:p w14:paraId="6F215C3C">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9.1 对招标人的纪律要求</w:t>
      </w:r>
    </w:p>
    <w:p w14:paraId="7D65C3F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招标人不得泄漏招标投标活动中应当保密的情况和资料，不得与投标人串通损害国家利益、社会公共利益或者他人合法权益。</w:t>
      </w:r>
    </w:p>
    <w:p w14:paraId="77B0EE25">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9.2 对投标人的纪律要求</w:t>
      </w:r>
    </w:p>
    <w:p w14:paraId="59977AD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投标人不得相互串通投标或者与招标人串通投标，不得向招标人或者评标委员会成员行贿谋取中标，不得以他人名义投标或者以其他方式弄虚作假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含不实承诺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骗取中标；投标人不得以任何方式干扰、影响评标工作。</w:t>
      </w:r>
    </w:p>
    <w:p w14:paraId="0932EDA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9.3 对评标委员会成员的纪律要求</w:t>
      </w:r>
    </w:p>
    <w:p w14:paraId="31D4388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09881D33">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9.4 对与评标活动有关的工作人员的纪律要求</w:t>
      </w:r>
    </w:p>
    <w:p w14:paraId="61B7FB3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19470C9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9.5 投诉</w:t>
      </w:r>
    </w:p>
    <w:p w14:paraId="6FE10D8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投标人和其他利害关系人认为本次招标活动违反法律、法规和规章规定的，有权向有关行政监督部门投诉。</w:t>
      </w:r>
    </w:p>
    <w:p w14:paraId="34828BE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39" w:name="_Toc17216"/>
      <w:bookmarkStart w:id="40" w:name="_Toc21862"/>
      <w:r>
        <w:rPr>
          <w:rFonts w:hint="eastAsia" w:ascii="宋体" w:hAnsi="宋体" w:eastAsia="宋体" w:cs="宋体"/>
          <w:b/>
          <w:bCs/>
          <w:color w:val="auto"/>
          <w:sz w:val="22"/>
          <w:szCs w:val="22"/>
          <w:highlight w:val="none"/>
        </w:rPr>
        <w:t>10.需要补充的其他内容</w:t>
      </w:r>
      <w:bookmarkEnd w:id="39"/>
      <w:bookmarkEnd w:id="40"/>
    </w:p>
    <w:p w14:paraId="5A9627E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10.1需要补充的其他内容：见投标人须知前附表。</w:t>
      </w:r>
    </w:p>
    <w:p w14:paraId="7CA8578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r>
        <w:rPr>
          <w:rFonts w:hint="eastAsia" w:ascii="宋体" w:hAnsi="宋体" w:cs="宋体"/>
          <w:color w:val="auto"/>
          <w:sz w:val="21"/>
          <w:szCs w:val="21"/>
          <w:highlight w:val="none"/>
          <w:lang w:eastAsia="zh-CN"/>
        </w:rPr>
        <w:t>招标控制价</w:t>
      </w:r>
      <w:r>
        <w:rPr>
          <w:rFonts w:hint="eastAsia" w:ascii="宋体" w:hAnsi="宋体" w:eastAsia="宋体" w:cs="宋体"/>
          <w:color w:val="auto"/>
          <w:sz w:val="21"/>
          <w:szCs w:val="21"/>
          <w:highlight w:val="none"/>
        </w:rPr>
        <w:t>是招标人控制招标工程的最高限价。</w:t>
      </w:r>
    </w:p>
    <w:p w14:paraId="0EA4E64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10.3本项目采用电子辅助评标，为保障电子标书按期递交，请各投标人至少提前2个工作日开始电子标书制作。</w:t>
      </w:r>
    </w:p>
    <w:p w14:paraId="637666D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10.4本招标文件解释权归招标人所有。</w:t>
      </w:r>
    </w:p>
    <w:p w14:paraId="63A606C3">
      <w:pPr>
        <w:rPr>
          <w:color w:val="auto"/>
          <w:highlight w:val="none"/>
        </w:rPr>
      </w:pPr>
    </w:p>
    <w:p w14:paraId="4399EA9D">
      <w:pPr>
        <w:rPr>
          <w:color w:val="auto"/>
          <w:highlight w:val="none"/>
        </w:rPr>
      </w:pPr>
    </w:p>
    <w:p w14:paraId="72A28647">
      <w:pPr>
        <w:rPr>
          <w:color w:val="auto"/>
          <w:highlight w:val="none"/>
        </w:rPr>
      </w:pPr>
    </w:p>
    <w:p w14:paraId="79DD9021">
      <w:pPr>
        <w:rPr>
          <w:color w:val="auto"/>
          <w:highlight w:val="none"/>
        </w:rPr>
      </w:pPr>
    </w:p>
    <w:p w14:paraId="61D68D8D">
      <w:pPr>
        <w:rPr>
          <w:color w:val="auto"/>
          <w:highlight w:val="none"/>
        </w:rPr>
      </w:pPr>
    </w:p>
    <w:p w14:paraId="32FDD16B">
      <w:pPr>
        <w:rPr>
          <w:color w:val="auto"/>
          <w:highlight w:val="none"/>
        </w:rPr>
      </w:pPr>
    </w:p>
    <w:p w14:paraId="3D87676F">
      <w:pPr>
        <w:rPr>
          <w:color w:val="auto"/>
          <w:highlight w:val="none"/>
        </w:rPr>
      </w:pPr>
    </w:p>
    <w:p w14:paraId="6F8590CE">
      <w:pPr>
        <w:rPr>
          <w:color w:val="auto"/>
          <w:highlight w:val="none"/>
        </w:rPr>
      </w:pPr>
    </w:p>
    <w:p w14:paraId="7323F7BF">
      <w:pPr>
        <w:rPr>
          <w:color w:val="auto"/>
          <w:highlight w:val="none"/>
        </w:rPr>
      </w:pPr>
    </w:p>
    <w:p w14:paraId="1B4C07F8">
      <w:pPr>
        <w:rPr>
          <w:color w:val="auto"/>
          <w:highlight w:val="none"/>
        </w:rPr>
      </w:pPr>
    </w:p>
    <w:p w14:paraId="6B16868B">
      <w:pPr>
        <w:rPr>
          <w:color w:val="auto"/>
          <w:highlight w:val="none"/>
        </w:rPr>
      </w:pPr>
    </w:p>
    <w:p w14:paraId="7D8FDB3D">
      <w:pPr>
        <w:rPr>
          <w:color w:val="auto"/>
          <w:highlight w:val="none"/>
        </w:rPr>
      </w:pPr>
    </w:p>
    <w:p w14:paraId="2F97603F">
      <w:pPr>
        <w:rPr>
          <w:color w:val="auto"/>
          <w:highlight w:val="none"/>
        </w:rPr>
      </w:pPr>
    </w:p>
    <w:p w14:paraId="2B79F64D">
      <w:pPr>
        <w:rPr>
          <w:color w:val="auto"/>
          <w:highlight w:val="none"/>
        </w:rPr>
      </w:pPr>
    </w:p>
    <w:p w14:paraId="4CD265F8">
      <w:pPr>
        <w:rPr>
          <w:color w:val="auto"/>
          <w:highlight w:val="none"/>
        </w:rPr>
      </w:pPr>
    </w:p>
    <w:p w14:paraId="5FF2CE8D">
      <w:pPr>
        <w:jc w:val="center"/>
        <w:outlineLvl w:val="0"/>
        <w:rPr>
          <w:color w:val="auto"/>
          <w:highlight w:val="none"/>
        </w:rPr>
      </w:pPr>
      <w:bookmarkStart w:id="41" w:name="_Toc15310"/>
      <w:bookmarkStart w:id="42" w:name="_Toc8114"/>
      <w:r>
        <w:rPr>
          <w:rFonts w:hint="eastAsia" w:ascii="宋体" w:hAnsi="宋体" w:eastAsia="宋体" w:cs="宋体"/>
          <w:b/>
          <w:color w:val="auto"/>
          <w:kern w:val="0"/>
          <w:sz w:val="44"/>
          <w:szCs w:val="44"/>
          <w:highlight w:val="none"/>
          <w:lang w:eastAsia="zh-CN"/>
        </w:rPr>
        <w:t>第</w:t>
      </w:r>
      <w:r>
        <w:rPr>
          <w:rFonts w:hint="eastAsia" w:ascii="宋体" w:hAnsi="宋体" w:cs="宋体"/>
          <w:b/>
          <w:color w:val="auto"/>
          <w:kern w:val="0"/>
          <w:sz w:val="44"/>
          <w:szCs w:val="44"/>
          <w:highlight w:val="none"/>
          <w:lang w:eastAsia="zh-CN"/>
        </w:rPr>
        <w:t>三</w:t>
      </w:r>
      <w:r>
        <w:rPr>
          <w:rFonts w:hint="eastAsia" w:ascii="宋体" w:hAnsi="宋体" w:eastAsia="宋体" w:cs="宋体"/>
          <w:b/>
          <w:color w:val="auto"/>
          <w:kern w:val="0"/>
          <w:sz w:val="44"/>
          <w:szCs w:val="44"/>
          <w:highlight w:val="none"/>
          <w:lang w:eastAsia="zh-CN"/>
        </w:rPr>
        <w:t>章</w:t>
      </w:r>
      <w:r>
        <w:rPr>
          <w:rFonts w:hint="eastAsia" w:ascii="宋体" w:hAnsi="宋体" w:eastAsia="宋体" w:cs="宋体"/>
          <w:b/>
          <w:color w:val="auto"/>
          <w:kern w:val="0"/>
          <w:sz w:val="44"/>
          <w:szCs w:val="44"/>
          <w:highlight w:val="none"/>
          <w:lang w:val="en-US" w:eastAsia="zh-CN"/>
        </w:rPr>
        <w:t xml:space="preserve"> 评标办法</w:t>
      </w:r>
      <w:r>
        <w:rPr>
          <w:rFonts w:hint="eastAsia" w:ascii="宋体" w:hAnsi="宋体" w:cs="宋体"/>
          <w:b/>
          <w:color w:val="auto"/>
          <w:kern w:val="0"/>
          <w:sz w:val="44"/>
          <w:szCs w:val="44"/>
          <w:highlight w:val="none"/>
          <w:lang w:val="en-US" w:eastAsia="zh-CN"/>
        </w:rPr>
        <w:t>（综合评估法）</w:t>
      </w:r>
      <w:bookmarkEnd w:id="41"/>
      <w:bookmarkEnd w:id="42"/>
    </w:p>
    <w:p w14:paraId="32E5775C">
      <w:pPr>
        <w:jc w:val="center"/>
        <w:outlineLvl w:val="1"/>
        <w:rPr>
          <w:color w:val="auto"/>
          <w:sz w:val="20"/>
          <w:szCs w:val="18"/>
          <w:highlight w:val="none"/>
        </w:rPr>
      </w:pPr>
      <w:bookmarkStart w:id="43" w:name="_Toc23315"/>
      <w:bookmarkStart w:id="44" w:name="_Toc11417"/>
      <w:r>
        <w:rPr>
          <w:rFonts w:hint="eastAsia" w:ascii="宋体" w:hAnsi="宋体" w:cs="宋体"/>
          <w:b/>
          <w:color w:val="auto"/>
          <w:kern w:val="0"/>
          <w:sz w:val="28"/>
          <w:szCs w:val="28"/>
          <w:highlight w:val="none"/>
          <w:lang w:eastAsia="zh-CN"/>
        </w:rPr>
        <w:t>评标办法</w:t>
      </w:r>
      <w:r>
        <w:rPr>
          <w:rFonts w:hint="eastAsia" w:ascii="宋体" w:hAnsi="宋体" w:eastAsia="宋体" w:cs="宋体"/>
          <w:b/>
          <w:color w:val="auto"/>
          <w:kern w:val="0"/>
          <w:sz w:val="28"/>
          <w:szCs w:val="28"/>
          <w:highlight w:val="none"/>
        </w:rPr>
        <w:t>前附表</w:t>
      </w:r>
      <w:bookmarkEnd w:id="43"/>
      <w:bookmarkEnd w:id="44"/>
    </w:p>
    <w:tbl>
      <w:tblPr>
        <w:tblStyle w:val="26"/>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777"/>
        <w:gridCol w:w="696"/>
        <w:gridCol w:w="2317"/>
        <w:gridCol w:w="3980"/>
        <w:gridCol w:w="1110"/>
      </w:tblGrid>
      <w:tr w14:paraId="17367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17" w:type="dxa"/>
            <w:gridSpan w:val="2"/>
            <w:vAlign w:val="center"/>
          </w:tcPr>
          <w:p w14:paraId="0898A4E0">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color w:val="auto"/>
                <w:sz w:val="18"/>
                <w:szCs w:val="18"/>
                <w:highlight w:val="none"/>
              </w:rPr>
              <w:t>条款号</w:t>
            </w:r>
          </w:p>
        </w:tc>
        <w:tc>
          <w:tcPr>
            <w:tcW w:w="3013" w:type="dxa"/>
            <w:gridSpan w:val="2"/>
            <w:vAlign w:val="center"/>
          </w:tcPr>
          <w:p w14:paraId="6B04AD8E">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color w:val="auto"/>
                <w:sz w:val="18"/>
                <w:szCs w:val="18"/>
                <w:highlight w:val="none"/>
              </w:rPr>
              <w:t>评审因素</w:t>
            </w:r>
          </w:p>
        </w:tc>
        <w:tc>
          <w:tcPr>
            <w:tcW w:w="5090" w:type="dxa"/>
            <w:gridSpan w:val="2"/>
            <w:vAlign w:val="center"/>
          </w:tcPr>
          <w:p w14:paraId="3AC71F63">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color w:val="auto"/>
                <w:sz w:val="18"/>
                <w:szCs w:val="18"/>
                <w:highlight w:val="none"/>
              </w:rPr>
              <w:t>评审标准</w:t>
            </w:r>
          </w:p>
        </w:tc>
      </w:tr>
      <w:tr w14:paraId="65229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restart"/>
            <w:vAlign w:val="center"/>
          </w:tcPr>
          <w:p w14:paraId="76BA62A6">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2.1.1</w:t>
            </w:r>
          </w:p>
        </w:tc>
        <w:tc>
          <w:tcPr>
            <w:tcW w:w="777" w:type="dxa"/>
            <w:vMerge w:val="restart"/>
            <w:vAlign w:val="center"/>
          </w:tcPr>
          <w:p w14:paraId="5F1BB6D8">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形式</w:t>
            </w:r>
          </w:p>
          <w:p w14:paraId="29FED78E">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评审</w:t>
            </w:r>
          </w:p>
          <w:p w14:paraId="1DABCC68">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标准</w:t>
            </w:r>
          </w:p>
        </w:tc>
        <w:tc>
          <w:tcPr>
            <w:tcW w:w="3013" w:type="dxa"/>
            <w:gridSpan w:val="2"/>
            <w:vAlign w:val="center"/>
          </w:tcPr>
          <w:p w14:paraId="0D2588A6">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投标人名称</w:t>
            </w:r>
          </w:p>
        </w:tc>
        <w:tc>
          <w:tcPr>
            <w:tcW w:w="5090" w:type="dxa"/>
            <w:gridSpan w:val="2"/>
            <w:vAlign w:val="center"/>
          </w:tcPr>
          <w:p w14:paraId="67DBD751">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与营业执照、资质证书一致</w:t>
            </w:r>
          </w:p>
        </w:tc>
      </w:tr>
      <w:tr w14:paraId="2BB0D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719711CD">
            <w:pPr>
              <w:rPr>
                <w:rFonts w:hint="eastAsia" w:ascii="宋体" w:hAnsi="宋体" w:eastAsia="宋体" w:cs="宋体"/>
                <w:color w:val="auto"/>
                <w:sz w:val="21"/>
                <w:szCs w:val="21"/>
                <w:highlight w:val="none"/>
              </w:rPr>
            </w:pPr>
          </w:p>
        </w:tc>
        <w:tc>
          <w:tcPr>
            <w:tcW w:w="777" w:type="dxa"/>
            <w:vMerge w:val="continue"/>
            <w:vAlign w:val="center"/>
          </w:tcPr>
          <w:p w14:paraId="0AFD2E6D">
            <w:pPr>
              <w:rPr>
                <w:rFonts w:hint="eastAsia" w:ascii="宋体" w:hAnsi="宋体" w:eastAsia="宋体" w:cs="宋体"/>
                <w:color w:val="auto"/>
                <w:sz w:val="21"/>
                <w:szCs w:val="21"/>
                <w:highlight w:val="none"/>
                <w:vertAlign w:val="baseline"/>
              </w:rPr>
            </w:pPr>
          </w:p>
        </w:tc>
        <w:tc>
          <w:tcPr>
            <w:tcW w:w="3013" w:type="dxa"/>
            <w:gridSpan w:val="2"/>
            <w:vAlign w:val="center"/>
          </w:tcPr>
          <w:p w14:paraId="50219AE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投标函及投标函附录</w:t>
            </w:r>
          </w:p>
        </w:tc>
        <w:tc>
          <w:tcPr>
            <w:tcW w:w="5090" w:type="dxa"/>
            <w:gridSpan w:val="2"/>
            <w:vAlign w:val="center"/>
          </w:tcPr>
          <w:p w14:paraId="4D8D38FC">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按招标文件格式要求</w:t>
            </w:r>
          </w:p>
        </w:tc>
      </w:tr>
      <w:tr w14:paraId="600C8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1692542A">
            <w:pPr>
              <w:rPr>
                <w:rFonts w:hint="eastAsia" w:ascii="宋体" w:hAnsi="宋体" w:eastAsia="宋体" w:cs="宋体"/>
                <w:color w:val="auto"/>
                <w:sz w:val="21"/>
                <w:szCs w:val="21"/>
                <w:highlight w:val="none"/>
              </w:rPr>
            </w:pPr>
          </w:p>
        </w:tc>
        <w:tc>
          <w:tcPr>
            <w:tcW w:w="777" w:type="dxa"/>
            <w:vMerge w:val="continue"/>
            <w:vAlign w:val="center"/>
          </w:tcPr>
          <w:p w14:paraId="0EB5161C">
            <w:pPr>
              <w:rPr>
                <w:rFonts w:hint="eastAsia" w:ascii="宋体" w:hAnsi="宋体" w:eastAsia="宋体" w:cs="宋体"/>
                <w:color w:val="auto"/>
                <w:sz w:val="21"/>
                <w:szCs w:val="21"/>
                <w:highlight w:val="none"/>
                <w:vertAlign w:val="baseline"/>
              </w:rPr>
            </w:pPr>
          </w:p>
        </w:tc>
        <w:tc>
          <w:tcPr>
            <w:tcW w:w="3013" w:type="dxa"/>
            <w:gridSpan w:val="2"/>
            <w:vAlign w:val="center"/>
          </w:tcPr>
          <w:p w14:paraId="1347673E">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投标文件格式</w:t>
            </w:r>
          </w:p>
        </w:tc>
        <w:tc>
          <w:tcPr>
            <w:tcW w:w="5090" w:type="dxa"/>
            <w:gridSpan w:val="2"/>
            <w:vAlign w:val="center"/>
          </w:tcPr>
          <w:p w14:paraId="389277B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w:t>
            </w:r>
            <w:r>
              <w:rPr>
                <w:rFonts w:hint="eastAsia" w:ascii="宋体" w:hAnsi="宋体" w:eastAsia="宋体" w:cs="宋体"/>
                <w:color w:val="auto"/>
                <w:sz w:val="21"/>
                <w:szCs w:val="21"/>
                <w:highlight w:val="none"/>
                <w:vertAlign w:val="baseline"/>
                <w:lang w:val="en-US" w:eastAsia="zh-CN"/>
              </w:rPr>
              <w:t>七</w:t>
            </w:r>
            <w:r>
              <w:rPr>
                <w:rFonts w:hint="eastAsia" w:ascii="宋体" w:hAnsi="宋体" w:eastAsia="宋体" w:cs="宋体"/>
                <w:color w:val="auto"/>
                <w:sz w:val="21"/>
                <w:szCs w:val="21"/>
                <w:highlight w:val="none"/>
                <w:vertAlign w:val="baseline"/>
              </w:rPr>
              <w:t>章“投标文件格式”的要求</w:t>
            </w:r>
          </w:p>
        </w:tc>
      </w:tr>
      <w:tr w14:paraId="6CD8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0" w:type="dxa"/>
            <w:vMerge w:val="continue"/>
            <w:vAlign w:val="center"/>
          </w:tcPr>
          <w:p w14:paraId="5D60761A">
            <w:pPr>
              <w:rPr>
                <w:rFonts w:hint="eastAsia" w:ascii="宋体" w:hAnsi="宋体" w:eastAsia="宋体" w:cs="宋体"/>
                <w:color w:val="auto"/>
                <w:sz w:val="21"/>
                <w:szCs w:val="21"/>
                <w:highlight w:val="none"/>
              </w:rPr>
            </w:pPr>
          </w:p>
        </w:tc>
        <w:tc>
          <w:tcPr>
            <w:tcW w:w="777" w:type="dxa"/>
            <w:vMerge w:val="continue"/>
            <w:vAlign w:val="center"/>
          </w:tcPr>
          <w:p w14:paraId="58536855">
            <w:pPr>
              <w:rPr>
                <w:rFonts w:hint="eastAsia" w:ascii="宋体" w:hAnsi="宋体" w:eastAsia="宋体" w:cs="宋体"/>
                <w:color w:val="auto"/>
                <w:sz w:val="21"/>
                <w:szCs w:val="21"/>
                <w:highlight w:val="none"/>
                <w:vertAlign w:val="baseline"/>
              </w:rPr>
            </w:pPr>
          </w:p>
        </w:tc>
        <w:tc>
          <w:tcPr>
            <w:tcW w:w="3013" w:type="dxa"/>
            <w:gridSpan w:val="2"/>
            <w:vAlign w:val="center"/>
          </w:tcPr>
          <w:p w14:paraId="02828507">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联合体投标</w:t>
            </w:r>
          </w:p>
        </w:tc>
        <w:tc>
          <w:tcPr>
            <w:tcW w:w="5090" w:type="dxa"/>
            <w:gridSpan w:val="2"/>
            <w:vAlign w:val="center"/>
          </w:tcPr>
          <w:p w14:paraId="334596F2">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提交联合体协议书，并明确联合体</w:t>
            </w:r>
            <w:r>
              <w:rPr>
                <w:rFonts w:hint="eastAsia" w:ascii="宋体" w:hAnsi="宋体" w:cs="宋体"/>
                <w:color w:val="auto"/>
                <w:sz w:val="21"/>
                <w:szCs w:val="21"/>
                <w:highlight w:val="none"/>
                <w:vertAlign w:val="baseline"/>
                <w:lang w:eastAsia="zh-CN"/>
              </w:rPr>
              <w:t>牵头方</w:t>
            </w:r>
            <w:r>
              <w:rPr>
                <w:rFonts w:hint="eastAsia" w:ascii="宋体" w:hAnsi="宋体" w:eastAsia="宋体" w:cs="宋体"/>
                <w:color w:val="auto"/>
                <w:sz w:val="21"/>
                <w:szCs w:val="21"/>
                <w:highlight w:val="none"/>
                <w:vertAlign w:val="baseline"/>
              </w:rPr>
              <w:t>（如有）</w:t>
            </w:r>
          </w:p>
        </w:tc>
      </w:tr>
      <w:tr w14:paraId="1001B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0" w:type="dxa"/>
            <w:vMerge w:val="continue"/>
            <w:vAlign w:val="center"/>
          </w:tcPr>
          <w:p w14:paraId="4ECB2020">
            <w:pPr>
              <w:rPr>
                <w:rFonts w:hint="eastAsia" w:ascii="宋体" w:hAnsi="宋体" w:eastAsia="宋体" w:cs="宋体"/>
                <w:color w:val="auto"/>
                <w:sz w:val="21"/>
                <w:szCs w:val="21"/>
                <w:highlight w:val="none"/>
              </w:rPr>
            </w:pPr>
          </w:p>
        </w:tc>
        <w:tc>
          <w:tcPr>
            <w:tcW w:w="777" w:type="dxa"/>
            <w:vMerge w:val="continue"/>
            <w:vAlign w:val="center"/>
          </w:tcPr>
          <w:p w14:paraId="70D33839">
            <w:pPr>
              <w:rPr>
                <w:rFonts w:hint="eastAsia" w:ascii="宋体" w:hAnsi="宋体" w:eastAsia="宋体" w:cs="宋体"/>
                <w:color w:val="auto"/>
                <w:sz w:val="21"/>
                <w:szCs w:val="21"/>
                <w:highlight w:val="none"/>
                <w:vertAlign w:val="baseline"/>
              </w:rPr>
            </w:pPr>
          </w:p>
        </w:tc>
        <w:tc>
          <w:tcPr>
            <w:tcW w:w="3013" w:type="dxa"/>
            <w:gridSpan w:val="2"/>
            <w:vAlign w:val="center"/>
          </w:tcPr>
          <w:p w14:paraId="60749389">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报价唯一</w:t>
            </w:r>
          </w:p>
        </w:tc>
        <w:tc>
          <w:tcPr>
            <w:tcW w:w="5090" w:type="dxa"/>
            <w:gridSpan w:val="2"/>
            <w:vAlign w:val="center"/>
          </w:tcPr>
          <w:p w14:paraId="593800D6">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只能有一个有效报价</w:t>
            </w:r>
          </w:p>
        </w:tc>
      </w:tr>
      <w:tr w14:paraId="6886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restart"/>
            <w:vAlign w:val="center"/>
          </w:tcPr>
          <w:p w14:paraId="2C9F8140">
            <w:pPr>
              <w:spacing w:line="360"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2.1.</w:t>
            </w:r>
            <w:r>
              <w:rPr>
                <w:rFonts w:hint="eastAsia" w:ascii="宋体" w:hAnsi="宋体" w:eastAsia="宋体" w:cs="宋体"/>
                <w:color w:val="auto"/>
                <w:sz w:val="21"/>
                <w:szCs w:val="21"/>
                <w:highlight w:val="none"/>
                <w:vertAlign w:val="baseline"/>
                <w:lang w:val="en-US" w:eastAsia="zh-CN"/>
              </w:rPr>
              <w:t>2</w:t>
            </w:r>
          </w:p>
        </w:tc>
        <w:tc>
          <w:tcPr>
            <w:tcW w:w="777" w:type="dxa"/>
            <w:vMerge w:val="restart"/>
            <w:vAlign w:val="center"/>
          </w:tcPr>
          <w:p w14:paraId="50D01F9A">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资格</w:t>
            </w:r>
          </w:p>
          <w:p w14:paraId="05B39CC2">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评审</w:t>
            </w:r>
          </w:p>
          <w:p w14:paraId="09D655AC">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标准</w:t>
            </w:r>
          </w:p>
        </w:tc>
        <w:tc>
          <w:tcPr>
            <w:tcW w:w="3013" w:type="dxa"/>
            <w:gridSpan w:val="2"/>
            <w:vAlign w:val="center"/>
          </w:tcPr>
          <w:p w14:paraId="556E3AC3">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营业执照</w:t>
            </w:r>
          </w:p>
        </w:tc>
        <w:tc>
          <w:tcPr>
            <w:tcW w:w="5090" w:type="dxa"/>
            <w:gridSpan w:val="2"/>
            <w:vAlign w:val="center"/>
          </w:tcPr>
          <w:p w14:paraId="0791DE2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具有</w:t>
            </w:r>
            <w:r>
              <w:rPr>
                <w:rFonts w:hint="eastAsia" w:ascii="宋体" w:hAnsi="宋体" w:eastAsia="宋体" w:cs="宋体"/>
                <w:color w:val="auto"/>
                <w:sz w:val="21"/>
                <w:szCs w:val="21"/>
                <w:highlight w:val="none"/>
                <w:vertAlign w:val="baseline"/>
              </w:rPr>
              <w:t>有效的营业执照</w:t>
            </w:r>
          </w:p>
        </w:tc>
      </w:tr>
      <w:tr w14:paraId="1F44E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1D91724">
            <w:pPr>
              <w:rPr>
                <w:rFonts w:hint="eastAsia" w:ascii="宋体" w:hAnsi="宋体" w:eastAsia="宋体" w:cs="宋体"/>
                <w:color w:val="auto"/>
                <w:sz w:val="21"/>
                <w:szCs w:val="21"/>
                <w:highlight w:val="none"/>
              </w:rPr>
            </w:pPr>
          </w:p>
        </w:tc>
        <w:tc>
          <w:tcPr>
            <w:tcW w:w="777" w:type="dxa"/>
            <w:vMerge w:val="continue"/>
            <w:vAlign w:val="center"/>
          </w:tcPr>
          <w:p w14:paraId="76760B78">
            <w:pPr>
              <w:rPr>
                <w:rFonts w:hint="eastAsia" w:ascii="宋体" w:hAnsi="宋体" w:eastAsia="宋体" w:cs="宋体"/>
                <w:color w:val="auto"/>
                <w:sz w:val="21"/>
                <w:szCs w:val="21"/>
                <w:highlight w:val="none"/>
                <w:vertAlign w:val="baseline"/>
              </w:rPr>
            </w:pPr>
          </w:p>
        </w:tc>
        <w:tc>
          <w:tcPr>
            <w:tcW w:w="3013" w:type="dxa"/>
            <w:gridSpan w:val="2"/>
            <w:vAlign w:val="center"/>
          </w:tcPr>
          <w:p w14:paraId="63CA0B83">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资质等级</w:t>
            </w:r>
          </w:p>
        </w:tc>
        <w:tc>
          <w:tcPr>
            <w:tcW w:w="5090" w:type="dxa"/>
            <w:gridSpan w:val="2"/>
            <w:vAlign w:val="center"/>
          </w:tcPr>
          <w:p w14:paraId="1CAC6ABB">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符合第二章“投标人须知”第1.4.1项规定</w:t>
            </w:r>
          </w:p>
        </w:tc>
      </w:tr>
      <w:tr w14:paraId="2189C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F845EFA">
            <w:pPr>
              <w:rPr>
                <w:rFonts w:hint="eastAsia" w:ascii="宋体" w:hAnsi="宋体" w:eastAsia="宋体" w:cs="宋体"/>
                <w:color w:val="auto"/>
                <w:sz w:val="21"/>
                <w:szCs w:val="21"/>
                <w:highlight w:val="none"/>
              </w:rPr>
            </w:pPr>
          </w:p>
        </w:tc>
        <w:tc>
          <w:tcPr>
            <w:tcW w:w="777" w:type="dxa"/>
            <w:vMerge w:val="continue"/>
            <w:vAlign w:val="center"/>
          </w:tcPr>
          <w:p w14:paraId="10CD4613">
            <w:pPr>
              <w:rPr>
                <w:rFonts w:hint="eastAsia" w:ascii="宋体" w:hAnsi="宋体" w:eastAsia="宋体" w:cs="宋体"/>
                <w:color w:val="auto"/>
                <w:sz w:val="21"/>
                <w:szCs w:val="21"/>
                <w:highlight w:val="none"/>
                <w:vertAlign w:val="baseline"/>
              </w:rPr>
            </w:pPr>
          </w:p>
        </w:tc>
        <w:tc>
          <w:tcPr>
            <w:tcW w:w="3013" w:type="dxa"/>
            <w:gridSpan w:val="2"/>
            <w:vAlign w:val="center"/>
          </w:tcPr>
          <w:p w14:paraId="7B9A6D4E">
            <w:pPr>
              <w:jc w:val="center"/>
              <w:rPr>
                <w:rFonts w:hint="eastAsia" w:ascii="宋体" w:hAnsi="宋体" w:eastAsia="宋体" w:cs="宋体"/>
                <w:color w:val="auto"/>
                <w:sz w:val="21"/>
                <w:szCs w:val="21"/>
                <w:highlight w:val="none"/>
                <w:vertAlign w:val="baseline"/>
              </w:rPr>
            </w:pPr>
            <w:r>
              <w:rPr>
                <w:rFonts w:hint="eastAsia" w:ascii="宋体" w:hAnsi="宋体" w:cs="宋体"/>
                <w:color w:val="auto"/>
                <w:sz w:val="21"/>
                <w:szCs w:val="21"/>
                <w:highlight w:val="none"/>
                <w:vertAlign w:val="baseline"/>
                <w:lang w:val="en-US" w:eastAsia="zh-CN"/>
              </w:rPr>
              <w:t>总监理工程师</w:t>
            </w:r>
          </w:p>
        </w:tc>
        <w:tc>
          <w:tcPr>
            <w:tcW w:w="5090" w:type="dxa"/>
            <w:gridSpan w:val="2"/>
            <w:vAlign w:val="center"/>
          </w:tcPr>
          <w:p w14:paraId="11E1A2F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符合第二章“投标人须知”第1.4.1项规定</w:t>
            </w:r>
          </w:p>
        </w:tc>
      </w:tr>
      <w:tr w14:paraId="601D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24BDDB2">
            <w:pPr>
              <w:rPr>
                <w:rFonts w:hint="eastAsia" w:ascii="宋体" w:hAnsi="宋体" w:eastAsia="宋体" w:cs="宋体"/>
                <w:color w:val="auto"/>
                <w:sz w:val="21"/>
                <w:szCs w:val="21"/>
                <w:highlight w:val="none"/>
              </w:rPr>
            </w:pPr>
          </w:p>
        </w:tc>
        <w:tc>
          <w:tcPr>
            <w:tcW w:w="777" w:type="dxa"/>
            <w:vMerge w:val="continue"/>
            <w:vAlign w:val="center"/>
          </w:tcPr>
          <w:p w14:paraId="72C0FC4A">
            <w:pPr>
              <w:rPr>
                <w:rFonts w:hint="eastAsia" w:ascii="宋体" w:hAnsi="宋体" w:eastAsia="宋体" w:cs="宋体"/>
                <w:color w:val="auto"/>
                <w:sz w:val="21"/>
                <w:szCs w:val="21"/>
                <w:highlight w:val="none"/>
                <w:vertAlign w:val="baseline"/>
              </w:rPr>
            </w:pPr>
          </w:p>
        </w:tc>
        <w:tc>
          <w:tcPr>
            <w:tcW w:w="3013" w:type="dxa"/>
            <w:gridSpan w:val="2"/>
            <w:vAlign w:val="center"/>
          </w:tcPr>
          <w:p w14:paraId="4439EFE5">
            <w:pPr>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财务要求</w:t>
            </w:r>
          </w:p>
        </w:tc>
        <w:tc>
          <w:tcPr>
            <w:tcW w:w="5090" w:type="dxa"/>
            <w:gridSpan w:val="2"/>
            <w:vAlign w:val="center"/>
          </w:tcPr>
          <w:p w14:paraId="5B35BB07">
            <w:pPr>
              <w:spacing w:line="36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符合第二章“投标人须知”第1.4.1项规定</w:t>
            </w:r>
          </w:p>
        </w:tc>
      </w:tr>
      <w:tr w14:paraId="58017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5048708">
            <w:pPr>
              <w:rPr>
                <w:rFonts w:hint="eastAsia" w:ascii="宋体" w:hAnsi="宋体" w:eastAsia="宋体" w:cs="宋体"/>
                <w:color w:val="auto"/>
                <w:sz w:val="21"/>
                <w:szCs w:val="21"/>
                <w:highlight w:val="none"/>
              </w:rPr>
            </w:pPr>
          </w:p>
        </w:tc>
        <w:tc>
          <w:tcPr>
            <w:tcW w:w="777" w:type="dxa"/>
            <w:vMerge w:val="continue"/>
            <w:vAlign w:val="center"/>
          </w:tcPr>
          <w:p w14:paraId="280FF262">
            <w:pPr>
              <w:rPr>
                <w:rFonts w:hint="eastAsia" w:ascii="宋体" w:hAnsi="宋体" w:eastAsia="宋体" w:cs="宋体"/>
                <w:color w:val="auto"/>
                <w:sz w:val="21"/>
                <w:szCs w:val="21"/>
                <w:highlight w:val="none"/>
                <w:vertAlign w:val="baseline"/>
              </w:rPr>
            </w:pPr>
          </w:p>
        </w:tc>
        <w:tc>
          <w:tcPr>
            <w:tcW w:w="3013" w:type="dxa"/>
            <w:gridSpan w:val="2"/>
            <w:vAlign w:val="center"/>
          </w:tcPr>
          <w:p w14:paraId="38436B9F">
            <w:pPr>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信誉要求</w:t>
            </w:r>
          </w:p>
        </w:tc>
        <w:tc>
          <w:tcPr>
            <w:tcW w:w="5090" w:type="dxa"/>
            <w:gridSpan w:val="2"/>
            <w:vAlign w:val="center"/>
          </w:tcPr>
          <w:p w14:paraId="6A20E8D8">
            <w:pPr>
              <w:spacing w:line="36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符合第二章“投标人须知”第1.4.1项规定</w:t>
            </w:r>
          </w:p>
        </w:tc>
      </w:tr>
      <w:tr w14:paraId="451F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64222FC7">
            <w:pPr>
              <w:rPr>
                <w:rFonts w:hint="eastAsia" w:ascii="宋体" w:hAnsi="宋体" w:eastAsia="宋体" w:cs="宋体"/>
                <w:color w:val="auto"/>
                <w:sz w:val="21"/>
                <w:szCs w:val="21"/>
                <w:highlight w:val="none"/>
              </w:rPr>
            </w:pPr>
          </w:p>
        </w:tc>
        <w:tc>
          <w:tcPr>
            <w:tcW w:w="777" w:type="dxa"/>
            <w:vMerge w:val="continue"/>
            <w:vAlign w:val="center"/>
          </w:tcPr>
          <w:p w14:paraId="65BD39A7">
            <w:pPr>
              <w:rPr>
                <w:rFonts w:hint="eastAsia" w:ascii="宋体" w:hAnsi="宋体" w:eastAsia="宋体" w:cs="宋体"/>
                <w:color w:val="auto"/>
                <w:sz w:val="21"/>
                <w:szCs w:val="21"/>
                <w:highlight w:val="none"/>
                <w:vertAlign w:val="baseline"/>
              </w:rPr>
            </w:pPr>
          </w:p>
        </w:tc>
        <w:tc>
          <w:tcPr>
            <w:tcW w:w="3013" w:type="dxa"/>
            <w:gridSpan w:val="2"/>
            <w:vAlign w:val="center"/>
          </w:tcPr>
          <w:p w14:paraId="0F08BABB">
            <w:pPr>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委托代理人</w:t>
            </w:r>
          </w:p>
        </w:tc>
        <w:tc>
          <w:tcPr>
            <w:tcW w:w="5090" w:type="dxa"/>
            <w:gridSpan w:val="2"/>
            <w:vAlign w:val="center"/>
          </w:tcPr>
          <w:p w14:paraId="4DD1BA1E">
            <w:pPr>
              <w:spacing w:line="360" w:lineRule="auto"/>
              <w:jc w:val="left"/>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提供授权委托书、身份证</w:t>
            </w:r>
            <w:r>
              <w:rPr>
                <w:rFonts w:hint="eastAsia" w:ascii="宋体" w:hAnsi="宋体" w:eastAsia="宋体" w:cs="宋体"/>
                <w:color w:val="auto"/>
                <w:sz w:val="21"/>
                <w:szCs w:val="21"/>
                <w:highlight w:val="none"/>
                <w:vertAlign w:val="baseline"/>
                <w:lang w:eastAsia="zh-CN"/>
              </w:rPr>
              <w:t>明</w:t>
            </w:r>
            <w:r>
              <w:rPr>
                <w:rFonts w:hint="eastAsia" w:ascii="宋体" w:hAnsi="宋体" w:eastAsia="宋体" w:cs="宋体"/>
                <w:color w:val="auto"/>
                <w:sz w:val="21"/>
                <w:szCs w:val="21"/>
                <w:highlight w:val="none"/>
                <w:vertAlign w:val="baseline"/>
              </w:rPr>
              <w:t>、劳动合同</w:t>
            </w:r>
            <w:r>
              <w:rPr>
                <w:rFonts w:hint="eastAsia" w:ascii="宋体" w:hAnsi="宋体" w:cs="宋体"/>
                <w:color w:val="auto"/>
                <w:sz w:val="21"/>
                <w:szCs w:val="21"/>
                <w:highlight w:val="none"/>
                <w:vertAlign w:val="baseline"/>
                <w:lang w:val="en-US" w:eastAsia="zh-CN"/>
              </w:rPr>
              <w:t>或</w:t>
            </w:r>
            <w:r>
              <w:rPr>
                <w:rFonts w:hint="eastAsia" w:ascii="宋体" w:hAnsi="宋体" w:eastAsia="宋体" w:cs="宋体"/>
                <w:color w:val="auto"/>
                <w:sz w:val="21"/>
                <w:szCs w:val="21"/>
                <w:highlight w:val="none"/>
                <w:vertAlign w:val="baseline"/>
              </w:rPr>
              <w:t>社保缴纳证明材料</w:t>
            </w:r>
          </w:p>
        </w:tc>
      </w:tr>
      <w:tr w14:paraId="7A09B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4DB843C5">
            <w:pPr>
              <w:rPr>
                <w:rFonts w:hint="eastAsia" w:ascii="宋体" w:hAnsi="宋体" w:eastAsia="宋体" w:cs="宋体"/>
                <w:color w:val="auto"/>
                <w:sz w:val="21"/>
                <w:szCs w:val="21"/>
                <w:highlight w:val="none"/>
              </w:rPr>
            </w:pPr>
          </w:p>
        </w:tc>
        <w:tc>
          <w:tcPr>
            <w:tcW w:w="777" w:type="dxa"/>
            <w:vMerge w:val="continue"/>
            <w:vAlign w:val="center"/>
          </w:tcPr>
          <w:p w14:paraId="2978A3B0">
            <w:pPr>
              <w:rPr>
                <w:rFonts w:hint="eastAsia" w:ascii="宋体" w:hAnsi="宋体" w:eastAsia="宋体" w:cs="宋体"/>
                <w:color w:val="auto"/>
                <w:sz w:val="21"/>
                <w:szCs w:val="21"/>
                <w:highlight w:val="none"/>
                <w:vertAlign w:val="baseline"/>
              </w:rPr>
            </w:pPr>
          </w:p>
        </w:tc>
        <w:tc>
          <w:tcPr>
            <w:tcW w:w="3013" w:type="dxa"/>
            <w:gridSpan w:val="2"/>
            <w:vAlign w:val="center"/>
          </w:tcPr>
          <w:p w14:paraId="54DA4455">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其他要求</w:t>
            </w:r>
          </w:p>
        </w:tc>
        <w:tc>
          <w:tcPr>
            <w:tcW w:w="5090" w:type="dxa"/>
            <w:gridSpan w:val="2"/>
            <w:vAlign w:val="center"/>
          </w:tcPr>
          <w:p w14:paraId="2870F047">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符合第二章“投标人须知”第1.4.1项规定</w:t>
            </w:r>
          </w:p>
        </w:tc>
      </w:tr>
      <w:tr w14:paraId="553D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0" w:type="dxa"/>
            <w:vMerge w:val="continue"/>
            <w:vAlign w:val="center"/>
          </w:tcPr>
          <w:p w14:paraId="7B4C03D8">
            <w:pPr>
              <w:rPr>
                <w:rFonts w:hint="eastAsia" w:ascii="宋体" w:hAnsi="宋体" w:eastAsia="宋体" w:cs="宋体"/>
                <w:color w:val="auto"/>
                <w:sz w:val="21"/>
                <w:szCs w:val="21"/>
                <w:highlight w:val="none"/>
              </w:rPr>
            </w:pPr>
          </w:p>
        </w:tc>
        <w:tc>
          <w:tcPr>
            <w:tcW w:w="777" w:type="dxa"/>
            <w:vMerge w:val="continue"/>
            <w:vAlign w:val="center"/>
          </w:tcPr>
          <w:p w14:paraId="1407ABB6">
            <w:pPr>
              <w:rPr>
                <w:rFonts w:hint="eastAsia" w:ascii="宋体" w:hAnsi="宋体" w:eastAsia="宋体" w:cs="宋体"/>
                <w:color w:val="auto"/>
                <w:sz w:val="21"/>
                <w:szCs w:val="21"/>
                <w:highlight w:val="none"/>
                <w:vertAlign w:val="baseline"/>
              </w:rPr>
            </w:pPr>
          </w:p>
        </w:tc>
        <w:tc>
          <w:tcPr>
            <w:tcW w:w="8103" w:type="dxa"/>
            <w:gridSpan w:val="4"/>
            <w:vAlign w:val="center"/>
          </w:tcPr>
          <w:p w14:paraId="4D5E07F9">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注：1、上述提供社保证明须为投标单位整体缴纳清单（或个人缴费明细表）网络下载页或由当地社保部门出具的单位、个人明细表。</w:t>
            </w:r>
          </w:p>
          <w:p w14:paraId="347ACCB3">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2、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两者必须一致，否则按无</w:t>
            </w:r>
            <w:r>
              <w:rPr>
                <w:rFonts w:hint="eastAsia" w:ascii="宋体" w:hAnsi="宋体" w:eastAsia="宋体" w:cs="宋体"/>
                <w:color w:val="auto"/>
                <w:sz w:val="21"/>
                <w:szCs w:val="21"/>
                <w:highlight w:val="none"/>
                <w:vertAlign w:val="baseline"/>
                <w:lang w:eastAsia="zh-CN"/>
              </w:rPr>
              <w:t>效</w:t>
            </w:r>
            <w:r>
              <w:rPr>
                <w:rFonts w:hint="eastAsia" w:ascii="宋体" w:hAnsi="宋体" w:eastAsia="宋体" w:cs="宋体"/>
                <w:color w:val="auto"/>
                <w:sz w:val="21"/>
                <w:szCs w:val="21"/>
                <w:highlight w:val="none"/>
                <w:vertAlign w:val="baseline"/>
              </w:rPr>
              <w:t>处理。</w:t>
            </w:r>
          </w:p>
          <w:p w14:paraId="1FEA3BCF">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3、各投标企业应如实填报诚信库信息，因交易主体自行填报信息的错误、缺项、虚假而造成的后果由交易主体自行承担。</w:t>
            </w:r>
          </w:p>
        </w:tc>
      </w:tr>
      <w:tr w14:paraId="38E38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restart"/>
            <w:vAlign w:val="center"/>
          </w:tcPr>
          <w:p w14:paraId="3F89FB09">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2.1.3</w:t>
            </w:r>
          </w:p>
        </w:tc>
        <w:tc>
          <w:tcPr>
            <w:tcW w:w="777" w:type="dxa"/>
            <w:vMerge w:val="restart"/>
            <w:vAlign w:val="center"/>
          </w:tcPr>
          <w:p w14:paraId="0DDCCBFD">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响应</w:t>
            </w:r>
          </w:p>
          <w:p w14:paraId="28C5CC3A">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性评</w:t>
            </w:r>
          </w:p>
          <w:p w14:paraId="18FAF902">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审标</w:t>
            </w:r>
          </w:p>
          <w:p w14:paraId="4F4A5B83">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准</w:t>
            </w:r>
          </w:p>
        </w:tc>
        <w:tc>
          <w:tcPr>
            <w:tcW w:w="3013" w:type="dxa"/>
            <w:gridSpan w:val="2"/>
            <w:vAlign w:val="center"/>
          </w:tcPr>
          <w:p w14:paraId="0BB734CC">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投标内容</w:t>
            </w:r>
          </w:p>
        </w:tc>
        <w:tc>
          <w:tcPr>
            <w:tcW w:w="5090" w:type="dxa"/>
            <w:gridSpan w:val="2"/>
            <w:vAlign w:val="center"/>
          </w:tcPr>
          <w:p w14:paraId="79FB2267">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符合第二章“投标人须知”第1.3.1项规定</w:t>
            </w:r>
          </w:p>
        </w:tc>
      </w:tr>
      <w:tr w14:paraId="13D92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065FD51">
            <w:pPr>
              <w:rPr>
                <w:rFonts w:hint="eastAsia" w:ascii="宋体" w:hAnsi="宋体" w:eastAsia="宋体" w:cs="宋体"/>
                <w:color w:val="auto"/>
                <w:sz w:val="21"/>
                <w:szCs w:val="21"/>
                <w:highlight w:val="none"/>
                <w:lang w:val="en-US" w:eastAsia="zh-CN"/>
              </w:rPr>
            </w:pPr>
          </w:p>
        </w:tc>
        <w:tc>
          <w:tcPr>
            <w:tcW w:w="777" w:type="dxa"/>
            <w:vMerge w:val="continue"/>
            <w:vAlign w:val="center"/>
          </w:tcPr>
          <w:p w14:paraId="4C5A98E3">
            <w:pPr>
              <w:rPr>
                <w:rFonts w:hint="eastAsia" w:ascii="宋体" w:hAnsi="宋体" w:eastAsia="宋体" w:cs="宋体"/>
                <w:color w:val="auto"/>
                <w:sz w:val="18"/>
                <w:szCs w:val="18"/>
                <w:highlight w:val="none"/>
              </w:rPr>
            </w:pPr>
          </w:p>
        </w:tc>
        <w:tc>
          <w:tcPr>
            <w:tcW w:w="3013" w:type="dxa"/>
            <w:gridSpan w:val="2"/>
            <w:vAlign w:val="center"/>
          </w:tcPr>
          <w:p w14:paraId="0371B46A">
            <w:pPr>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质量</w:t>
            </w:r>
            <w:r>
              <w:rPr>
                <w:rFonts w:hint="eastAsia" w:ascii="宋体" w:hAnsi="宋体" w:cs="宋体"/>
                <w:color w:val="auto"/>
                <w:sz w:val="21"/>
                <w:szCs w:val="21"/>
                <w:highlight w:val="none"/>
                <w:vertAlign w:val="baseline"/>
                <w:lang w:eastAsia="zh-CN"/>
              </w:rPr>
              <w:t>控制目标</w:t>
            </w:r>
          </w:p>
        </w:tc>
        <w:tc>
          <w:tcPr>
            <w:tcW w:w="5090" w:type="dxa"/>
            <w:gridSpan w:val="2"/>
            <w:vAlign w:val="center"/>
          </w:tcPr>
          <w:p w14:paraId="2B9CD497">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符合第二章“投标人须知”第1.3.2项规定</w:t>
            </w:r>
          </w:p>
        </w:tc>
      </w:tr>
      <w:tr w14:paraId="23764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5EF934D4">
            <w:pPr>
              <w:rPr>
                <w:rFonts w:hint="eastAsia" w:ascii="宋体" w:hAnsi="宋体" w:eastAsia="宋体" w:cs="宋体"/>
                <w:color w:val="auto"/>
                <w:sz w:val="21"/>
                <w:szCs w:val="21"/>
                <w:highlight w:val="none"/>
                <w:lang w:val="en-US" w:eastAsia="zh-CN"/>
              </w:rPr>
            </w:pPr>
          </w:p>
        </w:tc>
        <w:tc>
          <w:tcPr>
            <w:tcW w:w="777" w:type="dxa"/>
            <w:vMerge w:val="continue"/>
            <w:vAlign w:val="center"/>
          </w:tcPr>
          <w:p w14:paraId="0AF71893">
            <w:pPr>
              <w:rPr>
                <w:rFonts w:hint="eastAsia" w:ascii="宋体" w:hAnsi="宋体" w:eastAsia="宋体" w:cs="宋体"/>
                <w:color w:val="auto"/>
                <w:sz w:val="18"/>
                <w:szCs w:val="18"/>
                <w:highlight w:val="none"/>
              </w:rPr>
            </w:pPr>
          </w:p>
        </w:tc>
        <w:tc>
          <w:tcPr>
            <w:tcW w:w="3013" w:type="dxa"/>
            <w:gridSpan w:val="2"/>
            <w:vAlign w:val="center"/>
          </w:tcPr>
          <w:p w14:paraId="697407ED">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工期</w:t>
            </w:r>
            <w:r>
              <w:rPr>
                <w:rFonts w:hint="eastAsia" w:ascii="宋体" w:hAnsi="宋体" w:cs="宋体"/>
                <w:color w:val="auto"/>
                <w:sz w:val="21"/>
                <w:szCs w:val="21"/>
                <w:highlight w:val="none"/>
                <w:vertAlign w:val="baseline"/>
                <w:lang w:eastAsia="zh-CN"/>
              </w:rPr>
              <w:t>控制目标</w:t>
            </w:r>
          </w:p>
        </w:tc>
        <w:tc>
          <w:tcPr>
            <w:tcW w:w="5090" w:type="dxa"/>
            <w:gridSpan w:val="2"/>
            <w:vAlign w:val="center"/>
          </w:tcPr>
          <w:p w14:paraId="576EC0CD">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符合第二章“投标人须知”第1.3.3项规定</w:t>
            </w:r>
          </w:p>
        </w:tc>
      </w:tr>
      <w:tr w14:paraId="0146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45207589">
            <w:pPr>
              <w:rPr>
                <w:rFonts w:hint="eastAsia" w:ascii="宋体" w:hAnsi="宋体" w:eastAsia="宋体" w:cs="宋体"/>
                <w:color w:val="auto"/>
                <w:sz w:val="21"/>
                <w:szCs w:val="21"/>
                <w:highlight w:val="none"/>
              </w:rPr>
            </w:pPr>
          </w:p>
        </w:tc>
        <w:tc>
          <w:tcPr>
            <w:tcW w:w="777" w:type="dxa"/>
            <w:vMerge w:val="continue"/>
            <w:vAlign w:val="center"/>
          </w:tcPr>
          <w:p w14:paraId="4B9B9F76">
            <w:pPr>
              <w:rPr>
                <w:rFonts w:hint="eastAsia" w:ascii="宋体" w:hAnsi="宋体" w:eastAsia="宋体" w:cs="宋体"/>
                <w:color w:val="auto"/>
                <w:sz w:val="21"/>
                <w:szCs w:val="21"/>
                <w:highlight w:val="none"/>
                <w:vertAlign w:val="baseline"/>
              </w:rPr>
            </w:pPr>
          </w:p>
        </w:tc>
        <w:tc>
          <w:tcPr>
            <w:tcW w:w="3013" w:type="dxa"/>
            <w:gridSpan w:val="2"/>
            <w:vAlign w:val="center"/>
          </w:tcPr>
          <w:p w14:paraId="756C72DF">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投标有效期</w:t>
            </w:r>
          </w:p>
        </w:tc>
        <w:tc>
          <w:tcPr>
            <w:tcW w:w="5090" w:type="dxa"/>
            <w:gridSpan w:val="2"/>
            <w:vAlign w:val="center"/>
          </w:tcPr>
          <w:p w14:paraId="7D5F8444">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符合第二章“投标人须知”第3.3.1项规定</w:t>
            </w:r>
          </w:p>
        </w:tc>
      </w:tr>
      <w:tr w14:paraId="7146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5CE61191">
            <w:pPr>
              <w:rPr>
                <w:rFonts w:hint="eastAsia" w:ascii="宋体" w:hAnsi="宋体" w:eastAsia="宋体" w:cs="宋体"/>
                <w:color w:val="auto"/>
                <w:sz w:val="21"/>
                <w:szCs w:val="21"/>
                <w:highlight w:val="none"/>
              </w:rPr>
            </w:pPr>
          </w:p>
        </w:tc>
        <w:tc>
          <w:tcPr>
            <w:tcW w:w="777" w:type="dxa"/>
            <w:vMerge w:val="continue"/>
            <w:vAlign w:val="center"/>
          </w:tcPr>
          <w:p w14:paraId="5214E4CF">
            <w:pPr>
              <w:rPr>
                <w:rFonts w:hint="eastAsia" w:ascii="宋体" w:hAnsi="宋体" w:eastAsia="宋体" w:cs="宋体"/>
                <w:color w:val="auto"/>
                <w:sz w:val="21"/>
                <w:szCs w:val="21"/>
                <w:highlight w:val="none"/>
                <w:vertAlign w:val="baseline"/>
              </w:rPr>
            </w:pPr>
          </w:p>
        </w:tc>
        <w:tc>
          <w:tcPr>
            <w:tcW w:w="3013" w:type="dxa"/>
            <w:gridSpan w:val="2"/>
            <w:vAlign w:val="center"/>
          </w:tcPr>
          <w:p w14:paraId="48E5024A">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投标保证金</w:t>
            </w:r>
          </w:p>
        </w:tc>
        <w:tc>
          <w:tcPr>
            <w:tcW w:w="5090" w:type="dxa"/>
            <w:gridSpan w:val="2"/>
            <w:vAlign w:val="center"/>
          </w:tcPr>
          <w:p w14:paraId="60996B99">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符合第二章“投标人须知”第3.4.1项规定</w:t>
            </w:r>
          </w:p>
        </w:tc>
      </w:tr>
      <w:tr w14:paraId="30F3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0" w:type="dxa"/>
            <w:vMerge w:val="continue"/>
            <w:vAlign w:val="center"/>
          </w:tcPr>
          <w:p w14:paraId="0A3EB9C6">
            <w:pPr>
              <w:rPr>
                <w:rFonts w:hint="eastAsia" w:ascii="宋体" w:hAnsi="宋体" w:eastAsia="宋体" w:cs="宋体"/>
                <w:color w:val="auto"/>
                <w:sz w:val="21"/>
                <w:szCs w:val="21"/>
                <w:highlight w:val="none"/>
              </w:rPr>
            </w:pPr>
          </w:p>
        </w:tc>
        <w:tc>
          <w:tcPr>
            <w:tcW w:w="777" w:type="dxa"/>
            <w:vMerge w:val="continue"/>
            <w:vAlign w:val="center"/>
          </w:tcPr>
          <w:p w14:paraId="74641EA0">
            <w:pPr>
              <w:rPr>
                <w:rFonts w:hint="eastAsia" w:ascii="宋体" w:hAnsi="宋体" w:eastAsia="宋体" w:cs="宋体"/>
                <w:color w:val="auto"/>
                <w:sz w:val="21"/>
                <w:szCs w:val="21"/>
                <w:highlight w:val="none"/>
                <w:vertAlign w:val="baseline"/>
              </w:rPr>
            </w:pPr>
          </w:p>
        </w:tc>
        <w:tc>
          <w:tcPr>
            <w:tcW w:w="3013" w:type="dxa"/>
            <w:gridSpan w:val="2"/>
            <w:vAlign w:val="center"/>
          </w:tcPr>
          <w:p w14:paraId="14CF3312">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技术标准和要求</w:t>
            </w:r>
          </w:p>
        </w:tc>
        <w:tc>
          <w:tcPr>
            <w:tcW w:w="5090" w:type="dxa"/>
            <w:gridSpan w:val="2"/>
            <w:vAlign w:val="center"/>
          </w:tcPr>
          <w:p w14:paraId="7DE1093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符合第</w:t>
            </w:r>
            <w:r>
              <w:rPr>
                <w:rFonts w:hint="eastAsia" w:ascii="宋体" w:hAnsi="宋体" w:eastAsia="宋体" w:cs="宋体"/>
                <w:color w:val="auto"/>
                <w:sz w:val="21"/>
                <w:szCs w:val="21"/>
                <w:highlight w:val="none"/>
                <w:vertAlign w:val="baseline"/>
                <w:lang w:val="en-US" w:eastAsia="zh-CN"/>
              </w:rPr>
              <w:t>六</w:t>
            </w:r>
            <w:r>
              <w:rPr>
                <w:rFonts w:hint="eastAsia" w:ascii="宋体" w:hAnsi="宋体" w:eastAsia="宋体" w:cs="宋体"/>
                <w:color w:val="auto"/>
                <w:sz w:val="21"/>
                <w:szCs w:val="21"/>
                <w:highlight w:val="none"/>
                <w:vertAlign w:val="baseline"/>
              </w:rPr>
              <w:t>章“技术标准和要求”规定</w:t>
            </w:r>
          </w:p>
        </w:tc>
      </w:tr>
      <w:tr w14:paraId="6B3B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17" w:type="dxa"/>
            <w:gridSpan w:val="2"/>
            <w:vAlign w:val="center"/>
          </w:tcPr>
          <w:p w14:paraId="2DD13A9F">
            <w:pPr>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rPr>
              <w:t>条款号</w:t>
            </w:r>
          </w:p>
        </w:tc>
        <w:tc>
          <w:tcPr>
            <w:tcW w:w="3013" w:type="dxa"/>
            <w:gridSpan w:val="2"/>
            <w:vAlign w:val="center"/>
          </w:tcPr>
          <w:p w14:paraId="7396CCEB">
            <w:pPr>
              <w:jc w:val="center"/>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评审内容</w:t>
            </w:r>
          </w:p>
        </w:tc>
        <w:tc>
          <w:tcPr>
            <w:tcW w:w="5090" w:type="dxa"/>
            <w:gridSpan w:val="2"/>
            <w:vAlign w:val="center"/>
          </w:tcPr>
          <w:p w14:paraId="2511610A">
            <w:pPr>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vertAlign w:val="baseline"/>
              </w:rPr>
              <w:t>评审标准</w:t>
            </w:r>
          </w:p>
        </w:tc>
      </w:tr>
      <w:tr w14:paraId="78895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617" w:type="dxa"/>
            <w:gridSpan w:val="2"/>
            <w:vAlign w:val="center"/>
          </w:tcPr>
          <w:p w14:paraId="37F1D13C">
            <w:pPr>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2.2.1</w:t>
            </w:r>
          </w:p>
        </w:tc>
        <w:tc>
          <w:tcPr>
            <w:tcW w:w="3013" w:type="dxa"/>
            <w:gridSpan w:val="2"/>
            <w:vAlign w:val="center"/>
          </w:tcPr>
          <w:p w14:paraId="670E8AFB">
            <w:pPr>
              <w:jc w:val="center"/>
              <w:rPr>
                <w:rFonts w:hint="eastAsia" w:ascii="宋体" w:hAnsi="宋体" w:cs="宋体"/>
                <w:b w:val="0"/>
                <w:bCs w:val="0"/>
                <w:color w:val="auto"/>
                <w:sz w:val="21"/>
                <w:szCs w:val="21"/>
                <w:highlight w:val="none"/>
                <w:vertAlign w:val="baseline"/>
                <w:lang w:eastAsia="zh-CN"/>
              </w:rPr>
            </w:pPr>
            <w:r>
              <w:rPr>
                <w:rFonts w:hint="eastAsia" w:ascii="宋体" w:hAnsi="宋体" w:cs="宋体"/>
                <w:b w:val="0"/>
                <w:bCs w:val="0"/>
                <w:color w:val="auto"/>
                <w:sz w:val="21"/>
                <w:szCs w:val="21"/>
                <w:highlight w:val="none"/>
                <w:vertAlign w:val="baseline"/>
                <w:lang w:eastAsia="zh-CN"/>
              </w:rPr>
              <w:t>分值构成</w:t>
            </w:r>
          </w:p>
          <w:p w14:paraId="4D741104">
            <w:pPr>
              <w:jc w:val="center"/>
              <w:rPr>
                <w:rFonts w:hint="eastAsia" w:ascii="宋体" w:hAnsi="宋体" w:eastAsia="宋体" w:cs="宋体"/>
                <w:b w:val="0"/>
                <w:bCs w:val="0"/>
                <w:color w:val="auto"/>
                <w:sz w:val="21"/>
                <w:szCs w:val="21"/>
                <w:highlight w:val="none"/>
                <w:vertAlign w:val="baseline"/>
                <w:lang w:eastAsia="zh-CN"/>
              </w:rPr>
            </w:pPr>
            <w:r>
              <w:rPr>
                <w:rFonts w:hint="eastAsia" w:ascii="宋体" w:hAnsi="宋体" w:cs="宋体"/>
                <w:b w:val="0"/>
                <w:bCs w:val="0"/>
                <w:color w:val="auto"/>
                <w:sz w:val="21"/>
                <w:szCs w:val="21"/>
                <w:highlight w:val="none"/>
                <w:vertAlign w:val="baseline"/>
                <w:lang w:eastAsia="zh-CN"/>
              </w:rPr>
              <w:t>（总分100分）</w:t>
            </w:r>
          </w:p>
        </w:tc>
        <w:tc>
          <w:tcPr>
            <w:tcW w:w="5090" w:type="dxa"/>
            <w:gridSpan w:val="2"/>
            <w:vAlign w:val="center"/>
          </w:tcPr>
          <w:p w14:paraId="7992A2FB">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1.商务标（</w:t>
            </w:r>
            <w:r>
              <w:rPr>
                <w:rFonts w:hint="eastAsia" w:ascii="宋体" w:hAnsi="宋体" w:cs="宋体"/>
                <w:color w:val="auto"/>
                <w:sz w:val="21"/>
                <w:szCs w:val="21"/>
                <w:highlight w:val="none"/>
                <w:vertAlign w:val="baseline"/>
                <w:lang w:val="en-US" w:eastAsia="zh-CN"/>
              </w:rPr>
              <w:t>40</w:t>
            </w:r>
            <w:r>
              <w:rPr>
                <w:rFonts w:hint="eastAsia" w:ascii="宋体" w:hAnsi="宋体" w:eastAsia="宋体" w:cs="宋体"/>
                <w:color w:val="auto"/>
                <w:sz w:val="21"/>
                <w:szCs w:val="21"/>
                <w:highlight w:val="none"/>
                <w:vertAlign w:val="baseline"/>
              </w:rPr>
              <w:t>分）</w:t>
            </w:r>
          </w:p>
          <w:p w14:paraId="303AA7D4">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2.技术标（</w:t>
            </w:r>
            <w:r>
              <w:rPr>
                <w:rFonts w:hint="eastAsia" w:ascii="宋体" w:hAnsi="宋体" w:cs="宋体"/>
                <w:color w:val="auto"/>
                <w:sz w:val="21"/>
                <w:szCs w:val="21"/>
                <w:highlight w:val="none"/>
                <w:vertAlign w:val="baseline"/>
                <w:lang w:val="en-US" w:eastAsia="zh-CN"/>
              </w:rPr>
              <w:t>40</w:t>
            </w:r>
            <w:r>
              <w:rPr>
                <w:rFonts w:hint="eastAsia" w:ascii="宋体" w:hAnsi="宋体" w:eastAsia="宋体" w:cs="宋体"/>
                <w:color w:val="auto"/>
                <w:sz w:val="21"/>
                <w:szCs w:val="21"/>
                <w:highlight w:val="none"/>
                <w:vertAlign w:val="baseline"/>
              </w:rPr>
              <w:t>分）</w:t>
            </w:r>
          </w:p>
          <w:p w14:paraId="351D5CBD">
            <w:pPr>
              <w:spacing w:line="360" w:lineRule="auto"/>
              <w:jc w:val="left"/>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vertAlign w:val="baseline"/>
              </w:rPr>
              <w:t>3.综合标（</w:t>
            </w:r>
            <w:r>
              <w:rPr>
                <w:rFonts w:hint="eastAsia" w:ascii="宋体" w:hAnsi="宋体" w:cs="宋体"/>
                <w:color w:val="auto"/>
                <w:sz w:val="21"/>
                <w:szCs w:val="21"/>
                <w:highlight w:val="none"/>
                <w:vertAlign w:val="baseline"/>
                <w:lang w:val="en-US" w:eastAsia="zh-CN"/>
              </w:rPr>
              <w:t>20</w:t>
            </w:r>
            <w:r>
              <w:rPr>
                <w:rFonts w:hint="eastAsia" w:ascii="宋体" w:hAnsi="宋体" w:eastAsia="宋体" w:cs="宋体"/>
                <w:color w:val="auto"/>
                <w:sz w:val="21"/>
                <w:szCs w:val="21"/>
                <w:highlight w:val="none"/>
                <w:vertAlign w:val="baseline"/>
              </w:rPr>
              <w:t>分）</w:t>
            </w:r>
          </w:p>
        </w:tc>
      </w:tr>
      <w:tr w14:paraId="4AB6B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Align w:val="center"/>
          </w:tcPr>
          <w:p w14:paraId="6A4FBB52">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2.2.1</w:t>
            </w:r>
          </w:p>
        </w:tc>
        <w:tc>
          <w:tcPr>
            <w:tcW w:w="777" w:type="dxa"/>
            <w:vAlign w:val="center"/>
          </w:tcPr>
          <w:p w14:paraId="50E41967">
            <w:pPr>
              <w:spacing w:line="360"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cs="宋体"/>
                <w:color w:val="auto"/>
                <w:sz w:val="21"/>
                <w:szCs w:val="21"/>
                <w:highlight w:val="none"/>
                <w:vertAlign w:val="baseline"/>
                <w:lang w:eastAsia="zh-CN"/>
              </w:rPr>
              <w:t>商务</w:t>
            </w:r>
            <w:r>
              <w:rPr>
                <w:rFonts w:hint="eastAsia" w:ascii="宋体" w:hAnsi="宋体" w:eastAsia="宋体" w:cs="宋体"/>
                <w:color w:val="auto"/>
                <w:sz w:val="21"/>
                <w:szCs w:val="21"/>
                <w:highlight w:val="none"/>
                <w:vertAlign w:val="baseline"/>
              </w:rPr>
              <w:t>标评审标准</w:t>
            </w:r>
          </w:p>
        </w:tc>
        <w:tc>
          <w:tcPr>
            <w:tcW w:w="3013" w:type="dxa"/>
            <w:gridSpan w:val="2"/>
            <w:vAlign w:val="center"/>
          </w:tcPr>
          <w:p w14:paraId="0ED0AABA">
            <w:pPr>
              <w:jc w:val="center"/>
              <w:rPr>
                <w:rFonts w:hint="eastAsia" w:ascii="宋体" w:hAnsi="宋体" w:cs="宋体"/>
                <w:b w:val="0"/>
                <w:bCs w:val="0"/>
                <w:color w:val="auto"/>
                <w:sz w:val="21"/>
                <w:szCs w:val="21"/>
                <w:highlight w:val="none"/>
                <w:vertAlign w:val="baseline"/>
                <w:lang w:eastAsia="zh-CN"/>
              </w:rPr>
            </w:pPr>
            <w:r>
              <w:rPr>
                <w:rFonts w:hint="eastAsia" w:ascii="宋体" w:hAnsi="宋体" w:cs="宋体"/>
                <w:b w:val="0"/>
                <w:bCs w:val="0"/>
                <w:color w:val="auto"/>
                <w:sz w:val="21"/>
                <w:szCs w:val="21"/>
                <w:highlight w:val="none"/>
                <w:vertAlign w:val="baseline"/>
                <w:lang w:eastAsia="zh-CN"/>
              </w:rPr>
              <w:t>投标报价</w:t>
            </w:r>
          </w:p>
          <w:p w14:paraId="26A74DB5">
            <w:pPr>
              <w:jc w:val="center"/>
              <w:rPr>
                <w:rFonts w:hint="eastAsia" w:ascii="宋体" w:hAnsi="宋体" w:eastAsia="宋体" w:cs="宋体"/>
                <w:color w:val="auto"/>
                <w:sz w:val="21"/>
                <w:szCs w:val="21"/>
                <w:highlight w:val="none"/>
                <w:vertAlign w:val="baseline"/>
                <w:lang w:eastAsia="zh-CN"/>
              </w:rPr>
            </w:pPr>
            <w:r>
              <w:rPr>
                <w:rFonts w:hint="eastAsia" w:ascii="宋体" w:hAnsi="宋体" w:cs="宋体"/>
                <w:b w:val="0"/>
                <w:bCs w:val="0"/>
                <w:color w:val="auto"/>
                <w:sz w:val="21"/>
                <w:szCs w:val="21"/>
                <w:highlight w:val="none"/>
                <w:vertAlign w:val="baseline"/>
                <w:lang w:eastAsia="zh-CN"/>
              </w:rPr>
              <w:t>（</w:t>
            </w:r>
            <w:r>
              <w:rPr>
                <w:rFonts w:hint="eastAsia" w:ascii="宋体" w:hAnsi="宋体" w:cs="宋体"/>
                <w:b w:val="0"/>
                <w:bCs w:val="0"/>
                <w:color w:val="auto"/>
                <w:sz w:val="21"/>
                <w:szCs w:val="21"/>
                <w:highlight w:val="none"/>
                <w:vertAlign w:val="baseline"/>
                <w:lang w:val="en-US" w:eastAsia="zh-CN"/>
              </w:rPr>
              <w:t>40分</w:t>
            </w:r>
            <w:r>
              <w:rPr>
                <w:rFonts w:hint="eastAsia" w:ascii="宋体" w:hAnsi="宋体" w:cs="宋体"/>
                <w:b w:val="0"/>
                <w:bCs w:val="0"/>
                <w:color w:val="auto"/>
                <w:sz w:val="21"/>
                <w:szCs w:val="21"/>
                <w:highlight w:val="none"/>
                <w:vertAlign w:val="baseline"/>
                <w:lang w:eastAsia="zh-CN"/>
              </w:rPr>
              <w:t>）</w:t>
            </w:r>
          </w:p>
        </w:tc>
        <w:tc>
          <w:tcPr>
            <w:tcW w:w="5090" w:type="dxa"/>
            <w:gridSpan w:val="2"/>
            <w:vAlign w:val="center"/>
          </w:tcPr>
          <w:p w14:paraId="26D92D84">
            <w:pPr>
              <w:spacing w:line="36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1、本工程设</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，投标报价高于</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的投标被拒绝。</w:t>
            </w:r>
          </w:p>
          <w:p w14:paraId="19F4E62D">
            <w:pPr>
              <w:spacing w:line="36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当投标人投标报价明显过低时，由评标委员会启动成本评审程序，并对投标人进行质询，投标人不进行澄清、说明或其说明、澄清不被评标委员会认可的，认定该投标人以低于成本报价竞标，不能通过投标总报价评审。其投标作为无效标处理。</w:t>
            </w:r>
          </w:p>
          <w:p w14:paraId="697E2FA9">
            <w:pPr>
              <w:spacing w:line="36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3、评标基准价计算方法：有效投标人投标报价的算术平均值*40%+</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60%；当有效投标人多于5家时（不含5家），去掉一个最高和一个最低投标报价后的算术平均值为有效投标报价的算术平均值；当有效投标报价少于5家时（含5家），以所有有效投标报价的算术平均值为有效投标报价的算术平均值。当有效投标人的投标报价低于</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的95%（不含95%）时，不再参与评标基准值的计算，当所有有效投标人的投标报价均低于</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的95%（不含95%）时，则以</w:t>
            </w:r>
            <w:r>
              <w:rPr>
                <w:rFonts w:hint="eastAsia" w:ascii="宋体" w:hAnsi="宋体" w:cs="宋体"/>
                <w:color w:val="auto"/>
                <w:sz w:val="21"/>
                <w:szCs w:val="21"/>
                <w:highlight w:val="none"/>
                <w:vertAlign w:val="baseline"/>
                <w:lang w:val="en-US" w:eastAsia="zh-CN"/>
              </w:rPr>
              <w:t>招标控制价</w:t>
            </w:r>
            <w:r>
              <w:rPr>
                <w:rFonts w:hint="eastAsia" w:ascii="宋体" w:hAnsi="宋体" w:eastAsia="宋体" w:cs="宋体"/>
                <w:color w:val="auto"/>
                <w:sz w:val="21"/>
                <w:szCs w:val="21"/>
                <w:highlight w:val="none"/>
                <w:vertAlign w:val="baseline"/>
                <w:lang w:val="en-US" w:eastAsia="zh-CN"/>
              </w:rPr>
              <w:t>的95%作为评标基准值。</w:t>
            </w:r>
          </w:p>
          <w:p w14:paraId="71CE191E">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4、投标人投标报价与评标基准值相比，相等者得基本分36分，每低于评标基准价1%加0.8分，最多加4分；低于5%后，每再低1%在满分的基础上扣0.8分，扣完为止；当投标人投标报价高于评标基准价时，每高1%在基本分的基础上扣0.8分，扣完为止。（不足1%部分保留小数点后2位）。</w:t>
            </w:r>
            <w:bookmarkStart w:id="199" w:name="_GoBack"/>
            <w:bookmarkEnd w:id="199"/>
          </w:p>
          <w:p w14:paraId="5D663CF8">
            <w:pPr>
              <w:spacing w:line="360" w:lineRule="auto"/>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注：不足1%的按比例扣分。</w:t>
            </w:r>
          </w:p>
        </w:tc>
      </w:tr>
      <w:tr w14:paraId="2C4E6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restart"/>
            <w:vAlign w:val="center"/>
          </w:tcPr>
          <w:p w14:paraId="526B5CE1">
            <w:pPr>
              <w:spacing w:line="360"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2.2</w:t>
            </w:r>
            <w:r>
              <w:rPr>
                <w:rFonts w:hint="eastAsia" w:ascii="宋体" w:hAnsi="宋体" w:cs="宋体"/>
                <w:color w:val="auto"/>
                <w:sz w:val="21"/>
                <w:szCs w:val="21"/>
                <w:highlight w:val="none"/>
                <w:vertAlign w:val="baseline"/>
                <w:lang w:val="en-US" w:eastAsia="zh-CN"/>
              </w:rPr>
              <w:t>.2</w:t>
            </w:r>
          </w:p>
        </w:tc>
        <w:tc>
          <w:tcPr>
            <w:tcW w:w="777" w:type="dxa"/>
            <w:vMerge w:val="restart"/>
            <w:vAlign w:val="center"/>
          </w:tcPr>
          <w:p w14:paraId="5B25AAF8">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技术</w:t>
            </w:r>
            <w:r>
              <w:rPr>
                <w:rFonts w:hint="eastAsia" w:ascii="宋体" w:hAnsi="宋体" w:eastAsia="宋体" w:cs="宋体"/>
                <w:color w:val="auto"/>
                <w:sz w:val="21"/>
                <w:szCs w:val="21"/>
                <w:highlight w:val="none"/>
                <w:vertAlign w:val="baseline"/>
              </w:rPr>
              <w:t>标评审标准</w:t>
            </w:r>
          </w:p>
        </w:tc>
        <w:tc>
          <w:tcPr>
            <w:tcW w:w="696" w:type="dxa"/>
            <w:vMerge w:val="restart"/>
            <w:vAlign w:val="center"/>
          </w:tcPr>
          <w:p w14:paraId="6C951733">
            <w:pPr>
              <w:jc w:val="center"/>
              <w:rPr>
                <w:rFonts w:hint="eastAsia" w:ascii="宋体" w:hAnsi="宋体" w:eastAsia="宋体" w:cs="宋体"/>
                <w:color w:val="auto"/>
                <w:sz w:val="21"/>
                <w:szCs w:val="21"/>
                <w:highlight w:val="none"/>
                <w:vertAlign w:val="baseline"/>
              </w:rPr>
            </w:pPr>
            <w:r>
              <w:rPr>
                <w:rFonts w:hint="eastAsia" w:ascii="宋体" w:hAnsi="宋体" w:cs="宋体"/>
                <w:color w:val="auto"/>
                <w:sz w:val="21"/>
                <w:szCs w:val="21"/>
                <w:highlight w:val="none"/>
                <w:vertAlign w:val="baseline"/>
                <w:lang w:val="en-US" w:eastAsia="zh-CN"/>
              </w:rPr>
              <w:t>监理大纲</w:t>
            </w:r>
            <w:r>
              <w:rPr>
                <w:rFonts w:hint="eastAsia" w:ascii="宋体" w:hAnsi="宋体" w:eastAsia="宋体" w:cs="宋体"/>
                <w:color w:val="auto"/>
                <w:sz w:val="21"/>
                <w:szCs w:val="21"/>
                <w:highlight w:val="none"/>
                <w:vertAlign w:val="baseline"/>
                <w:lang w:val="en-US" w:eastAsia="zh-CN"/>
              </w:rPr>
              <w:t>分</w:t>
            </w:r>
            <w:r>
              <w:rPr>
                <w:rFonts w:hint="eastAsia" w:ascii="宋体" w:hAnsi="宋体" w:cs="宋体"/>
                <w:color w:val="auto"/>
                <w:sz w:val="21"/>
                <w:szCs w:val="21"/>
                <w:highlight w:val="none"/>
                <w:vertAlign w:val="baseline"/>
                <w:lang w:val="en-US" w:eastAsia="zh-CN"/>
              </w:rPr>
              <w:t>（40分）</w:t>
            </w:r>
          </w:p>
        </w:tc>
        <w:tc>
          <w:tcPr>
            <w:tcW w:w="2317" w:type="dxa"/>
            <w:vAlign w:val="center"/>
          </w:tcPr>
          <w:p w14:paraId="7E79914B">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组织机构</w:t>
            </w:r>
          </w:p>
        </w:tc>
        <w:tc>
          <w:tcPr>
            <w:tcW w:w="3980" w:type="dxa"/>
            <w:vAlign w:val="center"/>
          </w:tcPr>
          <w:p w14:paraId="440075AF">
            <w:pPr>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科学、合理、可靠、全面</w:t>
            </w:r>
          </w:p>
        </w:tc>
        <w:tc>
          <w:tcPr>
            <w:tcW w:w="1110" w:type="dxa"/>
            <w:vAlign w:val="center"/>
          </w:tcPr>
          <w:p w14:paraId="34E0A9C1">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3D1AA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306F0E0C">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75DF9CBB">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4528FA6B">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39748520">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保证旁站监理措施和方法</w:t>
            </w:r>
          </w:p>
        </w:tc>
        <w:tc>
          <w:tcPr>
            <w:tcW w:w="3980" w:type="dxa"/>
            <w:vAlign w:val="center"/>
          </w:tcPr>
          <w:p w14:paraId="64E58541">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设置工程旁站监理部位（过程）及现场旁站监理措施内容完整、科学、合理。</w:t>
            </w:r>
          </w:p>
        </w:tc>
        <w:tc>
          <w:tcPr>
            <w:tcW w:w="1110" w:type="dxa"/>
            <w:vAlign w:val="center"/>
          </w:tcPr>
          <w:p w14:paraId="3398A914">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26F3C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0F5928C9">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444AD6B6">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6368ADC3">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2BD8BFD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质量控制的措施和方法</w:t>
            </w:r>
          </w:p>
        </w:tc>
        <w:tc>
          <w:tcPr>
            <w:tcW w:w="3980" w:type="dxa"/>
            <w:vAlign w:val="center"/>
          </w:tcPr>
          <w:p w14:paraId="64FC1CD6">
            <w:pPr>
              <w:adjustRightInd w:val="0"/>
              <w:snapToGrid w:val="0"/>
              <w:spacing w:before="48" w:beforeLines="20" w:after="48" w:afterLines="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（1）有原材料质量控制措施和方法</w:t>
            </w:r>
          </w:p>
          <w:p w14:paraId="03EB1971">
            <w:pPr>
              <w:adjustRightInd w:val="0"/>
              <w:snapToGrid w:val="0"/>
              <w:spacing w:before="48" w:beforeLines="20" w:after="48" w:afterLines="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（2）有事前质量控制措施和方法</w:t>
            </w:r>
          </w:p>
          <w:p w14:paraId="1C7081A8">
            <w:pPr>
              <w:adjustRightInd w:val="0"/>
              <w:snapToGrid w:val="0"/>
              <w:spacing w:before="48" w:beforeLines="20" w:after="48" w:afterLines="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（3）有事中质量控制措施和方法</w:t>
            </w:r>
          </w:p>
          <w:p w14:paraId="166E0B66">
            <w:pPr>
              <w:adjustRightInd w:val="0"/>
              <w:snapToGrid w:val="0"/>
              <w:spacing w:before="48" w:beforeLines="20" w:after="48" w:afterLines="20"/>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（4）有事后质量控制措施和方法</w:t>
            </w:r>
          </w:p>
        </w:tc>
        <w:tc>
          <w:tcPr>
            <w:tcW w:w="1110" w:type="dxa"/>
            <w:vAlign w:val="center"/>
          </w:tcPr>
          <w:p w14:paraId="06B19D88">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tc>
      </w:tr>
      <w:tr w14:paraId="3B103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507DF197">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0F0BFB9E">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5ABA71FF">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29C04F01">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工期控制的措施和方法</w:t>
            </w:r>
          </w:p>
        </w:tc>
        <w:tc>
          <w:tcPr>
            <w:tcW w:w="3980" w:type="dxa"/>
            <w:vAlign w:val="center"/>
          </w:tcPr>
          <w:p w14:paraId="7A0D049E">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（1）有对实现工期目标可行性论述且详细、科学。</w:t>
            </w:r>
          </w:p>
          <w:p w14:paraId="1BEC2182">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（2）有进度控制的监理工作内容、程序、方法和措施完整、科学。</w:t>
            </w:r>
          </w:p>
          <w:p w14:paraId="53EB87A3">
            <w:pPr>
              <w:adjustRightInd w:val="0"/>
              <w:snapToGrid w:val="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（3）进度控制的监理措施详细，技术措施、组织措施、经济措施、合同措施齐全。</w:t>
            </w:r>
          </w:p>
        </w:tc>
        <w:tc>
          <w:tcPr>
            <w:tcW w:w="1110" w:type="dxa"/>
            <w:vAlign w:val="center"/>
          </w:tcPr>
          <w:p w14:paraId="7471C26C">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tc>
      </w:tr>
      <w:tr w14:paraId="405C6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39BD3DAF">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06957673">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1F98DAA3">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56EF02C8">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投资控制的措施和方法</w:t>
            </w:r>
          </w:p>
        </w:tc>
        <w:tc>
          <w:tcPr>
            <w:tcW w:w="3980" w:type="dxa"/>
            <w:vAlign w:val="center"/>
          </w:tcPr>
          <w:p w14:paraId="102A3D59">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投资控制的措施完善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方法合理</w:t>
            </w:r>
          </w:p>
        </w:tc>
        <w:tc>
          <w:tcPr>
            <w:tcW w:w="1110" w:type="dxa"/>
            <w:vAlign w:val="center"/>
          </w:tcPr>
          <w:p w14:paraId="6E78E171">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tc>
      </w:tr>
      <w:tr w14:paraId="3D5A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1D38FBB6">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5F9F0511">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2786E2EC">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2F786546">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文明安全监理控制的措施和方法</w:t>
            </w:r>
          </w:p>
        </w:tc>
        <w:tc>
          <w:tcPr>
            <w:tcW w:w="3980" w:type="dxa"/>
            <w:vAlign w:val="center"/>
          </w:tcPr>
          <w:p w14:paraId="2D4CDFDB">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安全控制的措施到位，不留隐患 </w:t>
            </w:r>
          </w:p>
        </w:tc>
        <w:tc>
          <w:tcPr>
            <w:tcW w:w="1110" w:type="dxa"/>
            <w:vAlign w:val="center"/>
          </w:tcPr>
          <w:p w14:paraId="5B57DF9A">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tc>
      </w:tr>
      <w:tr w14:paraId="3BE1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65EBC122">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452DD900">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6DAA1907">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4600650A">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工作协调的措施和方法</w:t>
            </w:r>
          </w:p>
        </w:tc>
        <w:tc>
          <w:tcPr>
            <w:tcW w:w="3980" w:type="dxa"/>
            <w:vAlign w:val="center"/>
          </w:tcPr>
          <w:p w14:paraId="5C470B55">
            <w:pPr>
              <w:adjustRightInd w:val="0"/>
              <w:snapToGrid w:val="0"/>
              <w:spacing w:before="48" w:beforeLines="20" w:after="48" w:afterLines="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（1）协调内容、原则和程序</w:t>
            </w:r>
          </w:p>
          <w:p w14:paraId="2048F176">
            <w:pPr>
              <w:adjustRightInd w:val="0"/>
              <w:snapToGrid w:val="0"/>
              <w:spacing w:before="48" w:beforeLines="20" w:after="48" w:afterLines="20"/>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（2）协调技术、组织、经济、合同措施</w:t>
            </w:r>
          </w:p>
        </w:tc>
        <w:tc>
          <w:tcPr>
            <w:tcW w:w="1110" w:type="dxa"/>
            <w:vAlign w:val="center"/>
          </w:tcPr>
          <w:p w14:paraId="2F8D5A76">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7EB53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64FBF4E6">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04E1DAED">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2D2205FE">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4F887C4E">
            <w:pPr>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办公和检测设备、仪器的配置</w:t>
            </w:r>
          </w:p>
        </w:tc>
        <w:tc>
          <w:tcPr>
            <w:tcW w:w="3980" w:type="dxa"/>
            <w:vAlign w:val="center"/>
          </w:tcPr>
          <w:p w14:paraId="229903D1">
            <w:pP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设备配备合理、齐全</w:t>
            </w:r>
          </w:p>
        </w:tc>
        <w:tc>
          <w:tcPr>
            <w:tcW w:w="1110" w:type="dxa"/>
            <w:vAlign w:val="center"/>
          </w:tcPr>
          <w:p w14:paraId="418082D1">
            <w:pPr>
              <w:jc w:val="center"/>
              <w:rPr>
                <w:rFonts w:hint="eastAsia" w:ascii="宋体" w:hAnsi="宋体" w:eastAsia="宋体" w:cs="宋体"/>
                <w:color w:val="auto"/>
                <w:sz w:val="21"/>
                <w:szCs w:val="21"/>
                <w:highlight w:val="none"/>
                <w:vertAlign w:val="baseline"/>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0FF5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62B40AC4">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04D75E76">
            <w:pPr>
              <w:spacing w:line="360" w:lineRule="auto"/>
              <w:jc w:val="center"/>
              <w:rPr>
                <w:rFonts w:hint="eastAsia" w:ascii="宋体" w:hAnsi="宋体" w:eastAsia="宋体" w:cs="宋体"/>
                <w:color w:val="auto"/>
                <w:sz w:val="21"/>
                <w:szCs w:val="21"/>
                <w:highlight w:val="none"/>
                <w:vertAlign w:val="baseline"/>
                <w:lang w:eastAsia="zh-CN"/>
              </w:rPr>
            </w:pPr>
          </w:p>
        </w:tc>
        <w:tc>
          <w:tcPr>
            <w:tcW w:w="696" w:type="dxa"/>
            <w:vMerge w:val="continue"/>
            <w:vAlign w:val="center"/>
          </w:tcPr>
          <w:p w14:paraId="75A36ED1">
            <w:pPr>
              <w:jc w:val="center"/>
              <w:rPr>
                <w:rFonts w:hint="eastAsia" w:ascii="宋体" w:hAnsi="宋体" w:eastAsia="宋体" w:cs="宋体"/>
                <w:color w:val="auto"/>
                <w:sz w:val="21"/>
                <w:szCs w:val="21"/>
                <w:highlight w:val="none"/>
                <w:vertAlign w:val="baseline"/>
                <w:lang w:val="en-US" w:eastAsia="zh-CN"/>
              </w:rPr>
            </w:pPr>
          </w:p>
        </w:tc>
        <w:tc>
          <w:tcPr>
            <w:tcW w:w="2317" w:type="dxa"/>
            <w:vAlign w:val="center"/>
          </w:tcPr>
          <w:p w14:paraId="17CFB061">
            <w:pPr>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rPr>
              <w:t>合同管理的措施和方法</w:t>
            </w:r>
          </w:p>
        </w:tc>
        <w:tc>
          <w:tcPr>
            <w:tcW w:w="3980" w:type="dxa"/>
            <w:vAlign w:val="center"/>
          </w:tcPr>
          <w:p w14:paraId="56345EB0">
            <w:pP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合同和信息管理完整、科学。</w:t>
            </w:r>
          </w:p>
        </w:tc>
        <w:tc>
          <w:tcPr>
            <w:tcW w:w="1110" w:type="dxa"/>
            <w:vAlign w:val="center"/>
          </w:tcPr>
          <w:p w14:paraId="19C26B84">
            <w:pPr>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23E9B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restart"/>
            <w:vAlign w:val="center"/>
          </w:tcPr>
          <w:p w14:paraId="703018C3">
            <w:pPr>
              <w:spacing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2.2</w:t>
            </w:r>
            <w:r>
              <w:rPr>
                <w:rFonts w:hint="eastAsia" w:ascii="宋体" w:hAnsi="宋体" w:cs="宋体"/>
                <w:color w:val="auto"/>
                <w:sz w:val="21"/>
                <w:szCs w:val="21"/>
                <w:highlight w:val="none"/>
                <w:vertAlign w:val="baseline"/>
                <w:lang w:val="en-US" w:eastAsia="zh-CN"/>
              </w:rPr>
              <w:t>.3</w:t>
            </w:r>
          </w:p>
        </w:tc>
        <w:tc>
          <w:tcPr>
            <w:tcW w:w="777" w:type="dxa"/>
            <w:vMerge w:val="restart"/>
            <w:vAlign w:val="center"/>
          </w:tcPr>
          <w:p w14:paraId="0930D0EC">
            <w:pPr>
              <w:spacing w:line="360"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综合标评审标准</w:t>
            </w:r>
          </w:p>
        </w:tc>
        <w:tc>
          <w:tcPr>
            <w:tcW w:w="3013" w:type="dxa"/>
            <w:gridSpan w:val="2"/>
            <w:vAlign w:val="center"/>
          </w:tcPr>
          <w:p w14:paraId="7FAA52D3">
            <w:pPr>
              <w:spacing w:line="360" w:lineRule="auto"/>
              <w:jc w:val="center"/>
              <w:rPr>
                <w:rFonts w:hint="eastAsia"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类似业绩</w:t>
            </w:r>
          </w:p>
          <w:p w14:paraId="57D679F2">
            <w:pPr>
              <w:pStyle w:val="22"/>
              <w:ind w:left="0" w:leftChars="0" w:firstLine="0" w:firstLineChars="0"/>
              <w:jc w:val="center"/>
              <w:rPr>
                <w:rFonts w:hint="eastAsia"/>
                <w:color w:val="auto"/>
                <w:sz w:val="21"/>
                <w:szCs w:val="21"/>
                <w:highlight w:val="none"/>
              </w:rPr>
            </w:pPr>
            <w:r>
              <w:rPr>
                <w:rFonts w:hint="eastAsia" w:ascii="宋体" w:hAnsi="宋体" w:cs="宋体"/>
                <w:b w:val="0"/>
                <w:bCs w:val="0"/>
                <w:color w:val="auto"/>
                <w:sz w:val="21"/>
                <w:szCs w:val="21"/>
                <w:highlight w:val="none"/>
                <w:vertAlign w:val="baseline"/>
                <w:lang w:val="en-US" w:eastAsia="zh-CN"/>
              </w:rPr>
              <w:t>（6分）</w:t>
            </w:r>
          </w:p>
        </w:tc>
        <w:tc>
          <w:tcPr>
            <w:tcW w:w="3980" w:type="dxa"/>
            <w:vAlign w:val="center"/>
          </w:tcPr>
          <w:p w14:paraId="59BEE8A3">
            <w:pPr>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投标企业</w:t>
            </w:r>
            <w:r>
              <w:rPr>
                <w:rFonts w:hint="eastAsia" w:ascii="宋体" w:hAnsi="宋体" w:eastAsia="宋体" w:cs="宋体"/>
                <w:szCs w:val="21"/>
                <w:lang w:eastAsia="zh-CN"/>
              </w:rPr>
              <w:t>近三年</w:t>
            </w:r>
            <w:r>
              <w:rPr>
                <w:rFonts w:hint="eastAsia" w:ascii="宋体" w:hAnsi="宋体" w:eastAsia="宋体" w:cs="Times New Roman"/>
                <w:color w:val="auto"/>
                <w:sz w:val="21"/>
                <w:szCs w:val="21"/>
                <w:highlight w:val="none"/>
                <w:lang w:val="en-US" w:eastAsia="zh-CN"/>
              </w:rPr>
              <w:t>来具有类似项目监理业绩，每提供一项得3分，最多得6分；（提供监理合同，日期以合同显示日期为准</w:t>
            </w:r>
            <w:r>
              <w:rPr>
                <w:rFonts w:hint="eastAsia" w:ascii="宋体" w:hAnsi="宋体" w:cs="Times New Roman"/>
                <w:color w:val="auto"/>
                <w:sz w:val="21"/>
                <w:szCs w:val="21"/>
                <w:highlight w:val="none"/>
                <w:lang w:val="en-US" w:eastAsia="zh-CN"/>
              </w:rPr>
              <w:t>。</w:t>
            </w:r>
            <w:r>
              <w:rPr>
                <w:rFonts w:hint="eastAsia" w:ascii="宋体" w:hAnsi="宋体" w:eastAsia="宋体" w:cs="Times New Roman"/>
                <w:color w:val="auto"/>
                <w:sz w:val="21"/>
                <w:szCs w:val="21"/>
                <w:highlight w:val="none"/>
                <w:lang w:val="en-US" w:eastAsia="zh-CN"/>
              </w:rPr>
              <w:t>）</w:t>
            </w:r>
          </w:p>
          <w:p w14:paraId="2DB23122">
            <w:pPr>
              <w:jc w:val="both"/>
              <w:rPr>
                <w:rFonts w:hint="eastAsia" w:ascii="宋体" w:hAnsi="宋体" w:eastAsia="宋体" w:cs="宋体"/>
                <w:b w:val="0"/>
                <w:bCs w:val="0"/>
                <w:color w:val="auto"/>
                <w:sz w:val="21"/>
                <w:szCs w:val="21"/>
                <w:highlight w:val="none"/>
                <w:vertAlign w:val="baseline"/>
              </w:rPr>
            </w:pPr>
            <w:r>
              <w:rPr>
                <w:rFonts w:hint="eastAsia" w:ascii="宋体" w:hAnsi="宋体" w:eastAsia="宋体" w:cs="宋体"/>
                <w:szCs w:val="21"/>
                <w:lang w:eastAsia="zh-CN"/>
              </w:rPr>
              <w:t>注：</w:t>
            </w:r>
            <w:r>
              <w:rPr>
                <w:rFonts w:hint="eastAsia" w:ascii="宋体" w:hAnsi="宋体" w:eastAsia="宋体" w:cs="宋体"/>
                <w:szCs w:val="21"/>
              </w:rPr>
              <w:t>投标人用于资格审查的业绩，不得在详细评审中重复计分。</w:t>
            </w:r>
          </w:p>
        </w:tc>
        <w:tc>
          <w:tcPr>
            <w:tcW w:w="1110" w:type="dxa"/>
            <w:vAlign w:val="center"/>
          </w:tcPr>
          <w:p w14:paraId="7542FEF8">
            <w:pPr>
              <w:jc w:val="center"/>
              <w:rPr>
                <w:rFonts w:hint="default" w:ascii="宋体" w:hAnsi="宋体" w:eastAsia="宋体" w:cs="宋体"/>
                <w:b w:val="0"/>
                <w:bCs w:val="0"/>
                <w:color w:val="auto"/>
                <w:sz w:val="21"/>
                <w:szCs w:val="21"/>
                <w:highlight w:val="none"/>
                <w:vertAlign w:val="baseline"/>
                <w:lang w:val="en-US"/>
              </w:rPr>
            </w:pPr>
            <w:r>
              <w:rPr>
                <w:rFonts w:hint="eastAsia" w:ascii="宋体" w:hAnsi="宋体" w:cs="宋体"/>
                <w:bCs/>
                <w:color w:val="auto"/>
                <w:sz w:val="21"/>
                <w:szCs w:val="21"/>
                <w:highlight w:val="none"/>
              </w:rPr>
              <w:t>0～</w:t>
            </w:r>
            <w:r>
              <w:rPr>
                <w:rFonts w:hint="eastAsia" w:ascii="宋体" w:hAnsi="宋体" w:cs="宋体"/>
                <w:bCs/>
                <w:color w:val="auto"/>
                <w:sz w:val="21"/>
                <w:szCs w:val="21"/>
                <w:highlight w:val="none"/>
                <w:lang w:val="en-US" w:eastAsia="zh-CN"/>
              </w:rPr>
              <w:t>6</w:t>
            </w:r>
            <w:r>
              <w:rPr>
                <w:rFonts w:hint="eastAsia" w:ascii="宋体" w:hAnsi="宋体" w:cs="宋体"/>
                <w:bCs/>
                <w:color w:val="auto"/>
                <w:sz w:val="21"/>
                <w:szCs w:val="21"/>
                <w:highlight w:val="none"/>
              </w:rPr>
              <w:t>分</w:t>
            </w:r>
          </w:p>
        </w:tc>
      </w:tr>
      <w:tr w14:paraId="29825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366518BD">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4C3055BC">
            <w:pPr>
              <w:spacing w:line="360" w:lineRule="auto"/>
              <w:jc w:val="center"/>
              <w:rPr>
                <w:rFonts w:hint="eastAsia" w:ascii="宋体" w:hAnsi="宋体" w:eastAsia="宋体" w:cs="宋体"/>
                <w:color w:val="auto"/>
                <w:sz w:val="21"/>
                <w:szCs w:val="21"/>
                <w:highlight w:val="none"/>
                <w:vertAlign w:val="baseline"/>
                <w:lang w:eastAsia="zh-CN"/>
              </w:rPr>
            </w:pPr>
          </w:p>
        </w:tc>
        <w:tc>
          <w:tcPr>
            <w:tcW w:w="3013" w:type="dxa"/>
            <w:gridSpan w:val="2"/>
            <w:vMerge w:val="restart"/>
            <w:vAlign w:val="center"/>
          </w:tcPr>
          <w:p w14:paraId="5EA01E91">
            <w:pPr>
              <w:spacing w:line="360" w:lineRule="auto"/>
              <w:jc w:val="center"/>
              <w:rPr>
                <w:rFonts w:hint="eastAsia" w:ascii="宋体" w:hAnsi="宋体" w:eastAsia="宋体" w:cs="宋体"/>
                <w:b w:val="0"/>
                <w:bCs w:val="0"/>
                <w:color w:val="auto"/>
                <w:sz w:val="21"/>
                <w:szCs w:val="21"/>
                <w:highlight w:val="none"/>
                <w:vertAlign w:val="baseline"/>
              </w:rPr>
            </w:pPr>
            <w:r>
              <w:rPr>
                <w:rFonts w:hint="eastAsia" w:ascii="宋体" w:hAnsi="宋体" w:cs="宋体"/>
                <w:b w:val="0"/>
                <w:bCs w:val="0"/>
                <w:color w:val="auto"/>
                <w:sz w:val="21"/>
                <w:szCs w:val="21"/>
                <w:highlight w:val="none"/>
                <w:vertAlign w:val="baseline"/>
                <w:lang w:eastAsia="zh-CN"/>
              </w:rPr>
              <w:t>项目组成</w:t>
            </w:r>
            <w:r>
              <w:rPr>
                <w:rFonts w:hint="eastAsia" w:ascii="宋体" w:hAnsi="宋体" w:eastAsia="宋体" w:cs="宋体"/>
                <w:b w:val="0"/>
                <w:bCs w:val="0"/>
                <w:color w:val="auto"/>
                <w:sz w:val="21"/>
                <w:szCs w:val="21"/>
                <w:highlight w:val="none"/>
                <w:vertAlign w:val="baseline"/>
              </w:rPr>
              <w:t>人员配备</w:t>
            </w:r>
          </w:p>
          <w:p w14:paraId="1D49248E">
            <w:pPr>
              <w:spacing w:line="360" w:lineRule="auto"/>
              <w:jc w:val="center"/>
              <w:rPr>
                <w:rFonts w:hint="eastAsia" w:ascii="宋体" w:hAnsi="宋体" w:eastAsia="宋体" w:cs="宋体"/>
                <w:b w:val="0"/>
                <w:bCs w:val="0"/>
                <w:color w:val="auto"/>
                <w:sz w:val="21"/>
                <w:szCs w:val="21"/>
                <w:highlight w:val="none"/>
                <w:vertAlign w:val="baseline"/>
              </w:rPr>
            </w:pPr>
            <w:r>
              <w:rPr>
                <w:rFonts w:hint="eastAsia" w:ascii="宋体" w:hAnsi="宋体" w:cs="宋体"/>
                <w:b w:val="0"/>
                <w:bCs w:val="0"/>
                <w:color w:val="auto"/>
                <w:sz w:val="21"/>
                <w:szCs w:val="21"/>
                <w:highlight w:val="none"/>
                <w:vertAlign w:val="baseline"/>
                <w:lang w:val="en-US" w:eastAsia="zh-CN"/>
              </w:rPr>
              <w:t>（8分）</w:t>
            </w:r>
          </w:p>
        </w:tc>
        <w:tc>
          <w:tcPr>
            <w:tcW w:w="3980" w:type="dxa"/>
            <w:vAlign w:val="center"/>
          </w:tcPr>
          <w:p w14:paraId="7F16D201">
            <w:pPr>
              <w:jc w:val="both"/>
              <w:rPr>
                <w:rFonts w:hint="eastAsia" w:ascii="宋体" w:hAnsi="宋体" w:cs="宋体"/>
                <w:b w:val="0"/>
                <w:bCs w:val="0"/>
                <w:color w:val="auto"/>
                <w:sz w:val="21"/>
                <w:szCs w:val="21"/>
                <w:highlight w:val="none"/>
                <w:vertAlign w:val="baseline"/>
                <w:lang w:val="en-US" w:eastAsia="zh-CN"/>
              </w:rPr>
            </w:pPr>
            <w:r>
              <w:rPr>
                <w:rFonts w:hint="eastAsia" w:ascii="宋体" w:hAnsi="宋体" w:eastAsia="宋体" w:cs="Times New Roman"/>
                <w:color w:val="auto"/>
                <w:sz w:val="21"/>
                <w:szCs w:val="21"/>
                <w:highlight w:val="none"/>
                <w:lang w:val="en-US" w:eastAsia="zh-CN"/>
              </w:rPr>
              <w:t>1、岗位配备齐全，监理部成员具有专业监理工程师、监理员岗位配备齐全得</w:t>
            </w:r>
            <w:r>
              <w:rPr>
                <w:rFonts w:hint="eastAsia" w:ascii="宋体" w:hAnsi="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lang w:val="en-US" w:eastAsia="zh-CN"/>
              </w:rPr>
              <w:t>分，每缺一员扣</w:t>
            </w:r>
            <w:r>
              <w:rPr>
                <w:rFonts w:hint="eastAsia" w:ascii="宋体"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lang w:val="en-US" w:eastAsia="zh-CN"/>
              </w:rPr>
              <w:t>分，此项扣完为止，否则不得分；</w:t>
            </w:r>
          </w:p>
        </w:tc>
        <w:tc>
          <w:tcPr>
            <w:tcW w:w="1110" w:type="dxa"/>
            <w:vAlign w:val="center"/>
          </w:tcPr>
          <w:p w14:paraId="1EEB2B7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rPr>
              <w:t>0～</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371C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6A957A39">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4036DE9D">
            <w:pPr>
              <w:spacing w:line="360" w:lineRule="auto"/>
              <w:jc w:val="center"/>
              <w:rPr>
                <w:rFonts w:hint="eastAsia" w:ascii="宋体" w:hAnsi="宋体" w:eastAsia="宋体" w:cs="宋体"/>
                <w:color w:val="auto"/>
                <w:sz w:val="21"/>
                <w:szCs w:val="21"/>
                <w:highlight w:val="none"/>
                <w:vertAlign w:val="baseline"/>
                <w:lang w:eastAsia="zh-CN"/>
              </w:rPr>
            </w:pPr>
          </w:p>
        </w:tc>
        <w:tc>
          <w:tcPr>
            <w:tcW w:w="3013" w:type="dxa"/>
            <w:gridSpan w:val="2"/>
            <w:vMerge w:val="continue"/>
            <w:vAlign w:val="center"/>
          </w:tcPr>
          <w:p w14:paraId="1BC1D339">
            <w:pPr>
              <w:spacing w:line="360" w:lineRule="auto"/>
              <w:jc w:val="center"/>
              <w:rPr>
                <w:rFonts w:hint="eastAsia" w:ascii="宋体" w:hAnsi="宋体" w:eastAsia="宋体" w:cs="宋体"/>
                <w:b w:val="0"/>
                <w:bCs w:val="0"/>
                <w:color w:val="auto"/>
                <w:sz w:val="21"/>
                <w:szCs w:val="21"/>
                <w:highlight w:val="none"/>
                <w:vertAlign w:val="baseline"/>
              </w:rPr>
            </w:pPr>
          </w:p>
        </w:tc>
        <w:tc>
          <w:tcPr>
            <w:tcW w:w="3980" w:type="dxa"/>
            <w:vAlign w:val="center"/>
          </w:tcPr>
          <w:p w14:paraId="41AACDF5">
            <w:pPr>
              <w:jc w:val="both"/>
              <w:rPr>
                <w:rFonts w:hint="eastAsia" w:ascii="宋体" w:hAnsi="宋体" w:cs="宋体"/>
                <w:b w:val="0"/>
                <w:bCs w:val="0"/>
                <w:color w:val="auto"/>
                <w:sz w:val="21"/>
                <w:szCs w:val="21"/>
                <w:highlight w:val="none"/>
                <w:vertAlign w:val="baseline"/>
                <w:lang w:eastAsia="zh-CN"/>
              </w:rPr>
            </w:pPr>
            <w:r>
              <w:rPr>
                <w:rFonts w:hint="eastAsia" w:ascii="宋体" w:hAnsi="宋体" w:eastAsia="宋体" w:cs="Times New Roman"/>
                <w:color w:val="auto"/>
                <w:sz w:val="21"/>
                <w:szCs w:val="21"/>
                <w:highlight w:val="none"/>
                <w:lang w:val="en-US" w:eastAsia="zh-CN"/>
              </w:rPr>
              <w:t>2、监理部配备</w:t>
            </w:r>
            <w:r>
              <w:rPr>
                <w:rFonts w:hint="eastAsia" w:ascii="宋体" w:hAnsi="宋体" w:cs="Times New Roman"/>
                <w:color w:val="auto"/>
                <w:sz w:val="21"/>
                <w:szCs w:val="21"/>
                <w:highlight w:val="none"/>
                <w:lang w:val="en-US" w:eastAsia="zh-CN"/>
              </w:rPr>
              <w:t>相关专业</w:t>
            </w:r>
            <w:r>
              <w:rPr>
                <w:rFonts w:hint="eastAsia" w:ascii="宋体" w:hAnsi="宋体" w:eastAsia="宋体" w:cs="Times New Roman"/>
                <w:color w:val="auto"/>
                <w:sz w:val="21"/>
                <w:szCs w:val="21"/>
                <w:highlight w:val="none"/>
                <w:lang w:val="en-US" w:eastAsia="zh-CN"/>
              </w:rPr>
              <w:t>国家注册监理工程师（不含总监）</w:t>
            </w:r>
            <w:r>
              <w:rPr>
                <w:rFonts w:hint="eastAsia" w:ascii="宋体" w:hAnsi="宋体" w:cs="Times New Roman"/>
                <w:color w:val="auto"/>
                <w:sz w:val="21"/>
                <w:szCs w:val="21"/>
                <w:highlight w:val="none"/>
                <w:lang w:val="en-US" w:eastAsia="zh-CN"/>
              </w:rPr>
              <w:t>或有效的监理培训证书</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每</w:t>
            </w:r>
            <w:r>
              <w:rPr>
                <w:rFonts w:hint="eastAsia" w:ascii="宋体" w:hAnsi="宋体" w:eastAsia="宋体" w:cs="Times New Roman"/>
                <w:color w:val="auto"/>
                <w:sz w:val="21"/>
                <w:szCs w:val="21"/>
                <w:highlight w:val="none"/>
                <w:lang w:val="en-US" w:eastAsia="zh-CN"/>
              </w:rPr>
              <w:t>增加1人加2分，最多加4分。</w:t>
            </w:r>
          </w:p>
        </w:tc>
        <w:tc>
          <w:tcPr>
            <w:tcW w:w="1110" w:type="dxa"/>
            <w:vAlign w:val="center"/>
          </w:tcPr>
          <w:p w14:paraId="04EAC48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rPr>
              <w:t>0～</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tc>
      </w:tr>
      <w:tr w14:paraId="520B0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2B972FF0">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799286CE">
            <w:pPr>
              <w:spacing w:line="360" w:lineRule="auto"/>
              <w:jc w:val="center"/>
              <w:rPr>
                <w:rFonts w:hint="eastAsia" w:ascii="宋体" w:hAnsi="宋体" w:eastAsia="宋体" w:cs="宋体"/>
                <w:color w:val="auto"/>
                <w:sz w:val="21"/>
                <w:szCs w:val="21"/>
                <w:highlight w:val="none"/>
                <w:vertAlign w:val="baseline"/>
                <w:lang w:eastAsia="zh-CN"/>
              </w:rPr>
            </w:pPr>
          </w:p>
        </w:tc>
        <w:tc>
          <w:tcPr>
            <w:tcW w:w="3013" w:type="dxa"/>
            <w:gridSpan w:val="2"/>
            <w:vAlign w:val="center"/>
          </w:tcPr>
          <w:p w14:paraId="09D74FA0">
            <w:pPr>
              <w:pStyle w:val="22"/>
              <w:ind w:left="0" w:leftChars="0" w:firstLine="0" w:firstLineChars="0"/>
              <w:jc w:val="center"/>
              <w:rPr>
                <w:rFonts w:hint="eastAsia"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履职尽责承诺</w:t>
            </w:r>
          </w:p>
          <w:p w14:paraId="400B6399">
            <w:pPr>
              <w:pStyle w:val="22"/>
              <w:ind w:left="0" w:leftChars="0" w:firstLine="0" w:firstLineChars="0"/>
              <w:jc w:val="center"/>
              <w:rPr>
                <w:rFonts w:hint="eastAsia"/>
                <w:color w:val="auto"/>
                <w:sz w:val="21"/>
                <w:szCs w:val="21"/>
                <w:highlight w:val="none"/>
              </w:rPr>
            </w:pPr>
            <w:r>
              <w:rPr>
                <w:rFonts w:hint="eastAsia" w:ascii="宋体" w:hAnsi="宋体" w:cs="宋体"/>
                <w:b w:val="0"/>
                <w:bCs w:val="0"/>
                <w:color w:val="auto"/>
                <w:sz w:val="21"/>
                <w:szCs w:val="21"/>
                <w:highlight w:val="none"/>
                <w:vertAlign w:val="baseline"/>
                <w:lang w:val="en-US" w:eastAsia="zh-CN"/>
              </w:rPr>
              <w:t>（3分）</w:t>
            </w:r>
          </w:p>
        </w:tc>
        <w:tc>
          <w:tcPr>
            <w:tcW w:w="3980" w:type="dxa"/>
            <w:vAlign w:val="center"/>
          </w:tcPr>
          <w:p w14:paraId="4F161FFB">
            <w:pPr>
              <w:jc w:val="both"/>
              <w:rPr>
                <w:rFonts w:hint="eastAsia" w:ascii="宋体" w:hAnsi="宋体" w:cs="宋体"/>
                <w:b w:val="0"/>
                <w:bCs w:val="0"/>
                <w:color w:val="auto"/>
                <w:sz w:val="21"/>
                <w:szCs w:val="21"/>
                <w:highlight w:val="none"/>
                <w:vertAlign w:val="baseline"/>
                <w:lang w:eastAsia="zh-CN"/>
              </w:rPr>
            </w:pPr>
            <w:r>
              <w:rPr>
                <w:rFonts w:hint="eastAsia" w:ascii="宋体" w:hAnsi="宋体" w:cs="宋体"/>
                <w:color w:val="auto"/>
                <w:kern w:val="0"/>
                <w:sz w:val="21"/>
                <w:szCs w:val="21"/>
                <w:highlight w:val="none"/>
              </w:rPr>
              <w:t>具有全面、详实、可行、合法有效的</w:t>
            </w:r>
            <w:r>
              <w:rPr>
                <w:rFonts w:hint="eastAsia" w:ascii="宋体" w:hAnsi="宋体" w:eastAsia="宋体" w:cs="Times New Roman"/>
                <w:color w:val="auto"/>
                <w:sz w:val="21"/>
                <w:szCs w:val="21"/>
                <w:highlight w:val="none"/>
                <w:lang w:val="en-US" w:eastAsia="zh-CN"/>
              </w:rPr>
              <w:t>书面保证技术措施落实到位的承诺和落实不到位的处理承诺，其中包括各关键岗位人员的履职尽责承诺，提供承包商履约保证</w:t>
            </w:r>
            <w:r>
              <w:rPr>
                <w:rFonts w:hint="eastAsia"/>
                <w:color w:val="auto"/>
                <w:sz w:val="21"/>
                <w:szCs w:val="21"/>
                <w:highlight w:val="none"/>
                <w:lang w:eastAsia="zh-CN"/>
              </w:rPr>
              <w:t>。</w:t>
            </w:r>
          </w:p>
        </w:tc>
        <w:tc>
          <w:tcPr>
            <w:tcW w:w="1110" w:type="dxa"/>
            <w:vAlign w:val="center"/>
          </w:tcPr>
          <w:p w14:paraId="0F54743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Cs/>
                <w:color w:val="auto"/>
                <w:sz w:val="21"/>
                <w:szCs w:val="21"/>
                <w:highlight w:val="none"/>
              </w:rPr>
              <w:t>0～</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分</w:t>
            </w:r>
          </w:p>
        </w:tc>
      </w:tr>
      <w:tr w14:paraId="4FAEE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0" w:type="dxa"/>
            <w:vMerge w:val="continue"/>
            <w:vAlign w:val="center"/>
          </w:tcPr>
          <w:p w14:paraId="77CA07D9">
            <w:pPr>
              <w:spacing w:line="360" w:lineRule="auto"/>
              <w:jc w:val="center"/>
              <w:rPr>
                <w:rFonts w:hint="eastAsia" w:ascii="宋体" w:hAnsi="宋体" w:eastAsia="宋体" w:cs="宋体"/>
                <w:color w:val="auto"/>
                <w:sz w:val="21"/>
                <w:szCs w:val="21"/>
                <w:highlight w:val="none"/>
                <w:vertAlign w:val="baseline"/>
              </w:rPr>
            </w:pPr>
          </w:p>
        </w:tc>
        <w:tc>
          <w:tcPr>
            <w:tcW w:w="777" w:type="dxa"/>
            <w:vMerge w:val="continue"/>
            <w:vAlign w:val="center"/>
          </w:tcPr>
          <w:p w14:paraId="681588A6">
            <w:pPr>
              <w:spacing w:line="360" w:lineRule="auto"/>
              <w:jc w:val="center"/>
              <w:rPr>
                <w:rFonts w:hint="eastAsia" w:ascii="宋体" w:hAnsi="宋体" w:eastAsia="宋体" w:cs="宋体"/>
                <w:color w:val="auto"/>
                <w:sz w:val="21"/>
                <w:szCs w:val="21"/>
                <w:highlight w:val="none"/>
                <w:vertAlign w:val="baseline"/>
                <w:lang w:eastAsia="zh-CN"/>
              </w:rPr>
            </w:pPr>
          </w:p>
        </w:tc>
        <w:tc>
          <w:tcPr>
            <w:tcW w:w="3013" w:type="dxa"/>
            <w:gridSpan w:val="2"/>
            <w:vAlign w:val="center"/>
          </w:tcPr>
          <w:p w14:paraId="349B56BE">
            <w:pPr>
              <w:spacing w:line="360" w:lineRule="auto"/>
              <w:jc w:val="center"/>
              <w:rPr>
                <w:rFonts w:hint="eastAsia" w:ascii="宋体" w:hAnsi="宋体" w:eastAsia="宋体" w:cs="宋体"/>
                <w:b w:val="0"/>
                <w:bCs w:val="0"/>
                <w:color w:val="auto"/>
                <w:sz w:val="21"/>
                <w:szCs w:val="21"/>
                <w:highlight w:val="none"/>
                <w:vertAlign w:val="baseline"/>
              </w:rPr>
            </w:pPr>
            <w:r>
              <w:rPr>
                <w:rFonts w:hint="eastAsia" w:ascii="宋体" w:hAnsi="宋体" w:cs="宋体"/>
                <w:b w:val="0"/>
                <w:bCs w:val="0"/>
                <w:color w:val="auto"/>
                <w:sz w:val="21"/>
                <w:szCs w:val="21"/>
                <w:highlight w:val="none"/>
                <w:vertAlign w:val="baseline"/>
                <w:lang w:eastAsia="zh-CN"/>
              </w:rPr>
              <w:t>优惠</w:t>
            </w:r>
            <w:r>
              <w:rPr>
                <w:rFonts w:hint="eastAsia" w:ascii="宋体" w:hAnsi="宋体" w:eastAsia="宋体" w:cs="宋体"/>
                <w:b w:val="0"/>
                <w:bCs w:val="0"/>
                <w:color w:val="auto"/>
                <w:sz w:val="21"/>
                <w:szCs w:val="21"/>
                <w:highlight w:val="none"/>
                <w:vertAlign w:val="baseline"/>
              </w:rPr>
              <w:t>承诺</w:t>
            </w:r>
          </w:p>
          <w:p w14:paraId="764EB7C8">
            <w:pPr>
              <w:spacing w:line="360" w:lineRule="auto"/>
              <w:jc w:val="center"/>
              <w:rPr>
                <w:rFonts w:hint="eastAsia" w:ascii="宋体" w:hAnsi="宋体" w:eastAsia="宋体" w:cs="宋体"/>
                <w:b w:val="0"/>
                <w:bCs w:val="0"/>
                <w:color w:val="auto"/>
                <w:sz w:val="21"/>
                <w:szCs w:val="21"/>
                <w:highlight w:val="none"/>
                <w:vertAlign w:val="baseline"/>
                <w:lang w:eastAsia="zh-CN"/>
              </w:rPr>
            </w:pPr>
            <w:r>
              <w:rPr>
                <w:rFonts w:hint="eastAsia" w:ascii="宋体" w:hAnsi="宋体" w:cs="宋体"/>
                <w:b w:val="0"/>
                <w:bCs w:val="0"/>
                <w:color w:val="auto"/>
                <w:sz w:val="21"/>
                <w:szCs w:val="21"/>
                <w:highlight w:val="none"/>
                <w:vertAlign w:val="baseline"/>
                <w:lang w:eastAsia="zh-CN"/>
              </w:rPr>
              <w:t>（</w:t>
            </w:r>
            <w:r>
              <w:rPr>
                <w:rFonts w:hint="eastAsia" w:ascii="宋体" w:hAnsi="宋体" w:cs="宋体"/>
                <w:b w:val="0"/>
                <w:bCs w:val="0"/>
                <w:color w:val="auto"/>
                <w:sz w:val="21"/>
                <w:szCs w:val="21"/>
                <w:highlight w:val="none"/>
                <w:vertAlign w:val="baseline"/>
                <w:lang w:val="en-US" w:eastAsia="zh-CN"/>
              </w:rPr>
              <w:t>3分</w:t>
            </w:r>
            <w:r>
              <w:rPr>
                <w:rFonts w:hint="eastAsia" w:ascii="宋体" w:hAnsi="宋体" w:cs="宋体"/>
                <w:b w:val="0"/>
                <w:bCs w:val="0"/>
                <w:color w:val="auto"/>
                <w:sz w:val="21"/>
                <w:szCs w:val="21"/>
                <w:highlight w:val="none"/>
                <w:vertAlign w:val="baseline"/>
                <w:lang w:eastAsia="zh-CN"/>
              </w:rPr>
              <w:t>）</w:t>
            </w:r>
          </w:p>
        </w:tc>
        <w:tc>
          <w:tcPr>
            <w:tcW w:w="3980" w:type="dxa"/>
            <w:vAlign w:val="center"/>
          </w:tcPr>
          <w:p w14:paraId="149DFA57">
            <w:pPr>
              <w:jc w:val="both"/>
              <w:rPr>
                <w:rFonts w:hint="eastAsia" w:ascii="宋体" w:hAnsi="宋体" w:eastAsia="宋体" w:cs="宋体"/>
                <w:b w:val="0"/>
                <w:bCs w:val="0"/>
                <w:color w:val="auto"/>
                <w:sz w:val="21"/>
                <w:szCs w:val="21"/>
                <w:highlight w:val="none"/>
                <w:vertAlign w:val="baseline"/>
              </w:rPr>
            </w:pPr>
            <w:r>
              <w:rPr>
                <w:rFonts w:hint="eastAsia" w:ascii="宋体" w:hAnsi="宋体" w:eastAsia="宋体" w:cs="宋体"/>
                <w:bCs/>
                <w:color w:val="auto"/>
                <w:kern w:val="0"/>
                <w:sz w:val="21"/>
                <w:szCs w:val="21"/>
                <w:highlight w:val="none"/>
                <w:lang w:val="en-US" w:eastAsia="zh-CN"/>
              </w:rPr>
              <w:t>在</w:t>
            </w:r>
            <w:r>
              <w:rPr>
                <w:rFonts w:hint="eastAsia" w:ascii="宋体" w:hAnsi="宋体"/>
                <w:color w:val="auto"/>
                <w:sz w:val="21"/>
                <w:szCs w:val="21"/>
                <w:highlight w:val="none"/>
              </w:rPr>
              <w:t>人员、管理、技术、工期、售后、审计配合、应急保障等方面的实质性优惠及服务承诺</w:t>
            </w:r>
            <w:r>
              <w:rPr>
                <w:rFonts w:hint="eastAsia" w:ascii="宋体" w:hAnsi="宋体" w:eastAsia="宋体" w:cs="宋体"/>
                <w:bCs/>
                <w:color w:val="auto"/>
                <w:kern w:val="0"/>
                <w:sz w:val="21"/>
                <w:szCs w:val="21"/>
                <w:highlight w:val="none"/>
                <w:lang w:val="en-US" w:eastAsia="zh-CN"/>
              </w:rPr>
              <w:t>书面符合工程实际情况，确保依法依规，优惠合理，详实可行</w:t>
            </w:r>
            <w:r>
              <w:rPr>
                <w:rFonts w:hint="eastAsia" w:ascii="宋体" w:hAnsi="宋体" w:cs="宋体"/>
                <w:bCs/>
                <w:color w:val="auto"/>
                <w:sz w:val="21"/>
                <w:szCs w:val="21"/>
                <w:highlight w:val="none"/>
                <w:lang w:eastAsia="zh-CN"/>
              </w:rPr>
              <w:t>。</w:t>
            </w:r>
          </w:p>
        </w:tc>
        <w:tc>
          <w:tcPr>
            <w:tcW w:w="1110" w:type="dxa"/>
            <w:vAlign w:val="center"/>
          </w:tcPr>
          <w:p w14:paraId="69CD0AA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rPr>
              <w:t>0～</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分</w:t>
            </w:r>
          </w:p>
        </w:tc>
      </w:tr>
      <w:tr w14:paraId="4DDE8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0" w:type="dxa"/>
            <w:gridSpan w:val="6"/>
            <w:vAlign w:val="center"/>
          </w:tcPr>
          <w:p w14:paraId="731F6F8A">
            <w:pPr>
              <w:spacing w:line="360" w:lineRule="auto"/>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注：1、投标企业的证件、业绩和荣誉，在投标文件中须附扫描件，开、评标前在诚信库中提交证明材料扫描件，两者必须一致，否则按无证处理；（证明荣誉以建设行政主管部门或其授权组织颁发的证书和下达的文件为准、涉及职称证书的以政府或政府人事部门授权的组织颁发的为准。所有证明荣誉业绩以发证日期为准，只计最高分，不累计）</w:t>
            </w:r>
          </w:p>
          <w:p w14:paraId="1C744531">
            <w:pPr>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vertAlign w:val="baseline"/>
                <w:lang w:val="en-US" w:eastAsia="zh-CN"/>
              </w:rPr>
              <w:t>2、投标企业在招投标活动中提供的资质证件、获奖证书等应真实、有效，并对其真实性进行承诺作为投标文件的组成部分，若不据实承诺，弄虚作假，一经查实，将取消中标资格并报经建设行政主管部门给予不良行为记录等处理。</w:t>
            </w:r>
          </w:p>
        </w:tc>
      </w:tr>
    </w:tbl>
    <w:p w14:paraId="57BF84EA">
      <w:pPr>
        <w:rPr>
          <w:color w:val="auto"/>
          <w:highlight w:val="none"/>
        </w:rPr>
      </w:pPr>
    </w:p>
    <w:p w14:paraId="192BF4D8">
      <w:pPr>
        <w:rPr>
          <w:color w:val="auto"/>
          <w:highlight w:val="none"/>
        </w:rPr>
      </w:pPr>
    </w:p>
    <w:p w14:paraId="5933E3AE">
      <w:pPr>
        <w:rPr>
          <w:color w:val="auto"/>
          <w:highlight w:val="none"/>
        </w:rPr>
      </w:pPr>
    </w:p>
    <w:p w14:paraId="52613F1A">
      <w:pPr>
        <w:rPr>
          <w:color w:val="auto"/>
          <w:highlight w:val="none"/>
        </w:rPr>
      </w:pPr>
    </w:p>
    <w:p w14:paraId="11C20A4D">
      <w:pPr>
        <w:rPr>
          <w:color w:val="auto"/>
          <w:highlight w:val="none"/>
        </w:rPr>
      </w:pPr>
    </w:p>
    <w:p w14:paraId="237E9D4E">
      <w:pPr>
        <w:rPr>
          <w:color w:val="auto"/>
          <w:highlight w:val="none"/>
        </w:rPr>
      </w:pPr>
    </w:p>
    <w:p w14:paraId="79B1BBFF">
      <w:pPr>
        <w:rPr>
          <w:color w:val="auto"/>
          <w:highlight w:val="none"/>
        </w:rPr>
      </w:pPr>
    </w:p>
    <w:p w14:paraId="789F705B">
      <w:pPr>
        <w:rPr>
          <w:color w:val="auto"/>
          <w:highlight w:val="none"/>
        </w:rPr>
      </w:pPr>
    </w:p>
    <w:p w14:paraId="2D7B9A62">
      <w:pPr>
        <w:rPr>
          <w:color w:val="auto"/>
          <w:highlight w:val="none"/>
        </w:rPr>
      </w:pPr>
    </w:p>
    <w:p w14:paraId="535837F3">
      <w:pPr>
        <w:rPr>
          <w:color w:val="auto"/>
          <w:highlight w:val="none"/>
        </w:rPr>
      </w:pPr>
    </w:p>
    <w:p w14:paraId="6CE7E559">
      <w:pPr>
        <w:rPr>
          <w:color w:val="auto"/>
          <w:highlight w:val="none"/>
        </w:rPr>
      </w:pPr>
    </w:p>
    <w:p w14:paraId="5B2C8E23">
      <w:pPr>
        <w:rPr>
          <w:color w:val="auto"/>
          <w:highlight w:val="none"/>
        </w:rPr>
        <w:sectPr>
          <w:pgSz w:w="11906" w:h="16838"/>
          <w:pgMar w:top="1440" w:right="1800" w:bottom="1440" w:left="1800" w:header="851" w:footer="992" w:gutter="0"/>
          <w:pgNumType w:fmt="decimal"/>
          <w:cols w:space="425" w:num="1"/>
          <w:docGrid w:type="lines" w:linePitch="312" w:charSpace="0"/>
        </w:sectPr>
      </w:pPr>
    </w:p>
    <w:p w14:paraId="01F8C184">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45" w:name="_Toc28295"/>
      <w:bookmarkStart w:id="46" w:name="_Toc6423"/>
      <w:r>
        <w:rPr>
          <w:rFonts w:hint="eastAsia" w:ascii="宋体" w:hAnsi="宋体" w:eastAsia="宋体" w:cs="宋体"/>
          <w:b/>
          <w:bCs/>
          <w:color w:val="auto"/>
          <w:sz w:val="22"/>
          <w:szCs w:val="22"/>
          <w:highlight w:val="none"/>
        </w:rPr>
        <w:t>1.评标方法</w:t>
      </w:r>
      <w:bookmarkEnd w:id="45"/>
      <w:bookmarkEnd w:id="46"/>
    </w:p>
    <w:p w14:paraId="6801FC3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对满足招标文件实质性要求的投标文件，按照招标文件规定的评分标准独立进行赋分，并按照最终得分由高到低顺序推荐中标候选人。最终得分相同时，以投标报价低的优先排序；投标报价也相同的，按照</w:t>
      </w:r>
      <w:r>
        <w:rPr>
          <w:rFonts w:hint="eastAsia" w:ascii="宋体" w:hAnsi="宋体" w:cs="宋体"/>
          <w:color w:val="auto"/>
          <w:sz w:val="21"/>
          <w:szCs w:val="21"/>
          <w:highlight w:val="none"/>
          <w:lang w:val="en-US" w:eastAsia="zh-CN"/>
        </w:rPr>
        <w:t>监理大纲</w:t>
      </w:r>
      <w:r>
        <w:rPr>
          <w:rFonts w:hint="eastAsia" w:ascii="宋体" w:hAnsi="宋体" w:eastAsia="宋体" w:cs="宋体"/>
          <w:color w:val="auto"/>
          <w:sz w:val="21"/>
          <w:szCs w:val="21"/>
          <w:highlight w:val="none"/>
        </w:rPr>
        <w:t>得分高的优先推荐，没有约定的，由评标委员会确定。</w:t>
      </w:r>
    </w:p>
    <w:p w14:paraId="041DF2C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推荐中标候选人数量：</w:t>
      </w:r>
    </w:p>
    <w:p w14:paraId="394D856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①有效投标人的数量为Y；</w:t>
      </w:r>
    </w:p>
    <w:p w14:paraId="30D7982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②当Y小于3时，不推荐中标候选人，项目应当重新招标；</w:t>
      </w:r>
    </w:p>
    <w:p w14:paraId="11A24BD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③当3≤Y≤10时，将有效投标人全部推荐为中标候选人；</w:t>
      </w:r>
    </w:p>
    <w:p w14:paraId="048C49E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④当Y大于10时，推荐最终得分前十名的为中标候选人。</w:t>
      </w:r>
    </w:p>
    <w:p w14:paraId="09126EC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47" w:name="_Toc16572"/>
      <w:bookmarkStart w:id="48" w:name="_Toc4549"/>
      <w:r>
        <w:rPr>
          <w:rFonts w:hint="eastAsia" w:ascii="宋体" w:hAnsi="宋体" w:eastAsia="宋体" w:cs="宋体"/>
          <w:b/>
          <w:bCs/>
          <w:color w:val="auto"/>
          <w:sz w:val="22"/>
          <w:szCs w:val="22"/>
          <w:highlight w:val="none"/>
        </w:rPr>
        <w:t>2.评标标准</w:t>
      </w:r>
      <w:bookmarkEnd w:id="47"/>
      <w:bookmarkEnd w:id="48"/>
    </w:p>
    <w:p w14:paraId="530DF83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初步评审标准</w:t>
      </w:r>
    </w:p>
    <w:p w14:paraId="143A2CB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形式评审标准：见评标办法前附表；</w:t>
      </w:r>
    </w:p>
    <w:p w14:paraId="396C058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资格评审标准：见评标办法前附表；</w:t>
      </w:r>
    </w:p>
    <w:p w14:paraId="52E2020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响应性评审标准：见评标办法前附表。</w:t>
      </w:r>
    </w:p>
    <w:p w14:paraId="2531D0A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详细评审标准</w:t>
      </w:r>
    </w:p>
    <w:p w14:paraId="05011EB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2.2.1 </w:t>
      </w:r>
      <w:r>
        <w:rPr>
          <w:rFonts w:hint="eastAsia" w:ascii="宋体" w:hAnsi="宋体" w:eastAsia="宋体" w:cs="宋体"/>
          <w:color w:val="auto"/>
          <w:sz w:val="21"/>
          <w:szCs w:val="21"/>
          <w:highlight w:val="none"/>
        </w:rPr>
        <w:t>商务标评审标准：见评标办法前附表；</w:t>
      </w:r>
    </w:p>
    <w:p w14:paraId="2E69F3A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2.2.2 </w:t>
      </w:r>
      <w:r>
        <w:rPr>
          <w:rFonts w:hint="eastAsia" w:ascii="宋体" w:hAnsi="宋体" w:eastAsia="宋体" w:cs="宋体"/>
          <w:color w:val="auto"/>
          <w:sz w:val="21"/>
          <w:szCs w:val="21"/>
          <w:highlight w:val="none"/>
        </w:rPr>
        <w:t>技术标评审标准：见评标办法前附表；</w:t>
      </w:r>
    </w:p>
    <w:p w14:paraId="490E56D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2.2.3 </w:t>
      </w:r>
      <w:r>
        <w:rPr>
          <w:rFonts w:hint="eastAsia" w:ascii="宋体" w:hAnsi="宋体" w:eastAsia="宋体" w:cs="宋体"/>
          <w:color w:val="auto"/>
          <w:sz w:val="21"/>
          <w:szCs w:val="21"/>
          <w:highlight w:val="none"/>
        </w:rPr>
        <w:t>综合标评审标准：见评标办法前附表</w:t>
      </w:r>
      <w:r>
        <w:rPr>
          <w:rFonts w:hint="eastAsia" w:ascii="宋体" w:hAnsi="宋体" w:eastAsia="宋体" w:cs="宋体"/>
          <w:color w:val="auto"/>
          <w:sz w:val="21"/>
          <w:szCs w:val="21"/>
          <w:highlight w:val="none"/>
          <w:lang w:eastAsia="zh-CN"/>
        </w:rPr>
        <w:t>。</w:t>
      </w:r>
    </w:p>
    <w:p w14:paraId="354FB71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49" w:name="_Toc17234"/>
      <w:bookmarkStart w:id="50" w:name="_Toc17915"/>
      <w:r>
        <w:rPr>
          <w:rFonts w:hint="eastAsia" w:ascii="宋体" w:hAnsi="宋体" w:eastAsia="宋体" w:cs="宋体"/>
          <w:b/>
          <w:bCs/>
          <w:color w:val="auto"/>
          <w:sz w:val="22"/>
          <w:szCs w:val="22"/>
          <w:highlight w:val="none"/>
        </w:rPr>
        <w:t>3.评标程序</w:t>
      </w:r>
      <w:bookmarkEnd w:id="49"/>
      <w:bookmarkEnd w:id="50"/>
    </w:p>
    <w:p w14:paraId="60E0186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初步评审</w:t>
      </w:r>
    </w:p>
    <w:p w14:paraId="3F09B8D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评标委员会依据本章第2.1款规定的标准对投标文件进行初步评审。有一项不符合评审标准的，评标委员会应当否决其投标。</w:t>
      </w:r>
    </w:p>
    <w:p w14:paraId="1B533E2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投标人有以下情形之一的，评标委员会应当否决其投标：</w:t>
      </w:r>
    </w:p>
    <w:p w14:paraId="1599245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（1）第二章“投标人须知”第1.4.3项规定的任何一种情形的；</w:t>
      </w:r>
    </w:p>
    <w:p w14:paraId="050715F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（2）串通投标或弄虚作假或有其他违法行为的；</w:t>
      </w:r>
    </w:p>
    <w:p w14:paraId="1E06157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（3）不按评标委员会要求澄清、说明或补正的。</w:t>
      </w:r>
    </w:p>
    <w:p w14:paraId="49331FF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3.1.3投标报价有算术错误的，评标委员会按以下原则对投标报价进行修正，修正的价格经投标人书面确认后具有约束力。投标人不接受修正价格的，评标委员会应当否决其投标。</w:t>
      </w:r>
    </w:p>
    <w:p w14:paraId="16945D1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（1）投标文件中的大写金额与小写金额不一致的，以大写金额为准；</w:t>
      </w:r>
    </w:p>
    <w:p w14:paraId="6FFB189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（2）总价金额与依据单价计算出的结果不一致的，以单价金额为准修正总价，但单价金额小数点有明显错误的除外。</w:t>
      </w:r>
    </w:p>
    <w:p w14:paraId="0BE171C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详细评审</w:t>
      </w:r>
    </w:p>
    <w:p w14:paraId="1C03DB2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评标委员会按本章规定的量化因素和分值进行打分，并计算出综合评估得分。</w:t>
      </w:r>
    </w:p>
    <w:p w14:paraId="3B9090B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评分分值计算保留小数点后两位，小数点后第三位“四舍五入”。</w:t>
      </w:r>
    </w:p>
    <w:p w14:paraId="79A473D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投标人综合得分按下列公式计算</w:t>
      </w:r>
    </w:p>
    <w:p w14:paraId="6C8E18E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（1）投标人综合得分=商务标得分+技术标得分+综合标得分，即投标人综合得分。</w:t>
      </w:r>
    </w:p>
    <w:p w14:paraId="598F70B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（2）投标人的最终得分：评标委员会完成对商务标、技术标和综合标的汇总后，取平均值作为该投标人的最终得分。</w:t>
      </w:r>
    </w:p>
    <w:p w14:paraId="57CC9C4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投标文件的澄清和补正</w:t>
      </w:r>
    </w:p>
    <w:p w14:paraId="372C71B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在评标过程中，评标委员会可以书面形式要求投标人对所提交投标文件中不明确的内容进行书面澄清或说明，或者对细微偏差进行补正。评标委员会不接受投标人主动提出的澄清、说明或补正。</w:t>
      </w:r>
    </w:p>
    <w:p w14:paraId="05350CA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澄清、说明和补正不得改变投标文件的实质性内容。投标人的书面澄清、说明和补正属于投标文件的组成部分。</w:t>
      </w:r>
    </w:p>
    <w:p w14:paraId="3A512CA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评标委员会对投标人提交的澄清、说明或补正有疑问的，可以要求投标人进一步澄清、说明或补正，直至满足评标委员会的要求。</w:t>
      </w:r>
    </w:p>
    <w:p w14:paraId="1FC8541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 评标结果</w:t>
      </w:r>
    </w:p>
    <w:p w14:paraId="193EFCA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标完成后，评标委员会应当向招标人出具书面评标报告，评标报告应当载明每个中标候选人的特点、优势、缺点、风险等评审情况和推荐理由，并对技术、质量、安全、工期的控制能力等提供技术咨询建议，供定标委员会参考。</w:t>
      </w:r>
    </w:p>
    <w:p w14:paraId="39A34B3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招标人应当自收到评审报告之日起3日内对评审结果（中标候选人）进行公示，公示期不少于3日。中标候选人公示应当载明所有投标人情况、推荐的中标候选人情况（包括项目投标信息、管理人员信息、业绩信息等）、否决投标情况及原因、异议方式、监督电话及投诉方式等内容。</w:t>
      </w:r>
    </w:p>
    <w:p w14:paraId="2AC5031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招标人对评审结果有异议的，应当依照法定程序组织原评标委员会进行复审，并形成复审报告。招标人不得擅自改变评标委员会评审结果。</w:t>
      </w:r>
    </w:p>
    <w:p w14:paraId="08073D0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投标人或者其他利害关系人对评审结果有异议的，应当在中标候选人公示期间提出。招标人应当自收到异议之日起3日内作出答复。作出答复前，应当暂停招投标活动。</w:t>
      </w:r>
    </w:p>
    <w:p w14:paraId="5505C3D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 特殊情况的处置程序</w:t>
      </w:r>
    </w:p>
    <w:p w14:paraId="71EF255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关于评标活动暂停</w:t>
      </w:r>
    </w:p>
    <w:p w14:paraId="2C89EA4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评标委员会应当执行连续评标的原则，按评标办法中规定的程序、内容、方法、标准完成全部评标工作。只有发生不可抗力导致评标工作无法继续时，评标活动方可暂停。</w:t>
      </w:r>
    </w:p>
    <w:p w14:paraId="4FF0299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发生评标暂停情况时，评标委员会应当封存全部投标文件和评标记录，待不可抗力的影响结束且具备继续评标的条件时，由原评标委员会继续评标。</w:t>
      </w:r>
    </w:p>
    <w:p w14:paraId="68EAA3B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关于评标中途更换评委</w:t>
      </w:r>
    </w:p>
    <w:p w14:paraId="1E88F28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3.5.2.1 除非发生下列情况之一，评标委员会成员不得在评标中途更换：</w:t>
      </w:r>
    </w:p>
    <w:p w14:paraId="7AF2C89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因不可抗拒的客观原因，不能到场或需在评标中途退出评标活动。</w:t>
      </w:r>
    </w:p>
    <w:p w14:paraId="43B3789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根据法律法规规定，某个或某几个评标委员会成员需要回避。</w:t>
      </w:r>
    </w:p>
    <w:p w14:paraId="60E0CB9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退出评标的评标委员会成员，其已完成的评标行为无效。由招标人根据本招标文件规定的评标委员会成员生产方式另行确定替代者进行评标。</w:t>
      </w:r>
    </w:p>
    <w:p w14:paraId="5D56411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 记名投票</w:t>
      </w:r>
    </w:p>
    <w:p w14:paraId="62E147D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在任何评标环节中，需评标委员会就某项定性的评审结论做出表决的，由评标委员会全体成员按照少数服从多数的原则，以记名投票方式表决。</w:t>
      </w:r>
    </w:p>
    <w:p w14:paraId="4ECBC2C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59EE883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4DE7330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4A2E3C06">
      <w:pPr>
        <w:rPr>
          <w:color w:val="auto"/>
          <w:sz w:val="18"/>
          <w:szCs w:val="16"/>
          <w:highlight w:val="none"/>
        </w:rPr>
      </w:pPr>
    </w:p>
    <w:p w14:paraId="540BCBB4">
      <w:pPr>
        <w:pStyle w:val="22"/>
        <w:rPr>
          <w:color w:val="auto"/>
          <w:sz w:val="16"/>
          <w:szCs w:val="16"/>
          <w:highlight w:val="none"/>
        </w:rPr>
      </w:pPr>
    </w:p>
    <w:p w14:paraId="58AC41D3">
      <w:pPr>
        <w:rPr>
          <w:color w:val="auto"/>
          <w:sz w:val="18"/>
          <w:szCs w:val="16"/>
          <w:highlight w:val="none"/>
        </w:rPr>
      </w:pPr>
    </w:p>
    <w:p w14:paraId="561BAE61">
      <w:pPr>
        <w:rPr>
          <w:color w:val="auto"/>
          <w:sz w:val="18"/>
          <w:szCs w:val="16"/>
          <w:highlight w:val="none"/>
        </w:rPr>
      </w:pPr>
    </w:p>
    <w:p w14:paraId="76FB015B">
      <w:pPr>
        <w:rPr>
          <w:color w:val="auto"/>
          <w:sz w:val="18"/>
          <w:szCs w:val="16"/>
          <w:highlight w:val="none"/>
        </w:rPr>
      </w:pPr>
    </w:p>
    <w:p w14:paraId="1C0FF460">
      <w:pPr>
        <w:rPr>
          <w:color w:val="auto"/>
          <w:sz w:val="18"/>
          <w:szCs w:val="16"/>
          <w:highlight w:val="none"/>
        </w:rPr>
      </w:pPr>
    </w:p>
    <w:p w14:paraId="103B69F7">
      <w:pPr>
        <w:rPr>
          <w:color w:val="auto"/>
          <w:sz w:val="18"/>
          <w:szCs w:val="16"/>
          <w:highlight w:val="none"/>
        </w:rPr>
      </w:pPr>
    </w:p>
    <w:p w14:paraId="78E5D561">
      <w:pPr>
        <w:rPr>
          <w:color w:val="auto"/>
          <w:sz w:val="18"/>
          <w:szCs w:val="16"/>
          <w:highlight w:val="none"/>
        </w:rPr>
      </w:pPr>
    </w:p>
    <w:p w14:paraId="44E2E82C">
      <w:pPr>
        <w:rPr>
          <w:color w:val="auto"/>
          <w:sz w:val="18"/>
          <w:szCs w:val="16"/>
          <w:highlight w:val="none"/>
        </w:rPr>
      </w:pPr>
    </w:p>
    <w:p w14:paraId="68E871A5">
      <w:pPr>
        <w:rPr>
          <w:color w:val="auto"/>
          <w:sz w:val="18"/>
          <w:szCs w:val="16"/>
          <w:highlight w:val="none"/>
        </w:rPr>
      </w:pPr>
    </w:p>
    <w:p w14:paraId="6F00E566">
      <w:pPr>
        <w:rPr>
          <w:color w:val="auto"/>
          <w:sz w:val="18"/>
          <w:szCs w:val="16"/>
          <w:highlight w:val="none"/>
        </w:rPr>
      </w:pPr>
    </w:p>
    <w:p w14:paraId="336557D3">
      <w:pPr>
        <w:rPr>
          <w:color w:val="auto"/>
          <w:sz w:val="18"/>
          <w:szCs w:val="16"/>
          <w:highlight w:val="none"/>
        </w:rPr>
      </w:pPr>
    </w:p>
    <w:p w14:paraId="5012B27A">
      <w:pPr>
        <w:rPr>
          <w:color w:val="auto"/>
          <w:sz w:val="18"/>
          <w:szCs w:val="16"/>
          <w:highlight w:val="none"/>
        </w:rPr>
      </w:pPr>
    </w:p>
    <w:p w14:paraId="7614D65B">
      <w:pPr>
        <w:rPr>
          <w:color w:val="auto"/>
          <w:sz w:val="18"/>
          <w:szCs w:val="16"/>
          <w:highlight w:val="none"/>
        </w:rPr>
      </w:pPr>
    </w:p>
    <w:p w14:paraId="174B141F">
      <w:pPr>
        <w:rPr>
          <w:color w:val="auto"/>
          <w:sz w:val="18"/>
          <w:szCs w:val="16"/>
          <w:highlight w:val="none"/>
        </w:rPr>
      </w:pPr>
    </w:p>
    <w:p w14:paraId="0F775A7E">
      <w:pPr>
        <w:rPr>
          <w:color w:val="auto"/>
          <w:sz w:val="18"/>
          <w:szCs w:val="16"/>
          <w:highlight w:val="none"/>
        </w:rPr>
      </w:pPr>
    </w:p>
    <w:p w14:paraId="6472F825">
      <w:pPr>
        <w:rPr>
          <w:color w:val="auto"/>
          <w:sz w:val="18"/>
          <w:szCs w:val="16"/>
          <w:highlight w:val="none"/>
        </w:rPr>
      </w:pPr>
    </w:p>
    <w:p w14:paraId="2D66C12C">
      <w:pPr>
        <w:pStyle w:val="22"/>
        <w:rPr>
          <w:color w:val="auto"/>
          <w:sz w:val="16"/>
          <w:szCs w:val="16"/>
          <w:highlight w:val="none"/>
        </w:rPr>
      </w:pPr>
    </w:p>
    <w:p w14:paraId="0F7F6FB5">
      <w:pPr>
        <w:pStyle w:val="23"/>
        <w:pageBreakBefore w:val="0"/>
        <w:wordWrap w:val="0"/>
        <w:bidi w:val="0"/>
        <w:ind w:left="0" w:leftChars="0" w:firstLine="0" w:firstLineChars="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附件：废标条件</w:t>
      </w:r>
    </w:p>
    <w:p w14:paraId="4232D5E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投标人或其投标文件有下列情形之一的，其投标作废标处理：</w:t>
      </w:r>
    </w:p>
    <w:p w14:paraId="6D60B00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有第二章“投标人须知”正文部分第1.4.3项规定的任何一种情形的；</w:t>
      </w:r>
    </w:p>
    <w:p w14:paraId="1B79E91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有串通投标或弄虚作假或有其他违法行为的；</w:t>
      </w:r>
    </w:p>
    <w:p w14:paraId="0C9A8C2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不按评标委员会要求澄清、说明、补正，或其澄清、说明、补正未被评标委员会接受的；</w:t>
      </w:r>
    </w:p>
    <w:p w14:paraId="7EBE5BA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在形式评审、资格评审、响应性评审中，评标委员会认定投标人的投标不符合评标办法前附表中规定的任何一项评审标准的；</w:t>
      </w:r>
    </w:p>
    <w:p w14:paraId="1870C96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报价高于</w:t>
      </w:r>
      <w:r>
        <w:rPr>
          <w:rFonts w:hint="eastAsia" w:ascii="宋体" w:hAnsi="宋体" w:cs="宋体"/>
          <w:color w:val="auto"/>
          <w:sz w:val="21"/>
          <w:szCs w:val="21"/>
          <w:highlight w:val="none"/>
          <w:lang w:eastAsia="zh-CN"/>
        </w:rPr>
        <w:t>招标控制价</w:t>
      </w:r>
      <w:r>
        <w:rPr>
          <w:rFonts w:hint="eastAsia" w:ascii="宋体" w:hAnsi="宋体" w:eastAsia="宋体" w:cs="宋体"/>
          <w:color w:val="auto"/>
          <w:sz w:val="21"/>
          <w:szCs w:val="21"/>
          <w:highlight w:val="none"/>
        </w:rPr>
        <w:t>或评标委员会认定投标人以低于成本报价竞标的；</w:t>
      </w:r>
    </w:p>
    <w:p w14:paraId="048F28A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投标人提交的投标文件电子版格式不符合第二章“投标人须知前附表”规定的或开标现场无法读取导入的；</w:t>
      </w:r>
    </w:p>
    <w:p w14:paraId="4471ABF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1.7投标人被列入“信用中国”网站（www.creditchina.gov.cn）“失信被执行人”、“重大税收违法案件当事人名单”，“中国政府采购网站（www.ccgp.gov.cn）的政府采购严重违法失信行为名单”的；</w:t>
      </w:r>
    </w:p>
    <w:p w14:paraId="24A5B8D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 组成联合体投标的，投标文件未附联合体各方共同投标协议的；</w:t>
      </w:r>
    </w:p>
    <w:p w14:paraId="7C66CA0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1.9投标人提交两个及以上不同的投标文件或者投标报价，但招标文件要求提交备选投标的除外；</w:t>
      </w:r>
    </w:p>
    <w:p w14:paraId="7560FCC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不符合招标文件有关暗标的要求；</w:t>
      </w:r>
    </w:p>
    <w:p w14:paraId="4E2F69F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1.11 招标文件规定的其他应认定为无效标的</w:t>
      </w:r>
      <w:r>
        <w:rPr>
          <w:rFonts w:hint="eastAsia" w:ascii="宋体" w:hAnsi="宋体" w:eastAsia="宋体" w:cs="宋体"/>
          <w:color w:val="auto"/>
          <w:sz w:val="24"/>
          <w:szCs w:val="24"/>
          <w:highlight w:val="none"/>
        </w:rPr>
        <w:t>。</w:t>
      </w:r>
    </w:p>
    <w:p w14:paraId="5EAF8FE5">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sectPr>
          <w:pgSz w:w="11906" w:h="16838"/>
          <w:pgMar w:top="1440" w:right="1800" w:bottom="1440" w:left="1800" w:header="851" w:footer="992" w:gutter="0"/>
          <w:pgNumType w:fmt="decimal"/>
          <w:cols w:space="425" w:num="1"/>
          <w:docGrid w:type="lines" w:linePitch="312" w:charSpace="0"/>
        </w:sectPr>
      </w:pPr>
    </w:p>
    <w:p w14:paraId="7E4D9BD4">
      <w:pPr>
        <w:jc w:val="center"/>
        <w:outlineLvl w:val="0"/>
        <w:rPr>
          <w:rFonts w:hint="eastAsia" w:ascii="宋体" w:hAnsi="宋体" w:eastAsia="宋体" w:cs="宋体"/>
          <w:b/>
          <w:color w:val="auto"/>
          <w:kern w:val="0"/>
          <w:sz w:val="44"/>
          <w:szCs w:val="44"/>
          <w:highlight w:val="none"/>
          <w:lang w:val="en-US" w:eastAsia="zh-CN"/>
        </w:rPr>
      </w:pPr>
      <w:bookmarkStart w:id="51" w:name="_Toc19554"/>
      <w:bookmarkStart w:id="52" w:name="_Toc27467"/>
      <w:r>
        <w:rPr>
          <w:rFonts w:hint="eastAsia" w:ascii="宋体" w:hAnsi="宋体" w:eastAsia="宋体" w:cs="宋体"/>
          <w:b/>
          <w:color w:val="auto"/>
          <w:kern w:val="0"/>
          <w:sz w:val="44"/>
          <w:szCs w:val="44"/>
          <w:highlight w:val="none"/>
          <w:lang w:val="en-US" w:eastAsia="zh-CN"/>
        </w:rPr>
        <w:t>第四章 定标办法</w:t>
      </w:r>
      <w:r>
        <w:rPr>
          <w:rFonts w:hint="eastAsia" w:ascii="宋体" w:hAnsi="宋体" w:cs="宋体"/>
          <w:b/>
          <w:color w:val="auto"/>
          <w:kern w:val="0"/>
          <w:sz w:val="44"/>
          <w:szCs w:val="44"/>
          <w:highlight w:val="none"/>
          <w:lang w:val="en-US" w:eastAsia="zh-CN"/>
        </w:rPr>
        <w:t>（核查随机法）</w:t>
      </w:r>
      <w:bookmarkEnd w:id="51"/>
      <w:bookmarkEnd w:id="52"/>
    </w:p>
    <w:p w14:paraId="3BB94576">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1"/>
          <w:szCs w:val="21"/>
          <w:highlight w:val="none"/>
        </w:rPr>
      </w:pPr>
      <w:bookmarkStart w:id="53" w:name="_Toc8054"/>
      <w:bookmarkStart w:id="54" w:name="_Toc18794"/>
      <w:r>
        <w:rPr>
          <w:rFonts w:hint="eastAsia" w:ascii="宋体" w:hAnsi="宋体" w:eastAsia="宋体" w:cs="宋体"/>
          <w:b/>
          <w:bCs/>
          <w:color w:val="auto"/>
          <w:sz w:val="22"/>
          <w:szCs w:val="22"/>
          <w:highlight w:val="none"/>
        </w:rPr>
        <w:t>一、定标依据</w:t>
      </w:r>
      <w:bookmarkEnd w:id="53"/>
      <w:bookmarkEnd w:id="54"/>
    </w:p>
    <w:p w14:paraId="13A394E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本次定标办法的制定依据下列文件进行：</w:t>
      </w:r>
    </w:p>
    <w:p w14:paraId="5F1FC2A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1、《中华人民共和国招标投标法》；</w:t>
      </w:r>
    </w:p>
    <w:p w14:paraId="07E1709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2、《国务院办公厅关于创新完善体制机制推动招标投标市场规范健康发展的意见》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国办发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2024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21号</w:t>
      </w:r>
      <w:r>
        <w:rPr>
          <w:rFonts w:hint="eastAsia" w:ascii="宋体" w:hAnsi="宋体" w:eastAsia="宋体" w:cs="宋体"/>
          <w:color w:val="auto"/>
          <w:sz w:val="21"/>
          <w:szCs w:val="21"/>
          <w:highlight w:val="none"/>
          <w:lang w:eastAsia="zh-CN"/>
        </w:rPr>
        <w:t>）；</w:t>
      </w:r>
    </w:p>
    <w:p w14:paraId="319A174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3、《关于持续推进建筑业发展的十二条意见》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23号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28CF6B1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4、驻马店市发展和改革委员会关于贯彻落实《河南省发展和改革委员会关于印发&lt;河南省政府投资工程建设项目招标投标“评定分离”管理办法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试行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&gt;的通知》的通知；</w:t>
      </w:r>
    </w:p>
    <w:p w14:paraId="2A8F08E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5、本项目招标文件；</w:t>
      </w:r>
    </w:p>
    <w:p w14:paraId="32C16ED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6、评标委员会推荐的中标候选人名单；</w:t>
      </w:r>
    </w:p>
    <w:p w14:paraId="4326051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7、招标投标全过程资料；</w:t>
      </w:r>
    </w:p>
    <w:p w14:paraId="5FBAF38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8、其他有关法律法规和相关制度。</w:t>
      </w:r>
    </w:p>
    <w:p w14:paraId="21E04AD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55" w:name="_Toc27036"/>
      <w:bookmarkStart w:id="56" w:name="_Toc6356"/>
      <w:r>
        <w:rPr>
          <w:rFonts w:hint="eastAsia" w:ascii="宋体" w:hAnsi="宋体" w:eastAsia="宋体" w:cs="宋体"/>
          <w:b/>
          <w:bCs/>
          <w:color w:val="auto"/>
          <w:sz w:val="22"/>
          <w:szCs w:val="22"/>
          <w:highlight w:val="none"/>
        </w:rPr>
        <w:t>二、定标原则</w:t>
      </w:r>
      <w:bookmarkEnd w:id="55"/>
      <w:bookmarkEnd w:id="56"/>
    </w:p>
    <w:p w14:paraId="4FA7D6C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遵循公开透明、竞争择优、科学规范、廉洁高效的原则。</w:t>
      </w:r>
    </w:p>
    <w:p w14:paraId="7DF293D6">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57" w:name="_Toc25429"/>
      <w:bookmarkStart w:id="58" w:name="_Toc9356"/>
      <w:r>
        <w:rPr>
          <w:rFonts w:hint="eastAsia" w:ascii="宋体" w:hAnsi="宋体" w:eastAsia="宋体" w:cs="宋体"/>
          <w:b/>
          <w:bCs/>
          <w:color w:val="auto"/>
          <w:sz w:val="22"/>
          <w:szCs w:val="22"/>
          <w:highlight w:val="none"/>
        </w:rPr>
        <w:t>三、定标方法</w:t>
      </w:r>
      <w:bookmarkEnd w:id="57"/>
      <w:bookmarkEnd w:id="58"/>
    </w:p>
    <w:p w14:paraId="2EC2511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本项目定标方法采用核查随机法确定中标人。</w:t>
      </w:r>
    </w:p>
    <w:p w14:paraId="7ABAEB0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定标委员会在通过核查的中标候选人中按照随机选取方式确定中标人。</w:t>
      </w:r>
    </w:p>
    <w:p w14:paraId="113B3BCE">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59" w:name="_Toc11679"/>
      <w:bookmarkStart w:id="60" w:name="_Toc18088"/>
      <w:r>
        <w:rPr>
          <w:rFonts w:hint="eastAsia" w:ascii="宋体" w:hAnsi="宋体" w:eastAsia="宋体" w:cs="宋体"/>
          <w:b/>
          <w:bCs/>
          <w:color w:val="auto"/>
          <w:sz w:val="22"/>
          <w:szCs w:val="22"/>
          <w:highlight w:val="none"/>
        </w:rPr>
        <w:t>四、定标委员会的组建</w:t>
      </w:r>
      <w:bookmarkEnd w:id="59"/>
      <w:bookmarkEnd w:id="60"/>
    </w:p>
    <w:p w14:paraId="7C728B9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定标委员会成员数量为5人，招标单位4人，专家1人。定标委员会组长由招标人确定，原则上由招标人的法定代表人、主要负责人或分管负责人担任，其他成员可由招标人自行选定</w:t>
      </w:r>
      <w:r>
        <w:rPr>
          <w:rFonts w:hint="eastAsia" w:ascii="宋体" w:hAnsi="宋体" w:eastAsia="宋体" w:cs="宋体"/>
          <w:color w:val="auto"/>
          <w:sz w:val="21"/>
          <w:szCs w:val="21"/>
          <w:highlight w:val="none"/>
          <w:lang w:val="en-US" w:eastAsia="zh-CN"/>
        </w:rPr>
        <w:t>（由领导班子成员业务熟练的管理人员，具有工程技术</w:t>
      </w:r>
      <w:r>
        <w:rPr>
          <w:rFonts w:hint="eastAsia" w:ascii="宋体" w:hAnsi="宋体" w:cs="宋体"/>
          <w:color w:val="auto"/>
          <w:sz w:val="21"/>
          <w:szCs w:val="21"/>
          <w:highlight w:val="none"/>
          <w:lang w:val="en-US" w:eastAsia="zh-CN"/>
        </w:rPr>
        <w:t>职称</w:t>
      </w:r>
      <w:r>
        <w:rPr>
          <w:rFonts w:hint="eastAsia" w:ascii="宋体" w:hAnsi="宋体" w:eastAsia="宋体" w:cs="宋体"/>
          <w:color w:val="auto"/>
          <w:sz w:val="21"/>
          <w:szCs w:val="21"/>
          <w:highlight w:val="none"/>
          <w:lang w:val="en-US" w:eastAsia="zh-CN"/>
        </w:rPr>
        <w:t>的人员中产生）</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定标委员会成员与中标候选人有利害关系的，应当主动申请回避。定标委员会名单在中标结果确定前应当保密。</w:t>
      </w:r>
    </w:p>
    <w:p w14:paraId="79CDCBD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定标委员会成员应当对定标过程保密，对所提出的定标意见承担个人责任，不得私下与投标人或者其他利害关系人接触。</w:t>
      </w:r>
    </w:p>
    <w:p w14:paraId="15977C9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有下列情况之一的，不得担任定标委员会成员：</w:t>
      </w:r>
    </w:p>
    <w:p w14:paraId="65C332C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与中标候选人或中标候选人主要负责人有近亲属关系或有经济利益关系的，可能影响定标公正的；</w:t>
      </w:r>
    </w:p>
    <w:p w14:paraId="27E3E71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曾因在招标投标有关活动中从事违法行为而受过行政处罚或刑事处罚的；</w:t>
      </w:r>
    </w:p>
    <w:p w14:paraId="786671E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中标候选人的在职人员或招标项目代理机构的在职人员。</w:t>
      </w:r>
    </w:p>
    <w:p w14:paraId="1CC3916A">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61" w:name="_Toc19690"/>
      <w:bookmarkStart w:id="62" w:name="_Toc4769"/>
      <w:r>
        <w:rPr>
          <w:rFonts w:hint="eastAsia" w:ascii="宋体" w:hAnsi="宋体" w:eastAsia="宋体" w:cs="宋体"/>
          <w:b/>
          <w:bCs/>
          <w:color w:val="auto"/>
          <w:sz w:val="22"/>
          <w:szCs w:val="22"/>
          <w:highlight w:val="none"/>
        </w:rPr>
        <w:t>五、定标核查</w:t>
      </w:r>
      <w:bookmarkEnd w:id="61"/>
      <w:bookmarkEnd w:id="62"/>
    </w:p>
    <w:p w14:paraId="293896A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定标委员会将对中标候选人进行定标核查。核查内容包括：</w:t>
      </w:r>
    </w:p>
    <w:p w14:paraId="57C0337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企业信用信息：</w:t>
      </w:r>
      <w:r>
        <w:rPr>
          <w:rFonts w:hint="eastAsia" w:ascii="宋体" w:hAnsi="宋体" w:eastAsia="宋体" w:cs="宋体"/>
          <w:color w:val="auto"/>
          <w:sz w:val="21"/>
          <w:szCs w:val="21"/>
          <w:highlight w:val="none"/>
          <w:lang w:val="en-US" w:eastAsia="zh-CN"/>
        </w:rPr>
        <w:t>现场网上查询中标候选人以下信息：</w:t>
      </w:r>
      <w:r>
        <w:rPr>
          <w:rFonts w:hint="eastAsia" w:ascii="宋体" w:hAnsi="宋体" w:eastAsia="宋体" w:cs="宋体"/>
          <w:color w:val="auto"/>
          <w:sz w:val="21"/>
          <w:szCs w:val="21"/>
          <w:highlight w:val="none"/>
        </w:rPr>
        <w:t>通过“信用中国”网站（https://www.creditchina.gov.cn/）“失信被执行人”-跳转至“中国执行信息公开网”网站（https://zxgk.court.gov.cn/shixin/）查询企业、法定代表人、拟派</w:t>
      </w:r>
      <w:r>
        <w:rPr>
          <w:rFonts w:hint="eastAsia" w:ascii="宋体" w:hAnsi="宋体" w:cs="宋体"/>
          <w:color w:val="auto"/>
          <w:sz w:val="21"/>
          <w:szCs w:val="21"/>
          <w:highlight w:val="none"/>
          <w:lang w:eastAsia="zh-CN"/>
        </w:rPr>
        <w:t>总监理工程师</w:t>
      </w:r>
      <w:r>
        <w:rPr>
          <w:rFonts w:hint="eastAsia" w:ascii="宋体" w:hAnsi="宋体" w:eastAsia="宋体" w:cs="宋体"/>
          <w:color w:val="auto"/>
          <w:sz w:val="21"/>
          <w:szCs w:val="21"/>
          <w:highlight w:val="none"/>
        </w:rPr>
        <w:t>，有失信记录的将被取消投标资格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②被列入政府采购严重违法失信行为记录名单的将被取消投标资格，在“中国政府采购网站（www.ccgp.gov.cn）的“政府采购严重违法失信行为名单”查询；③单位负责人为同一人或者存在控股、管理关系的不同单位，不得同时参加本项目投标（</w:t>
      </w:r>
      <w:r>
        <w:rPr>
          <w:rFonts w:hint="eastAsia" w:ascii="宋体" w:hAnsi="宋体" w:eastAsia="宋体" w:cs="宋体"/>
          <w:color w:val="auto"/>
          <w:sz w:val="21"/>
          <w:szCs w:val="21"/>
          <w:highlight w:val="none"/>
          <w:lang w:eastAsia="zh-CN"/>
        </w:rPr>
        <w:t>查询</w:t>
      </w:r>
      <w:r>
        <w:rPr>
          <w:rFonts w:hint="eastAsia" w:ascii="宋体" w:hAnsi="宋体" w:eastAsia="宋体" w:cs="宋体"/>
          <w:color w:val="auto"/>
          <w:sz w:val="21"/>
          <w:szCs w:val="21"/>
          <w:highlight w:val="none"/>
        </w:rPr>
        <w:t>“国家企业信用信息公示系统”中公示的公司信息、股东或投资人相关信息）。</w:t>
      </w:r>
    </w:p>
    <w:p w14:paraId="5BACAF4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履约能力：拟派该项目的总监理工程师持本人身份证、资格证书按照中标候选人公示的时间、地点准时参加质询并签署承诺书，总监理工程师未参加质询或未签署承诺书的，取消其中标候选人资格。</w:t>
      </w:r>
    </w:p>
    <w:p w14:paraId="0B595F4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营业执照、资质证书；</w:t>
      </w:r>
    </w:p>
    <w:p w14:paraId="7994C04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（4）总监理工程师</w:t>
      </w:r>
      <w:r>
        <w:rPr>
          <w:rFonts w:hint="eastAsia" w:ascii="宋体" w:hAnsi="宋体" w:eastAsia="宋体" w:cs="宋体"/>
          <w:color w:val="auto"/>
          <w:sz w:val="21"/>
          <w:szCs w:val="21"/>
          <w:highlight w:val="none"/>
          <w:lang w:val="en-US" w:eastAsia="zh-CN"/>
        </w:rPr>
        <w:t>注册证书、项目组人员相关从业资格证书；</w:t>
      </w:r>
    </w:p>
    <w:p w14:paraId="36FEC91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社保证明：</w:t>
      </w:r>
      <w:r>
        <w:rPr>
          <w:rFonts w:hint="eastAsia" w:ascii="宋体" w:hAnsi="宋体" w:cs="宋体"/>
          <w:color w:val="auto"/>
          <w:sz w:val="21"/>
          <w:szCs w:val="21"/>
          <w:highlight w:val="none"/>
          <w:lang w:val="en-US" w:eastAsia="zh-CN"/>
        </w:rPr>
        <w:t>总监理工程师</w:t>
      </w:r>
      <w:r>
        <w:rPr>
          <w:rFonts w:hint="eastAsia" w:ascii="宋体" w:hAnsi="宋体" w:eastAsia="宋体" w:cs="宋体"/>
          <w:color w:val="auto"/>
          <w:sz w:val="21"/>
          <w:szCs w:val="21"/>
          <w:highlight w:val="none"/>
          <w:lang w:val="en-US" w:eastAsia="zh-CN"/>
        </w:rPr>
        <w:t>、项目组成人员、委托代理人等；</w:t>
      </w:r>
    </w:p>
    <w:p w14:paraId="0525D7E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企业实力：主要包括企业规模、资质等级、专业技术人员规模、近三年财务状况、类似业绩、拟派团队人员的实力等；</w:t>
      </w:r>
    </w:p>
    <w:p w14:paraId="61482DD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企业信用：主要包括国家、省、市根据行业信用综合评价结果、类似业绩履约情况等；</w:t>
      </w:r>
    </w:p>
    <w:p w14:paraId="16C5DCA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color w:val="auto"/>
          <w:sz w:val="16"/>
          <w:szCs w:val="16"/>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招标人认为需要核查及核评的其他内容。</w:t>
      </w:r>
    </w:p>
    <w:p w14:paraId="32BBDE85">
      <w:pPr>
        <w:keepNext w:val="0"/>
        <w:keepLines w:val="0"/>
        <w:pageBreakBefore w:val="0"/>
        <w:widowControl w:val="0"/>
        <w:kinsoku/>
        <w:wordWrap w:val="0"/>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注：中标候选人须在招标人指定的时间、地点，递交</w:t>
      </w: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lang w:eastAsia="zh-CN"/>
        </w:rPr>
        <w:t>份纸质投标文件，该文件内容须与通过驻马店市公共资源交易电子交易平台上传的投标文件完全一致</w:t>
      </w:r>
      <w:r>
        <w:rPr>
          <w:rFonts w:ascii="宋体" w:hAnsi="宋体" w:eastAsia="宋体" w:cs="宋体"/>
          <w:b/>
          <w:bCs/>
          <w:color w:val="auto"/>
          <w:sz w:val="21"/>
          <w:szCs w:val="21"/>
          <w:highlight w:val="none"/>
        </w:rPr>
        <w:t>。</w:t>
      </w:r>
    </w:p>
    <w:p w14:paraId="1A6163C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定标委员会应当严格履行定标环节核查责任，经核查发现定标候选人确有问题的，应当主动向行政监督部门报告，并依规否决相应中标候选人资格，同时向该候选人书面说明</w:t>
      </w:r>
      <w:r>
        <w:rPr>
          <w:rFonts w:hint="eastAsia" w:ascii="宋体" w:hAnsi="宋体" w:eastAsia="宋体" w:cs="宋体"/>
          <w:color w:val="auto"/>
          <w:sz w:val="21"/>
          <w:szCs w:val="21"/>
          <w:highlight w:val="none"/>
          <w:lang w:eastAsia="zh-CN"/>
        </w:rPr>
        <w:t>，由该候选人书面确认，该候选人不同意否决问题的，应提供说明及证明材料，未书面确认的，书面通知书发出三个工作日后视为认可</w:t>
      </w:r>
      <w:r>
        <w:rPr>
          <w:rFonts w:hint="eastAsia" w:ascii="宋体" w:hAnsi="宋体" w:eastAsia="宋体" w:cs="宋体"/>
          <w:color w:val="auto"/>
          <w:sz w:val="21"/>
          <w:szCs w:val="21"/>
          <w:highlight w:val="none"/>
        </w:rPr>
        <w:t>。</w:t>
      </w:r>
    </w:p>
    <w:p w14:paraId="2D60A0A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定标委员会查实有中标候选人存在影响中标结果的违反法律、法规及招标文件相关规定，不符合中标条件的，不得进入定标程序。</w:t>
      </w:r>
    </w:p>
    <w:p w14:paraId="39C133C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73D0F40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经核查合格的中标候选人即可按照核查随机法进入随机抽取程序，如经核查合格的中标候选人数量≥3家（含3家）时，招标人应继续进入随机抽取程序；如经核查合格的中标候选人数量＜3家（不含3家）时，招标人应重新招标。</w:t>
      </w:r>
    </w:p>
    <w:p w14:paraId="2184EF2C">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2"/>
          <w:szCs w:val="22"/>
          <w:highlight w:val="none"/>
        </w:rPr>
      </w:pPr>
      <w:bookmarkStart w:id="63" w:name="_Toc5147"/>
      <w:bookmarkStart w:id="64" w:name="_Toc1124"/>
      <w:r>
        <w:rPr>
          <w:rFonts w:hint="eastAsia" w:ascii="宋体" w:hAnsi="宋体" w:eastAsia="宋体" w:cs="宋体"/>
          <w:b/>
          <w:bCs/>
          <w:color w:val="auto"/>
          <w:sz w:val="22"/>
          <w:szCs w:val="22"/>
          <w:highlight w:val="none"/>
        </w:rPr>
        <w:t>六、定标程序</w:t>
      </w:r>
      <w:bookmarkEnd w:id="63"/>
      <w:bookmarkEnd w:id="64"/>
    </w:p>
    <w:p w14:paraId="0445F1AC">
      <w:pPr>
        <w:pageBreakBefore w:val="0"/>
        <w:wordWrap w:val="0"/>
        <w:autoSpaceDE w:val="0"/>
        <w:autoSpaceDN w:val="0"/>
        <w:bidi w:val="0"/>
        <w:adjustRightInd w:val="0"/>
        <w:spacing w:line="360" w:lineRule="auto"/>
        <w:ind w:firstLine="420" w:firstLineChars="200"/>
        <w:outlineLvl w:val="9"/>
        <w:rPr>
          <w:rFonts w:hint="eastAsia" w:ascii="宋体" w:hAnsi="宋体" w:eastAsia="宋体" w:cs="宋体"/>
          <w:color w:val="auto"/>
          <w:szCs w:val="21"/>
          <w:highlight w:val="none"/>
          <w:lang w:val="en-US" w:eastAsia="zh-CN"/>
        </w:rPr>
      </w:pPr>
      <w:bookmarkStart w:id="65" w:name="_Toc11872"/>
      <w:bookmarkStart w:id="66" w:name="_Toc10907"/>
      <w:r>
        <w:rPr>
          <w:rFonts w:hint="eastAsia" w:ascii="宋体" w:hAnsi="宋体" w:eastAsia="宋体" w:cs="宋体"/>
          <w:color w:val="auto"/>
          <w:szCs w:val="21"/>
          <w:highlight w:val="none"/>
          <w:lang w:val="en-US" w:eastAsia="zh-CN"/>
        </w:rPr>
        <w:t xml:space="preserve">定标委员会将通过核查随机法进行定标。 </w:t>
      </w:r>
    </w:p>
    <w:p w14:paraId="24AA0E40">
      <w:pPr>
        <w:pageBreakBefore w:val="0"/>
        <w:kinsoku/>
        <w:wordWrap w:val="0"/>
        <w:overflowPunct/>
        <w:topLinePunct w:val="0"/>
        <w:bidi w:val="0"/>
        <w:spacing w:line="430" w:lineRule="exact"/>
        <w:ind w:firstLine="420" w:firstLineChars="200"/>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招标人在收到评标报告后10日内完成定标工作</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定标会议在</w:t>
      </w:r>
      <w:r>
        <w:rPr>
          <w:rFonts w:hint="eastAsia" w:ascii="宋体" w:hAnsi="宋体" w:eastAsia="宋体" w:cs="宋体"/>
          <w:color w:val="auto"/>
          <w:szCs w:val="21"/>
          <w:highlight w:val="none"/>
          <w:lang w:val="en-US" w:eastAsia="zh-CN"/>
        </w:rPr>
        <w:t>确山县</w:t>
      </w:r>
      <w:r>
        <w:rPr>
          <w:rFonts w:hint="default" w:ascii="宋体" w:hAnsi="宋体" w:eastAsia="宋体" w:cs="宋体"/>
          <w:color w:val="auto"/>
          <w:szCs w:val="21"/>
          <w:highlight w:val="none"/>
          <w:lang w:val="en-US" w:eastAsia="zh-CN"/>
        </w:rPr>
        <w:t>公共资源交易中心</w:t>
      </w:r>
      <w:r>
        <w:rPr>
          <w:rFonts w:hint="eastAsia" w:ascii="宋体" w:hAnsi="宋体" w:eastAsia="宋体" w:cs="宋体"/>
          <w:color w:val="auto"/>
          <w:szCs w:val="21"/>
          <w:highlight w:val="none"/>
          <w:lang w:val="en-US" w:eastAsia="zh-CN"/>
        </w:rPr>
        <w:t>定标室</w:t>
      </w:r>
      <w:r>
        <w:rPr>
          <w:rFonts w:hint="default" w:ascii="宋体" w:hAnsi="宋体" w:eastAsia="宋体" w:cs="宋体"/>
          <w:color w:val="auto"/>
          <w:szCs w:val="21"/>
          <w:highlight w:val="none"/>
          <w:lang w:val="en-US" w:eastAsia="zh-CN"/>
        </w:rPr>
        <w:t>进行。若不能按上述期限完成定标工作，将通过</w:t>
      </w:r>
      <w:r>
        <w:rPr>
          <w:rFonts w:hint="eastAsia" w:ascii="宋体" w:hAnsi="宋体" w:eastAsia="宋体" w:cs="宋体"/>
          <w:color w:val="auto"/>
          <w:szCs w:val="21"/>
          <w:highlight w:val="none"/>
          <w:lang w:val="en-US" w:eastAsia="zh-CN"/>
        </w:rPr>
        <w:t>驻马店市</w:t>
      </w:r>
      <w:r>
        <w:rPr>
          <w:rFonts w:hint="default" w:ascii="宋体" w:hAnsi="宋体" w:eastAsia="宋体" w:cs="宋体"/>
          <w:color w:val="auto"/>
          <w:szCs w:val="21"/>
          <w:highlight w:val="none"/>
          <w:lang w:val="en-US" w:eastAsia="zh-CN"/>
        </w:rPr>
        <w:t>公共资源交易平台发布延期原因和最终定标时间。</w:t>
      </w:r>
      <w:r>
        <w:rPr>
          <w:rFonts w:hint="eastAsia" w:ascii="宋体" w:hAnsi="宋体" w:eastAsia="宋体" w:cs="宋体"/>
          <w:color w:val="auto"/>
          <w:szCs w:val="21"/>
          <w:highlight w:val="none"/>
          <w:lang w:val="en-US" w:eastAsia="zh-CN"/>
        </w:rPr>
        <w:t>定标时间及具体地点由招标代理机构提前通知。</w:t>
      </w:r>
    </w:p>
    <w:p w14:paraId="3F9FDF6C">
      <w:pPr>
        <w:pageBreakBefore w:val="0"/>
        <w:kinsoku/>
        <w:wordWrap w:val="0"/>
        <w:overflowPunct/>
        <w:topLinePunct w:val="0"/>
        <w:bidi w:val="0"/>
        <w:spacing w:line="43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定标会议时代理机构工作人员现场向参会人员公示定标核查报告密封情况。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67F7F681">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“四随机”随机选取方式如下：</w:t>
      </w:r>
    </w:p>
    <w:tbl>
      <w:tblPr>
        <w:tblStyle w:val="25"/>
        <w:tblpPr w:leftFromText="180" w:rightFromText="180" w:vertAnchor="text" w:horzAnchor="page" w:tblpX="1707" w:tblpY="466"/>
        <w:tblOverlap w:val="never"/>
        <w:tblW w:w="903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57" w:type="dxa"/>
          <w:left w:w="108" w:type="dxa"/>
          <w:bottom w:w="0" w:type="dxa"/>
          <w:right w:w="108" w:type="dxa"/>
        </w:tblCellMar>
      </w:tblPr>
      <w:tblGrid>
        <w:gridCol w:w="912"/>
        <w:gridCol w:w="2290"/>
        <w:gridCol w:w="4187"/>
        <w:gridCol w:w="1647"/>
      </w:tblGrid>
      <w:tr w14:paraId="22ED9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trHeight w:val="653" w:hRule="atLeast"/>
          <w:tblHeader/>
        </w:trPr>
        <w:tc>
          <w:tcPr>
            <w:tcW w:w="912" w:type="dxa"/>
            <w:tcBorders>
              <w:tl2br w:val="nil"/>
              <w:tr2bl w:val="nil"/>
            </w:tcBorders>
            <w:noWrap w:val="0"/>
            <w:vAlign w:val="center"/>
          </w:tcPr>
          <w:p w14:paraId="054BE102">
            <w:pPr>
              <w:keepNext w:val="0"/>
              <w:keepLines w:val="0"/>
              <w:suppressLineNumbers w:val="0"/>
              <w:snapToGrid w:val="0"/>
              <w:spacing w:before="0" w:beforeAutospacing="0" w:after="0" w:afterAutospacing="0" w:line="360" w:lineRule="auto"/>
              <w:ind w:left="0" w:right="0"/>
              <w:jc w:val="center"/>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序号</w:t>
            </w:r>
          </w:p>
        </w:tc>
        <w:tc>
          <w:tcPr>
            <w:tcW w:w="2290" w:type="dxa"/>
            <w:tcBorders>
              <w:tl2br w:val="nil"/>
              <w:tr2bl w:val="nil"/>
            </w:tcBorders>
            <w:noWrap w:val="0"/>
            <w:vAlign w:val="center"/>
          </w:tcPr>
          <w:p w14:paraId="3D212A00">
            <w:pPr>
              <w:keepNext w:val="0"/>
              <w:keepLines w:val="0"/>
              <w:suppressLineNumbers w:val="0"/>
              <w:snapToGrid w:val="0"/>
              <w:spacing w:before="0" w:beforeAutospacing="0" w:after="0" w:afterAutospacing="0" w:line="360" w:lineRule="auto"/>
              <w:ind w:left="0" w:right="0"/>
              <w:jc w:val="center"/>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定标过程</w:t>
            </w:r>
          </w:p>
        </w:tc>
        <w:tc>
          <w:tcPr>
            <w:tcW w:w="4187" w:type="dxa"/>
            <w:tcBorders>
              <w:tl2br w:val="nil"/>
              <w:tr2bl w:val="nil"/>
            </w:tcBorders>
            <w:noWrap w:val="0"/>
            <w:vAlign w:val="center"/>
          </w:tcPr>
          <w:p w14:paraId="76A41705">
            <w:pPr>
              <w:keepNext w:val="0"/>
              <w:keepLines w:val="0"/>
              <w:suppressLineNumbers w:val="0"/>
              <w:snapToGrid w:val="0"/>
              <w:spacing w:before="0" w:beforeAutospacing="0" w:after="0" w:afterAutospacing="0" w:line="360" w:lineRule="auto"/>
              <w:ind w:left="0" w:right="0"/>
              <w:jc w:val="center"/>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具体内容</w:t>
            </w:r>
          </w:p>
        </w:tc>
        <w:tc>
          <w:tcPr>
            <w:tcW w:w="1647" w:type="dxa"/>
            <w:tcBorders>
              <w:tl2br w:val="nil"/>
              <w:tr2bl w:val="nil"/>
            </w:tcBorders>
            <w:noWrap w:val="0"/>
            <w:vAlign w:val="center"/>
          </w:tcPr>
          <w:p w14:paraId="528A5077">
            <w:pPr>
              <w:keepNext w:val="0"/>
              <w:keepLines w:val="0"/>
              <w:suppressLineNumbers w:val="0"/>
              <w:snapToGrid w:val="0"/>
              <w:spacing w:before="0" w:beforeAutospacing="0" w:after="0" w:afterAutospacing="0" w:line="360" w:lineRule="auto"/>
              <w:ind w:left="0" w:right="0"/>
              <w:jc w:val="center"/>
              <w:rPr>
                <w:rFonts w:hint="default" w:ascii="Times New Roman" w:hAnsi="Times New Roman" w:cs="Times New Roman"/>
                <w:b/>
                <w:color w:val="auto"/>
                <w:sz w:val="22"/>
                <w:szCs w:val="22"/>
                <w:highlight w:val="none"/>
              </w:rPr>
            </w:pPr>
            <w:r>
              <w:rPr>
                <w:rFonts w:hint="default" w:ascii="Times New Roman" w:hAnsi="Times New Roman" w:cs="Times New Roman"/>
                <w:b/>
                <w:color w:val="auto"/>
                <w:sz w:val="22"/>
                <w:szCs w:val="22"/>
                <w:highlight w:val="none"/>
              </w:rPr>
              <w:t>备注</w:t>
            </w:r>
          </w:p>
        </w:tc>
      </w:tr>
      <w:tr w14:paraId="71332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tcBorders>
              <w:tl2br w:val="nil"/>
              <w:tr2bl w:val="nil"/>
            </w:tcBorders>
            <w:noWrap w:val="0"/>
            <w:vAlign w:val="center"/>
          </w:tcPr>
          <w:p w14:paraId="0E3E3FFD">
            <w:pPr>
              <w:pageBreakBefore w:val="0"/>
              <w:kinsoku/>
              <w:wordWrap w:val="0"/>
              <w:overflowPunct/>
              <w:topLinePunct w:val="0"/>
              <w:bidi w:val="0"/>
              <w:spacing w:line="430" w:lineRule="exact"/>
              <w:ind w:firstLine="420" w:firstLineChars="200"/>
              <w:jc w:val="both"/>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1</w:t>
            </w:r>
          </w:p>
        </w:tc>
        <w:tc>
          <w:tcPr>
            <w:tcW w:w="2290" w:type="dxa"/>
            <w:tcBorders>
              <w:tl2br w:val="nil"/>
              <w:tr2bl w:val="nil"/>
            </w:tcBorders>
            <w:noWrap w:val="0"/>
            <w:vAlign w:val="center"/>
          </w:tcPr>
          <w:p w14:paraId="447688C5">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由定标委员会</w:t>
            </w:r>
            <w:r>
              <w:rPr>
                <w:rFonts w:hint="eastAsia" w:ascii="宋体" w:hAnsi="宋体" w:eastAsia="宋体" w:cs="宋体"/>
                <w:color w:val="auto"/>
                <w:szCs w:val="21"/>
                <w:highlight w:val="none"/>
                <w:lang w:val="en-US" w:eastAsia="zh-CN"/>
              </w:rPr>
              <w:t>组长</w:t>
            </w:r>
            <w:r>
              <w:rPr>
                <w:rFonts w:hint="default" w:ascii="宋体" w:hAnsi="宋体" w:eastAsia="宋体" w:cs="宋体"/>
                <w:color w:val="auto"/>
                <w:szCs w:val="21"/>
                <w:highlight w:val="none"/>
                <w:lang w:val="en-US" w:eastAsia="zh-CN"/>
              </w:rPr>
              <w:t>现场随机抽取所使用的成套号码球，并将选取号码球放入抽号箱</w:t>
            </w:r>
          </w:p>
        </w:tc>
        <w:tc>
          <w:tcPr>
            <w:tcW w:w="4187" w:type="dxa"/>
            <w:tcBorders>
              <w:tl2br w:val="nil"/>
              <w:tr2bl w:val="nil"/>
            </w:tcBorders>
            <w:noWrap w:val="0"/>
            <w:vAlign w:val="center"/>
          </w:tcPr>
          <w:p w14:paraId="4FBA8CB0">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在定标现场放置标注为“1”“2”的2组自然数代码球。监督人员及各中标候选人现场查验抽号箱及号码球有无异常。定标委员会</w:t>
            </w:r>
            <w:r>
              <w:rPr>
                <w:rFonts w:hint="eastAsia" w:ascii="宋体" w:hAnsi="宋体" w:eastAsia="宋体" w:cs="宋体"/>
                <w:color w:val="auto"/>
                <w:szCs w:val="21"/>
                <w:highlight w:val="none"/>
                <w:lang w:val="en-US" w:eastAsia="zh-CN"/>
              </w:rPr>
              <w:t>组长</w:t>
            </w:r>
            <w:r>
              <w:rPr>
                <w:rFonts w:hint="default" w:ascii="宋体" w:hAnsi="宋体" w:eastAsia="宋体" w:cs="宋体"/>
                <w:color w:val="auto"/>
                <w:szCs w:val="21"/>
                <w:highlight w:val="none"/>
                <w:lang w:val="en-US" w:eastAsia="zh-CN"/>
              </w:rPr>
              <w:t>现场随机抽取所使用的成套号码球，并将选取号码球放入抽号箱。</w:t>
            </w:r>
          </w:p>
        </w:tc>
        <w:tc>
          <w:tcPr>
            <w:tcW w:w="1647" w:type="dxa"/>
            <w:tcBorders>
              <w:tl2br w:val="nil"/>
              <w:tr2bl w:val="nil"/>
            </w:tcBorders>
            <w:noWrap w:val="0"/>
            <w:vAlign w:val="center"/>
          </w:tcPr>
          <w:p w14:paraId="134D3CBF">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p>
        </w:tc>
      </w:tr>
      <w:tr w14:paraId="64144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tcBorders>
              <w:tl2br w:val="nil"/>
              <w:tr2bl w:val="nil"/>
            </w:tcBorders>
            <w:noWrap w:val="0"/>
            <w:vAlign w:val="center"/>
          </w:tcPr>
          <w:p w14:paraId="0A22EE09">
            <w:pPr>
              <w:pageBreakBefore w:val="0"/>
              <w:kinsoku/>
              <w:wordWrap w:val="0"/>
              <w:overflowPunct/>
              <w:topLinePunct w:val="0"/>
              <w:bidi w:val="0"/>
              <w:spacing w:line="430" w:lineRule="exact"/>
              <w:ind w:firstLine="420" w:firstLineChars="200"/>
              <w:jc w:val="both"/>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2</w:t>
            </w:r>
          </w:p>
        </w:tc>
        <w:tc>
          <w:tcPr>
            <w:tcW w:w="2290" w:type="dxa"/>
            <w:tcBorders>
              <w:tl2br w:val="nil"/>
              <w:tr2bl w:val="nil"/>
            </w:tcBorders>
            <w:noWrap w:val="0"/>
            <w:vAlign w:val="center"/>
          </w:tcPr>
          <w:p w14:paraId="47531022">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中标候选人随机抽取对应身份号码球</w:t>
            </w:r>
          </w:p>
        </w:tc>
        <w:tc>
          <w:tcPr>
            <w:tcW w:w="4187" w:type="dxa"/>
            <w:tcBorders>
              <w:tl2br w:val="nil"/>
              <w:tr2bl w:val="nil"/>
            </w:tcBorders>
            <w:noWrap w:val="0"/>
            <w:vAlign w:val="center"/>
          </w:tcPr>
          <w:p w14:paraId="4FDA6B77">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通过核查的中标候选人按照电子投标文件递交的时间顺序依次抽取号码球，该号码将作为各中标候选人身份号码，参与后续流程的唯一编号，不再变动。定标委员会将对各中标候选人的编号做记录备案。</w:t>
            </w:r>
          </w:p>
        </w:tc>
        <w:tc>
          <w:tcPr>
            <w:tcW w:w="1647" w:type="dxa"/>
            <w:tcBorders>
              <w:tl2br w:val="nil"/>
              <w:tr2bl w:val="nil"/>
            </w:tcBorders>
            <w:noWrap w:val="0"/>
            <w:vAlign w:val="center"/>
          </w:tcPr>
          <w:p w14:paraId="3075A7DD">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若中标候选人未到场，则其身份号码球由</w:t>
            </w:r>
            <w:r>
              <w:rPr>
                <w:rFonts w:hint="eastAsia" w:ascii="宋体" w:hAnsi="宋体" w:eastAsia="宋体" w:cs="宋体"/>
                <w:color w:val="auto"/>
                <w:szCs w:val="21"/>
                <w:highlight w:val="none"/>
                <w:lang w:val="en-US" w:eastAsia="zh-CN"/>
              </w:rPr>
              <w:t>定标委员会</w:t>
            </w:r>
            <w:r>
              <w:rPr>
                <w:rFonts w:hint="default" w:ascii="宋体" w:hAnsi="宋体" w:eastAsia="宋体" w:cs="宋体"/>
                <w:color w:val="auto"/>
                <w:szCs w:val="21"/>
                <w:highlight w:val="none"/>
                <w:lang w:val="en-US" w:eastAsia="zh-CN"/>
              </w:rPr>
              <w:t>代抽</w:t>
            </w:r>
          </w:p>
        </w:tc>
      </w:tr>
      <w:tr w14:paraId="2E735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tcBorders>
              <w:tl2br w:val="nil"/>
              <w:tr2bl w:val="nil"/>
            </w:tcBorders>
            <w:noWrap w:val="0"/>
            <w:vAlign w:val="center"/>
          </w:tcPr>
          <w:p w14:paraId="7BDB2091">
            <w:pPr>
              <w:pageBreakBefore w:val="0"/>
              <w:kinsoku/>
              <w:wordWrap w:val="0"/>
              <w:overflowPunct/>
              <w:topLinePunct w:val="0"/>
              <w:bidi w:val="0"/>
              <w:spacing w:line="430" w:lineRule="exact"/>
              <w:ind w:firstLine="420" w:firstLineChars="200"/>
              <w:jc w:val="both"/>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3</w:t>
            </w:r>
          </w:p>
        </w:tc>
        <w:tc>
          <w:tcPr>
            <w:tcW w:w="2290" w:type="dxa"/>
            <w:tcBorders>
              <w:tl2br w:val="nil"/>
              <w:tr2bl w:val="nil"/>
            </w:tcBorders>
            <w:noWrap w:val="0"/>
            <w:vAlign w:val="center"/>
          </w:tcPr>
          <w:p w14:paraId="0C2FC1E0">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随机抽取产生</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w:t>
            </w:r>
          </w:p>
        </w:tc>
        <w:tc>
          <w:tcPr>
            <w:tcW w:w="4187" w:type="dxa"/>
            <w:tcBorders>
              <w:tl2br w:val="nil"/>
              <w:tr2bl w:val="nil"/>
            </w:tcBorders>
            <w:noWrap w:val="0"/>
            <w:vAlign w:val="center"/>
          </w:tcPr>
          <w:p w14:paraId="2C7C17B3">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由定标委员会组长随机抽取一个身份号码球，该号码对应的中标候选人为后续流程</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的人选。定标委员会将对此流程产生的</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的人选的编号做记录备案。</w:t>
            </w:r>
            <w:r>
              <w:rPr>
                <w:rFonts w:hint="eastAsia" w:ascii="宋体" w:hAnsi="宋体" w:eastAsia="宋体" w:cs="宋体"/>
                <w:color w:val="auto"/>
                <w:szCs w:val="21"/>
                <w:highlight w:val="none"/>
                <w:lang w:val="en-US" w:eastAsia="zh-CN"/>
              </w:rPr>
              <w:t>注：如中标候选人均未到场则由定标委员会组长为抽取中标人人选。</w:t>
            </w:r>
          </w:p>
        </w:tc>
        <w:tc>
          <w:tcPr>
            <w:tcW w:w="1647" w:type="dxa"/>
            <w:tcBorders>
              <w:tl2br w:val="nil"/>
              <w:tr2bl w:val="nil"/>
            </w:tcBorders>
            <w:noWrap w:val="0"/>
            <w:vAlign w:val="center"/>
          </w:tcPr>
          <w:p w14:paraId="0255D0E6">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若中标候选人未到场，则其身份号码球不参与随机抽取人选</w:t>
            </w:r>
          </w:p>
        </w:tc>
      </w:tr>
      <w:tr w14:paraId="3A3F4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tcBorders>
              <w:tl2br w:val="nil"/>
              <w:tr2bl w:val="nil"/>
            </w:tcBorders>
            <w:noWrap w:val="0"/>
            <w:vAlign w:val="center"/>
          </w:tcPr>
          <w:p w14:paraId="42FF19EB">
            <w:pPr>
              <w:pageBreakBefore w:val="0"/>
              <w:kinsoku/>
              <w:wordWrap w:val="0"/>
              <w:overflowPunct/>
              <w:topLinePunct w:val="0"/>
              <w:bidi w:val="0"/>
              <w:spacing w:line="430" w:lineRule="exact"/>
              <w:ind w:firstLine="420" w:firstLineChars="200"/>
              <w:jc w:val="both"/>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4</w:t>
            </w:r>
          </w:p>
        </w:tc>
        <w:tc>
          <w:tcPr>
            <w:tcW w:w="2290" w:type="dxa"/>
            <w:tcBorders>
              <w:tl2br w:val="nil"/>
              <w:tr2bl w:val="nil"/>
            </w:tcBorders>
            <w:noWrap w:val="0"/>
            <w:vAlign w:val="center"/>
          </w:tcPr>
          <w:p w14:paraId="0E60935C">
            <w:pPr>
              <w:pageBreakBefore w:val="0"/>
              <w:kinsoku/>
              <w:wordWrap w:val="0"/>
              <w:overflowPunct/>
              <w:topLinePunct w:val="0"/>
              <w:bidi w:val="0"/>
              <w:spacing w:line="43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随机抽取产生中标人</w:t>
            </w:r>
          </w:p>
        </w:tc>
        <w:tc>
          <w:tcPr>
            <w:tcW w:w="4187" w:type="dxa"/>
            <w:tcBorders>
              <w:tl2br w:val="nil"/>
              <w:tr2bl w:val="nil"/>
            </w:tcBorders>
            <w:noWrap w:val="0"/>
            <w:vAlign w:val="center"/>
          </w:tcPr>
          <w:p w14:paraId="6EFC8303">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由序号3流程产生的</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将号码球当场重新公开验证后放入抽取器具， 并从中随机选取1个号码球，选取的号码球编号所对应的中标候选人即为本项目的中标人。</w:t>
            </w:r>
          </w:p>
          <w:p w14:paraId="2EE655EB">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定标委员会和监督部门人员对中标人对应的号码球和抽取结果进行记录备案，并由中标人的法定代表人或委托代理人签字确认后</w:t>
            </w:r>
            <w:r>
              <w:rPr>
                <w:rFonts w:hint="eastAsia" w:ascii="宋体" w:hAnsi="宋体" w:eastAsia="宋体" w:cs="宋体"/>
                <w:color w:val="auto"/>
                <w:szCs w:val="21"/>
                <w:highlight w:val="none"/>
                <w:lang w:val="en-US" w:eastAsia="zh-CN"/>
              </w:rPr>
              <w:t>（如中标人未派代表到场，视为认可本次抽取结果），由</w:t>
            </w:r>
            <w:r>
              <w:rPr>
                <w:rFonts w:hint="default" w:ascii="宋体" w:hAnsi="宋体" w:eastAsia="宋体" w:cs="宋体"/>
                <w:color w:val="auto"/>
                <w:szCs w:val="21"/>
                <w:highlight w:val="none"/>
                <w:lang w:val="en-US" w:eastAsia="zh-CN"/>
              </w:rPr>
              <w:t>定标委员会全体成员和监督人员进行签字确认。</w:t>
            </w:r>
          </w:p>
        </w:tc>
        <w:tc>
          <w:tcPr>
            <w:tcW w:w="1647" w:type="dxa"/>
            <w:tcBorders>
              <w:tl2br w:val="nil"/>
              <w:tr2bl w:val="nil"/>
            </w:tcBorders>
            <w:noWrap w:val="0"/>
            <w:vAlign w:val="center"/>
          </w:tcPr>
          <w:p w14:paraId="4B045F41">
            <w:pPr>
              <w:pageBreakBefore w:val="0"/>
              <w:kinsoku/>
              <w:wordWrap w:val="0"/>
              <w:overflowPunct/>
              <w:topLinePunct w:val="0"/>
              <w:bidi w:val="0"/>
              <w:spacing w:line="430" w:lineRule="exact"/>
              <w:ind w:firstLine="420" w:firstLineChars="200"/>
              <w:rPr>
                <w:rFonts w:hint="default" w:ascii="宋体" w:hAnsi="宋体" w:eastAsia="宋体" w:cs="宋体"/>
                <w:color w:val="auto"/>
                <w:szCs w:val="21"/>
                <w:highlight w:val="none"/>
                <w:lang w:val="en-US" w:eastAsia="zh-CN"/>
              </w:rPr>
            </w:pPr>
          </w:p>
        </w:tc>
      </w:tr>
    </w:tbl>
    <w:p w14:paraId="63575605">
      <w:pPr>
        <w:spacing w:line="360" w:lineRule="auto"/>
        <w:rPr>
          <w:color w:val="auto"/>
          <w:sz w:val="22"/>
          <w:szCs w:val="22"/>
          <w:highlight w:val="none"/>
        </w:rPr>
      </w:pPr>
    </w:p>
    <w:p w14:paraId="3829C0F1">
      <w:pPr>
        <w:spacing w:line="360" w:lineRule="auto"/>
        <w:ind w:firstLine="420" w:firstLineChars="200"/>
        <w:rPr>
          <w:rFonts w:hint="default" w:ascii="Times New Roman" w:hAnsi="Times New Roman" w:cs="Times New Roman"/>
          <w:b/>
          <w:bCs/>
          <w:color w:val="auto"/>
          <w:sz w:val="22"/>
          <w:szCs w:val="22"/>
          <w:highlight w:val="none"/>
        </w:rPr>
      </w:pPr>
      <w:bookmarkStart w:id="67" w:name="_Toc29372"/>
      <w:bookmarkStart w:id="68" w:name="_Toc11278"/>
      <w:bookmarkStart w:id="69" w:name="_Toc14216"/>
      <w:bookmarkStart w:id="70" w:name="_Toc10896"/>
      <w:bookmarkStart w:id="71" w:name="_Toc1008"/>
      <w:bookmarkStart w:id="72" w:name="_Toc20671"/>
      <w:bookmarkStart w:id="73" w:name="_Toc31796"/>
      <w:bookmarkStart w:id="74" w:name="_Toc3381"/>
      <w:bookmarkStart w:id="75" w:name="_Toc9735"/>
      <w:bookmarkStart w:id="76" w:name="_Toc450"/>
      <w:bookmarkStart w:id="77" w:name="_Toc16192"/>
      <w:r>
        <w:rPr>
          <w:rFonts w:hint="default" w:ascii="宋体" w:hAnsi="宋体" w:eastAsia="宋体" w:cs="宋体"/>
          <w:color w:val="auto"/>
          <w:szCs w:val="21"/>
          <w:highlight w:val="none"/>
          <w:lang w:val="en-US" w:eastAsia="zh-CN"/>
        </w:rPr>
        <w:t>定标委员会应当按照招标文件中明确的定标原则、方法和程序，在中标候选人中确定中标人，并形成书面定标报告，对所出具的定标报告承担责任。定标报告应当包括定标时间、定标地点、定标委员会成员名单、定标委员会组长、定标原则、定标方法、定标程序及定标结果等内容。</w:t>
      </w:r>
    </w:p>
    <w:bookmarkEnd w:id="67"/>
    <w:bookmarkEnd w:id="68"/>
    <w:bookmarkEnd w:id="69"/>
    <w:bookmarkEnd w:id="70"/>
    <w:bookmarkEnd w:id="71"/>
    <w:bookmarkEnd w:id="72"/>
    <w:bookmarkEnd w:id="73"/>
    <w:bookmarkEnd w:id="74"/>
    <w:bookmarkEnd w:id="75"/>
    <w:bookmarkEnd w:id="76"/>
    <w:bookmarkEnd w:id="77"/>
    <w:p w14:paraId="0BDB5CDF">
      <w:pPr>
        <w:pageBreakBefore w:val="0"/>
        <w:kinsoku/>
        <w:wordWrap w:val="0"/>
        <w:overflowPunct/>
        <w:topLinePunct w:val="0"/>
        <w:autoSpaceDE w:val="0"/>
        <w:autoSpaceDN w:val="0"/>
        <w:bidi w:val="0"/>
        <w:adjustRightInd w:val="0"/>
        <w:spacing w:line="360" w:lineRule="auto"/>
        <w:ind w:firstLine="442" w:firstLineChars="200"/>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kern w:val="2"/>
          <w:sz w:val="22"/>
          <w:szCs w:val="22"/>
          <w:highlight w:val="none"/>
          <w:lang w:val="en-US" w:eastAsia="zh-CN" w:bidi="ar-SA"/>
        </w:rPr>
        <w:t>核查随机法会议流程</w:t>
      </w:r>
    </w:p>
    <w:p w14:paraId="74D0F380">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（1）宣读定标会议会场纪律；</w:t>
      </w:r>
    </w:p>
    <w:p w14:paraId="3A61D29E">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（2）介绍参加本次定标会议的有关单位；</w:t>
      </w:r>
    </w:p>
    <w:p w14:paraId="6AD215B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（3）介绍本项目定标委员会组长及成员；</w:t>
      </w:r>
    </w:p>
    <w:p w14:paraId="12E260F5">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（4）宣读招标文件中明确的定标方法及定标流程；</w:t>
      </w:r>
    </w:p>
    <w:p w14:paraId="474C3D9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（5）定标委员会组长宣读定标委员会承诺书、介绍项目情况、招标情况、评标情况、对中标候选人的核查情况；</w:t>
      </w:r>
    </w:p>
    <w:p w14:paraId="58235DD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（6）随机确定选用的号码球组号：在抽取箱内放入2个标注为“1”“2”的号码球。</w:t>
      </w:r>
      <w:r>
        <w:rPr>
          <w:rFonts w:hint="eastAsia" w:ascii="宋体" w:hAnsi="宋体" w:cs="宋体"/>
          <w:color w:val="auto"/>
          <w:szCs w:val="21"/>
          <w:highlight w:val="none"/>
          <w:lang w:val="en-US" w:eastAsia="zh-CN"/>
        </w:rPr>
        <w:t>监</w:t>
      </w:r>
      <w:r>
        <w:rPr>
          <w:rFonts w:hint="default" w:ascii="宋体" w:hAnsi="宋体" w:eastAsia="宋体" w:cs="宋体"/>
          <w:color w:val="auto"/>
          <w:szCs w:val="21"/>
          <w:highlight w:val="none"/>
          <w:lang w:val="en-US" w:eastAsia="zh-CN"/>
        </w:rPr>
        <w:t>督人员及各中标候选人现场查验抽号箱及号码球有无异常。</w:t>
      </w:r>
      <w:r>
        <w:rPr>
          <w:rFonts w:hint="eastAsia" w:ascii="宋体" w:hAnsi="宋体" w:eastAsia="宋体" w:cs="宋体"/>
          <w:color w:val="auto"/>
          <w:szCs w:val="21"/>
          <w:highlight w:val="none"/>
          <w:lang w:val="en-US" w:eastAsia="zh-CN"/>
        </w:rPr>
        <w:t>由定标委员会组长从中随机抽取1个号码球，抽取号码球数字即为本次定标选用的号码球组号。</w:t>
      </w:r>
    </w:p>
    <w:p w14:paraId="12B5C005">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（7）检查、投放号码球。</w:t>
      </w:r>
      <w:r>
        <w:rPr>
          <w:rFonts w:hint="default" w:ascii="宋体" w:hAnsi="宋体" w:eastAsia="宋体" w:cs="宋体"/>
          <w:color w:val="auto"/>
          <w:szCs w:val="21"/>
          <w:highlight w:val="none"/>
          <w:lang w:val="en-US" w:eastAsia="zh-CN"/>
        </w:rPr>
        <w:t>监督人员及各中标候选人现场</w:t>
      </w:r>
      <w:r>
        <w:rPr>
          <w:rFonts w:hint="eastAsia" w:ascii="宋体" w:hAnsi="宋体" w:eastAsia="宋体" w:cs="宋体"/>
          <w:color w:val="auto"/>
          <w:szCs w:val="21"/>
          <w:highlight w:val="none"/>
          <w:lang w:val="en-US" w:eastAsia="zh-CN"/>
        </w:rPr>
        <w:t>检查抽取箱、号码球。代理机构工作人员面向参会人员及摄像头展示号码球并投入抽取箱；</w:t>
      </w:r>
    </w:p>
    <w:p w14:paraId="336C919F">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w:t>
      </w:r>
      <w:r>
        <w:rPr>
          <w:rFonts w:hint="default" w:ascii="宋体" w:hAnsi="宋体" w:eastAsia="宋体" w:cs="宋体"/>
          <w:color w:val="auto"/>
          <w:szCs w:val="21"/>
          <w:highlight w:val="none"/>
          <w:lang w:val="en-US" w:eastAsia="zh-CN"/>
        </w:rPr>
        <w:t>中标候选人随机抽取对应身份号码球</w:t>
      </w:r>
      <w:r>
        <w:rPr>
          <w:rFonts w:hint="eastAsia" w:ascii="宋体" w:hAnsi="宋体" w:eastAsia="宋体" w:cs="宋体"/>
          <w:color w:val="auto"/>
          <w:szCs w:val="21"/>
          <w:highlight w:val="none"/>
          <w:lang w:val="en-US" w:eastAsia="zh-CN"/>
        </w:rPr>
        <w:t>：在抽取箱放入标有从1到N自然数的乒乓球（N为经评审合格的中标候选人数）。按照电子投标文件递交的时间顺序，由</w:t>
      </w:r>
      <w:r>
        <w:rPr>
          <w:rFonts w:hint="default" w:ascii="宋体" w:hAnsi="宋体" w:eastAsia="宋体" w:cs="宋体"/>
          <w:color w:val="auto"/>
          <w:szCs w:val="21"/>
          <w:highlight w:val="none"/>
          <w:lang w:val="en-US" w:eastAsia="zh-CN"/>
        </w:rPr>
        <w:t>通过核查的中标候选人</w:t>
      </w:r>
      <w:r>
        <w:rPr>
          <w:rFonts w:hint="eastAsia" w:ascii="宋体" w:hAnsi="宋体" w:eastAsia="宋体" w:cs="宋体"/>
          <w:color w:val="auto"/>
          <w:szCs w:val="21"/>
          <w:highlight w:val="none"/>
          <w:lang w:val="en-US" w:eastAsia="zh-CN"/>
        </w:rPr>
        <w:t>依次抽取号码球，</w:t>
      </w:r>
      <w:r>
        <w:rPr>
          <w:rFonts w:hint="default" w:ascii="宋体" w:hAnsi="宋体" w:eastAsia="宋体" w:cs="宋体"/>
          <w:color w:val="auto"/>
          <w:szCs w:val="21"/>
          <w:highlight w:val="none"/>
          <w:lang w:val="en-US" w:eastAsia="zh-CN"/>
        </w:rPr>
        <w:t>该号码将作为各中标候选人身份号码，参与后续流程的唯一编号，不再变动。定标委员会将对各中标候选人的编号做记录备案。</w:t>
      </w:r>
      <w:r>
        <w:rPr>
          <w:rFonts w:hint="eastAsia" w:ascii="宋体" w:hAnsi="宋体" w:eastAsia="宋体" w:cs="宋体"/>
          <w:color w:val="auto"/>
          <w:szCs w:val="21"/>
          <w:highlight w:val="none"/>
          <w:lang w:val="en-US" w:eastAsia="zh-CN"/>
        </w:rPr>
        <w:t>未到场的中标候选人由定标委员会组长代为抽取；</w:t>
      </w:r>
    </w:p>
    <w:p w14:paraId="6F785BC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w:t>
      </w:r>
      <w:r>
        <w:rPr>
          <w:rFonts w:hint="default" w:ascii="宋体" w:hAnsi="宋体" w:eastAsia="宋体" w:cs="宋体"/>
          <w:color w:val="auto"/>
          <w:szCs w:val="21"/>
          <w:highlight w:val="none"/>
          <w:lang w:val="en-US" w:eastAsia="zh-CN"/>
        </w:rPr>
        <w:t>随机抽取产生</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由定标委员会组长</w:t>
      </w:r>
      <w:r>
        <w:rPr>
          <w:rFonts w:hint="eastAsia" w:ascii="宋体" w:hAnsi="宋体" w:eastAsia="宋体" w:cs="宋体"/>
          <w:color w:val="auto"/>
          <w:szCs w:val="21"/>
          <w:highlight w:val="none"/>
          <w:lang w:val="en-US" w:eastAsia="zh-CN"/>
        </w:rPr>
        <w:t>从到场</w:t>
      </w:r>
      <w:r>
        <w:rPr>
          <w:rFonts w:hint="default" w:ascii="宋体" w:hAnsi="宋体" w:eastAsia="宋体" w:cs="宋体"/>
          <w:color w:val="auto"/>
          <w:szCs w:val="21"/>
          <w:highlight w:val="none"/>
          <w:lang w:val="en-US" w:eastAsia="zh-CN"/>
        </w:rPr>
        <w:t>中标候选人</w:t>
      </w:r>
      <w:r>
        <w:rPr>
          <w:rFonts w:hint="eastAsia" w:ascii="宋体" w:hAnsi="宋体" w:eastAsia="宋体" w:cs="宋体"/>
          <w:color w:val="auto"/>
          <w:szCs w:val="21"/>
          <w:highlight w:val="none"/>
          <w:lang w:val="en-US" w:eastAsia="zh-CN"/>
        </w:rPr>
        <w:t>中</w:t>
      </w:r>
      <w:r>
        <w:rPr>
          <w:rFonts w:hint="default" w:ascii="宋体" w:hAnsi="宋体" w:eastAsia="宋体" w:cs="宋体"/>
          <w:color w:val="auto"/>
          <w:szCs w:val="21"/>
          <w:highlight w:val="none"/>
          <w:lang w:val="en-US" w:eastAsia="zh-CN"/>
        </w:rPr>
        <w:t>随机抽取一个身份号码球，该号码对应的中标候选人为后续流程</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的人选。定标委员会将对此流程产生的</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的人选的编号做记录备案。</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注：如中标候选人均未到场则由定标委员会组长为抽取中标人人选。若中标候选人未到场，则其身份号码球不参与随机抽取人选</w:t>
      </w:r>
      <w:r>
        <w:rPr>
          <w:rFonts w:hint="eastAsia" w:ascii="宋体" w:hAnsi="宋体" w:eastAsia="宋体" w:cs="宋体"/>
          <w:color w:val="auto"/>
          <w:szCs w:val="21"/>
          <w:highlight w:val="none"/>
          <w:lang w:val="en-US" w:eastAsia="zh-CN"/>
        </w:rPr>
        <w:t>。）</w:t>
      </w:r>
    </w:p>
    <w:p w14:paraId="10674315">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（10）随机抽取产生中标人：</w:t>
      </w:r>
      <w:r>
        <w:rPr>
          <w:rFonts w:hint="default" w:ascii="宋体" w:hAnsi="宋体" w:eastAsia="宋体" w:cs="宋体"/>
          <w:color w:val="auto"/>
          <w:szCs w:val="21"/>
          <w:highlight w:val="none"/>
          <w:lang w:val="en-US" w:eastAsia="zh-CN"/>
        </w:rPr>
        <w:t>由</w:t>
      </w:r>
      <w:r>
        <w:rPr>
          <w:rFonts w:hint="eastAsia" w:ascii="宋体" w:hAnsi="宋体" w:eastAsia="宋体" w:cs="宋体"/>
          <w:color w:val="auto"/>
          <w:szCs w:val="21"/>
          <w:highlight w:val="none"/>
          <w:lang w:val="en-US" w:eastAsia="zh-CN"/>
        </w:rPr>
        <w:t>按</w:t>
      </w:r>
      <w:r>
        <w:rPr>
          <w:rFonts w:hint="default" w:ascii="宋体" w:hAnsi="宋体" w:eastAsia="宋体" w:cs="宋体"/>
          <w:color w:val="auto"/>
          <w:szCs w:val="21"/>
          <w:highlight w:val="none"/>
          <w:lang w:val="en-US" w:eastAsia="zh-CN"/>
        </w:rPr>
        <w:t>流程产生的</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抽取中标人</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将号码球当场重新公开验证后放入抽取器具</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并从中随机选取1个号码球，选取的号码球编号所对应的中标候选人即为本项目的中标人。</w:t>
      </w:r>
    </w:p>
    <w:p w14:paraId="66F638EF">
      <w:pPr>
        <w:spacing w:line="360" w:lineRule="auto"/>
        <w:ind w:firstLine="420" w:firstLineChars="200"/>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定标委员会和监督人员对中标人对应的号码球和抽取结果进行记录备案，并由中标人的法定代表人或委托代理人签字确认后（如中标人未派代表到场，视为认可本次抽取结果）</w:t>
      </w:r>
      <w:r>
        <w:rPr>
          <w:rFonts w:hint="eastAsia" w:ascii="宋体" w:hAnsi="宋体" w:eastAsia="宋体" w:cs="宋体"/>
          <w:color w:val="auto"/>
          <w:szCs w:val="21"/>
          <w:highlight w:val="none"/>
          <w:lang w:val="en-US" w:eastAsia="zh-CN"/>
        </w:rPr>
        <w:t>，由</w:t>
      </w:r>
      <w:r>
        <w:rPr>
          <w:rFonts w:hint="default" w:ascii="宋体" w:hAnsi="宋体" w:eastAsia="宋体" w:cs="宋体"/>
          <w:color w:val="auto"/>
          <w:szCs w:val="21"/>
          <w:highlight w:val="none"/>
          <w:lang w:val="en-US" w:eastAsia="zh-CN"/>
        </w:rPr>
        <w:t>定标委员会全体成员和监督人员进行签字确认。</w:t>
      </w:r>
    </w:p>
    <w:p w14:paraId="2ABA3B46">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（11）主持人宣读号码球对应的中标候选人，宣布中标人,</w:t>
      </w:r>
    </w:p>
    <w:p w14:paraId="3361A719">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（12）签署定标报告；</w:t>
      </w:r>
    </w:p>
    <w:p w14:paraId="2B01B4CC">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（13）公证处人员宣读公证词（如有）；</w:t>
      </w:r>
    </w:p>
    <w:p w14:paraId="6A410F83">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（14）招标代理机构主持人宣布会议结束；</w:t>
      </w:r>
    </w:p>
    <w:p w14:paraId="6A5B9CC5">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（15）招标代理机构及时拷贝定标会场音视频等资料。</w:t>
      </w:r>
    </w:p>
    <w:p w14:paraId="2C569063">
      <w:pPr>
        <w:keepNext w:val="0"/>
        <w:keepLines w:val="0"/>
        <w:pageBreakBefore w:val="0"/>
        <w:widowControl w:val="0"/>
        <w:kinsoku/>
        <w:wordWrap w:val="0"/>
        <w:overflowPunct/>
        <w:topLinePunct w:val="0"/>
        <w:autoSpaceDE/>
        <w:autoSpaceDN/>
        <w:bidi w:val="0"/>
        <w:adjustRightInd/>
        <w:snapToGrid/>
        <w:spacing w:before="157" w:beforeLines="50" w:after="157" w:afterLines="50" w:line="360" w:lineRule="auto"/>
        <w:textAlignment w:val="auto"/>
        <w:outlineLvl w:val="1"/>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eastAsia="zh-CN"/>
        </w:rPr>
        <w:t>七</w:t>
      </w:r>
      <w:r>
        <w:rPr>
          <w:rFonts w:hint="eastAsia" w:ascii="宋体" w:hAnsi="宋体" w:eastAsia="宋体" w:cs="宋体"/>
          <w:b/>
          <w:bCs/>
          <w:color w:val="auto"/>
          <w:sz w:val="22"/>
          <w:szCs w:val="22"/>
          <w:highlight w:val="none"/>
        </w:rPr>
        <w:t>、</w:t>
      </w:r>
      <w:bookmarkEnd w:id="65"/>
      <w:bookmarkEnd w:id="66"/>
      <w:r>
        <w:rPr>
          <w:rFonts w:hint="eastAsia" w:ascii="宋体" w:hAnsi="宋体" w:eastAsia="宋体" w:cs="宋体"/>
          <w:b/>
          <w:bCs/>
          <w:color w:val="auto"/>
          <w:sz w:val="22"/>
          <w:szCs w:val="22"/>
          <w:highlight w:val="none"/>
          <w:lang w:val="en-US" w:eastAsia="zh-CN"/>
        </w:rPr>
        <w:t>重新定标</w:t>
      </w:r>
    </w:p>
    <w:p w14:paraId="335BB0B6">
      <w:pPr>
        <w:spacing w:line="360" w:lineRule="auto"/>
        <w:ind w:firstLine="420" w:firstLineChars="200"/>
        <w:rPr>
          <w:rFonts w:hint="default" w:ascii="宋体" w:hAnsi="宋体" w:eastAsia="宋体" w:cs="宋体"/>
          <w:color w:val="auto"/>
          <w:szCs w:val="21"/>
          <w:highlight w:val="none"/>
          <w:lang w:val="en-US" w:eastAsia="zh-CN"/>
        </w:rPr>
      </w:pPr>
      <w:bookmarkStart w:id="78" w:name="_Toc27588"/>
      <w:r>
        <w:rPr>
          <w:rFonts w:hint="default" w:ascii="宋体" w:hAnsi="宋体" w:eastAsia="宋体" w:cs="宋体"/>
          <w:color w:val="auto"/>
          <w:szCs w:val="21"/>
          <w:highlight w:val="none"/>
          <w:lang w:val="en-US" w:eastAsia="zh-CN"/>
        </w:rPr>
        <w:t>定标后有下列情形之一的，应当重新定标：</w:t>
      </w:r>
      <w:bookmarkEnd w:id="78"/>
    </w:p>
    <w:p w14:paraId="19600307">
      <w:pPr>
        <w:spacing w:line="360" w:lineRule="auto"/>
        <w:ind w:firstLine="420" w:firstLineChars="200"/>
        <w:rPr>
          <w:rFonts w:hint="default" w:ascii="宋体" w:hAnsi="宋体" w:eastAsia="宋体" w:cs="宋体"/>
          <w:color w:val="auto"/>
          <w:szCs w:val="21"/>
          <w:highlight w:val="none"/>
          <w:lang w:val="en-US" w:eastAsia="zh-CN"/>
        </w:rPr>
      </w:pPr>
      <w:bookmarkStart w:id="79" w:name="_Toc2566"/>
      <w:r>
        <w:rPr>
          <w:rFonts w:hint="default" w:ascii="宋体" w:hAnsi="宋体" w:eastAsia="宋体" w:cs="宋体"/>
          <w:color w:val="auto"/>
          <w:szCs w:val="21"/>
          <w:highlight w:val="none"/>
          <w:lang w:val="en-US" w:eastAsia="zh-CN"/>
        </w:rPr>
        <w:t>（一</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定标委员会未按定标办法公正履职的；</w:t>
      </w:r>
      <w:bookmarkEnd w:id="79"/>
    </w:p>
    <w:p w14:paraId="596F9503">
      <w:pPr>
        <w:spacing w:line="360" w:lineRule="auto"/>
        <w:ind w:firstLine="420" w:firstLineChars="200"/>
        <w:rPr>
          <w:rFonts w:hint="eastAsia" w:ascii="宋体" w:hAnsi="宋体" w:eastAsia="宋体" w:cs="宋体"/>
          <w:color w:val="auto"/>
          <w:szCs w:val="21"/>
          <w:highlight w:val="none"/>
          <w:lang w:val="en-US" w:eastAsia="zh-CN"/>
        </w:rPr>
      </w:pPr>
      <w:bookmarkStart w:id="80" w:name="_Toc25419"/>
      <w:r>
        <w:rPr>
          <w:rFonts w:hint="default" w:ascii="宋体" w:hAnsi="宋体" w:eastAsia="宋体" w:cs="宋体"/>
          <w:color w:val="auto"/>
          <w:szCs w:val="21"/>
          <w:highlight w:val="none"/>
          <w:lang w:val="en-US" w:eastAsia="zh-CN"/>
        </w:rPr>
        <w:t>（二</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定标委员会成员与中标候选人有利害关系且未回避</w:t>
      </w:r>
      <w:bookmarkEnd w:id="80"/>
      <w:r>
        <w:rPr>
          <w:rFonts w:hint="eastAsia" w:ascii="宋体" w:hAnsi="宋体" w:eastAsia="宋体" w:cs="宋体"/>
          <w:color w:val="auto"/>
          <w:szCs w:val="21"/>
          <w:highlight w:val="none"/>
          <w:lang w:val="en-US" w:eastAsia="zh-CN"/>
        </w:rPr>
        <w:t>；</w:t>
      </w:r>
    </w:p>
    <w:p w14:paraId="61F90F7D">
      <w:pPr>
        <w:spacing w:line="360" w:lineRule="auto"/>
        <w:ind w:firstLine="420" w:firstLineChars="200"/>
        <w:rPr>
          <w:rFonts w:hint="default" w:ascii="宋体" w:hAnsi="宋体" w:eastAsia="宋体" w:cs="宋体"/>
          <w:color w:val="auto"/>
          <w:szCs w:val="21"/>
          <w:highlight w:val="none"/>
          <w:lang w:val="en-US" w:eastAsia="zh-CN"/>
        </w:rPr>
      </w:pPr>
      <w:bookmarkStart w:id="81" w:name="_Toc15434"/>
      <w:r>
        <w:rPr>
          <w:rFonts w:hint="default" w:ascii="宋体" w:hAnsi="宋体" w:eastAsia="宋体" w:cs="宋体"/>
          <w:color w:val="auto"/>
          <w:szCs w:val="21"/>
          <w:highlight w:val="none"/>
          <w:lang w:val="en-US" w:eastAsia="zh-CN"/>
        </w:rPr>
        <w:t>（三</w:t>
      </w:r>
      <w:r>
        <w:rPr>
          <w:rFonts w:hint="eastAsia" w:ascii="宋体" w:hAnsi="宋体" w:eastAsia="宋体" w:cs="宋体"/>
          <w:color w:val="auto"/>
          <w:szCs w:val="21"/>
          <w:highlight w:val="none"/>
          <w:lang w:val="en-US" w:eastAsia="zh-CN"/>
        </w:rPr>
        <w:t>）</w:t>
      </w:r>
      <w:r>
        <w:rPr>
          <w:rFonts w:hint="default" w:ascii="宋体" w:hAnsi="宋体" w:eastAsia="宋体" w:cs="宋体"/>
          <w:color w:val="auto"/>
          <w:szCs w:val="21"/>
          <w:highlight w:val="none"/>
          <w:lang w:val="en-US" w:eastAsia="zh-CN"/>
        </w:rPr>
        <w:t>招标文件规定的其他情形</w:t>
      </w:r>
      <w:bookmarkEnd w:id="81"/>
      <w:r>
        <w:rPr>
          <w:rFonts w:hint="default" w:ascii="宋体" w:hAnsi="宋体" w:eastAsia="宋体" w:cs="宋体"/>
          <w:color w:val="auto"/>
          <w:szCs w:val="21"/>
          <w:highlight w:val="none"/>
          <w:lang w:val="en-US" w:eastAsia="zh-CN"/>
        </w:rPr>
        <w:t>。</w:t>
      </w:r>
    </w:p>
    <w:p w14:paraId="5892AA3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color w:val="auto"/>
          <w:highlight w:val="none"/>
        </w:rPr>
      </w:pPr>
      <w:r>
        <w:rPr>
          <w:rFonts w:hint="default" w:ascii="宋体" w:hAnsi="宋体" w:eastAsia="宋体" w:cs="宋体"/>
          <w:b w:val="0"/>
          <w:bCs w:val="0"/>
          <w:color w:val="auto"/>
          <w:kern w:val="2"/>
          <w:sz w:val="21"/>
          <w:szCs w:val="21"/>
          <w:highlight w:val="none"/>
          <w:lang w:val="en-US" w:eastAsia="zh-CN" w:bidi="ar-SA"/>
        </w:rPr>
        <w:t>中标人放弃中标、因不可抗力不能履行合同、不按照招标文件要求提交履约保证金，或者被查实存在影响中标结果的违法行为等情形，不符合中标条件的，招标人可以采用原定标方法，由原定标委员会在剩余中标候选人名单中重新确定中标人并公示，也可以重新招标。</w:t>
      </w:r>
    </w:p>
    <w:p w14:paraId="31EC160C">
      <w:pPr>
        <w:rPr>
          <w:color w:val="auto"/>
          <w:highlight w:val="none"/>
        </w:rPr>
        <w:sectPr>
          <w:pgSz w:w="11906" w:h="16838"/>
          <w:pgMar w:top="1440" w:right="1800" w:bottom="1440" w:left="1800" w:header="851" w:footer="992" w:gutter="0"/>
          <w:pgNumType w:fmt="decimal"/>
          <w:cols w:space="425" w:num="1"/>
          <w:docGrid w:type="lines" w:linePitch="312" w:charSpace="0"/>
        </w:sectPr>
      </w:pPr>
    </w:p>
    <w:p w14:paraId="10EBA815">
      <w:pPr>
        <w:jc w:val="center"/>
        <w:outlineLvl w:val="0"/>
        <w:rPr>
          <w:rFonts w:hint="eastAsia" w:ascii="宋体" w:hAnsi="宋体" w:eastAsia="宋体" w:cs="宋体"/>
          <w:b/>
          <w:color w:val="auto"/>
          <w:kern w:val="0"/>
          <w:sz w:val="44"/>
          <w:szCs w:val="44"/>
          <w:highlight w:val="none"/>
          <w:lang w:val="en-US" w:eastAsia="zh-CN"/>
        </w:rPr>
      </w:pPr>
      <w:bookmarkStart w:id="82" w:name="_Toc3324"/>
      <w:bookmarkStart w:id="83" w:name="_Toc12317"/>
      <w:r>
        <w:rPr>
          <w:rFonts w:hint="eastAsia" w:ascii="宋体" w:hAnsi="宋体" w:eastAsia="宋体" w:cs="宋体"/>
          <w:b/>
          <w:color w:val="auto"/>
          <w:kern w:val="0"/>
          <w:sz w:val="44"/>
          <w:szCs w:val="44"/>
          <w:highlight w:val="none"/>
          <w:lang w:val="en-US" w:eastAsia="zh-CN"/>
        </w:rPr>
        <w:t>第五章 合同条款及格式</w:t>
      </w:r>
      <w:bookmarkEnd w:id="82"/>
      <w:bookmarkEnd w:id="83"/>
    </w:p>
    <w:p w14:paraId="3EF174DB">
      <w:pPr>
        <w:pageBreakBefore w:val="0"/>
        <w:wordWrap w:val="0"/>
        <w:bidi w:val="0"/>
        <w:jc w:val="center"/>
        <w:outlineLvl w:val="9"/>
        <w:rPr>
          <w:rFonts w:hint="eastAsia" w:ascii="宋体" w:hAnsi="宋体" w:eastAsia="宋体" w:cs="宋体"/>
          <w:b/>
          <w:bCs/>
          <w:color w:val="auto"/>
          <w:sz w:val="36"/>
          <w:highlight w:val="none"/>
        </w:rPr>
      </w:pPr>
    </w:p>
    <w:p w14:paraId="22FA675A">
      <w:pPr>
        <w:pStyle w:val="2"/>
        <w:keepLines w:val="0"/>
        <w:widowControl/>
        <w:numPr>
          <w:ilvl w:val="0"/>
          <w:numId w:val="0"/>
        </w:numPr>
        <w:spacing w:before="0" w:after="0" w:line="240" w:lineRule="auto"/>
        <w:jc w:val="center"/>
        <w:rPr>
          <w:rFonts w:hint="eastAsia" w:ascii="宋体" w:hAnsi="宋体" w:cs="宋体"/>
          <w:b/>
          <w:bCs/>
          <w:color w:val="auto"/>
          <w:sz w:val="22"/>
          <w:szCs w:val="28"/>
          <w:highlight w:val="none"/>
        </w:rPr>
      </w:pPr>
      <w:bookmarkStart w:id="84" w:name="_Toc20875"/>
      <w:bookmarkStart w:id="85" w:name="_Toc11293"/>
      <w:bookmarkStart w:id="86" w:name="_Toc16420"/>
      <w:r>
        <w:rPr>
          <w:rFonts w:hint="eastAsia" w:ascii="宋体" w:hAnsi="宋体" w:cs="宋体"/>
          <w:color w:val="auto"/>
          <w:sz w:val="28"/>
          <w:szCs w:val="16"/>
          <w:highlight w:val="none"/>
        </w:rPr>
        <w:t>工程监理合同</w:t>
      </w:r>
      <w:r>
        <w:rPr>
          <w:rFonts w:hint="eastAsia" w:ascii="宋体" w:hAnsi="宋体" w:cs="宋体"/>
          <w:b/>
          <w:bCs/>
          <w:color w:val="auto"/>
          <w:sz w:val="22"/>
          <w:szCs w:val="28"/>
          <w:highlight w:val="none"/>
        </w:rPr>
        <w:t>（示范文本）</w:t>
      </w:r>
      <w:bookmarkEnd w:id="84"/>
      <w:bookmarkEnd w:id="85"/>
      <w:bookmarkEnd w:id="86"/>
    </w:p>
    <w:p w14:paraId="24A64B75">
      <w:pPr>
        <w:tabs>
          <w:tab w:val="left" w:pos="3120"/>
        </w:tabs>
        <w:spacing w:line="360" w:lineRule="auto"/>
        <w:jc w:val="center"/>
        <w:outlineLvl w:val="1"/>
        <w:rPr>
          <w:rFonts w:hint="eastAsia" w:ascii="宋体" w:hAnsi="宋体" w:cs="宋体"/>
          <w:b/>
          <w:bCs/>
          <w:color w:val="auto"/>
          <w:sz w:val="21"/>
          <w:szCs w:val="21"/>
          <w:highlight w:val="none"/>
        </w:rPr>
      </w:pPr>
      <w:bookmarkStart w:id="87" w:name="_Toc31606"/>
      <w:bookmarkStart w:id="88" w:name="_Toc11805"/>
      <w:r>
        <w:rPr>
          <w:rFonts w:hint="eastAsia" w:ascii="宋体" w:hAnsi="宋体" w:cs="宋体"/>
          <w:b/>
          <w:bCs/>
          <w:color w:val="auto"/>
          <w:sz w:val="22"/>
          <w:szCs w:val="28"/>
          <w:highlight w:val="none"/>
        </w:rPr>
        <w:t>第一部分  协议书</w:t>
      </w:r>
      <w:bookmarkEnd w:id="87"/>
      <w:bookmarkEnd w:id="88"/>
    </w:p>
    <w:p w14:paraId="7A3FE7C0">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委托人（全称）：</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p>
    <w:p w14:paraId="7CDD0D0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监理人（全称）：</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p>
    <w:p w14:paraId="6FFB872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根据《中华人民共和国民法典》、《中华人民共和国建筑法》及其他有关法律、法规，遵循平等、自愿、公平和诚信的原则，双方就下述工程委托监理与相关服务事项协商一致，订立本合同。</w:t>
      </w:r>
    </w:p>
    <w:p w14:paraId="7E51F525">
      <w:pPr>
        <w:keepNext w:val="0"/>
        <w:keepLines w:val="0"/>
        <w:pageBreakBefore w:val="0"/>
        <w:widowControl w:val="0"/>
        <w:kinsoku/>
        <w:wordWrap/>
        <w:overflowPunct/>
        <w:topLinePunct w:val="0"/>
        <w:autoSpaceDE/>
        <w:autoSpaceDN/>
        <w:bidi w:val="0"/>
        <w:spacing w:line="360" w:lineRule="auto"/>
        <w:ind w:firstLine="417" w:firstLineChars="198"/>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一、工程概况</w:t>
      </w:r>
    </w:p>
    <w:p w14:paraId="1B0A9F6B">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工程名称：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EA85143">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2.工程地点：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EB51442">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 工程规模：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w:t>
      </w:r>
    </w:p>
    <w:p w14:paraId="0B28B199">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工程概算投资额或建筑安装工程费：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1F2B24">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89" w:name="_Toc29893245"/>
      <w:bookmarkStart w:id="90" w:name="_Toc533155932"/>
      <w:bookmarkStart w:id="91" w:name="_Toc6898"/>
      <w:bookmarkStart w:id="92" w:name="_Toc2559"/>
      <w:r>
        <w:rPr>
          <w:rFonts w:hint="eastAsia" w:ascii="宋体" w:hAnsi="宋体" w:eastAsia="宋体" w:cs="宋体"/>
          <w:b/>
          <w:color w:val="auto"/>
          <w:sz w:val="21"/>
          <w:szCs w:val="21"/>
          <w:highlight w:val="none"/>
        </w:rPr>
        <w:t>二、词语限定</w:t>
      </w:r>
      <w:bookmarkEnd w:id="89"/>
      <w:bookmarkEnd w:id="90"/>
      <w:bookmarkEnd w:id="91"/>
      <w:bookmarkEnd w:id="92"/>
    </w:p>
    <w:p w14:paraId="039061B1">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协议书中相关词语的含义与通用条件中的定义与解释相同。</w:t>
      </w:r>
    </w:p>
    <w:p w14:paraId="4727DDFB">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93" w:name="_Toc436741195"/>
      <w:bookmarkStart w:id="94" w:name="_Toc27444"/>
      <w:bookmarkStart w:id="95" w:name="_Toc16932"/>
      <w:bookmarkStart w:id="96" w:name="_Toc533155933"/>
      <w:bookmarkStart w:id="97" w:name="_Toc29893246"/>
      <w:r>
        <w:rPr>
          <w:rFonts w:hint="eastAsia" w:ascii="宋体" w:hAnsi="宋体" w:eastAsia="宋体" w:cs="宋体"/>
          <w:b/>
          <w:color w:val="auto"/>
          <w:sz w:val="21"/>
          <w:szCs w:val="21"/>
          <w:highlight w:val="none"/>
        </w:rPr>
        <w:t>三、组成本合同的文件</w:t>
      </w:r>
      <w:bookmarkEnd w:id="93"/>
      <w:bookmarkEnd w:id="94"/>
      <w:bookmarkEnd w:id="95"/>
      <w:bookmarkEnd w:id="96"/>
      <w:bookmarkEnd w:id="97"/>
    </w:p>
    <w:p w14:paraId="4D074BD9">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协议书；</w:t>
      </w:r>
    </w:p>
    <w:p w14:paraId="1E8F8829">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中标通知书；</w:t>
      </w:r>
    </w:p>
    <w:p w14:paraId="010CA8FC">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投标文件；</w:t>
      </w:r>
    </w:p>
    <w:p w14:paraId="2BCEF548">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 专用条件；</w:t>
      </w:r>
    </w:p>
    <w:p w14:paraId="2B7BA862">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通用条件；</w:t>
      </w:r>
    </w:p>
    <w:p w14:paraId="3A85498E">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附录，即：</w:t>
      </w:r>
    </w:p>
    <w:p w14:paraId="01A1B7D0">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附录A  相关服务的范围和内容</w:t>
      </w:r>
    </w:p>
    <w:p w14:paraId="11F3DFF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附录B  委托人派遣的人员和提供的</w:t>
      </w:r>
      <w:r>
        <w:rPr>
          <w:rFonts w:hint="eastAsia" w:ascii="宋体" w:hAnsi="宋体" w:eastAsia="宋体" w:cs="宋体"/>
          <w:bCs/>
          <w:color w:val="auto"/>
          <w:sz w:val="21"/>
          <w:szCs w:val="21"/>
          <w:highlight w:val="none"/>
        </w:rPr>
        <w:t>房屋、资料</w:t>
      </w:r>
      <w:r>
        <w:rPr>
          <w:rFonts w:hint="eastAsia" w:ascii="宋体" w:hAnsi="宋体" w:eastAsia="宋体" w:cs="宋体"/>
          <w:color w:val="auto"/>
          <w:sz w:val="21"/>
          <w:szCs w:val="21"/>
          <w:highlight w:val="none"/>
        </w:rPr>
        <w:t>、设备</w:t>
      </w:r>
    </w:p>
    <w:p w14:paraId="3368ADE8">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本合同签订后，双方依法签订的补充协议也是本合同文件的组成部分。</w:t>
      </w:r>
    </w:p>
    <w:p w14:paraId="01D93693">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98" w:name="_Toc436741196"/>
      <w:bookmarkStart w:id="99" w:name="_Toc533155934"/>
      <w:bookmarkStart w:id="100" w:name="_Toc29893247"/>
      <w:bookmarkStart w:id="101" w:name="_Toc655"/>
      <w:bookmarkStart w:id="102" w:name="_Toc25002"/>
      <w:r>
        <w:rPr>
          <w:rFonts w:hint="eastAsia" w:ascii="宋体" w:hAnsi="宋体" w:eastAsia="宋体" w:cs="宋体"/>
          <w:b/>
          <w:color w:val="auto"/>
          <w:sz w:val="21"/>
          <w:szCs w:val="21"/>
          <w:highlight w:val="none"/>
        </w:rPr>
        <w:t>四、总监理工程师</w:t>
      </w:r>
      <w:bookmarkEnd w:id="98"/>
      <w:bookmarkEnd w:id="99"/>
      <w:bookmarkEnd w:id="100"/>
      <w:bookmarkEnd w:id="101"/>
      <w:bookmarkEnd w:id="102"/>
    </w:p>
    <w:p w14:paraId="5DB2C403">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总监理工程师姓名：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，身份证号码：</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，注册号：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BB599D1">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103" w:name="_Toc29893248"/>
      <w:bookmarkStart w:id="104" w:name="_Toc436741197"/>
      <w:bookmarkStart w:id="105" w:name="_Toc10575"/>
      <w:bookmarkStart w:id="106" w:name="_Toc533155935"/>
      <w:bookmarkStart w:id="107" w:name="_Toc12197"/>
      <w:r>
        <w:rPr>
          <w:rFonts w:hint="eastAsia" w:ascii="宋体" w:hAnsi="宋体" w:eastAsia="宋体" w:cs="宋体"/>
          <w:b/>
          <w:color w:val="auto"/>
          <w:sz w:val="21"/>
          <w:szCs w:val="21"/>
          <w:highlight w:val="none"/>
        </w:rPr>
        <w:t>五、签约酬金</w:t>
      </w:r>
      <w:bookmarkEnd w:id="103"/>
      <w:bookmarkEnd w:id="104"/>
      <w:bookmarkEnd w:id="105"/>
      <w:bookmarkEnd w:id="106"/>
      <w:bookmarkEnd w:id="107"/>
    </w:p>
    <w:p w14:paraId="3053A8AA">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签约酬金（大写）：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F604267">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合同形式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2C48E7B8">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包括：</w:t>
      </w:r>
    </w:p>
    <w:p w14:paraId="2B920373">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监理酬金：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57F72D">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相关服务酬金：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5062621">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1629F32D">
      <w:pPr>
        <w:keepNext w:val="0"/>
        <w:keepLines w:val="0"/>
        <w:pageBreakBefore w:val="0"/>
        <w:widowControl w:val="0"/>
        <w:kinsoku/>
        <w:wordWrap/>
        <w:overflowPunct/>
        <w:topLinePunct w:val="0"/>
        <w:autoSpaceDE/>
        <w:autoSpaceDN/>
        <w:bidi w:val="0"/>
        <w:adjustRightInd w:val="0"/>
        <w:snapToGrid w:val="0"/>
        <w:spacing w:line="360" w:lineRule="auto"/>
        <w:ind w:firstLine="840" w:firstLineChars="4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（1）勘察阶段服务</w:t>
      </w:r>
      <w:r>
        <w:rPr>
          <w:rFonts w:hint="eastAsia" w:ascii="宋体" w:hAnsi="宋体" w:eastAsia="宋体" w:cs="宋体"/>
          <w:color w:val="auto"/>
          <w:sz w:val="21"/>
          <w:szCs w:val="21"/>
          <w:highlight w:val="none"/>
        </w:rPr>
        <w:t>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D78B553">
      <w:pPr>
        <w:keepNext w:val="0"/>
        <w:keepLines w:val="0"/>
        <w:pageBreakBefore w:val="0"/>
        <w:widowControl w:val="0"/>
        <w:kinsoku/>
        <w:wordWrap/>
        <w:overflowPunct/>
        <w:topLinePunct w:val="0"/>
        <w:autoSpaceDE/>
        <w:autoSpaceDN/>
        <w:bidi w:val="0"/>
        <w:adjustRightInd w:val="0"/>
        <w:snapToGrid w:val="0"/>
        <w:spacing w:line="360" w:lineRule="auto"/>
        <w:ind w:firstLine="840" w:firstLineChars="4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（2）设计阶段服务</w:t>
      </w:r>
      <w:r>
        <w:rPr>
          <w:rFonts w:hint="eastAsia" w:ascii="宋体" w:hAnsi="宋体" w:eastAsia="宋体" w:cs="宋体"/>
          <w:color w:val="auto"/>
          <w:sz w:val="21"/>
          <w:szCs w:val="21"/>
          <w:highlight w:val="none"/>
        </w:rPr>
        <w:t>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7057F3">
      <w:pPr>
        <w:keepNext w:val="0"/>
        <w:keepLines w:val="0"/>
        <w:pageBreakBefore w:val="0"/>
        <w:widowControl w:val="0"/>
        <w:kinsoku/>
        <w:wordWrap/>
        <w:overflowPunct/>
        <w:topLinePunct w:val="0"/>
        <w:autoSpaceDE/>
        <w:autoSpaceDN/>
        <w:bidi w:val="0"/>
        <w:adjustRightInd w:val="0"/>
        <w:snapToGrid w:val="0"/>
        <w:spacing w:line="360" w:lineRule="auto"/>
        <w:ind w:firstLine="840" w:firstLineChars="4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（3）保修阶段服务</w:t>
      </w:r>
      <w:r>
        <w:rPr>
          <w:rFonts w:hint="eastAsia" w:ascii="宋体" w:hAnsi="宋体" w:eastAsia="宋体" w:cs="宋体"/>
          <w:color w:val="auto"/>
          <w:sz w:val="21"/>
          <w:szCs w:val="21"/>
          <w:highlight w:val="none"/>
        </w:rPr>
        <w:t>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F0931F">
      <w:pPr>
        <w:keepNext w:val="0"/>
        <w:keepLines w:val="0"/>
        <w:pageBreakBefore w:val="0"/>
        <w:widowControl w:val="0"/>
        <w:kinsoku/>
        <w:wordWrap/>
        <w:overflowPunct/>
        <w:topLinePunct w:val="0"/>
        <w:autoSpaceDE/>
        <w:autoSpaceDN/>
        <w:bidi w:val="0"/>
        <w:adjustRightInd w:val="0"/>
        <w:snapToGrid w:val="0"/>
        <w:spacing w:line="360" w:lineRule="auto"/>
        <w:ind w:firstLine="840" w:firstLineChars="4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rPr>
        <w:t>其他相关服务酬金：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C16AA4">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108" w:name="_Toc533155936"/>
      <w:bookmarkStart w:id="109" w:name="_Toc436741198"/>
      <w:bookmarkStart w:id="110" w:name="_Toc29893249"/>
      <w:bookmarkStart w:id="111" w:name="_Toc29374"/>
      <w:bookmarkStart w:id="112" w:name="_Toc7945"/>
      <w:r>
        <w:rPr>
          <w:rFonts w:hint="eastAsia" w:ascii="宋体" w:hAnsi="宋体" w:eastAsia="宋体" w:cs="宋体"/>
          <w:b/>
          <w:color w:val="auto"/>
          <w:sz w:val="21"/>
          <w:szCs w:val="21"/>
          <w:highlight w:val="none"/>
        </w:rPr>
        <w:t>六、期限</w:t>
      </w:r>
      <w:bookmarkEnd w:id="108"/>
      <w:bookmarkEnd w:id="109"/>
      <w:bookmarkEnd w:id="110"/>
      <w:bookmarkEnd w:id="111"/>
      <w:bookmarkEnd w:id="112"/>
    </w:p>
    <w:p w14:paraId="4A099F33">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 </w:t>
      </w:r>
      <w:r>
        <w:rPr>
          <w:rFonts w:hint="eastAsia" w:ascii="宋体" w:hAnsi="宋体" w:eastAsia="宋体" w:cs="宋体"/>
          <w:color w:val="auto"/>
          <w:sz w:val="21"/>
          <w:szCs w:val="21"/>
          <w:highlight w:val="none"/>
        </w:rPr>
        <w:t>监理期限：</w:t>
      </w:r>
    </w:p>
    <w:p w14:paraId="2544A7FE">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日始，至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日止。</w:t>
      </w:r>
    </w:p>
    <w:p w14:paraId="634FCA2D">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2. </w:t>
      </w:r>
      <w:r>
        <w:rPr>
          <w:rFonts w:hint="eastAsia" w:ascii="宋体" w:hAnsi="宋体" w:eastAsia="宋体" w:cs="宋体"/>
          <w:color w:val="auto"/>
          <w:sz w:val="21"/>
          <w:szCs w:val="21"/>
          <w:highlight w:val="none"/>
        </w:rPr>
        <w:t>相关服务期限：</w:t>
      </w:r>
    </w:p>
    <w:p w14:paraId="6F8A35DA">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（1）勘察阶段</w:t>
      </w:r>
      <w:r>
        <w:rPr>
          <w:rFonts w:hint="eastAsia" w:ascii="宋体" w:hAnsi="宋体" w:eastAsia="宋体" w:cs="宋体"/>
          <w:color w:val="auto"/>
          <w:sz w:val="21"/>
          <w:szCs w:val="21"/>
          <w:highlight w:val="none"/>
        </w:rPr>
        <w:t>服务期限自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日始，至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日止。</w:t>
      </w:r>
    </w:p>
    <w:p w14:paraId="1AF9474D">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（2）设计阶段</w:t>
      </w:r>
      <w:r>
        <w:rPr>
          <w:rFonts w:hint="eastAsia" w:ascii="宋体" w:hAnsi="宋体" w:eastAsia="宋体" w:cs="宋体"/>
          <w:color w:val="auto"/>
          <w:sz w:val="21"/>
          <w:szCs w:val="21"/>
          <w:highlight w:val="none"/>
        </w:rPr>
        <w:t>服务期限自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日始，至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日止。</w:t>
      </w:r>
    </w:p>
    <w:p w14:paraId="2C08D43B">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（3）保修阶段</w:t>
      </w:r>
      <w:r>
        <w:rPr>
          <w:rFonts w:hint="eastAsia" w:ascii="宋体" w:hAnsi="宋体" w:eastAsia="宋体" w:cs="宋体"/>
          <w:color w:val="auto"/>
          <w:sz w:val="21"/>
          <w:szCs w:val="21"/>
          <w:highlight w:val="none"/>
        </w:rPr>
        <w:t>服务期限自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日始，至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日止。</w:t>
      </w:r>
    </w:p>
    <w:p w14:paraId="66AE865D">
      <w:pPr>
        <w:keepNext w:val="0"/>
        <w:keepLines w:val="0"/>
        <w:pageBreakBefore w:val="0"/>
        <w:widowControl w:val="0"/>
        <w:kinsoku/>
        <w:wordWrap/>
        <w:overflowPunct/>
        <w:topLinePunct w:val="0"/>
        <w:autoSpaceDE/>
        <w:autoSpaceDN/>
        <w:bidi w:val="0"/>
        <w:adjustRightInd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rPr>
        <w:t>其他相关服务期限自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日始，至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日止。</w:t>
      </w:r>
    </w:p>
    <w:p w14:paraId="54A43FB4">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113" w:name="_Toc533155937"/>
      <w:bookmarkStart w:id="114" w:name="_Toc11927"/>
      <w:bookmarkStart w:id="115" w:name="_Toc29893250"/>
      <w:bookmarkStart w:id="116" w:name="_Toc19016"/>
      <w:bookmarkStart w:id="117" w:name="_Toc436741199"/>
      <w:r>
        <w:rPr>
          <w:rFonts w:hint="eastAsia" w:ascii="宋体" w:hAnsi="宋体" w:eastAsia="宋体" w:cs="宋体"/>
          <w:b/>
          <w:color w:val="auto"/>
          <w:sz w:val="21"/>
          <w:szCs w:val="21"/>
          <w:highlight w:val="none"/>
        </w:rPr>
        <w:t>七、双方承诺</w:t>
      </w:r>
      <w:bookmarkEnd w:id="113"/>
      <w:bookmarkEnd w:id="114"/>
      <w:bookmarkEnd w:id="115"/>
      <w:bookmarkEnd w:id="116"/>
      <w:bookmarkEnd w:id="117"/>
    </w:p>
    <w:p w14:paraId="5D0A06AC">
      <w:pPr>
        <w:keepNext w:val="0"/>
        <w:keepLines w:val="0"/>
        <w:pageBreakBefore w:val="0"/>
        <w:widowControl w:val="0"/>
        <w:kinsoku/>
        <w:wordWrap/>
        <w:overflowPunct/>
        <w:topLinePunct w:val="0"/>
        <w:autoSpaceDE/>
        <w:autoSpaceDN/>
        <w:bidi w:val="0"/>
        <w:spacing w:line="360" w:lineRule="auto"/>
        <w:ind w:firstLine="415" w:firstLineChars="198"/>
        <w:textAlignment w:val="auto"/>
        <w:outlineLvl w:val="9"/>
        <w:rPr>
          <w:rFonts w:hint="eastAsia" w:ascii="宋体" w:hAnsi="宋体" w:eastAsia="宋体" w:cs="宋体"/>
          <w:b/>
          <w:color w:val="auto"/>
          <w:sz w:val="21"/>
          <w:szCs w:val="21"/>
          <w:highlight w:val="none"/>
        </w:rPr>
      </w:pPr>
      <w:bookmarkStart w:id="118" w:name="_Toc438215226"/>
      <w:bookmarkStart w:id="119" w:name="_Toc507227321"/>
      <w:bookmarkStart w:id="120" w:name="_Toc533155938"/>
      <w:bookmarkStart w:id="121" w:name="_Toc29893251"/>
      <w:bookmarkStart w:id="122" w:name="_Toc507691979"/>
      <w:bookmarkStart w:id="123" w:name="_Toc507706639"/>
      <w:bookmarkStart w:id="124" w:name="_Toc511890166"/>
      <w:bookmarkStart w:id="125" w:name="_Toc536525000"/>
      <w:bookmarkStart w:id="126" w:name="_Toc436741200"/>
      <w:bookmarkStart w:id="127" w:name="_Toc25001"/>
      <w:r>
        <w:rPr>
          <w:rFonts w:hint="eastAsia" w:ascii="宋体" w:hAnsi="宋体" w:eastAsia="宋体" w:cs="宋体"/>
          <w:color w:val="auto"/>
          <w:sz w:val="21"/>
          <w:szCs w:val="21"/>
          <w:highlight w:val="none"/>
        </w:rPr>
        <w:t>1. 监理人向委托人承诺，按照本合同约定</w:t>
      </w:r>
      <w:r>
        <w:rPr>
          <w:rFonts w:hint="eastAsia" w:ascii="宋体" w:hAnsi="宋体" w:eastAsia="宋体" w:cs="宋体"/>
          <w:color w:val="auto"/>
          <w:kern w:val="0"/>
          <w:sz w:val="21"/>
          <w:szCs w:val="21"/>
          <w:highlight w:val="none"/>
        </w:rPr>
        <w:t>提供</w:t>
      </w:r>
      <w:r>
        <w:rPr>
          <w:rFonts w:hint="eastAsia" w:ascii="宋体" w:hAnsi="宋体" w:eastAsia="宋体" w:cs="宋体"/>
          <w:color w:val="auto"/>
          <w:sz w:val="21"/>
          <w:szCs w:val="21"/>
          <w:highlight w:val="none"/>
        </w:rPr>
        <w:t>监理与相关服务。</w:t>
      </w:r>
      <w:bookmarkEnd w:id="118"/>
      <w:bookmarkEnd w:id="119"/>
      <w:bookmarkEnd w:id="120"/>
      <w:bookmarkEnd w:id="121"/>
      <w:bookmarkEnd w:id="122"/>
      <w:bookmarkEnd w:id="123"/>
      <w:bookmarkEnd w:id="124"/>
      <w:bookmarkEnd w:id="125"/>
      <w:bookmarkEnd w:id="126"/>
      <w:bookmarkEnd w:id="127"/>
    </w:p>
    <w:p w14:paraId="37466F76">
      <w:pPr>
        <w:keepNext w:val="0"/>
        <w:keepLines w:val="0"/>
        <w:pageBreakBefore w:val="0"/>
        <w:widowControl w:val="0"/>
        <w:kinsoku/>
        <w:wordWrap/>
        <w:overflowPunct/>
        <w:topLinePunct w:val="0"/>
        <w:autoSpaceDE/>
        <w:autoSpaceDN/>
        <w:bidi w:val="0"/>
        <w:spacing w:line="360" w:lineRule="auto"/>
        <w:ind w:firstLine="415" w:firstLineChars="198"/>
        <w:textAlignment w:val="auto"/>
        <w:outlineLvl w:val="9"/>
        <w:rPr>
          <w:rFonts w:hint="eastAsia" w:ascii="宋体" w:hAnsi="宋体" w:eastAsia="宋体" w:cs="宋体"/>
          <w:color w:val="auto"/>
          <w:sz w:val="21"/>
          <w:szCs w:val="21"/>
          <w:highlight w:val="none"/>
        </w:rPr>
      </w:pPr>
      <w:bookmarkStart w:id="128" w:name="_Toc436741201"/>
      <w:bookmarkStart w:id="129" w:name="_Toc533155939"/>
      <w:bookmarkStart w:id="130" w:name="_Toc438215227"/>
      <w:bookmarkStart w:id="131" w:name="_Toc17014"/>
      <w:bookmarkStart w:id="132" w:name="_Toc511890167"/>
      <w:bookmarkStart w:id="133" w:name="_Toc507227322"/>
      <w:bookmarkStart w:id="134" w:name="_Toc29893252"/>
      <w:bookmarkStart w:id="135" w:name="_Toc18289"/>
      <w:bookmarkStart w:id="136" w:name="_Toc507691980"/>
      <w:bookmarkStart w:id="137" w:name="_Toc507706640"/>
      <w:bookmarkStart w:id="138" w:name="_Toc536525001"/>
      <w:r>
        <w:rPr>
          <w:rFonts w:hint="eastAsia" w:ascii="宋体" w:hAnsi="宋体" w:eastAsia="宋体" w:cs="宋体"/>
          <w:color w:val="auto"/>
          <w:sz w:val="21"/>
          <w:szCs w:val="21"/>
          <w:highlight w:val="none"/>
        </w:rPr>
        <w:t>2. 委托人向监理人承诺，按照本合同约定派遣相应的人员，提供</w:t>
      </w:r>
      <w:r>
        <w:rPr>
          <w:rFonts w:hint="eastAsia" w:ascii="宋体" w:hAnsi="宋体" w:eastAsia="宋体" w:cs="宋体"/>
          <w:bCs/>
          <w:color w:val="auto"/>
          <w:sz w:val="21"/>
          <w:szCs w:val="21"/>
          <w:highlight w:val="none"/>
        </w:rPr>
        <w:t>房屋、资料</w:t>
      </w:r>
      <w:r>
        <w:rPr>
          <w:rFonts w:hint="eastAsia" w:ascii="宋体" w:hAnsi="宋体" w:eastAsia="宋体" w:cs="宋体"/>
          <w:color w:val="auto"/>
          <w:sz w:val="21"/>
          <w:szCs w:val="21"/>
          <w:highlight w:val="none"/>
        </w:rPr>
        <w:t>、设备，并按本合同约定支付酬金。</w:t>
      </w:r>
      <w:bookmarkEnd w:id="128"/>
      <w:bookmarkEnd w:id="129"/>
      <w:bookmarkEnd w:id="130"/>
      <w:bookmarkEnd w:id="131"/>
      <w:bookmarkEnd w:id="132"/>
      <w:bookmarkEnd w:id="133"/>
      <w:bookmarkEnd w:id="134"/>
      <w:bookmarkEnd w:id="135"/>
      <w:bookmarkEnd w:id="136"/>
      <w:bookmarkEnd w:id="137"/>
      <w:bookmarkEnd w:id="138"/>
    </w:p>
    <w:p w14:paraId="5497A35E">
      <w:pPr>
        <w:keepNext w:val="0"/>
        <w:keepLines w:val="0"/>
        <w:pageBreakBefore w:val="0"/>
        <w:widowControl w:val="0"/>
        <w:kinsoku/>
        <w:wordWrap/>
        <w:overflowPunct/>
        <w:topLinePunct w:val="0"/>
        <w:autoSpaceDE/>
        <w:autoSpaceDN/>
        <w:bidi w:val="0"/>
        <w:spacing w:line="360" w:lineRule="auto"/>
        <w:ind w:firstLine="417" w:firstLineChars="198"/>
        <w:textAlignment w:val="auto"/>
        <w:outlineLvl w:val="9"/>
        <w:rPr>
          <w:rFonts w:hint="eastAsia" w:ascii="宋体" w:hAnsi="宋体" w:eastAsia="宋体" w:cs="宋体"/>
          <w:b/>
          <w:color w:val="auto"/>
          <w:sz w:val="21"/>
          <w:szCs w:val="21"/>
          <w:highlight w:val="none"/>
        </w:rPr>
      </w:pPr>
      <w:bookmarkStart w:id="139" w:name="_Toc29893253"/>
      <w:bookmarkStart w:id="140" w:name="_Toc27791"/>
      <w:bookmarkStart w:id="141" w:name="_Toc24022"/>
      <w:bookmarkStart w:id="142" w:name="_Toc533155940"/>
      <w:bookmarkStart w:id="143" w:name="_Toc436741202"/>
      <w:r>
        <w:rPr>
          <w:rFonts w:hint="eastAsia" w:ascii="宋体" w:hAnsi="宋体" w:eastAsia="宋体" w:cs="宋体"/>
          <w:b/>
          <w:color w:val="auto"/>
          <w:sz w:val="21"/>
          <w:szCs w:val="21"/>
          <w:highlight w:val="none"/>
        </w:rPr>
        <w:t>八、合同订立</w:t>
      </w:r>
      <w:bookmarkEnd w:id="139"/>
      <w:bookmarkEnd w:id="140"/>
      <w:bookmarkEnd w:id="141"/>
      <w:bookmarkEnd w:id="142"/>
      <w:bookmarkEnd w:id="143"/>
    </w:p>
    <w:p w14:paraId="2DEC92D3">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72810622">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订立地点：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FE387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本合同一式</w:t>
      </w:r>
      <w:r>
        <w:rPr>
          <w:rFonts w:hint="eastAsia" w:ascii="宋体" w:hAnsi="宋体" w:eastAsia="宋体" w:cs="宋体"/>
          <w:color w:val="auto"/>
          <w:sz w:val="21"/>
          <w:szCs w:val="21"/>
          <w:highlight w:val="none"/>
          <w:u w:val="single"/>
        </w:rPr>
        <w:t xml:space="preserve"> 陆 </w:t>
      </w:r>
      <w:r>
        <w:rPr>
          <w:rFonts w:hint="eastAsia" w:ascii="宋体" w:hAnsi="宋体" w:eastAsia="宋体" w:cs="宋体"/>
          <w:color w:val="auto"/>
          <w:sz w:val="21"/>
          <w:szCs w:val="21"/>
          <w:highlight w:val="none"/>
        </w:rPr>
        <w:t>份，具有同等法律效力，双方各执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62455943">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w:t>
      </w:r>
      <w:r>
        <w:rPr>
          <w:rFonts w:hint="eastAsia" w:ascii="宋体" w:hAnsi="宋体" w:eastAsia="宋体" w:cs="宋体"/>
          <w:color w:val="auto"/>
          <w:sz w:val="21"/>
          <w:szCs w:val="21"/>
          <w:highlight w:val="none"/>
          <w:u w:val="single"/>
        </w:rPr>
        <w:t xml:space="preserve">   （盖章）      </w:t>
      </w:r>
      <w:r>
        <w:rPr>
          <w:rFonts w:hint="eastAsia" w:ascii="宋体" w:hAnsi="宋体" w:eastAsia="宋体" w:cs="宋体"/>
          <w:color w:val="auto"/>
          <w:sz w:val="21"/>
          <w:szCs w:val="21"/>
          <w:highlight w:val="none"/>
        </w:rPr>
        <w:t xml:space="preserve">      监理人：</w:t>
      </w:r>
      <w:r>
        <w:rPr>
          <w:rFonts w:hint="eastAsia" w:ascii="宋体" w:hAnsi="宋体" w:eastAsia="宋体" w:cs="宋体"/>
          <w:color w:val="auto"/>
          <w:sz w:val="21"/>
          <w:szCs w:val="21"/>
          <w:highlight w:val="none"/>
          <w:u w:val="single"/>
        </w:rPr>
        <w:t xml:space="preserve">   （盖章）    </w:t>
      </w:r>
    </w:p>
    <w:p w14:paraId="47DBEE13">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住所：</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住所：</w:t>
      </w:r>
      <w:r>
        <w:rPr>
          <w:rFonts w:hint="eastAsia" w:ascii="宋体" w:hAnsi="宋体" w:eastAsia="宋体" w:cs="宋体"/>
          <w:color w:val="auto"/>
          <w:sz w:val="21"/>
          <w:szCs w:val="21"/>
          <w:highlight w:val="none"/>
          <w:u w:val="single"/>
        </w:rPr>
        <w:t xml:space="preserve">                     </w:t>
      </w:r>
    </w:p>
    <w:p w14:paraId="5447FD6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p>
    <w:p w14:paraId="06B7DE8B">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法定代表人或其授权             法定代表人或其授权</w:t>
      </w:r>
    </w:p>
    <w:p w14:paraId="1A144460">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的代理人：</w:t>
      </w:r>
      <w:r>
        <w:rPr>
          <w:rFonts w:hint="eastAsia" w:ascii="宋体" w:hAnsi="宋体" w:eastAsia="宋体" w:cs="宋体"/>
          <w:color w:val="auto"/>
          <w:sz w:val="21"/>
          <w:szCs w:val="21"/>
          <w:highlight w:val="none"/>
          <w:u w:val="single"/>
        </w:rPr>
        <w:t xml:space="preserve">（签字）      </w:t>
      </w:r>
      <w:r>
        <w:rPr>
          <w:rFonts w:hint="eastAsia" w:ascii="宋体" w:hAnsi="宋体" w:eastAsia="宋体" w:cs="宋体"/>
          <w:color w:val="auto"/>
          <w:sz w:val="21"/>
          <w:szCs w:val="21"/>
          <w:highlight w:val="none"/>
        </w:rPr>
        <w:t xml:space="preserve">        的代理人：</w:t>
      </w:r>
      <w:r>
        <w:rPr>
          <w:rFonts w:hint="eastAsia" w:ascii="宋体" w:hAnsi="宋体" w:eastAsia="宋体" w:cs="宋体"/>
          <w:color w:val="auto"/>
          <w:sz w:val="21"/>
          <w:szCs w:val="21"/>
          <w:highlight w:val="none"/>
          <w:u w:val="single"/>
        </w:rPr>
        <w:t xml:space="preserve">（签字）          </w:t>
      </w:r>
    </w:p>
    <w:p w14:paraId="655AC5CA">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p>
    <w:p w14:paraId="4C31D582">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90BD86A">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电话：</w:t>
      </w:r>
      <w:r>
        <w:rPr>
          <w:rFonts w:hint="eastAsia" w:ascii="宋体" w:hAnsi="宋体" w:eastAsia="宋体" w:cs="宋体"/>
          <w:color w:val="auto"/>
          <w:sz w:val="21"/>
          <w:szCs w:val="21"/>
          <w:highlight w:val="none"/>
          <w:u w:val="single"/>
        </w:rPr>
        <w:t xml:space="preserve">                       </w:t>
      </w:r>
    </w:p>
    <w:p w14:paraId="2D2FE26A">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传真：</w:t>
      </w:r>
      <w:r>
        <w:rPr>
          <w:rFonts w:hint="eastAsia" w:ascii="宋体" w:hAnsi="宋体" w:eastAsia="宋体" w:cs="宋体"/>
          <w:color w:val="auto"/>
          <w:sz w:val="21"/>
          <w:szCs w:val="21"/>
          <w:highlight w:val="none"/>
          <w:u w:val="single"/>
        </w:rPr>
        <w:t xml:space="preserve">                       </w:t>
      </w:r>
    </w:p>
    <w:p w14:paraId="4CD0D5D5">
      <w:pPr>
        <w:keepNext w:val="0"/>
        <w:keepLines w:val="0"/>
        <w:pageBreakBefore w:val="0"/>
        <w:widowControl w:val="0"/>
        <w:kinsoku/>
        <w:wordWrap/>
        <w:overflowPunct/>
        <w:topLinePunct w:val="0"/>
        <w:autoSpaceDE/>
        <w:autoSpaceDN/>
        <w:bidi w:val="0"/>
        <w:adjustRightInd w:val="0"/>
        <w:snapToGrid w:val="0"/>
        <w:spacing w:line="360" w:lineRule="auto"/>
        <w:ind w:firstLine="415" w:firstLineChars="198"/>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电子邮箱：</w:t>
      </w:r>
      <w:r>
        <w:rPr>
          <w:rFonts w:hint="eastAsia" w:ascii="宋体" w:hAnsi="宋体" w:eastAsia="宋体" w:cs="宋体"/>
          <w:color w:val="auto"/>
          <w:sz w:val="21"/>
          <w:szCs w:val="21"/>
          <w:highlight w:val="none"/>
          <w:u w:val="single"/>
        </w:rPr>
        <w:t xml:space="preserve">                  </w:t>
      </w:r>
    </w:p>
    <w:p w14:paraId="0ECA609A">
      <w:pPr>
        <w:keepNext w:val="0"/>
        <w:keepLines w:val="0"/>
        <w:pageBreakBefore w:val="0"/>
        <w:widowControl w:val="0"/>
        <w:kinsoku/>
        <w:wordWrap/>
        <w:overflowPunct/>
        <w:topLinePunct w:val="0"/>
        <w:autoSpaceDE w:val="0"/>
        <w:autoSpaceDN w:val="0"/>
        <w:bidi w:val="0"/>
        <w:adjustRightInd w:val="0"/>
        <w:spacing w:line="360" w:lineRule="auto"/>
        <w:jc w:val="center"/>
        <w:textAlignment w:val="auto"/>
        <w:outlineLvl w:val="1"/>
        <w:rPr>
          <w:rFonts w:hint="eastAsia" w:ascii="宋体" w:hAnsi="宋体" w:eastAsia="宋体" w:cs="宋体"/>
          <w:b/>
          <w:color w:val="auto"/>
          <w:sz w:val="21"/>
          <w:szCs w:val="21"/>
          <w:highlight w:val="none"/>
        </w:rPr>
      </w:pPr>
      <w:r>
        <w:rPr>
          <w:rFonts w:hint="eastAsia" w:ascii="宋体" w:hAnsi="宋体" w:cs="宋体"/>
          <w:b/>
          <w:color w:val="auto"/>
          <w:sz w:val="28"/>
          <w:highlight w:val="none"/>
        </w:rPr>
        <w:br w:type="page"/>
      </w:r>
      <w:bookmarkStart w:id="144" w:name="_Toc21776"/>
      <w:bookmarkStart w:id="145" w:name="_Toc3867"/>
      <w:r>
        <w:rPr>
          <w:rFonts w:hint="eastAsia" w:ascii="宋体" w:hAnsi="宋体" w:eastAsia="宋体" w:cs="宋体"/>
          <w:b/>
          <w:color w:val="auto"/>
          <w:sz w:val="21"/>
          <w:szCs w:val="21"/>
          <w:highlight w:val="none"/>
        </w:rPr>
        <w:t>第二部分 通用条件（省略）</w:t>
      </w:r>
      <w:bookmarkEnd w:id="144"/>
      <w:bookmarkEnd w:id="145"/>
    </w:p>
    <w:p w14:paraId="76D707BC">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本招标文件的合同条件采用建设部和国家工商行政管理局颁发的《建设工程委托监理合同》(GF-2012-0202)第二部分“通用条件”。</w:t>
      </w:r>
    </w:p>
    <w:p w14:paraId="3DD19738">
      <w:pPr>
        <w:keepNext w:val="0"/>
        <w:keepLines w:val="0"/>
        <w:pageBreakBefore w:val="0"/>
        <w:widowControl w:val="0"/>
        <w:kinsoku/>
        <w:wordWrap/>
        <w:overflowPunct/>
        <w:topLinePunct w:val="0"/>
        <w:autoSpaceDE w:val="0"/>
        <w:autoSpaceDN w:val="0"/>
        <w:bidi w:val="0"/>
        <w:adjustRightInd w:val="0"/>
        <w:spacing w:line="360" w:lineRule="auto"/>
        <w:jc w:val="center"/>
        <w:textAlignment w:val="auto"/>
        <w:outlineLvl w:val="1"/>
        <w:rPr>
          <w:rFonts w:hint="eastAsia" w:ascii="宋体" w:hAnsi="宋体" w:eastAsia="宋体" w:cs="宋体"/>
          <w:b/>
          <w:color w:val="auto"/>
          <w:sz w:val="21"/>
          <w:szCs w:val="21"/>
          <w:highlight w:val="none"/>
        </w:rPr>
      </w:pPr>
      <w:bookmarkStart w:id="146" w:name="_Toc31808"/>
      <w:bookmarkStart w:id="147" w:name="_Toc19996"/>
      <w:bookmarkStart w:id="148" w:name="_Toc26547"/>
      <w:r>
        <w:rPr>
          <w:rFonts w:hint="eastAsia" w:ascii="宋体" w:hAnsi="宋体" w:eastAsia="宋体" w:cs="宋体"/>
          <w:b/>
          <w:color w:val="auto"/>
          <w:sz w:val="21"/>
          <w:szCs w:val="21"/>
          <w:highlight w:val="none"/>
        </w:rPr>
        <w:t>第三部分 专用条件</w:t>
      </w:r>
      <w:bookmarkEnd w:id="146"/>
      <w:bookmarkEnd w:id="147"/>
      <w:bookmarkEnd w:id="148"/>
    </w:p>
    <w:p w14:paraId="664A9A56">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 定义与解释</w:t>
      </w:r>
    </w:p>
    <w:p w14:paraId="4C26B164">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1.2  解释</w:t>
      </w:r>
    </w:p>
    <w:p w14:paraId="1E4ED4E1">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本合同文件除使用中文外，还可用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323BFFF">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约定本合同文件的解释顺序为：</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11D16101">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 监理人义务</w:t>
      </w:r>
    </w:p>
    <w:p w14:paraId="22D05714">
      <w:pPr>
        <w:keepNext w:val="0"/>
        <w:keepLines w:val="0"/>
        <w:pageBreakBefore w:val="0"/>
        <w:widowControl w:val="0"/>
        <w:kinsoku/>
        <w:wordWrap/>
        <w:overflowPunct/>
        <w:topLinePunct w:val="0"/>
        <w:bidi w:val="0"/>
        <w:adjustRightInd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监理的范围和</w:t>
      </w:r>
      <w:r>
        <w:rPr>
          <w:rFonts w:hint="eastAsia" w:ascii="宋体" w:hAnsi="宋体" w:eastAsia="宋体" w:cs="宋体"/>
          <w:bCs/>
          <w:color w:val="auto"/>
          <w:sz w:val="21"/>
          <w:szCs w:val="21"/>
          <w:highlight w:val="none"/>
        </w:rPr>
        <w:t>内容</w:t>
      </w:r>
    </w:p>
    <w:p w14:paraId="6FA7EA82">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监理范围包括：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808A1A">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2.1.2 监理工作内容还包括：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FE2931">
      <w:pPr>
        <w:keepNext w:val="0"/>
        <w:keepLines w:val="0"/>
        <w:pageBreakBefore w:val="0"/>
        <w:widowControl w:val="0"/>
        <w:kinsoku/>
        <w:wordWrap/>
        <w:overflowPunct/>
        <w:topLinePunct w:val="0"/>
        <w:bidi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监理与相关服务依据</w:t>
      </w:r>
    </w:p>
    <w:p w14:paraId="2392F8AB">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监理依据包括：</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11E21087">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2.2.2 相关服务依据包括：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13372EF">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2.3</w:t>
      </w:r>
      <w:r>
        <w:rPr>
          <w:rFonts w:hint="eastAsia" w:ascii="宋体" w:hAnsi="宋体" w:eastAsia="宋体" w:cs="宋体"/>
          <w:color w:val="auto"/>
          <w:kern w:val="0"/>
          <w:sz w:val="21"/>
          <w:szCs w:val="21"/>
          <w:highlight w:val="none"/>
        </w:rPr>
        <w:t>项目监理机构和人员</w:t>
      </w:r>
    </w:p>
    <w:p w14:paraId="7158065F">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 </w:t>
      </w:r>
      <w:r>
        <w:rPr>
          <w:rFonts w:hint="eastAsia" w:ascii="宋体" w:hAnsi="宋体" w:eastAsia="宋体" w:cs="宋体"/>
          <w:color w:val="auto"/>
          <w:kern w:val="0"/>
          <w:sz w:val="21"/>
          <w:szCs w:val="21"/>
          <w:highlight w:val="none"/>
        </w:rPr>
        <w:t>更换监理人员的其他情形：</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7BF1321">
      <w:pPr>
        <w:keepNext w:val="0"/>
        <w:keepLines w:val="0"/>
        <w:pageBreakBefore w:val="0"/>
        <w:widowControl w:val="0"/>
        <w:kinsoku/>
        <w:wordWrap/>
        <w:overflowPunct/>
        <w:topLinePunct w:val="0"/>
        <w:bidi w:val="0"/>
        <w:spacing w:line="360" w:lineRule="auto"/>
        <w:ind w:firstLine="205" w:firstLineChars="98"/>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2.4 </w:t>
      </w:r>
      <w:r>
        <w:rPr>
          <w:rFonts w:hint="eastAsia" w:ascii="宋体" w:hAnsi="宋体" w:eastAsia="宋体" w:cs="宋体"/>
          <w:color w:val="auto"/>
          <w:kern w:val="0"/>
          <w:sz w:val="21"/>
          <w:szCs w:val="21"/>
          <w:highlight w:val="none"/>
        </w:rPr>
        <w:t>履行职责</w:t>
      </w:r>
    </w:p>
    <w:p w14:paraId="16E9FE3A">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 对监理人的授权范围：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A9C8216">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bookmarkStart w:id="149" w:name="_Toc23352"/>
      <w:bookmarkStart w:id="150" w:name="_Toc6715"/>
      <w:bookmarkStart w:id="151" w:name="_Toc16260"/>
      <w:bookmarkStart w:id="152" w:name="_Toc20101"/>
      <w:r>
        <w:rPr>
          <w:rFonts w:hint="eastAsia" w:ascii="宋体" w:hAnsi="宋体" w:eastAsia="宋体" w:cs="宋体"/>
          <w:color w:val="auto"/>
          <w:sz w:val="21"/>
          <w:szCs w:val="21"/>
          <w:highlight w:val="none"/>
        </w:rPr>
        <w:t>在涉及工程延期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天内和（或）金额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万元内的变更，监理人不需请示委托人即可向承包人发布变更通知。</w:t>
      </w:r>
      <w:bookmarkEnd w:id="149"/>
      <w:bookmarkEnd w:id="150"/>
      <w:bookmarkEnd w:id="151"/>
      <w:bookmarkEnd w:id="152"/>
    </w:p>
    <w:p w14:paraId="70B092A7">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2.4.4 监理人有权要求承包人调换其人员</w:t>
      </w:r>
      <w:r>
        <w:rPr>
          <w:rFonts w:hint="eastAsia" w:ascii="宋体" w:hAnsi="宋体" w:eastAsia="宋体" w:cs="宋体"/>
          <w:color w:val="auto"/>
          <w:sz w:val="21"/>
          <w:szCs w:val="21"/>
          <w:highlight w:val="none"/>
        </w:rPr>
        <w:t>的限制条件：</w:t>
      </w:r>
      <w:r>
        <w:rPr>
          <w:rFonts w:hint="eastAsia" w:ascii="宋体" w:hAnsi="宋体" w:eastAsia="宋体" w:cs="宋体"/>
          <w:color w:val="auto"/>
          <w:sz w:val="21"/>
          <w:szCs w:val="21"/>
          <w:highlight w:val="none"/>
          <w:u w:val="single"/>
        </w:rPr>
        <w:t xml:space="preserve">  按合同通用条款执行</w:t>
      </w:r>
      <w:r>
        <w:rPr>
          <w:rFonts w:hint="eastAsia" w:ascii="宋体" w:hAnsi="宋体" w:eastAsia="宋体" w:cs="宋体"/>
          <w:color w:val="auto"/>
          <w:sz w:val="21"/>
          <w:szCs w:val="21"/>
          <w:highlight w:val="none"/>
        </w:rPr>
        <w:t xml:space="preserve">。  </w:t>
      </w:r>
    </w:p>
    <w:p w14:paraId="4BF9999A">
      <w:pPr>
        <w:keepNext w:val="0"/>
        <w:keepLines w:val="0"/>
        <w:pageBreakBefore w:val="0"/>
        <w:widowControl w:val="0"/>
        <w:kinsoku/>
        <w:wordWrap/>
        <w:overflowPunct/>
        <w:topLinePunct w:val="0"/>
        <w:bidi w:val="0"/>
        <w:adjustRightInd w:val="0"/>
        <w:snapToGrid w:val="0"/>
        <w:spacing w:line="360" w:lineRule="auto"/>
        <w:ind w:firstLine="105" w:firstLineChars="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2.5 </w:t>
      </w:r>
      <w:r>
        <w:rPr>
          <w:rFonts w:hint="eastAsia" w:ascii="宋体" w:hAnsi="宋体" w:eastAsia="宋体" w:cs="宋体"/>
          <w:color w:val="auto"/>
          <w:sz w:val="21"/>
          <w:szCs w:val="21"/>
          <w:highlight w:val="none"/>
        </w:rPr>
        <w:t>提交</w:t>
      </w:r>
      <w:r>
        <w:rPr>
          <w:rFonts w:hint="eastAsia" w:ascii="宋体" w:hAnsi="宋体" w:eastAsia="宋体" w:cs="宋体"/>
          <w:color w:val="auto"/>
          <w:kern w:val="0"/>
          <w:sz w:val="21"/>
          <w:szCs w:val="21"/>
          <w:highlight w:val="none"/>
        </w:rPr>
        <w:t>报告</w:t>
      </w:r>
    </w:p>
    <w:p w14:paraId="0320276B">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监理人应提交报告的种类(</w:t>
      </w:r>
      <w:r>
        <w:rPr>
          <w:rFonts w:hint="eastAsia" w:ascii="宋体" w:hAnsi="宋体" w:eastAsia="宋体" w:cs="宋体"/>
          <w:color w:val="auto"/>
          <w:kern w:val="0"/>
          <w:sz w:val="21"/>
          <w:szCs w:val="21"/>
          <w:highlight w:val="none"/>
        </w:rPr>
        <w:t>包括监理规划、监理月报及约定的专项报告)</w:t>
      </w:r>
      <w:r>
        <w:rPr>
          <w:rFonts w:hint="eastAsia" w:ascii="宋体" w:hAnsi="宋体" w:eastAsia="宋体" w:cs="宋体"/>
          <w:color w:val="auto"/>
          <w:sz w:val="21"/>
          <w:szCs w:val="21"/>
          <w:highlight w:val="none"/>
        </w:rPr>
        <w:t>、时间和份数</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E1B7C02">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2.7 使用委托人的财产</w:t>
      </w:r>
    </w:p>
    <w:p w14:paraId="7E4DAD59">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附录B中由委托人无偿提供的房屋、设备的所有权属于：</w:t>
      </w:r>
      <w:r>
        <w:rPr>
          <w:rFonts w:hint="eastAsia" w:ascii="宋体" w:hAnsi="宋体" w:eastAsia="宋体" w:cs="宋体"/>
          <w:color w:val="auto"/>
          <w:sz w:val="21"/>
          <w:szCs w:val="21"/>
          <w:highlight w:val="none"/>
          <w:u w:val="single"/>
        </w:rPr>
        <w:t xml:space="preserve">    属于委托人的财产  </w:t>
      </w:r>
      <w:r>
        <w:rPr>
          <w:rFonts w:hint="eastAsia" w:ascii="宋体" w:hAnsi="宋体" w:eastAsia="宋体" w:cs="宋体"/>
          <w:color w:val="auto"/>
          <w:sz w:val="21"/>
          <w:szCs w:val="21"/>
          <w:highlight w:val="none"/>
        </w:rPr>
        <w:t>。</w:t>
      </w:r>
    </w:p>
    <w:p w14:paraId="066A373E">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监理人应在本合同终止后</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sz w:val="21"/>
          <w:szCs w:val="21"/>
          <w:highlight w:val="none"/>
        </w:rPr>
        <w:t>天内移交委托人无偿提供的房屋、设备，移交的时间和方式为：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EC20BFE">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kern w:val="0"/>
          <w:sz w:val="21"/>
          <w:szCs w:val="21"/>
          <w:highlight w:val="none"/>
        </w:rPr>
        <w:t xml:space="preserve">3. 委托人义务   </w:t>
      </w:r>
    </w:p>
    <w:p w14:paraId="7BCCB72F">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3.4 委托人代表</w:t>
      </w:r>
    </w:p>
    <w:p w14:paraId="3A1B0AEE">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委托人代表为：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D44EBC">
      <w:pPr>
        <w:keepNext w:val="0"/>
        <w:keepLines w:val="0"/>
        <w:pageBreakBefore w:val="0"/>
        <w:widowControl w:val="0"/>
        <w:kinsoku/>
        <w:wordWrap/>
        <w:overflowPunct/>
        <w:topLinePunct w:val="0"/>
        <w:bidi w:val="0"/>
        <w:adjustRightInd w:val="0"/>
        <w:snapToGrid w:val="0"/>
        <w:spacing w:line="360" w:lineRule="auto"/>
        <w:ind w:firstLine="205" w:firstLineChars="98"/>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 答复</w:t>
      </w:r>
    </w:p>
    <w:p w14:paraId="0839796F">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委托人同意在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天内，对监理人书面提交并要求做出决定的事宜给予书面答复。</w:t>
      </w:r>
    </w:p>
    <w:p w14:paraId="189D9AF9">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 违约责任</w:t>
      </w:r>
    </w:p>
    <w:p w14:paraId="071C42AB">
      <w:pPr>
        <w:keepNext w:val="0"/>
        <w:keepLines w:val="0"/>
        <w:pageBreakBefore w:val="0"/>
        <w:widowControl w:val="0"/>
        <w:kinsoku/>
        <w:wordWrap/>
        <w:overflowPunct/>
        <w:topLinePunct w:val="0"/>
        <w:bidi w:val="0"/>
        <w:spacing w:line="360" w:lineRule="auto"/>
        <w:ind w:left="210" w:leftChars="1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4.1 监理人的违约责任</w:t>
      </w:r>
    </w:p>
    <w:p w14:paraId="2D0B6642">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4.1.1监理人赔偿金额按下列方法确定：</w:t>
      </w:r>
    </w:p>
    <w:p w14:paraId="00FE6156">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赔偿金＝直接经济损失×正常工作酬金÷工程概算</w:t>
      </w:r>
      <w:r>
        <w:rPr>
          <w:rFonts w:hint="eastAsia" w:ascii="宋体" w:hAnsi="宋体" w:eastAsia="宋体" w:cs="宋体"/>
          <w:color w:val="auto"/>
          <w:kern w:val="0"/>
          <w:sz w:val="21"/>
          <w:szCs w:val="21"/>
          <w:highlight w:val="none"/>
        </w:rPr>
        <w:t>投资额（或建筑安装工程费）</w:t>
      </w:r>
    </w:p>
    <w:p w14:paraId="37839DB1">
      <w:pPr>
        <w:keepNext w:val="0"/>
        <w:keepLines w:val="0"/>
        <w:pageBreakBefore w:val="0"/>
        <w:widowControl w:val="0"/>
        <w:kinsoku/>
        <w:wordWrap/>
        <w:overflowPunct/>
        <w:topLinePunct w:val="0"/>
        <w:bidi w:val="0"/>
        <w:snapToGrid w:val="0"/>
        <w:spacing w:line="360" w:lineRule="auto"/>
        <w:ind w:firstLine="210" w:firstLineChars="1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 委托人的违约责任</w:t>
      </w:r>
    </w:p>
    <w:p w14:paraId="17380B67">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4.2.3 委托人</w:t>
      </w:r>
      <w:r>
        <w:rPr>
          <w:rFonts w:hint="eastAsia" w:ascii="宋体" w:hAnsi="宋体" w:eastAsia="宋体" w:cs="宋体"/>
          <w:color w:val="auto"/>
          <w:kern w:val="0"/>
          <w:sz w:val="21"/>
          <w:szCs w:val="21"/>
          <w:highlight w:val="none"/>
        </w:rPr>
        <w:t>逾期付款利息按下列方法确定：</w:t>
      </w:r>
    </w:p>
    <w:p w14:paraId="2AF2FB35">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逾期付款利息＝当期应付款总额×银行同期贷款利率×拖延支付天数</w:t>
      </w:r>
    </w:p>
    <w:p w14:paraId="222C2ECB">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5. 支付</w:t>
      </w:r>
    </w:p>
    <w:p w14:paraId="0419E199">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  5.1 </w:t>
      </w:r>
      <w:r>
        <w:rPr>
          <w:rFonts w:hint="eastAsia" w:ascii="宋体" w:hAnsi="宋体" w:eastAsia="宋体" w:cs="宋体"/>
          <w:bCs/>
          <w:color w:val="auto"/>
          <w:sz w:val="21"/>
          <w:szCs w:val="21"/>
          <w:highlight w:val="none"/>
        </w:rPr>
        <w:t>支付货币</w:t>
      </w:r>
    </w:p>
    <w:p w14:paraId="6B103541">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币种为：</w:t>
      </w:r>
      <w:r>
        <w:rPr>
          <w:rFonts w:hint="eastAsia" w:ascii="宋体" w:hAnsi="宋体" w:eastAsia="宋体" w:cs="宋体"/>
          <w:color w:val="auto"/>
          <w:sz w:val="21"/>
          <w:szCs w:val="21"/>
          <w:highlight w:val="none"/>
          <w:u w:val="single"/>
        </w:rPr>
        <w:t xml:space="preserve">人民币 </w:t>
      </w:r>
      <w:r>
        <w:rPr>
          <w:rFonts w:hint="eastAsia" w:ascii="宋体" w:hAnsi="宋体" w:eastAsia="宋体" w:cs="宋体"/>
          <w:color w:val="auto"/>
          <w:sz w:val="21"/>
          <w:szCs w:val="21"/>
          <w:highlight w:val="none"/>
        </w:rPr>
        <w:t>，比例为：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，汇率为：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FE42DC8">
      <w:pPr>
        <w:keepNext w:val="0"/>
        <w:keepLines w:val="0"/>
        <w:pageBreakBefore w:val="0"/>
        <w:widowControl w:val="0"/>
        <w:kinsoku/>
        <w:wordWrap/>
        <w:overflowPunct/>
        <w:topLinePunct w:val="0"/>
        <w:bidi w:val="0"/>
        <w:snapToGrid w:val="0"/>
        <w:spacing w:line="360" w:lineRule="auto"/>
        <w:ind w:firstLine="210" w:firstLineChars="1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5.3 支付酬金</w:t>
      </w:r>
    </w:p>
    <w:p w14:paraId="778A157B">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正常工作</w:t>
      </w:r>
      <w:r>
        <w:rPr>
          <w:rFonts w:hint="eastAsia" w:ascii="宋体" w:hAnsi="宋体" w:eastAsia="宋体" w:cs="宋体"/>
          <w:color w:val="auto"/>
          <w:sz w:val="21"/>
          <w:szCs w:val="21"/>
          <w:highlight w:val="none"/>
        </w:rPr>
        <w:t>酬金的</w:t>
      </w:r>
      <w:r>
        <w:rPr>
          <w:rFonts w:hint="eastAsia" w:ascii="宋体" w:hAnsi="宋体" w:eastAsia="宋体" w:cs="宋体"/>
          <w:color w:val="auto"/>
          <w:kern w:val="0"/>
          <w:sz w:val="21"/>
          <w:szCs w:val="21"/>
          <w:highlight w:val="none"/>
        </w:rPr>
        <w:t>支付</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1、按完成工程量工程费用×中标费用的80%，</w:t>
      </w:r>
      <w:r>
        <w:rPr>
          <w:rFonts w:hint="eastAsia" w:ascii="宋体" w:hAnsi="宋体" w:cs="宋体"/>
          <w:color w:val="auto"/>
          <w:sz w:val="21"/>
          <w:szCs w:val="21"/>
          <w:highlight w:val="none"/>
          <w:lang w:val="en-US" w:eastAsia="zh-CN"/>
        </w:rPr>
        <w:t>支付至50%</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工程竣工验收合格后</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 xml:space="preserve">支付至80%；3、质保期满付至100% </w:t>
      </w:r>
      <w:r>
        <w:rPr>
          <w:rFonts w:hint="eastAsia" w:ascii="宋体" w:hAnsi="宋体" w:eastAsia="宋体" w:cs="宋体"/>
          <w:color w:val="auto"/>
          <w:sz w:val="21"/>
          <w:szCs w:val="21"/>
          <w:highlight w:val="none"/>
          <w:lang w:val="en-US" w:eastAsia="zh-CN"/>
        </w:rPr>
        <w:t>。</w:t>
      </w:r>
    </w:p>
    <w:p w14:paraId="180AB26D">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6</w:t>
      </w:r>
      <w:r>
        <w:rPr>
          <w:rFonts w:hint="eastAsia" w:ascii="宋体" w:hAnsi="宋体" w:eastAsia="宋体" w:cs="宋体"/>
          <w:b/>
          <w:bCs/>
          <w:color w:val="auto"/>
          <w:sz w:val="21"/>
          <w:szCs w:val="21"/>
          <w:highlight w:val="none"/>
        </w:rPr>
        <w:t>. 合同生效、变更、暂停、解除与终止</w:t>
      </w:r>
    </w:p>
    <w:p w14:paraId="12C50D92">
      <w:pPr>
        <w:keepNext w:val="0"/>
        <w:keepLines w:val="0"/>
        <w:pageBreakBefore w:val="0"/>
        <w:widowControl w:val="0"/>
        <w:kinsoku/>
        <w:wordWrap/>
        <w:overflowPunct/>
        <w:topLinePunct w:val="0"/>
        <w:bidi w:val="0"/>
        <w:adjustRightInd w:val="0"/>
        <w:snapToGrid w:val="0"/>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生效</w:t>
      </w:r>
    </w:p>
    <w:p w14:paraId="1F3C34DB">
      <w:pPr>
        <w:keepNext w:val="0"/>
        <w:keepLines w:val="0"/>
        <w:pageBreakBefore w:val="0"/>
        <w:widowControl w:val="0"/>
        <w:kinsoku/>
        <w:wordWrap/>
        <w:overflowPunct/>
        <w:topLinePunct w:val="0"/>
        <w:bidi w:val="0"/>
        <w:adjustRightInd w:val="0"/>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本合同生效条件：</w:t>
      </w:r>
      <w:r>
        <w:rPr>
          <w:rFonts w:hint="eastAsia" w:ascii="宋体" w:hAnsi="宋体" w:eastAsia="宋体" w:cs="宋体"/>
          <w:color w:val="auto"/>
          <w:sz w:val="21"/>
          <w:szCs w:val="21"/>
          <w:highlight w:val="none"/>
          <w:u w:val="single"/>
        </w:rPr>
        <w:t xml:space="preserve">    合同双方签字并盖单位章后   </w:t>
      </w:r>
      <w:r>
        <w:rPr>
          <w:rFonts w:hint="eastAsia" w:ascii="宋体" w:hAnsi="宋体" w:eastAsia="宋体" w:cs="宋体"/>
          <w:color w:val="auto"/>
          <w:sz w:val="21"/>
          <w:szCs w:val="21"/>
          <w:highlight w:val="none"/>
        </w:rPr>
        <w:t>。</w:t>
      </w:r>
    </w:p>
    <w:p w14:paraId="69C32E16">
      <w:pPr>
        <w:keepNext w:val="0"/>
        <w:keepLines w:val="0"/>
        <w:pageBreakBefore w:val="0"/>
        <w:widowControl w:val="0"/>
        <w:kinsoku/>
        <w:wordWrap/>
        <w:overflowPunct/>
        <w:topLinePunct w:val="0"/>
        <w:bidi w:val="0"/>
        <w:adjustRightInd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变更</w:t>
      </w:r>
    </w:p>
    <w:p w14:paraId="3F64D38E">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6.2.2 除不可抗力外， 因非监理人原因导致本合同期限延长时，附加工作酬金按下列方法确定：</w:t>
      </w:r>
    </w:p>
    <w:p w14:paraId="76AF6BA9">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附加工作</w:t>
      </w:r>
      <w:r>
        <w:rPr>
          <w:rFonts w:hint="eastAsia" w:ascii="宋体" w:hAnsi="宋体" w:eastAsia="宋体" w:cs="宋体"/>
          <w:color w:val="auto"/>
          <w:sz w:val="21"/>
          <w:szCs w:val="21"/>
          <w:highlight w:val="none"/>
        </w:rPr>
        <w:t>酬金</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本合同期限延长</w:t>
      </w:r>
      <w:r>
        <w:rPr>
          <w:rFonts w:hint="eastAsia" w:ascii="宋体" w:hAnsi="宋体" w:eastAsia="宋体" w:cs="宋体"/>
          <w:color w:val="auto"/>
          <w:kern w:val="0"/>
          <w:sz w:val="21"/>
          <w:szCs w:val="21"/>
          <w:highlight w:val="none"/>
        </w:rPr>
        <w:t>时间（天）×正常工作酬金÷</w:t>
      </w:r>
      <w:r>
        <w:rPr>
          <w:rFonts w:hint="eastAsia" w:ascii="宋体" w:hAnsi="宋体" w:eastAsia="宋体" w:cs="宋体"/>
          <w:color w:val="auto"/>
          <w:sz w:val="21"/>
          <w:szCs w:val="21"/>
          <w:highlight w:val="none"/>
        </w:rPr>
        <w:t>协议书约定的监理与相关服务期限</w:t>
      </w:r>
      <w:r>
        <w:rPr>
          <w:rFonts w:hint="eastAsia" w:ascii="宋体" w:hAnsi="宋体" w:eastAsia="宋体" w:cs="宋体"/>
          <w:color w:val="auto"/>
          <w:kern w:val="0"/>
          <w:sz w:val="21"/>
          <w:szCs w:val="21"/>
          <w:highlight w:val="none"/>
        </w:rPr>
        <w:t>（天）</w:t>
      </w:r>
    </w:p>
    <w:p w14:paraId="218BE3C0">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6.2.3附加工作酬金按下列方法确定：</w:t>
      </w:r>
    </w:p>
    <w:p w14:paraId="114E4ABF">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附加工作</w:t>
      </w:r>
      <w:r>
        <w:rPr>
          <w:rFonts w:hint="eastAsia" w:ascii="宋体" w:hAnsi="宋体" w:eastAsia="宋体" w:cs="宋体"/>
          <w:color w:val="auto"/>
          <w:sz w:val="21"/>
          <w:szCs w:val="21"/>
          <w:highlight w:val="none"/>
        </w:rPr>
        <w:t>酬金</w:t>
      </w:r>
      <w:r>
        <w:rPr>
          <w:rFonts w:hint="eastAsia" w:ascii="宋体" w:hAnsi="宋体" w:eastAsia="宋体" w:cs="宋体"/>
          <w:color w:val="auto"/>
          <w:kern w:val="0"/>
          <w:sz w:val="21"/>
          <w:szCs w:val="21"/>
          <w:highlight w:val="none"/>
        </w:rPr>
        <w:t>=善后工作及恢复服务的准备工作时间（天）×正常工作酬金÷</w:t>
      </w:r>
      <w:r>
        <w:rPr>
          <w:rFonts w:hint="eastAsia" w:ascii="宋体" w:hAnsi="宋体" w:eastAsia="宋体" w:cs="宋体"/>
          <w:color w:val="auto"/>
          <w:sz w:val="21"/>
          <w:szCs w:val="21"/>
          <w:highlight w:val="none"/>
        </w:rPr>
        <w:t>协议书约定的监理与相关服务期限</w:t>
      </w:r>
      <w:r>
        <w:rPr>
          <w:rFonts w:hint="eastAsia" w:ascii="宋体" w:hAnsi="宋体" w:eastAsia="宋体" w:cs="宋体"/>
          <w:color w:val="auto"/>
          <w:kern w:val="0"/>
          <w:sz w:val="21"/>
          <w:szCs w:val="21"/>
          <w:highlight w:val="none"/>
        </w:rPr>
        <w:t>（天）</w:t>
      </w:r>
    </w:p>
    <w:p w14:paraId="5D91BA6F">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6.2.5 正常工作酬金增加额按下列方法确定： </w:t>
      </w:r>
    </w:p>
    <w:p w14:paraId="225622ED">
      <w:pPr>
        <w:keepNext w:val="0"/>
        <w:keepLines w:val="0"/>
        <w:pageBreakBefore w:val="0"/>
        <w:widowControl w:val="0"/>
        <w:kinsoku/>
        <w:wordWrap/>
        <w:overflowPunct/>
        <w:topLinePunct w:val="0"/>
        <w:bidi w:val="0"/>
        <w:adjustRightInd w:val="0"/>
        <w:snapToGrid w:val="0"/>
        <w:spacing w:line="360" w:lineRule="auto"/>
        <w:ind w:firstLine="48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正常工作酬金增加额</w:t>
      </w:r>
      <w:r>
        <w:rPr>
          <w:rFonts w:hint="eastAsia" w:ascii="宋体" w:hAnsi="宋体" w:eastAsia="宋体" w:cs="宋体"/>
          <w:color w:val="auto"/>
          <w:kern w:val="0"/>
          <w:sz w:val="21"/>
          <w:szCs w:val="21"/>
          <w:highlight w:val="none"/>
        </w:rPr>
        <w:t>=工程投资额</w:t>
      </w:r>
      <w:r>
        <w:rPr>
          <w:rFonts w:hint="eastAsia" w:ascii="宋体" w:hAnsi="宋体" w:eastAsia="宋体" w:cs="宋体"/>
          <w:color w:val="auto"/>
          <w:sz w:val="21"/>
          <w:szCs w:val="21"/>
          <w:highlight w:val="none"/>
        </w:rPr>
        <w:t>或建筑安装工程费</w:t>
      </w:r>
      <w:r>
        <w:rPr>
          <w:rFonts w:hint="eastAsia" w:ascii="宋体" w:hAnsi="宋体" w:eastAsia="宋体" w:cs="宋体"/>
          <w:color w:val="auto"/>
          <w:kern w:val="0"/>
          <w:sz w:val="21"/>
          <w:szCs w:val="21"/>
          <w:highlight w:val="none"/>
        </w:rPr>
        <w:t>增加额×正常工作酬金÷工程概算投资额（或建筑安装工程费）</w:t>
      </w:r>
    </w:p>
    <w:p w14:paraId="0329EF8F">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6.2.6 因工程规模、监理范围的变化导致监理人的正常工作量减少时，按减少工作量的比例从协议书约定的正常工作酬金中扣减相同比例的酬金。</w:t>
      </w:r>
    </w:p>
    <w:p w14:paraId="709A01D4">
      <w:pPr>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7. 争议解决</w:t>
      </w:r>
    </w:p>
    <w:p w14:paraId="132B71F3">
      <w:pPr>
        <w:keepNext w:val="0"/>
        <w:keepLines w:val="0"/>
        <w:pageBreakBefore w:val="0"/>
        <w:widowControl w:val="0"/>
        <w:kinsoku/>
        <w:wordWrap/>
        <w:overflowPunct/>
        <w:topLinePunct w:val="0"/>
        <w:bidi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w:t>
      </w:r>
      <w:r>
        <w:rPr>
          <w:rFonts w:hint="eastAsia" w:ascii="宋体" w:hAnsi="宋体" w:eastAsia="宋体" w:cs="宋体"/>
          <w:bCs/>
          <w:color w:val="auto"/>
          <w:sz w:val="21"/>
          <w:szCs w:val="21"/>
          <w:highlight w:val="none"/>
        </w:rPr>
        <w:t>调解</w:t>
      </w:r>
    </w:p>
    <w:p w14:paraId="4686D315">
      <w:pPr>
        <w:keepNext w:val="0"/>
        <w:keepLines w:val="0"/>
        <w:pageBreakBefore w:val="0"/>
        <w:widowControl w:val="0"/>
        <w:kinsoku/>
        <w:wordWrap/>
        <w:overflowPunct/>
        <w:topLinePunct w:val="0"/>
        <w:bidi w:val="0"/>
        <w:snapToGrid w:val="0"/>
        <w:spacing w:line="360" w:lineRule="auto"/>
        <w:ind w:firstLine="411" w:firstLineChars="19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本合同争议进行调解时，可提交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进行调解。</w:t>
      </w:r>
    </w:p>
    <w:p w14:paraId="749D5E90">
      <w:pPr>
        <w:keepNext w:val="0"/>
        <w:keepLines w:val="0"/>
        <w:pageBreakBefore w:val="0"/>
        <w:widowControl w:val="0"/>
        <w:kinsoku/>
        <w:wordWrap/>
        <w:overflowPunct/>
        <w:topLinePunct w:val="0"/>
        <w:bidi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w:t>
      </w:r>
      <w:r>
        <w:rPr>
          <w:rFonts w:hint="eastAsia" w:ascii="宋体" w:hAnsi="宋体" w:eastAsia="宋体" w:cs="宋体"/>
          <w:bCs/>
          <w:color w:val="auto"/>
          <w:sz w:val="21"/>
          <w:szCs w:val="21"/>
          <w:highlight w:val="none"/>
        </w:rPr>
        <w:t>仲裁或诉讼</w:t>
      </w:r>
    </w:p>
    <w:p w14:paraId="1737F1DC">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合同争议的最终解决方式为下列第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323D49C5">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（1）提请</w:t>
      </w:r>
      <w:r>
        <w:rPr>
          <w:rFonts w:hint="eastAsia" w:ascii="宋体" w:hAnsi="宋体" w:eastAsia="宋体" w:cs="宋体"/>
          <w:color w:val="auto"/>
          <w:sz w:val="21"/>
          <w:szCs w:val="21"/>
          <w:highlight w:val="none"/>
          <w:u w:val="single"/>
        </w:rPr>
        <w:t xml:space="preserve">  项目所在地 </w:t>
      </w:r>
      <w:r>
        <w:rPr>
          <w:rFonts w:hint="eastAsia" w:ascii="宋体" w:hAnsi="宋体" w:eastAsia="宋体" w:cs="宋体"/>
          <w:color w:val="auto"/>
          <w:sz w:val="21"/>
          <w:szCs w:val="21"/>
          <w:highlight w:val="none"/>
        </w:rPr>
        <w:t>仲裁委员会进行仲裁。</w:t>
      </w:r>
    </w:p>
    <w:p w14:paraId="041D79C2">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项目所在地  </w:t>
      </w:r>
      <w:r>
        <w:rPr>
          <w:rFonts w:hint="eastAsia" w:ascii="宋体" w:hAnsi="宋体" w:eastAsia="宋体" w:cs="宋体"/>
          <w:color w:val="auto"/>
          <w:sz w:val="21"/>
          <w:szCs w:val="21"/>
          <w:highlight w:val="none"/>
        </w:rPr>
        <w:t>人民法院提起诉讼。</w:t>
      </w:r>
    </w:p>
    <w:p w14:paraId="3E68BCEA">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 其他</w:t>
      </w:r>
    </w:p>
    <w:p w14:paraId="34B818E8">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eastAsia="宋体" w:cs="宋体"/>
          <w:bCs/>
          <w:color w:val="auto"/>
          <w:sz w:val="21"/>
          <w:szCs w:val="21"/>
          <w:highlight w:val="none"/>
        </w:rPr>
        <w:t>8.2 检测费用</w:t>
      </w:r>
    </w:p>
    <w:p w14:paraId="324A620D">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委托人应在检测工作完成后</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天内支付检测费用。</w:t>
      </w:r>
    </w:p>
    <w:p w14:paraId="6409634E">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8.3 咨询费用</w:t>
      </w:r>
    </w:p>
    <w:p w14:paraId="1D0F3768">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委托人应在咨询工作完成后</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天内支付咨询费用。</w:t>
      </w:r>
    </w:p>
    <w:p w14:paraId="3390B301">
      <w:pPr>
        <w:keepNext w:val="0"/>
        <w:keepLines w:val="0"/>
        <w:pageBreakBefore w:val="0"/>
        <w:widowControl w:val="0"/>
        <w:kinsoku/>
        <w:wordWrap/>
        <w:overflowPunct/>
        <w:topLinePunct w:val="0"/>
        <w:bidi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 奖励</w:t>
      </w:r>
    </w:p>
    <w:p w14:paraId="6AA5CD56">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合理化建议的奖励金额按下列方法确定为：</w:t>
      </w:r>
    </w:p>
    <w:p w14:paraId="5238DBAC">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奖励金额＝工程投资节省额×奖励金额的比率；</w:t>
      </w:r>
    </w:p>
    <w:p w14:paraId="1C06ABDB">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奖励金额的比率为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2EBFA42">
      <w:pPr>
        <w:keepNext w:val="0"/>
        <w:keepLines w:val="0"/>
        <w:pageBreakBefore w:val="0"/>
        <w:widowControl w:val="0"/>
        <w:kinsoku/>
        <w:wordWrap/>
        <w:overflowPunct/>
        <w:topLinePunct w:val="0"/>
        <w:bidi w:val="0"/>
        <w:adjustRightInd w:val="0"/>
        <w:snapToGrid w:val="0"/>
        <w:spacing w:line="360" w:lineRule="auto"/>
        <w:ind w:firstLine="205" w:firstLineChars="98"/>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保密</w:t>
      </w:r>
    </w:p>
    <w:p w14:paraId="4901A425">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委托人申明的保密事项和期限：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C5270DA">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监理人申明的保密事项和期限：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410DB7">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第三方申明的保密事项和期限：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17E5CA">
      <w:pPr>
        <w:keepNext w:val="0"/>
        <w:keepLines w:val="0"/>
        <w:pageBreakBefore w:val="0"/>
        <w:widowControl w:val="0"/>
        <w:kinsoku/>
        <w:wordWrap/>
        <w:overflowPunct/>
        <w:topLinePunct w:val="0"/>
        <w:bidi w:val="0"/>
        <w:snapToGrid w:val="0"/>
        <w:spacing w:line="360" w:lineRule="auto"/>
        <w:ind w:firstLine="205" w:firstLineChars="98"/>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8.8</w:t>
      </w:r>
      <w:r>
        <w:rPr>
          <w:rFonts w:hint="eastAsia" w:ascii="宋体" w:hAnsi="宋体" w:eastAsia="宋体" w:cs="宋体"/>
          <w:bCs/>
          <w:color w:val="auto"/>
          <w:sz w:val="21"/>
          <w:szCs w:val="21"/>
          <w:highlight w:val="none"/>
        </w:rPr>
        <w:t>著作权</w:t>
      </w:r>
    </w:p>
    <w:p w14:paraId="0C0CF4E8">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监理人在本合同履行期间及本合同终止后两年内出版涉及本工程的有关监理与相关服务的资料的限制条件：</w:t>
      </w:r>
    </w:p>
    <w:p w14:paraId="794E7B59">
      <w:pPr>
        <w:keepNext w:val="0"/>
        <w:keepLines w:val="0"/>
        <w:pageBreakBefore w:val="0"/>
        <w:widowControl w:val="0"/>
        <w:kinsoku/>
        <w:wordWrap/>
        <w:overflowPunct/>
        <w:topLinePunct w:val="0"/>
        <w:bidi w:val="0"/>
        <w:adjustRightInd w:val="0"/>
        <w:snapToGrid w:val="0"/>
        <w:spacing w:before="156" w:beforeLines="50" w:after="156" w:afterLines="50" w:line="36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00FF0C29">
      <w:pPr>
        <w:keepNext w:val="0"/>
        <w:keepLines w:val="0"/>
        <w:pageBreakBefore w:val="0"/>
        <w:widowControl w:val="0"/>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补充条款</w:t>
      </w:r>
    </w:p>
    <w:p w14:paraId="6685FADC">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1、监理人对本工程的施工全过程进行监理。</w:t>
      </w:r>
    </w:p>
    <w:p w14:paraId="7287534D">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2、本工程施工监理项目机构人员配备要求如下：</w:t>
      </w:r>
    </w:p>
    <w:tbl>
      <w:tblPr>
        <w:tblStyle w:val="25"/>
        <w:tblW w:w="87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5"/>
        <w:gridCol w:w="6524"/>
      </w:tblGrid>
      <w:tr w14:paraId="5DF12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trPr>
        <w:tc>
          <w:tcPr>
            <w:tcW w:w="2215" w:type="dxa"/>
            <w:tcBorders>
              <w:top w:val="single" w:color="auto" w:sz="8" w:space="0"/>
              <w:left w:val="single" w:color="auto" w:sz="8" w:space="0"/>
            </w:tcBorders>
            <w:noWrap w:val="0"/>
            <w:vAlign w:val="center"/>
          </w:tcPr>
          <w:p w14:paraId="593DF863">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施工阶段监理人员配备（人）</w:t>
            </w:r>
          </w:p>
        </w:tc>
        <w:tc>
          <w:tcPr>
            <w:tcW w:w="6524" w:type="dxa"/>
            <w:tcBorders>
              <w:top w:val="single" w:color="auto" w:sz="8" w:space="0"/>
              <w:right w:val="single" w:color="auto" w:sz="8" w:space="0"/>
            </w:tcBorders>
            <w:noWrap w:val="0"/>
            <w:vAlign w:val="center"/>
          </w:tcPr>
          <w:p w14:paraId="2A0EAAE6">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2715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8" w:hRule="atLeast"/>
        </w:trPr>
        <w:tc>
          <w:tcPr>
            <w:tcW w:w="2215" w:type="dxa"/>
            <w:tcBorders>
              <w:left w:val="single" w:color="auto" w:sz="8" w:space="0"/>
            </w:tcBorders>
            <w:noWrap w:val="0"/>
            <w:vAlign w:val="center"/>
          </w:tcPr>
          <w:p w14:paraId="2E1C844D">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至少</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人</w:t>
            </w:r>
          </w:p>
        </w:tc>
        <w:tc>
          <w:tcPr>
            <w:tcW w:w="6524" w:type="dxa"/>
            <w:tcBorders>
              <w:right w:val="single" w:color="auto" w:sz="8" w:space="0"/>
            </w:tcBorders>
            <w:noWrap w:val="0"/>
            <w:vAlign w:val="center"/>
          </w:tcPr>
          <w:p w14:paraId="068600EA">
            <w:pPr>
              <w:keepNext w:val="0"/>
              <w:keepLines w:val="0"/>
              <w:suppressLineNumbers w:val="0"/>
              <w:spacing w:before="0" w:beforeAutospacing="0" w:after="0" w:afterAutospacing="0" w:line="44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1、总监理工程师包括在本表中的监理人员人数内；</w:t>
            </w:r>
            <w:r>
              <w:rPr>
                <w:rFonts w:hint="eastAsia" w:ascii="宋体" w:hAnsi="宋体" w:cs="宋体"/>
                <w:color w:val="auto"/>
                <w:sz w:val="21"/>
                <w:szCs w:val="21"/>
                <w:highlight w:val="none"/>
                <w:lang w:eastAsia="zh-CN"/>
              </w:rPr>
              <w:t>专业监理工程师不少于</w:t>
            </w:r>
            <w:r>
              <w:rPr>
                <w:rFonts w:hint="eastAsia" w:ascii="宋体" w:hAnsi="宋体" w:cs="宋体"/>
                <w:color w:val="auto"/>
                <w:sz w:val="21"/>
                <w:szCs w:val="21"/>
                <w:highlight w:val="none"/>
                <w:lang w:val="en-US" w:eastAsia="zh-CN"/>
              </w:rPr>
              <w:t>2人，</w:t>
            </w:r>
            <w:r>
              <w:rPr>
                <w:rFonts w:hint="eastAsia" w:ascii="宋体" w:hAnsi="宋体" w:eastAsia="宋体" w:cs="宋体"/>
                <w:color w:val="auto"/>
                <w:sz w:val="21"/>
                <w:szCs w:val="21"/>
                <w:highlight w:val="none"/>
                <w:lang w:val="en-US" w:eastAsia="zh-CN"/>
              </w:rPr>
              <w:t>专业监理员不少于</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人</w:t>
            </w:r>
          </w:p>
          <w:p w14:paraId="5D255257">
            <w:pPr>
              <w:keepNext w:val="0"/>
              <w:keepLines w:val="0"/>
              <w:suppressLineNumbers w:val="0"/>
              <w:spacing w:before="0" w:beforeAutospacing="0" w:after="0" w:afterAutospacing="0" w:line="44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2、专业均为相关专业，监理人员配备数量、专业合理。</w:t>
            </w:r>
          </w:p>
          <w:p w14:paraId="2D0A0D89">
            <w:pPr>
              <w:keepNext w:val="0"/>
              <w:keepLines w:val="0"/>
              <w:suppressLineNumbers w:val="0"/>
              <w:spacing w:before="0" w:beforeAutospacing="0" w:after="0" w:afterAutospacing="0" w:line="44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3、人员均为投标人本单位在职职工(以岗位证书注明的单位为准)。</w:t>
            </w:r>
          </w:p>
        </w:tc>
      </w:tr>
    </w:tbl>
    <w:p w14:paraId="06C0A790">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3、监理项目机构人员全部到位承诺书、主要检测设备仪器到位承诺书均为本合同组成部分。监理人员可以根据工程的进度安排分期到位，但不能影响工程监理正常的需要。</w:t>
      </w:r>
    </w:p>
    <w:p w14:paraId="2FC66689">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4、总监理工程师及其他监理人员必须常驻项目现场，</w:t>
      </w:r>
      <w:r>
        <w:rPr>
          <w:rFonts w:hint="eastAsia" w:ascii="宋体" w:hAnsi="宋体" w:eastAsia="宋体" w:cs="宋体"/>
          <w:color w:val="auto"/>
          <w:sz w:val="21"/>
          <w:szCs w:val="21"/>
          <w:highlight w:val="none"/>
          <w:lang w:val="en-US" w:eastAsia="zh-CN"/>
        </w:rPr>
        <w:t>每月</w:t>
      </w:r>
      <w:r>
        <w:rPr>
          <w:rFonts w:hint="eastAsia" w:ascii="宋体" w:hAnsi="宋体" w:eastAsia="宋体" w:cs="宋体"/>
          <w:color w:val="auto"/>
          <w:sz w:val="21"/>
          <w:szCs w:val="21"/>
          <w:highlight w:val="none"/>
        </w:rPr>
        <w:t>常驻项目现场</w:t>
      </w:r>
      <w:r>
        <w:rPr>
          <w:rFonts w:hint="eastAsia" w:ascii="宋体" w:hAnsi="宋体" w:eastAsia="宋体" w:cs="宋体"/>
          <w:color w:val="auto"/>
          <w:sz w:val="21"/>
          <w:szCs w:val="21"/>
          <w:highlight w:val="none"/>
          <w:lang w:val="en-US" w:eastAsia="zh-CN"/>
        </w:rPr>
        <w:t>不少于20天，</w:t>
      </w:r>
      <w:r>
        <w:rPr>
          <w:rFonts w:hint="eastAsia" w:ascii="宋体" w:hAnsi="宋体" w:eastAsia="宋体" w:cs="宋体"/>
          <w:color w:val="auto"/>
          <w:sz w:val="21"/>
          <w:szCs w:val="21"/>
          <w:highlight w:val="none"/>
        </w:rPr>
        <w:t>业主将执行考勤制度，有特殊情况的，需书面报送并获得业主同意。</w:t>
      </w:r>
    </w:p>
    <w:p w14:paraId="33CB63D9">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5、有以下行为之一均视为监理人违约，监理人应当按下表规定支付违约金。</w:t>
      </w:r>
    </w:p>
    <w:tbl>
      <w:tblPr>
        <w:tblStyle w:val="25"/>
        <w:tblW w:w="8778"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67"/>
        <w:gridCol w:w="5661"/>
        <w:gridCol w:w="2250"/>
      </w:tblGrid>
      <w:tr w14:paraId="0FFBBF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67" w:type="dxa"/>
            <w:noWrap w:val="0"/>
            <w:vAlign w:val="center"/>
          </w:tcPr>
          <w:p w14:paraId="03908063">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5661" w:type="dxa"/>
            <w:noWrap w:val="0"/>
            <w:vAlign w:val="center"/>
          </w:tcPr>
          <w:p w14:paraId="7745B0FC">
            <w:pPr>
              <w:pStyle w:val="13"/>
              <w:keepNext w:val="0"/>
              <w:keepLines w:val="0"/>
              <w:suppressLineNumbers w:val="0"/>
              <w:spacing w:before="0" w:beforeAutospacing="0" w:after="0" w:afterAutospacing="0" w:line="480" w:lineRule="exact"/>
              <w:ind w:left="0" w:leftChars="0" w:right="0" w:firstLine="1897" w:firstLineChars="9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违约情形</w:t>
            </w:r>
          </w:p>
        </w:tc>
        <w:tc>
          <w:tcPr>
            <w:tcW w:w="2250" w:type="dxa"/>
            <w:noWrap w:val="0"/>
            <w:vAlign w:val="center"/>
          </w:tcPr>
          <w:p w14:paraId="2B160A8B">
            <w:pPr>
              <w:keepNext w:val="0"/>
              <w:keepLines w:val="0"/>
              <w:suppressLineNumbers w:val="0"/>
              <w:spacing w:before="0" w:beforeAutospacing="0" w:after="0" w:afterAutospacing="0" w:line="480" w:lineRule="exact"/>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违约责任</w:t>
            </w:r>
          </w:p>
        </w:tc>
      </w:tr>
      <w:tr w14:paraId="707FC7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867" w:type="dxa"/>
            <w:noWrap w:val="0"/>
            <w:vAlign w:val="center"/>
          </w:tcPr>
          <w:p w14:paraId="483AD046">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661" w:type="dxa"/>
            <w:noWrap w:val="0"/>
            <w:vAlign w:val="center"/>
          </w:tcPr>
          <w:p w14:paraId="2324D373">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总监理工程师未到位或无故撤换的</w:t>
            </w:r>
          </w:p>
        </w:tc>
        <w:tc>
          <w:tcPr>
            <w:tcW w:w="2250" w:type="dxa"/>
            <w:noWrap w:val="0"/>
            <w:vAlign w:val="center"/>
          </w:tcPr>
          <w:p w14:paraId="450236D3">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0B635A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867" w:type="dxa"/>
            <w:noWrap w:val="0"/>
            <w:vAlign w:val="center"/>
          </w:tcPr>
          <w:p w14:paraId="6CFB8E16">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661" w:type="dxa"/>
            <w:noWrap w:val="0"/>
            <w:vAlign w:val="center"/>
          </w:tcPr>
          <w:p w14:paraId="19464F40">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其他监理人员未到位或无故撤换的</w:t>
            </w:r>
          </w:p>
        </w:tc>
        <w:tc>
          <w:tcPr>
            <w:tcW w:w="2250" w:type="dxa"/>
            <w:noWrap w:val="0"/>
            <w:vAlign w:val="center"/>
          </w:tcPr>
          <w:p w14:paraId="106CE681">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0974A1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67" w:type="dxa"/>
            <w:noWrap w:val="0"/>
            <w:vAlign w:val="center"/>
          </w:tcPr>
          <w:p w14:paraId="41D02024">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5661" w:type="dxa"/>
            <w:noWrap w:val="0"/>
            <w:vAlign w:val="center"/>
          </w:tcPr>
          <w:p w14:paraId="75E0C8A4">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总监理工程师如有特殊原因需要更换，将事先征得发包人同意，且新派的总监理工程师资历不满足招标文件要求的</w:t>
            </w:r>
          </w:p>
        </w:tc>
        <w:tc>
          <w:tcPr>
            <w:tcW w:w="2250" w:type="dxa"/>
            <w:noWrap w:val="0"/>
            <w:vAlign w:val="center"/>
          </w:tcPr>
          <w:p w14:paraId="038D9723">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4163D9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67" w:type="dxa"/>
            <w:noWrap w:val="0"/>
            <w:vAlign w:val="center"/>
          </w:tcPr>
          <w:p w14:paraId="7E44A471">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661" w:type="dxa"/>
            <w:noWrap w:val="0"/>
            <w:vAlign w:val="center"/>
          </w:tcPr>
          <w:p w14:paraId="42827350">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监理其他人员如有特殊原因需要更换，将事先征得发包人同意，且新派的监理人员资历不满足招标文件要求的</w:t>
            </w:r>
          </w:p>
        </w:tc>
        <w:tc>
          <w:tcPr>
            <w:tcW w:w="2250" w:type="dxa"/>
            <w:noWrap w:val="0"/>
            <w:vAlign w:val="center"/>
          </w:tcPr>
          <w:p w14:paraId="78673D69">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203B2D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67" w:type="dxa"/>
            <w:noWrap w:val="0"/>
            <w:vAlign w:val="center"/>
          </w:tcPr>
          <w:p w14:paraId="0AAF9523">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5661" w:type="dxa"/>
            <w:noWrap w:val="0"/>
            <w:vAlign w:val="center"/>
          </w:tcPr>
          <w:p w14:paraId="2566BDED">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监理检测设备仪器未到位</w:t>
            </w:r>
          </w:p>
        </w:tc>
        <w:tc>
          <w:tcPr>
            <w:tcW w:w="2250" w:type="dxa"/>
            <w:noWrap w:val="0"/>
            <w:vAlign w:val="center"/>
          </w:tcPr>
          <w:p w14:paraId="02B0B80F">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13CC33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67" w:type="dxa"/>
            <w:noWrap w:val="0"/>
            <w:vAlign w:val="center"/>
          </w:tcPr>
          <w:p w14:paraId="04C205B4">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5661" w:type="dxa"/>
            <w:noWrap w:val="0"/>
            <w:vAlign w:val="center"/>
          </w:tcPr>
          <w:p w14:paraId="0ACCBC4E">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总监理工程师无故缺勤</w:t>
            </w:r>
          </w:p>
        </w:tc>
        <w:tc>
          <w:tcPr>
            <w:tcW w:w="2250" w:type="dxa"/>
            <w:noWrap w:val="0"/>
            <w:vAlign w:val="center"/>
          </w:tcPr>
          <w:p w14:paraId="7CAB5437">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74FE05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67" w:type="dxa"/>
            <w:noWrap w:val="0"/>
            <w:vAlign w:val="center"/>
          </w:tcPr>
          <w:p w14:paraId="0789DA44">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5661" w:type="dxa"/>
            <w:noWrap w:val="0"/>
            <w:vAlign w:val="center"/>
          </w:tcPr>
          <w:p w14:paraId="670EE121">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其他监理人员无故缺勤</w:t>
            </w:r>
          </w:p>
        </w:tc>
        <w:tc>
          <w:tcPr>
            <w:tcW w:w="2250" w:type="dxa"/>
            <w:noWrap w:val="0"/>
            <w:vAlign w:val="center"/>
          </w:tcPr>
          <w:p w14:paraId="5687680B">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33B3A2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67" w:type="dxa"/>
            <w:noWrap w:val="0"/>
            <w:vAlign w:val="center"/>
          </w:tcPr>
          <w:p w14:paraId="66D1733A">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5661" w:type="dxa"/>
            <w:noWrap w:val="0"/>
            <w:vAlign w:val="center"/>
          </w:tcPr>
          <w:p w14:paraId="16FF2545">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因监理人过错，而致使工程发生质量、安全事故，或受到责令停工整顿</w:t>
            </w:r>
          </w:p>
        </w:tc>
        <w:tc>
          <w:tcPr>
            <w:tcW w:w="2250" w:type="dxa"/>
            <w:noWrap w:val="0"/>
            <w:vAlign w:val="center"/>
          </w:tcPr>
          <w:p w14:paraId="018848C6">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2C7E76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867" w:type="dxa"/>
            <w:noWrap w:val="0"/>
            <w:vAlign w:val="center"/>
          </w:tcPr>
          <w:p w14:paraId="0DA14E40">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5661" w:type="dxa"/>
            <w:noWrap w:val="0"/>
            <w:vAlign w:val="center"/>
          </w:tcPr>
          <w:p w14:paraId="661CFA1E">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监理人未按合同进行工程计量与支付，工程价款监理的差错率超过5%，审查签署工程文件有重大出入、不实的，或不按合同规定的程序、期限实施监理的</w:t>
            </w:r>
          </w:p>
        </w:tc>
        <w:tc>
          <w:tcPr>
            <w:tcW w:w="2250" w:type="dxa"/>
            <w:noWrap w:val="0"/>
            <w:vAlign w:val="center"/>
          </w:tcPr>
          <w:p w14:paraId="3F4ED88F">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4E2E77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67" w:type="dxa"/>
            <w:noWrap w:val="0"/>
            <w:vAlign w:val="center"/>
          </w:tcPr>
          <w:p w14:paraId="075B2D81">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5661" w:type="dxa"/>
            <w:noWrap w:val="0"/>
            <w:vAlign w:val="center"/>
          </w:tcPr>
          <w:p w14:paraId="199A18FE">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在工程质量或合同价款审查中，监理人有重大失误、弄虚作假或伪造签字的</w:t>
            </w:r>
          </w:p>
        </w:tc>
        <w:tc>
          <w:tcPr>
            <w:tcW w:w="2250" w:type="dxa"/>
            <w:noWrap w:val="0"/>
            <w:vAlign w:val="center"/>
          </w:tcPr>
          <w:p w14:paraId="497E9FA0">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r w14:paraId="22E584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67" w:type="dxa"/>
            <w:noWrap w:val="0"/>
            <w:vAlign w:val="center"/>
          </w:tcPr>
          <w:p w14:paraId="19549A4A">
            <w:pPr>
              <w:keepNext w:val="0"/>
              <w:keepLines w:val="0"/>
              <w:suppressLineNumbers w:val="0"/>
              <w:spacing w:before="0" w:beforeAutospacing="0" w:after="0" w:afterAutospacing="0" w:line="4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5661" w:type="dxa"/>
            <w:noWrap w:val="0"/>
            <w:vAlign w:val="center"/>
          </w:tcPr>
          <w:p w14:paraId="29DC0081">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在工程竣工验收时，无法将整套监理资料移交给委托人的</w:t>
            </w:r>
          </w:p>
        </w:tc>
        <w:tc>
          <w:tcPr>
            <w:tcW w:w="2250" w:type="dxa"/>
            <w:noWrap w:val="0"/>
            <w:vAlign w:val="center"/>
          </w:tcPr>
          <w:p w14:paraId="2187A3E0">
            <w:pPr>
              <w:keepNext w:val="0"/>
              <w:keepLines w:val="0"/>
              <w:suppressLineNumbers w:val="0"/>
              <w:spacing w:before="0" w:beforeAutospacing="0" w:after="0" w:afterAutospacing="0" w:line="48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双方另行约定</w:t>
            </w:r>
          </w:p>
        </w:tc>
      </w:tr>
    </w:tbl>
    <w:p w14:paraId="7875C6DD">
      <w:pPr>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注：①、总监理工程师和其他监理人员未按合同规定履行职责，或抽查无故未在岗、未参加工地例会，均视同未到位，总监理工程师每次罚款人民币1000元，其他监理人员每人次罚款人民币500元。</w:t>
      </w:r>
    </w:p>
    <w:p w14:paraId="41E70C48">
      <w:pPr>
        <w:spacing w:line="48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②、以上违约金可直接从合同价款中扣除。</w:t>
      </w:r>
    </w:p>
    <w:p w14:paraId="5B2D592E">
      <w:pPr>
        <w:spacing w:line="48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③、拟派本工程的总监理工程师及其他监理人员不得擅自更换，特殊情况经委托人同意后方可更换。若擅自更换总监理工程师，发包人有权中止合同。</w:t>
      </w:r>
    </w:p>
    <w:p w14:paraId="7E8C45E5">
      <w:pPr>
        <w:pStyle w:val="22"/>
        <w:ind w:firstLine="840" w:firstLineChars="4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④、由于征地拆迁等原因，造成工期延期或停工，对监理单位费用不另外补偿，监理工期顺延</w:t>
      </w:r>
    </w:p>
    <w:p w14:paraId="5BC7B41D">
      <w:pPr>
        <w:rPr>
          <w:rFonts w:hint="eastAsia" w:ascii="宋体" w:hAnsi="宋体" w:eastAsia="宋体" w:cs="宋体"/>
          <w:color w:val="auto"/>
          <w:sz w:val="21"/>
          <w:szCs w:val="21"/>
          <w:highlight w:val="none"/>
        </w:rPr>
      </w:pPr>
    </w:p>
    <w:p w14:paraId="0C67816D">
      <w:pPr>
        <w:pStyle w:val="22"/>
        <w:rPr>
          <w:rFonts w:hint="eastAsia" w:ascii="宋体" w:hAnsi="宋体" w:eastAsia="宋体" w:cs="宋体"/>
          <w:color w:val="auto"/>
          <w:sz w:val="21"/>
          <w:szCs w:val="21"/>
          <w:highlight w:val="none"/>
        </w:rPr>
      </w:pPr>
    </w:p>
    <w:p w14:paraId="64552F4A">
      <w:pPr>
        <w:rPr>
          <w:rFonts w:hint="eastAsia" w:ascii="宋体" w:hAnsi="宋体" w:eastAsia="宋体" w:cs="宋体"/>
          <w:color w:val="auto"/>
          <w:sz w:val="21"/>
          <w:szCs w:val="21"/>
          <w:highlight w:val="none"/>
        </w:rPr>
      </w:pPr>
    </w:p>
    <w:p w14:paraId="2C6ED6EB">
      <w:pPr>
        <w:pStyle w:val="22"/>
        <w:rPr>
          <w:rFonts w:hint="eastAsia" w:ascii="宋体" w:hAnsi="宋体" w:eastAsia="宋体" w:cs="宋体"/>
          <w:color w:val="auto"/>
          <w:sz w:val="21"/>
          <w:szCs w:val="21"/>
          <w:highlight w:val="none"/>
        </w:rPr>
      </w:pPr>
    </w:p>
    <w:p w14:paraId="5718A88E">
      <w:pPr>
        <w:rPr>
          <w:rFonts w:hint="eastAsia" w:ascii="宋体" w:hAnsi="宋体" w:eastAsia="宋体" w:cs="宋体"/>
          <w:color w:val="auto"/>
          <w:sz w:val="21"/>
          <w:szCs w:val="21"/>
          <w:highlight w:val="none"/>
        </w:rPr>
      </w:pPr>
    </w:p>
    <w:p w14:paraId="18770302">
      <w:pPr>
        <w:pStyle w:val="22"/>
        <w:rPr>
          <w:rFonts w:hint="eastAsia" w:ascii="宋体" w:hAnsi="宋体" w:eastAsia="宋体" w:cs="宋体"/>
          <w:color w:val="auto"/>
          <w:sz w:val="21"/>
          <w:szCs w:val="21"/>
          <w:highlight w:val="none"/>
        </w:rPr>
      </w:pPr>
    </w:p>
    <w:p w14:paraId="55861D54">
      <w:pPr>
        <w:rPr>
          <w:rFonts w:hint="eastAsia"/>
          <w:color w:val="auto"/>
          <w:sz w:val="18"/>
          <w:szCs w:val="16"/>
          <w:highlight w:val="none"/>
        </w:rPr>
      </w:pPr>
    </w:p>
    <w:p w14:paraId="53D38CDA">
      <w:pPr>
        <w:rPr>
          <w:rFonts w:hint="eastAsia" w:ascii="宋体" w:hAnsi="宋体" w:eastAsia="宋体" w:cs="宋体"/>
          <w:color w:val="auto"/>
          <w:sz w:val="21"/>
          <w:szCs w:val="21"/>
          <w:highlight w:val="none"/>
        </w:rPr>
      </w:pPr>
    </w:p>
    <w:p w14:paraId="638C54E2">
      <w:pPr>
        <w:pStyle w:val="22"/>
        <w:rPr>
          <w:rFonts w:hint="eastAsia" w:ascii="宋体" w:hAnsi="宋体" w:eastAsia="宋体" w:cs="宋体"/>
          <w:color w:val="auto"/>
          <w:sz w:val="21"/>
          <w:szCs w:val="21"/>
          <w:highlight w:val="none"/>
        </w:rPr>
      </w:pPr>
    </w:p>
    <w:p w14:paraId="58FC7B57">
      <w:pPr>
        <w:rPr>
          <w:rFonts w:hint="eastAsia" w:ascii="宋体" w:hAnsi="宋体" w:eastAsia="宋体" w:cs="宋体"/>
          <w:color w:val="auto"/>
          <w:sz w:val="21"/>
          <w:szCs w:val="21"/>
          <w:highlight w:val="none"/>
        </w:rPr>
      </w:pPr>
    </w:p>
    <w:p w14:paraId="34FC0FBA">
      <w:pPr>
        <w:pStyle w:val="22"/>
        <w:rPr>
          <w:rFonts w:hint="eastAsia" w:ascii="宋体" w:hAnsi="宋体" w:eastAsia="宋体" w:cs="宋体"/>
          <w:color w:val="auto"/>
          <w:sz w:val="21"/>
          <w:szCs w:val="21"/>
          <w:highlight w:val="none"/>
        </w:rPr>
      </w:pPr>
    </w:p>
    <w:p w14:paraId="374C6E45">
      <w:pPr>
        <w:rPr>
          <w:rFonts w:hint="eastAsia" w:ascii="宋体" w:hAnsi="宋体" w:eastAsia="宋体" w:cs="宋体"/>
          <w:color w:val="auto"/>
          <w:sz w:val="21"/>
          <w:szCs w:val="21"/>
          <w:highlight w:val="none"/>
        </w:rPr>
      </w:pPr>
    </w:p>
    <w:p w14:paraId="3FEA66CD">
      <w:pPr>
        <w:pStyle w:val="22"/>
        <w:rPr>
          <w:rFonts w:hint="eastAsia" w:ascii="宋体" w:hAnsi="宋体" w:eastAsia="宋体" w:cs="宋体"/>
          <w:color w:val="auto"/>
          <w:sz w:val="21"/>
          <w:szCs w:val="21"/>
          <w:highlight w:val="none"/>
        </w:rPr>
      </w:pPr>
    </w:p>
    <w:p w14:paraId="5B7DD801">
      <w:pPr>
        <w:rPr>
          <w:rFonts w:hint="eastAsia" w:ascii="宋体" w:hAnsi="宋体" w:eastAsia="宋体" w:cs="宋体"/>
          <w:color w:val="auto"/>
          <w:sz w:val="21"/>
          <w:szCs w:val="21"/>
          <w:highlight w:val="none"/>
        </w:rPr>
      </w:pPr>
    </w:p>
    <w:p w14:paraId="5F23274A">
      <w:pPr>
        <w:pStyle w:val="22"/>
        <w:rPr>
          <w:rFonts w:hint="eastAsia" w:ascii="宋体" w:hAnsi="宋体" w:eastAsia="宋体" w:cs="宋体"/>
          <w:color w:val="auto"/>
          <w:sz w:val="21"/>
          <w:szCs w:val="21"/>
          <w:highlight w:val="none"/>
        </w:rPr>
      </w:pPr>
    </w:p>
    <w:p w14:paraId="459373D5">
      <w:pPr>
        <w:rPr>
          <w:rFonts w:hint="eastAsia"/>
          <w:color w:val="auto"/>
          <w:sz w:val="18"/>
          <w:szCs w:val="16"/>
          <w:highlight w:val="none"/>
        </w:rPr>
      </w:pPr>
    </w:p>
    <w:p w14:paraId="21A6280C">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附录A  相关服务的范围和内容</w:t>
      </w:r>
    </w:p>
    <w:p w14:paraId="20D52F61">
      <w:pPr>
        <w:keepNext w:val="0"/>
        <w:keepLines w:val="0"/>
        <w:pageBreakBefore w:val="0"/>
        <w:widowControl w:val="0"/>
        <w:kinsoku/>
        <w:wordWrap/>
        <w:overflowPunct/>
        <w:topLinePunct w:val="0"/>
        <w:bidi w:val="0"/>
        <w:snapToGrid w:val="0"/>
        <w:spacing w:before="156" w:beforeLines="50" w:after="156" w:afterLines="5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A-1 勘察阶段：</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CF8CDEC">
      <w:pPr>
        <w:keepNext w:val="0"/>
        <w:keepLines w:val="0"/>
        <w:pageBreakBefore w:val="0"/>
        <w:widowControl w:val="0"/>
        <w:kinsoku/>
        <w:wordWrap/>
        <w:overflowPunct/>
        <w:topLinePunct w:val="0"/>
        <w:bidi w:val="0"/>
        <w:snapToGrid w:val="0"/>
        <w:spacing w:before="156" w:beforeLines="50" w:after="156" w:afterLines="5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A-2 设计阶段：</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57464B2">
      <w:pPr>
        <w:keepNext w:val="0"/>
        <w:keepLines w:val="0"/>
        <w:pageBreakBefore w:val="0"/>
        <w:widowControl w:val="0"/>
        <w:kinsoku/>
        <w:wordWrap/>
        <w:overflowPunct/>
        <w:topLinePunct w:val="0"/>
        <w:bidi w:val="0"/>
        <w:snapToGrid w:val="0"/>
        <w:spacing w:before="156" w:beforeLines="50" w:after="156" w:afterLines="5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A-3 保修阶段：</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AFAFAC2">
      <w:pPr>
        <w:keepNext w:val="0"/>
        <w:keepLines w:val="0"/>
        <w:pageBreakBefore w:val="0"/>
        <w:widowControl w:val="0"/>
        <w:kinsoku/>
        <w:wordWrap/>
        <w:overflowPunct/>
        <w:topLinePunct w:val="0"/>
        <w:bidi w:val="0"/>
        <w:snapToGrid w:val="0"/>
        <w:spacing w:before="156" w:beforeLines="50" w:after="156" w:afterLines="5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A-4 </w:t>
      </w:r>
      <w:r>
        <w:rPr>
          <w:rFonts w:hint="eastAsia" w:ascii="宋体" w:hAnsi="宋体" w:eastAsia="宋体" w:cs="宋体"/>
          <w:color w:val="auto"/>
          <w:sz w:val="21"/>
          <w:szCs w:val="21"/>
          <w:highlight w:val="none"/>
        </w:rPr>
        <w:t>其他（专业技术咨询、外部协调工作等）：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9D2597">
      <w:pPr>
        <w:keepNext w:val="0"/>
        <w:keepLines w:val="0"/>
        <w:pageBreakBefore w:val="0"/>
        <w:widowControl w:val="0"/>
        <w:kinsoku/>
        <w:wordWrap/>
        <w:overflowPunct/>
        <w:topLinePunct w:val="0"/>
        <w:bidi w:val="0"/>
        <w:snapToGrid w:val="0"/>
        <w:spacing w:before="156" w:beforeLines="50" w:after="156" w:afterLines="50"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附录B  委托人派遣的人员和提供的房屋、资料、设备</w:t>
      </w:r>
    </w:p>
    <w:p w14:paraId="3E9BC56C">
      <w:pPr>
        <w:keepNext w:val="0"/>
        <w:keepLines w:val="0"/>
        <w:pageBreakBefore w:val="0"/>
        <w:widowControl w:val="0"/>
        <w:kinsoku/>
        <w:wordWrap/>
        <w:overflowPunct/>
        <w:topLinePunct w:val="0"/>
        <w:bidi w:val="0"/>
        <w:spacing w:before="156" w:beforeLines="50" w:line="360" w:lineRule="auto"/>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B-1  委托人派遣的人员</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1860"/>
      </w:tblGrid>
      <w:tr w14:paraId="05984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65E2222A">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1770" w:type="dxa"/>
            <w:noWrap w:val="0"/>
            <w:vAlign w:val="top"/>
          </w:tcPr>
          <w:p w14:paraId="2740EF96">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2130" w:type="dxa"/>
            <w:noWrap w:val="0"/>
            <w:vAlign w:val="top"/>
          </w:tcPr>
          <w:p w14:paraId="0B89D325">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工作要求</w:t>
            </w:r>
          </w:p>
        </w:tc>
        <w:tc>
          <w:tcPr>
            <w:tcW w:w="1860" w:type="dxa"/>
            <w:noWrap w:val="0"/>
            <w:vAlign w:val="top"/>
          </w:tcPr>
          <w:p w14:paraId="138FC9C0">
            <w:pPr>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提供时间</w:t>
            </w:r>
          </w:p>
        </w:tc>
      </w:tr>
      <w:tr w14:paraId="7E205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212177CB">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工程技术人员 </w:t>
            </w:r>
          </w:p>
        </w:tc>
        <w:tc>
          <w:tcPr>
            <w:tcW w:w="1770" w:type="dxa"/>
            <w:noWrap w:val="0"/>
            <w:vAlign w:val="top"/>
          </w:tcPr>
          <w:p w14:paraId="5041C358">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7DC07EAB">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0D4E10CC">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r w14:paraId="47479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2AB7C945">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辅助工作人员</w:t>
            </w:r>
          </w:p>
        </w:tc>
        <w:tc>
          <w:tcPr>
            <w:tcW w:w="1770" w:type="dxa"/>
            <w:noWrap w:val="0"/>
            <w:vAlign w:val="top"/>
          </w:tcPr>
          <w:p w14:paraId="5FD3306F">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47CBD1B8">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0D343929">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r w14:paraId="101B0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10420B5F">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其他人员</w:t>
            </w:r>
          </w:p>
        </w:tc>
        <w:tc>
          <w:tcPr>
            <w:tcW w:w="1770" w:type="dxa"/>
            <w:noWrap w:val="0"/>
            <w:vAlign w:val="top"/>
          </w:tcPr>
          <w:p w14:paraId="6E027031">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7D6B14E6">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4158C2B1">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r w14:paraId="19CC1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noWrap w:val="0"/>
            <w:vAlign w:val="top"/>
          </w:tcPr>
          <w:p w14:paraId="452EF324">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770" w:type="dxa"/>
            <w:noWrap w:val="0"/>
            <w:vAlign w:val="top"/>
          </w:tcPr>
          <w:p w14:paraId="79DE2167">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7E95988D">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0DBA0371">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bl>
    <w:p w14:paraId="6BA9854E">
      <w:pPr>
        <w:keepNext w:val="0"/>
        <w:keepLines w:val="0"/>
        <w:pageBreakBefore w:val="0"/>
        <w:widowControl w:val="0"/>
        <w:kinsoku/>
        <w:wordWrap/>
        <w:overflowPunct/>
        <w:topLinePunct w:val="0"/>
        <w:bidi w:val="0"/>
        <w:spacing w:before="156" w:beforeLines="50" w:line="360" w:lineRule="auto"/>
        <w:textAlignment w:val="auto"/>
        <w:outlineLvl w:val="9"/>
        <w:rPr>
          <w:rFonts w:hint="eastAsia" w:ascii="宋体" w:hAnsi="宋体" w:eastAsia="宋体" w:cs="宋体"/>
          <w:b/>
          <w:color w:val="auto"/>
          <w:kern w:val="0"/>
          <w:sz w:val="21"/>
          <w:szCs w:val="21"/>
          <w:highlight w:val="none"/>
        </w:rPr>
      </w:pPr>
      <w:bookmarkStart w:id="153" w:name="_Toc27427"/>
      <w:bookmarkStart w:id="154" w:name="_Toc507227325"/>
      <w:bookmarkStart w:id="155" w:name="_Toc533155942"/>
      <w:bookmarkStart w:id="156" w:name="_Toc28328"/>
      <w:bookmarkStart w:id="157" w:name="_Toc536525004"/>
      <w:bookmarkStart w:id="158" w:name="_Toc436741204"/>
      <w:bookmarkStart w:id="159" w:name="_Toc507706643"/>
      <w:bookmarkStart w:id="160" w:name="_Toc438215230"/>
      <w:bookmarkStart w:id="161" w:name="_Toc29893255"/>
      <w:r>
        <w:rPr>
          <w:rFonts w:hint="eastAsia" w:ascii="宋体" w:hAnsi="宋体" w:eastAsia="宋体" w:cs="宋体"/>
          <w:b/>
          <w:color w:val="auto"/>
          <w:kern w:val="0"/>
          <w:sz w:val="21"/>
          <w:szCs w:val="21"/>
          <w:highlight w:val="none"/>
        </w:rPr>
        <w:t>B-2  委托人提供的房屋</w:t>
      </w:r>
      <w:bookmarkEnd w:id="153"/>
      <w:bookmarkEnd w:id="154"/>
      <w:bookmarkEnd w:id="155"/>
      <w:bookmarkEnd w:id="156"/>
      <w:bookmarkEnd w:id="157"/>
      <w:bookmarkEnd w:id="158"/>
      <w:bookmarkEnd w:id="159"/>
      <w:bookmarkEnd w:id="160"/>
      <w:bookmarkEnd w:id="161"/>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14:paraId="73780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73C54701">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2130" w:type="dxa"/>
            <w:noWrap w:val="0"/>
            <w:vAlign w:val="top"/>
          </w:tcPr>
          <w:p w14:paraId="37AA9510">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2130" w:type="dxa"/>
            <w:noWrap w:val="0"/>
            <w:vAlign w:val="top"/>
          </w:tcPr>
          <w:p w14:paraId="5D52BC25">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面积</w:t>
            </w:r>
          </w:p>
        </w:tc>
        <w:tc>
          <w:tcPr>
            <w:tcW w:w="1860" w:type="dxa"/>
            <w:noWrap w:val="0"/>
            <w:vAlign w:val="top"/>
          </w:tcPr>
          <w:p w14:paraId="4FE178DD">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提供时间</w:t>
            </w:r>
          </w:p>
        </w:tc>
      </w:tr>
      <w:tr w14:paraId="1021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2D64EB4C">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办公用房</w:t>
            </w:r>
          </w:p>
        </w:tc>
        <w:tc>
          <w:tcPr>
            <w:tcW w:w="2130" w:type="dxa"/>
            <w:noWrap w:val="0"/>
            <w:vAlign w:val="top"/>
          </w:tcPr>
          <w:p w14:paraId="1C9914D9">
            <w:pPr>
              <w:keepNext w:val="0"/>
              <w:keepLines w:val="0"/>
              <w:pageBreakBefore w:val="0"/>
              <w:widowControl w:val="0"/>
              <w:kinsoku/>
              <w:wordWrap/>
              <w:overflowPunct/>
              <w:topLinePunct w:val="0"/>
              <w:bidi w:val="0"/>
              <w:spacing w:line="360" w:lineRule="auto"/>
              <w:ind w:firstLine="210" w:firstLineChars="1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w:t>
            </w:r>
          </w:p>
        </w:tc>
        <w:tc>
          <w:tcPr>
            <w:tcW w:w="2130" w:type="dxa"/>
            <w:noWrap w:val="0"/>
            <w:vAlign w:val="top"/>
          </w:tcPr>
          <w:p w14:paraId="56AC043C">
            <w:pPr>
              <w:keepNext w:val="0"/>
              <w:keepLines w:val="0"/>
              <w:pageBreakBefore w:val="0"/>
              <w:widowControl w:val="0"/>
              <w:kinsoku/>
              <w:wordWrap/>
              <w:overflowPunct/>
              <w:topLinePunct w:val="0"/>
              <w:bidi w:val="0"/>
              <w:spacing w:line="360" w:lineRule="auto"/>
              <w:ind w:firstLine="210" w:firstLineChars="1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tc>
        <w:tc>
          <w:tcPr>
            <w:tcW w:w="1860" w:type="dxa"/>
            <w:noWrap w:val="0"/>
            <w:vAlign w:val="top"/>
          </w:tcPr>
          <w:p w14:paraId="19A6C69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203C6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2CF3B4B8">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生活用房</w:t>
            </w:r>
          </w:p>
        </w:tc>
        <w:tc>
          <w:tcPr>
            <w:tcW w:w="2130" w:type="dxa"/>
            <w:noWrap w:val="0"/>
            <w:vAlign w:val="top"/>
          </w:tcPr>
          <w:p w14:paraId="249A5450">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21CF549E">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29E77FD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6E0E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06188AD5">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3. 试验用房</w:t>
            </w:r>
          </w:p>
        </w:tc>
        <w:tc>
          <w:tcPr>
            <w:tcW w:w="2130" w:type="dxa"/>
            <w:noWrap w:val="0"/>
            <w:vAlign w:val="top"/>
          </w:tcPr>
          <w:p w14:paraId="15229AB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71CCEF8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6A614D88">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2302D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79130819">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样品用房</w:t>
            </w:r>
          </w:p>
        </w:tc>
        <w:tc>
          <w:tcPr>
            <w:tcW w:w="2130" w:type="dxa"/>
            <w:noWrap w:val="0"/>
            <w:vAlign w:val="top"/>
          </w:tcPr>
          <w:p w14:paraId="29930323">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618BE941">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29DC1722">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689D8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773E94D6">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2130" w:type="dxa"/>
            <w:noWrap w:val="0"/>
            <w:vAlign w:val="top"/>
          </w:tcPr>
          <w:p w14:paraId="59E6F6F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p>
        </w:tc>
        <w:tc>
          <w:tcPr>
            <w:tcW w:w="2130" w:type="dxa"/>
            <w:noWrap w:val="0"/>
            <w:vAlign w:val="top"/>
          </w:tcPr>
          <w:p w14:paraId="74472C4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1F6171E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52675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top"/>
          </w:tcPr>
          <w:p w14:paraId="3E9E5EE4">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用餐及其他生活条件</w:t>
            </w:r>
          </w:p>
        </w:tc>
        <w:tc>
          <w:tcPr>
            <w:tcW w:w="6120" w:type="dxa"/>
            <w:gridSpan w:val="3"/>
            <w:noWrap w:val="0"/>
            <w:vAlign w:val="top"/>
          </w:tcPr>
          <w:p w14:paraId="40A305C0">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bl>
    <w:p w14:paraId="7C4ECACF">
      <w:pPr>
        <w:keepNext w:val="0"/>
        <w:keepLines w:val="0"/>
        <w:pageBreakBefore w:val="0"/>
        <w:widowControl w:val="0"/>
        <w:kinsoku/>
        <w:wordWrap/>
        <w:overflowPunct/>
        <w:topLinePunct w:val="0"/>
        <w:bidi w:val="0"/>
        <w:spacing w:before="156" w:beforeLines="50" w:line="360" w:lineRule="auto"/>
        <w:textAlignment w:val="auto"/>
        <w:outlineLvl w:val="9"/>
        <w:rPr>
          <w:rFonts w:hint="eastAsia" w:ascii="宋体" w:hAnsi="宋体" w:eastAsia="宋体" w:cs="宋体"/>
          <w:b/>
          <w:color w:val="auto"/>
          <w:kern w:val="0"/>
          <w:sz w:val="21"/>
          <w:szCs w:val="21"/>
          <w:highlight w:val="none"/>
        </w:rPr>
      </w:pPr>
      <w:bookmarkStart w:id="162" w:name="_Toc533155943"/>
      <w:bookmarkStart w:id="163" w:name="_Toc438215231"/>
      <w:bookmarkStart w:id="164" w:name="_Toc507706644"/>
      <w:bookmarkStart w:id="165" w:name="_Toc507227326"/>
      <w:bookmarkStart w:id="166" w:name="_Toc536525005"/>
      <w:bookmarkStart w:id="167" w:name="_Toc23652"/>
      <w:bookmarkStart w:id="168" w:name="_Toc29893256"/>
      <w:bookmarkStart w:id="169" w:name="_Toc436741205"/>
      <w:bookmarkStart w:id="170" w:name="_Toc23851"/>
      <w:r>
        <w:rPr>
          <w:rFonts w:hint="eastAsia" w:ascii="宋体" w:hAnsi="宋体" w:eastAsia="宋体" w:cs="宋体"/>
          <w:b/>
          <w:color w:val="auto"/>
          <w:kern w:val="0"/>
          <w:sz w:val="21"/>
          <w:szCs w:val="21"/>
          <w:highlight w:val="none"/>
        </w:rPr>
        <w:t>B-3  委托人提供的资料</w:t>
      </w:r>
      <w:bookmarkEnd w:id="162"/>
      <w:bookmarkEnd w:id="163"/>
      <w:bookmarkEnd w:id="164"/>
      <w:bookmarkEnd w:id="165"/>
      <w:bookmarkEnd w:id="166"/>
      <w:bookmarkEnd w:id="167"/>
      <w:bookmarkEnd w:id="168"/>
      <w:bookmarkEnd w:id="169"/>
      <w:bookmarkEnd w:id="170"/>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082"/>
      </w:tblGrid>
      <w:tr w14:paraId="2CF0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2C299B4D">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名称</w:t>
            </w:r>
          </w:p>
        </w:tc>
        <w:tc>
          <w:tcPr>
            <w:tcW w:w="1491" w:type="dxa"/>
            <w:noWrap w:val="0"/>
            <w:vAlign w:val="top"/>
          </w:tcPr>
          <w:p w14:paraId="7A80D75C">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份数</w:t>
            </w:r>
          </w:p>
        </w:tc>
        <w:tc>
          <w:tcPr>
            <w:tcW w:w="2147" w:type="dxa"/>
            <w:noWrap w:val="0"/>
            <w:vAlign w:val="top"/>
          </w:tcPr>
          <w:p w14:paraId="33B9F3DE">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提供时间</w:t>
            </w:r>
          </w:p>
        </w:tc>
        <w:tc>
          <w:tcPr>
            <w:tcW w:w="2082" w:type="dxa"/>
            <w:noWrap w:val="0"/>
            <w:vAlign w:val="top"/>
          </w:tcPr>
          <w:p w14:paraId="58AA0400">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r>
      <w:tr w14:paraId="51B1A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12CE066D">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 工程立项文件</w:t>
            </w:r>
          </w:p>
        </w:tc>
        <w:tc>
          <w:tcPr>
            <w:tcW w:w="1491" w:type="dxa"/>
            <w:noWrap w:val="0"/>
            <w:vAlign w:val="top"/>
          </w:tcPr>
          <w:p w14:paraId="4FD4E803">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774D6285">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681D8414">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0FA09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36DC2992">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 工程勘察文件</w:t>
            </w:r>
          </w:p>
        </w:tc>
        <w:tc>
          <w:tcPr>
            <w:tcW w:w="1491" w:type="dxa"/>
            <w:noWrap w:val="0"/>
            <w:vAlign w:val="top"/>
          </w:tcPr>
          <w:p w14:paraId="35CB0589">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7CD98269">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66E24C6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3F208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5BAB2D02">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 工程设计及施工图纸</w:t>
            </w:r>
          </w:p>
        </w:tc>
        <w:tc>
          <w:tcPr>
            <w:tcW w:w="1491" w:type="dxa"/>
            <w:noWrap w:val="0"/>
            <w:vAlign w:val="top"/>
          </w:tcPr>
          <w:p w14:paraId="4623446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1DAF992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58EAE83E">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17073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3F8A69C5">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 工程承包合同及其他相关合同</w:t>
            </w:r>
          </w:p>
        </w:tc>
        <w:tc>
          <w:tcPr>
            <w:tcW w:w="1491" w:type="dxa"/>
            <w:noWrap w:val="0"/>
            <w:vAlign w:val="top"/>
          </w:tcPr>
          <w:p w14:paraId="0006A0B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34FCAE4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172D4E42">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3D31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7EFEDC65">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 施工许可文件</w:t>
            </w:r>
          </w:p>
        </w:tc>
        <w:tc>
          <w:tcPr>
            <w:tcW w:w="1491" w:type="dxa"/>
            <w:noWrap w:val="0"/>
            <w:vAlign w:val="top"/>
          </w:tcPr>
          <w:p w14:paraId="129D552D">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118C8E62">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4E118A8B">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5B5EA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1145644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 其他文件</w:t>
            </w:r>
          </w:p>
        </w:tc>
        <w:tc>
          <w:tcPr>
            <w:tcW w:w="1491" w:type="dxa"/>
            <w:noWrap w:val="0"/>
            <w:vAlign w:val="top"/>
          </w:tcPr>
          <w:p w14:paraId="2838C0D4">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479DE0FB">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3C21E260">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r w14:paraId="48A3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vAlign w:val="top"/>
          </w:tcPr>
          <w:p w14:paraId="7FAF9988">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1491" w:type="dxa"/>
            <w:noWrap w:val="0"/>
            <w:vAlign w:val="top"/>
          </w:tcPr>
          <w:p w14:paraId="6FFA2719">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147" w:type="dxa"/>
            <w:noWrap w:val="0"/>
            <w:vAlign w:val="top"/>
          </w:tcPr>
          <w:p w14:paraId="3EF6224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c>
          <w:tcPr>
            <w:tcW w:w="2082" w:type="dxa"/>
            <w:noWrap w:val="0"/>
            <w:vAlign w:val="top"/>
          </w:tcPr>
          <w:p w14:paraId="7D1AE17C">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kern w:val="0"/>
                <w:sz w:val="21"/>
                <w:szCs w:val="21"/>
                <w:highlight w:val="none"/>
              </w:rPr>
            </w:pPr>
          </w:p>
        </w:tc>
      </w:tr>
    </w:tbl>
    <w:p w14:paraId="7B1FE163">
      <w:pPr>
        <w:keepNext w:val="0"/>
        <w:keepLines w:val="0"/>
        <w:pageBreakBefore w:val="0"/>
        <w:widowControl w:val="0"/>
        <w:kinsoku/>
        <w:wordWrap/>
        <w:overflowPunct/>
        <w:topLinePunct w:val="0"/>
        <w:bidi w:val="0"/>
        <w:spacing w:before="156" w:beforeLines="50" w:line="360" w:lineRule="auto"/>
        <w:textAlignment w:val="auto"/>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B-4 委托人提供的设备</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1860"/>
      </w:tblGrid>
      <w:tr w14:paraId="31DF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5C7C6558">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1590" w:type="dxa"/>
            <w:noWrap w:val="0"/>
            <w:vAlign w:val="top"/>
          </w:tcPr>
          <w:p w14:paraId="71CD39E8">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2130" w:type="dxa"/>
            <w:noWrap w:val="0"/>
            <w:vAlign w:val="top"/>
          </w:tcPr>
          <w:p w14:paraId="4BCCB32B">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型号与规格</w:t>
            </w:r>
          </w:p>
        </w:tc>
        <w:tc>
          <w:tcPr>
            <w:tcW w:w="1860" w:type="dxa"/>
            <w:noWrap w:val="0"/>
            <w:vAlign w:val="top"/>
          </w:tcPr>
          <w:p w14:paraId="534A9FF6">
            <w:pPr>
              <w:keepNext w:val="0"/>
              <w:keepLines w:val="0"/>
              <w:pageBreakBefore w:val="0"/>
              <w:widowControl w:val="0"/>
              <w:kinsoku/>
              <w:wordWrap/>
              <w:overflowPunct/>
              <w:topLinePunct w:val="0"/>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提供时间</w:t>
            </w:r>
          </w:p>
        </w:tc>
      </w:tr>
      <w:tr w14:paraId="72D59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6FD00DED">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通讯设备</w:t>
            </w:r>
          </w:p>
        </w:tc>
        <w:tc>
          <w:tcPr>
            <w:tcW w:w="1590" w:type="dxa"/>
            <w:noWrap w:val="0"/>
            <w:vAlign w:val="top"/>
          </w:tcPr>
          <w:p w14:paraId="70B1F514">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73280A9E">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26AA57C7">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118A3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4A343AC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办公设备</w:t>
            </w:r>
          </w:p>
        </w:tc>
        <w:tc>
          <w:tcPr>
            <w:tcW w:w="1590" w:type="dxa"/>
            <w:noWrap w:val="0"/>
            <w:vAlign w:val="top"/>
          </w:tcPr>
          <w:p w14:paraId="79229A1A">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36E45E4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7C413113">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4BAD4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4E4A9E68">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交通工具</w:t>
            </w:r>
          </w:p>
        </w:tc>
        <w:tc>
          <w:tcPr>
            <w:tcW w:w="1590" w:type="dxa"/>
            <w:noWrap w:val="0"/>
            <w:vAlign w:val="top"/>
          </w:tcPr>
          <w:p w14:paraId="621B5D96">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2130" w:type="dxa"/>
            <w:noWrap w:val="0"/>
            <w:vAlign w:val="top"/>
          </w:tcPr>
          <w:p w14:paraId="1D694F58">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c>
          <w:tcPr>
            <w:tcW w:w="1860" w:type="dxa"/>
            <w:noWrap w:val="0"/>
            <w:vAlign w:val="top"/>
          </w:tcPr>
          <w:p w14:paraId="6E99DFBF">
            <w:pPr>
              <w:keepNext w:val="0"/>
              <w:keepLines w:val="0"/>
              <w:pageBreakBefore w:val="0"/>
              <w:widowControl w:val="0"/>
              <w:kinsoku/>
              <w:wordWrap/>
              <w:overflowPunct/>
              <w:topLinePunct w:val="0"/>
              <w:bidi w:val="0"/>
              <w:spacing w:line="360" w:lineRule="auto"/>
              <w:textAlignment w:val="auto"/>
              <w:outlineLvl w:val="9"/>
              <w:rPr>
                <w:rFonts w:hint="eastAsia" w:ascii="宋体" w:hAnsi="宋体" w:eastAsia="宋体" w:cs="宋体"/>
                <w:color w:val="auto"/>
                <w:sz w:val="21"/>
                <w:szCs w:val="21"/>
                <w:highlight w:val="none"/>
              </w:rPr>
            </w:pPr>
          </w:p>
        </w:tc>
      </w:tr>
      <w:tr w14:paraId="75CB1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753D6132">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检测和试验设备</w:t>
            </w:r>
          </w:p>
        </w:tc>
        <w:tc>
          <w:tcPr>
            <w:tcW w:w="1590" w:type="dxa"/>
            <w:noWrap w:val="0"/>
            <w:vAlign w:val="top"/>
          </w:tcPr>
          <w:p w14:paraId="5628E1E3">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73C45A5D">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435F3CEB">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r w14:paraId="584D8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noWrap w:val="0"/>
            <w:vAlign w:val="top"/>
          </w:tcPr>
          <w:p w14:paraId="5DDFB6F2">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590" w:type="dxa"/>
            <w:noWrap w:val="0"/>
            <w:vAlign w:val="top"/>
          </w:tcPr>
          <w:p w14:paraId="336CB758">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2130" w:type="dxa"/>
            <w:noWrap w:val="0"/>
            <w:vAlign w:val="top"/>
          </w:tcPr>
          <w:p w14:paraId="613F9F4E">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c>
          <w:tcPr>
            <w:tcW w:w="1860" w:type="dxa"/>
            <w:noWrap w:val="0"/>
            <w:vAlign w:val="top"/>
          </w:tcPr>
          <w:p w14:paraId="47BD26FF">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highlight w:val="none"/>
              </w:rPr>
            </w:pPr>
          </w:p>
        </w:tc>
      </w:tr>
    </w:tbl>
    <w:p w14:paraId="786C0DA5">
      <w:pPr>
        <w:rPr>
          <w:color w:val="auto"/>
          <w:sz w:val="18"/>
          <w:szCs w:val="16"/>
          <w:highlight w:val="none"/>
        </w:rPr>
        <w:sectPr>
          <w:footerReference r:id="rId6"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1"/>
          <w:szCs w:val="21"/>
          <w:highlight w:val="none"/>
        </w:rPr>
        <w:br w:type="page"/>
      </w:r>
    </w:p>
    <w:p w14:paraId="137F5AEF">
      <w:pPr>
        <w:jc w:val="center"/>
        <w:outlineLvl w:val="0"/>
        <w:rPr>
          <w:rFonts w:hint="eastAsia" w:ascii="宋体" w:hAnsi="宋体" w:eastAsia="宋体" w:cs="宋体"/>
          <w:b/>
          <w:color w:val="auto"/>
          <w:kern w:val="0"/>
          <w:sz w:val="44"/>
          <w:szCs w:val="44"/>
          <w:highlight w:val="none"/>
          <w:lang w:val="en-US" w:eastAsia="zh-CN"/>
        </w:rPr>
      </w:pPr>
      <w:bookmarkStart w:id="171" w:name="_Toc3104"/>
      <w:bookmarkStart w:id="172" w:name="_Toc2533"/>
      <w:r>
        <w:rPr>
          <w:rFonts w:hint="eastAsia" w:ascii="宋体" w:hAnsi="宋体" w:eastAsia="宋体" w:cs="宋体"/>
          <w:b/>
          <w:color w:val="auto"/>
          <w:kern w:val="0"/>
          <w:sz w:val="44"/>
          <w:szCs w:val="44"/>
          <w:highlight w:val="none"/>
          <w:lang w:val="en-US" w:eastAsia="zh-CN"/>
        </w:rPr>
        <w:t>第六章 技术标准和要求</w:t>
      </w:r>
      <w:bookmarkEnd w:id="171"/>
      <w:bookmarkEnd w:id="172"/>
    </w:p>
    <w:p w14:paraId="4ADDD901">
      <w:pPr>
        <w:rPr>
          <w:color w:val="auto"/>
          <w:highlight w:val="none"/>
        </w:rPr>
      </w:pPr>
    </w:p>
    <w:p w14:paraId="4C7FA86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sz w:val="21"/>
          <w:szCs w:val="21"/>
          <w:highlight w:val="none"/>
        </w:rPr>
      </w:pPr>
      <w:r>
        <w:rPr>
          <w:rFonts w:hint="eastAsia"/>
          <w:color w:val="auto"/>
          <w:sz w:val="21"/>
          <w:szCs w:val="21"/>
          <w:highlight w:val="none"/>
        </w:rPr>
        <w:t>依据设计文件的要求，本招标工程项目的材料、设备、施工须达到现行中华人民共和国以及省、自治区、直辖市或行业的工程建设标准、规范的要求。</w:t>
      </w:r>
    </w:p>
    <w:p w14:paraId="503F5C5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sz w:val="24"/>
          <w:szCs w:val="24"/>
          <w:highlight w:val="none"/>
        </w:rPr>
      </w:pPr>
      <w:r>
        <w:rPr>
          <w:rFonts w:hint="eastAsia"/>
          <w:color w:val="auto"/>
          <w:sz w:val="21"/>
          <w:szCs w:val="21"/>
          <w:highlight w:val="none"/>
        </w:rPr>
        <w:t>其他与本工程有关的现行工程技术、质量评定标准、施工验收标准及规范、标准图集等规范如有变化，以最新发布的为准。</w:t>
      </w:r>
    </w:p>
    <w:p w14:paraId="78296CDD">
      <w:pPr>
        <w:rPr>
          <w:color w:val="auto"/>
          <w:highlight w:val="none"/>
        </w:rPr>
      </w:pPr>
    </w:p>
    <w:p w14:paraId="58DD5ED0">
      <w:pPr>
        <w:rPr>
          <w:color w:val="auto"/>
          <w:highlight w:val="none"/>
        </w:rPr>
      </w:pPr>
    </w:p>
    <w:p w14:paraId="566C3A83">
      <w:pPr>
        <w:rPr>
          <w:color w:val="auto"/>
          <w:highlight w:val="none"/>
        </w:rPr>
      </w:pPr>
    </w:p>
    <w:p w14:paraId="6E532016">
      <w:pPr>
        <w:rPr>
          <w:color w:val="auto"/>
          <w:highlight w:val="none"/>
        </w:rPr>
      </w:pPr>
    </w:p>
    <w:p w14:paraId="5C20CFAD">
      <w:pPr>
        <w:rPr>
          <w:color w:val="auto"/>
          <w:highlight w:val="none"/>
        </w:rPr>
      </w:pPr>
    </w:p>
    <w:p w14:paraId="0CE3A621">
      <w:pPr>
        <w:rPr>
          <w:color w:val="auto"/>
          <w:highlight w:val="none"/>
        </w:rPr>
      </w:pPr>
    </w:p>
    <w:p w14:paraId="10240AD8">
      <w:pPr>
        <w:rPr>
          <w:color w:val="auto"/>
          <w:highlight w:val="none"/>
        </w:rPr>
      </w:pPr>
    </w:p>
    <w:p w14:paraId="5F84EB26">
      <w:pPr>
        <w:rPr>
          <w:color w:val="auto"/>
          <w:highlight w:val="none"/>
        </w:rPr>
      </w:pPr>
    </w:p>
    <w:p w14:paraId="72DF4F4E">
      <w:pPr>
        <w:rPr>
          <w:color w:val="auto"/>
          <w:highlight w:val="none"/>
        </w:rPr>
      </w:pPr>
    </w:p>
    <w:p w14:paraId="67EC00F9">
      <w:pPr>
        <w:rPr>
          <w:color w:val="auto"/>
          <w:highlight w:val="none"/>
        </w:rPr>
      </w:pPr>
    </w:p>
    <w:p w14:paraId="3E426C43">
      <w:pPr>
        <w:rPr>
          <w:color w:val="auto"/>
          <w:highlight w:val="none"/>
        </w:rPr>
      </w:pPr>
    </w:p>
    <w:p w14:paraId="4E729EE4">
      <w:pPr>
        <w:rPr>
          <w:color w:val="auto"/>
          <w:highlight w:val="none"/>
        </w:rPr>
        <w:sectPr>
          <w:pgSz w:w="11906" w:h="16838"/>
          <w:pgMar w:top="1440" w:right="1800" w:bottom="1440" w:left="1800" w:header="851" w:footer="992" w:gutter="0"/>
          <w:pgNumType w:fmt="decimal"/>
          <w:cols w:space="425" w:num="1"/>
          <w:docGrid w:type="lines" w:linePitch="312" w:charSpace="0"/>
        </w:sectPr>
      </w:pPr>
    </w:p>
    <w:p w14:paraId="6F4B22CC">
      <w:pPr>
        <w:jc w:val="center"/>
        <w:outlineLvl w:val="0"/>
        <w:rPr>
          <w:rFonts w:hint="eastAsia" w:ascii="宋体" w:hAnsi="宋体" w:eastAsia="宋体" w:cs="宋体"/>
          <w:b/>
          <w:color w:val="auto"/>
          <w:kern w:val="0"/>
          <w:sz w:val="44"/>
          <w:szCs w:val="44"/>
          <w:highlight w:val="none"/>
          <w:lang w:val="en-US" w:eastAsia="zh-CN"/>
        </w:rPr>
      </w:pPr>
      <w:bookmarkStart w:id="173" w:name="_Toc29032"/>
      <w:bookmarkStart w:id="174" w:name="_Toc14788"/>
      <w:r>
        <w:rPr>
          <w:rFonts w:hint="eastAsia" w:ascii="宋体" w:hAnsi="宋体" w:eastAsia="宋体" w:cs="宋体"/>
          <w:b/>
          <w:color w:val="auto"/>
          <w:kern w:val="0"/>
          <w:sz w:val="44"/>
          <w:szCs w:val="44"/>
          <w:highlight w:val="none"/>
          <w:lang w:val="en-US" w:eastAsia="zh-CN"/>
        </w:rPr>
        <w:t>第七章 投标文件格式</w:t>
      </w:r>
      <w:bookmarkEnd w:id="173"/>
      <w:bookmarkEnd w:id="174"/>
    </w:p>
    <w:p w14:paraId="2860DFE9">
      <w:pPr>
        <w:pageBreakBefore w:val="0"/>
        <w:wordWrap w:val="0"/>
        <w:autoSpaceDE w:val="0"/>
        <w:autoSpaceDN w:val="0"/>
        <w:bidi w:val="0"/>
        <w:adjustRightInd w:val="0"/>
        <w:spacing w:line="500" w:lineRule="exact"/>
        <w:ind w:right="-34" w:rightChars="-16"/>
        <w:jc w:val="both"/>
        <w:rPr>
          <w:rFonts w:hint="eastAsia" w:ascii="宋体" w:hAnsi="宋体" w:eastAsia="宋体" w:cs="宋体"/>
          <w:b/>
          <w:color w:val="auto"/>
          <w:sz w:val="44"/>
          <w:highlight w:val="none"/>
        </w:rPr>
      </w:pPr>
    </w:p>
    <w:p w14:paraId="380371AF">
      <w:pPr>
        <w:keepNext w:val="0"/>
        <w:keepLines w:val="0"/>
        <w:pageBreakBefore w:val="0"/>
        <w:widowControl w:val="0"/>
        <w:kinsoku/>
        <w:wordWrap w:val="0"/>
        <w:overflowPunct/>
        <w:topLinePunct w:val="0"/>
        <w:autoSpaceDE w:val="0"/>
        <w:autoSpaceDN w:val="0"/>
        <w:bidi w:val="0"/>
        <w:adjustRightInd w:val="0"/>
        <w:snapToGrid/>
        <w:spacing w:line="360" w:lineRule="auto"/>
        <w:ind w:right="-34" w:rightChars="-16"/>
        <w:jc w:val="both"/>
        <w:textAlignment w:val="auto"/>
        <w:rPr>
          <w:rFonts w:hint="eastAsia" w:ascii="宋体" w:hAnsi="宋体" w:eastAsia="宋体" w:cs="宋体"/>
          <w:b/>
          <w:color w:val="auto"/>
          <w:sz w:val="44"/>
          <w:highlight w:val="none"/>
        </w:rPr>
      </w:pPr>
    </w:p>
    <w:p w14:paraId="5EDA1DEF">
      <w:pPr>
        <w:keepNext w:val="0"/>
        <w:keepLines w:val="0"/>
        <w:pageBreakBefore w:val="0"/>
        <w:widowControl w:val="0"/>
        <w:kinsoku/>
        <w:wordWrap w:val="0"/>
        <w:overflowPunct/>
        <w:topLinePunct w:val="0"/>
        <w:autoSpaceDE w:val="0"/>
        <w:autoSpaceDN w:val="0"/>
        <w:bidi w:val="0"/>
        <w:adjustRightInd w:val="0"/>
        <w:snapToGrid/>
        <w:spacing w:line="360" w:lineRule="auto"/>
        <w:ind w:right="-34" w:rightChars="-16" w:firstLine="964" w:firstLineChars="200"/>
        <w:jc w:val="both"/>
        <w:textAlignment w:val="auto"/>
        <w:rPr>
          <w:rFonts w:hint="eastAsia" w:ascii="宋体" w:hAnsi="宋体" w:eastAsia="宋体" w:cs="宋体"/>
          <w:b/>
          <w:color w:val="auto"/>
          <w:spacing w:val="60"/>
          <w:kern w:val="0"/>
          <w:sz w:val="36"/>
          <w:szCs w:val="36"/>
          <w:highlight w:val="none"/>
          <w:lang w:eastAsia="zh-CN"/>
        </w:rPr>
      </w:pPr>
      <w:r>
        <w:rPr>
          <w:rFonts w:hint="eastAsia" w:ascii="宋体" w:hAnsi="宋体" w:eastAsia="宋体" w:cs="宋体"/>
          <w:b/>
          <w:color w:val="auto"/>
          <w:sz w:val="48"/>
          <w:szCs w:val="21"/>
          <w:highlight w:val="none"/>
          <w:u w:val="single"/>
        </w:rPr>
        <w:t xml:space="preserve">   </w:t>
      </w:r>
      <w:r>
        <w:rPr>
          <w:rFonts w:hint="eastAsia" w:ascii="宋体" w:hAnsi="宋体" w:cs="宋体"/>
          <w:b/>
          <w:color w:val="auto"/>
          <w:sz w:val="48"/>
          <w:szCs w:val="21"/>
          <w:highlight w:val="none"/>
          <w:u w:val="single"/>
          <w:lang w:val="en-US" w:eastAsia="zh-CN"/>
        </w:rPr>
        <w:t xml:space="preserve">    </w:t>
      </w:r>
      <w:r>
        <w:rPr>
          <w:rFonts w:hint="eastAsia" w:ascii="宋体" w:hAnsi="宋体" w:eastAsia="宋体" w:cs="宋体"/>
          <w:b/>
          <w:color w:val="auto"/>
          <w:sz w:val="48"/>
          <w:szCs w:val="21"/>
          <w:highlight w:val="none"/>
          <w:u w:val="single"/>
        </w:rPr>
        <w:t xml:space="preserve"> </w:t>
      </w:r>
      <w:r>
        <w:rPr>
          <w:rFonts w:hint="eastAsia" w:ascii="宋体" w:hAnsi="宋体" w:eastAsia="宋体" w:cs="宋体"/>
          <w:b/>
          <w:color w:val="auto"/>
          <w:sz w:val="48"/>
          <w:szCs w:val="21"/>
          <w:highlight w:val="none"/>
          <w:u w:val="single"/>
          <w:lang w:val="en-US" w:eastAsia="zh-CN"/>
        </w:rPr>
        <w:t xml:space="preserve"> </w:t>
      </w:r>
      <w:r>
        <w:rPr>
          <w:rFonts w:hint="eastAsia" w:ascii="宋体" w:hAnsi="宋体" w:eastAsia="宋体" w:cs="宋体"/>
          <w:b/>
          <w:color w:val="auto"/>
          <w:sz w:val="48"/>
          <w:szCs w:val="21"/>
          <w:highlight w:val="none"/>
          <w:u w:val="single"/>
        </w:rPr>
        <w:t xml:space="preserve">   </w:t>
      </w:r>
      <w:r>
        <w:rPr>
          <w:rFonts w:hint="eastAsia" w:ascii="宋体" w:hAnsi="宋体" w:eastAsia="宋体" w:cs="宋体"/>
          <w:b/>
          <w:color w:val="auto"/>
          <w:sz w:val="48"/>
          <w:szCs w:val="21"/>
          <w:highlight w:val="none"/>
        </w:rPr>
        <w:t>（项目名称）</w:t>
      </w:r>
      <w:r>
        <w:rPr>
          <w:rFonts w:hint="eastAsia" w:ascii="宋体" w:hAnsi="宋体" w:eastAsia="宋体" w:cs="宋体"/>
          <w:b/>
          <w:color w:val="auto"/>
          <w:sz w:val="48"/>
          <w:szCs w:val="21"/>
          <w:highlight w:val="none"/>
          <w:u w:val="single"/>
          <w:lang w:val="en-US" w:eastAsia="zh-CN"/>
        </w:rPr>
        <w:t xml:space="preserve">  </w:t>
      </w:r>
      <w:r>
        <w:rPr>
          <w:rFonts w:hint="eastAsia" w:ascii="宋体" w:hAnsi="宋体" w:eastAsia="宋体" w:cs="宋体"/>
          <w:b/>
          <w:color w:val="auto"/>
          <w:sz w:val="48"/>
          <w:szCs w:val="21"/>
          <w:highlight w:val="none"/>
          <w:lang w:eastAsia="zh-CN"/>
        </w:rPr>
        <w:t>标段</w:t>
      </w:r>
    </w:p>
    <w:p w14:paraId="121E7614">
      <w:pPr>
        <w:keepNext w:val="0"/>
        <w:keepLines w:val="0"/>
        <w:pageBreakBefore w:val="0"/>
        <w:widowControl w:val="0"/>
        <w:kinsoku/>
        <w:wordWrap w:val="0"/>
        <w:overflowPunct/>
        <w:topLinePunct w:val="0"/>
        <w:autoSpaceDE w:val="0"/>
        <w:autoSpaceDN w:val="0"/>
        <w:bidi w:val="0"/>
        <w:adjustRightInd w:val="0"/>
        <w:snapToGrid/>
        <w:spacing w:line="360" w:lineRule="auto"/>
        <w:ind w:right="-34" w:rightChars="-16"/>
        <w:jc w:val="center"/>
        <w:textAlignment w:val="auto"/>
        <w:rPr>
          <w:rFonts w:hint="eastAsia" w:ascii="宋体" w:hAnsi="宋体" w:eastAsia="宋体" w:cs="宋体"/>
          <w:b/>
          <w:color w:val="auto"/>
          <w:spacing w:val="60"/>
          <w:kern w:val="0"/>
          <w:sz w:val="70"/>
          <w:highlight w:val="none"/>
        </w:rPr>
      </w:pPr>
    </w:p>
    <w:p w14:paraId="432CCC0F">
      <w:pPr>
        <w:pageBreakBefore w:val="0"/>
        <w:wordWrap w:val="0"/>
        <w:autoSpaceDE w:val="0"/>
        <w:autoSpaceDN w:val="0"/>
        <w:bidi w:val="0"/>
        <w:adjustRightInd w:val="0"/>
        <w:spacing w:line="400" w:lineRule="exact"/>
        <w:ind w:right="-34" w:rightChars="-16"/>
        <w:jc w:val="center"/>
        <w:rPr>
          <w:rFonts w:hint="eastAsia" w:ascii="宋体" w:hAnsi="宋体" w:eastAsia="宋体" w:cs="宋体"/>
          <w:b/>
          <w:color w:val="auto"/>
          <w:spacing w:val="60"/>
          <w:kern w:val="0"/>
          <w:sz w:val="70"/>
          <w:highlight w:val="none"/>
        </w:rPr>
      </w:pPr>
    </w:p>
    <w:p w14:paraId="35BA62F4">
      <w:pPr>
        <w:pageBreakBefore w:val="0"/>
        <w:wordWrap w:val="0"/>
        <w:autoSpaceDE w:val="0"/>
        <w:autoSpaceDN w:val="0"/>
        <w:bidi w:val="0"/>
        <w:adjustRightInd w:val="0"/>
        <w:spacing w:line="400" w:lineRule="exact"/>
        <w:ind w:right="-34" w:rightChars="-16"/>
        <w:jc w:val="center"/>
        <w:rPr>
          <w:rFonts w:hint="eastAsia" w:ascii="宋体" w:hAnsi="宋体" w:eastAsia="宋体" w:cs="宋体"/>
          <w:b/>
          <w:color w:val="auto"/>
          <w:spacing w:val="60"/>
          <w:kern w:val="0"/>
          <w:sz w:val="70"/>
          <w:highlight w:val="none"/>
        </w:rPr>
      </w:pPr>
    </w:p>
    <w:p w14:paraId="2CA70A15">
      <w:pPr>
        <w:pageBreakBefore w:val="0"/>
        <w:wordWrap w:val="0"/>
        <w:autoSpaceDE w:val="0"/>
        <w:autoSpaceDN w:val="0"/>
        <w:bidi w:val="0"/>
        <w:adjustRightInd w:val="0"/>
        <w:spacing w:before="240" w:beforeLines="100" w:after="240" w:afterLines="100" w:line="600" w:lineRule="auto"/>
        <w:ind w:right="-34" w:rightChars="-16"/>
        <w:jc w:val="center"/>
        <w:rPr>
          <w:rFonts w:hint="eastAsia" w:ascii="宋体" w:hAnsi="宋体" w:eastAsia="宋体" w:cs="宋体"/>
          <w:b/>
          <w:color w:val="auto"/>
          <w:spacing w:val="60"/>
          <w:kern w:val="0"/>
          <w:sz w:val="96"/>
          <w:szCs w:val="22"/>
          <w:highlight w:val="none"/>
        </w:rPr>
      </w:pPr>
      <w:r>
        <w:rPr>
          <w:rFonts w:hint="eastAsia" w:ascii="宋体" w:hAnsi="宋体" w:eastAsia="宋体" w:cs="宋体"/>
          <w:b/>
          <w:color w:val="auto"/>
          <w:spacing w:val="60"/>
          <w:kern w:val="0"/>
          <w:sz w:val="96"/>
          <w:szCs w:val="22"/>
          <w:highlight w:val="none"/>
        </w:rPr>
        <w:t>投标文件</w:t>
      </w:r>
    </w:p>
    <w:p w14:paraId="161EE73E">
      <w:pPr>
        <w:pageBreakBefore w:val="0"/>
        <w:wordWrap w:val="0"/>
        <w:autoSpaceDE w:val="0"/>
        <w:autoSpaceDN w:val="0"/>
        <w:bidi w:val="0"/>
        <w:adjustRightInd w:val="0"/>
        <w:spacing w:line="400" w:lineRule="exact"/>
        <w:ind w:right="-34" w:rightChars="-16"/>
        <w:jc w:val="both"/>
        <w:rPr>
          <w:rFonts w:hint="eastAsia" w:ascii="宋体" w:hAnsi="宋体" w:eastAsia="宋体" w:cs="宋体"/>
          <w:color w:val="auto"/>
          <w:kern w:val="0"/>
          <w:sz w:val="44"/>
          <w:highlight w:val="none"/>
        </w:rPr>
      </w:pPr>
    </w:p>
    <w:p w14:paraId="411538F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32"/>
          <w:szCs w:val="32"/>
          <w:highlight w:val="none"/>
          <w:u w:val="single"/>
          <w:lang w:val="en-US" w:eastAsia="zh-CN"/>
        </w:rPr>
      </w:pPr>
      <w:r>
        <w:rPr>
          <w:rFonts w:hint="eastAsia" w:ascii="宋体" w:hAnsi="宋体" w:eastAsia="宋体" w:cs="宋体"/>
          <w:color w:val="auto"/>
          <w:kern w:val="0"/>
          <w:sz w:val="32"/>
          <w:szCs w:val="32"/>
          <w:highlight w:val="none"/>
        </w:rPr>
        <w:t>项目编号</w:t>
      </w:r>
      <w:r>
        <w:rPr>
          <w:rFonts w:hint="eastAsia" w:ascii="宋体" w:hAnsi="宋体" w:cs="宋体"/>
          <w:color w:val="auto"/>
          <w:kern w:val="0"/>
          <w:sz w:val="32"/>
          <w:szCs w:val="32"/>
          <w:highlight w:val="none"/>
          <w:lang w:eastAsia="zh-CN"/>
        </w:rPr>
        <w:t>：</w:t>
      </w:r>
    </w:p>
    <w:p w14:paraId="40EEE18C">
      <w:pPr>
        <w:bidi w:val="0"/>
        <w:spacing w:line="360" w:lineRule="auto"/>
        <w:rPr>
          <w:rFonts w:hint="eastAsia"/>
          <w:color w:val="auto"/>
          <w:highlight w:val="none"/>
        </w:rPr>
      </w:pPr>
    </w:p>
    <w:p w14:paraId="3F2B65AD">
      <w:pPr>
        <w:bidi w:val="0"/>
        <w:spacing w:line="360" w:lineRule="auto"/>
        <w:rPr>
          <w:rFonts w:hint="eastAsia"/>
          <w:color w:val="auto"/>
          <w:highlight w:val="none"/>
        </w:rPr>
      </w:pPr>
    </w:p>
    <w:p w14:paraId="4244BEA9">
      <w:pPr>
        <w:bidi w:val="0"/>
        <w:spacing w:line="360" w:lineRule="auto"/>
        <w:rPr>
          <w:rFonts w:hint="eastAsia"/>
          <w:color w:val="auto"/>
          <w:highlight w:val="none"/>
        </w:rPr>
      </w:pPr>
    </w:p>
    <w:p w14:paraId="590174F4">
      <w:pPr>
        <w:bidi w:val="0"/>
        <w:spacing w:line="360" w:lineRule="auto"/>
        <w:rPr>
          <w:rFonts w:hint="eastAsia"/>
          <w:color w:val="auto"/>
          <w:highlight w:val="none"/>
        </w:rPr>
      </w:pPr>
    </w:p>
    <w:p w14:paraId="67DC4DDC">
      <w:pPr>
        <w:bidi w:val="0"/>
        <w:spacing w:line="360" w:lineRule="auto"/>
        <w:rPr>
          <w:rFonts w:hint="eastAsia"/>
          <w:color w:val="auto"/>
          <w:highlight w:val="none"/>
        </w:rPr>
      </w:pPr>
    </w:p>
    <w:p w14:paraId="788EB78A">
      <w:pPr>
        <w:bidi w:val="0"/>
        <w:spacing w:line="360" w:lineRule="auto"/>
        <w:rPr>
          <w:rFonts w:hint="eastAsia"/>
          <w:color w:val="auto"/>
          <w:highlight w:val="none"/>
        </w:rPr>
      </w:pPr>
    </w:p>
    <w:p w14:paraId="3FDBCCC7">
      <w:pPr>
        <w:pStyle w:val="47"/>
        <w:pageBreakBefore w:val="0"/>
        <w:wordWrap w:val="0"/>
        <w:bidi w:val="0"/>
        <w:spacing w:before="240" w:beforeLines="100" w:after="240" w:afterLines="100" w:line="480" w:lineRule="auto"/>
        <w:ind w:left="0" w:leftChars="0" w:right="-34" w:rightChars="-16" w:firstLine="0" w:firstLineChars="0"/>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标</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14:paraId="151F818E">
      <w:pPr>
        <w:pStyle w:val="47"/>
        <w:pageBreakBefore w:val="0"/>
        <w:wordWrap w:val="0"/>
        <w:bidi w:val="0"/>
        <w:spacing w:before="240" w:beforeLines="100" w:after="240" w:afterLines="100" w:line="480" w:lineRule="auto"/>
        <w:ind w:left="0" w:leftChars="0" w:right="-34" w:rightChars="-16" w:firstLine="0" w:firstLineChars="0"/>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14:paraId="2BA93342">
      <w:pPr>
        <w:pStyle w:val="47"/>
        <w:pageBreakBefore w:val="0"/>
        <w:wordWrap w:val="0"/>
        <w:bidi w:val="0"/>
        <w:spacing w:before="240" w:beforeLines="100" w:after="240" w:afterLines="100" w:line="480" w:lineRule="auto"/>
        <w:ind w:left="0" w:leftChars="0" w:right="-34" w:rightChars="-16" w:firstLine="2520" w:firstLineChars="9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6EAC513C">
      <w:pPr>
        <w:pageBreakBefore w:val="0"/>
        <w:wordWrap w:val="0"/>
        <w:autoSpaceDE w:val="0"/>
        <w:autoSpaceDN w:val="0"/>
        <w:bidi w:val="0"/>
        <w:adjustRightInd w:val="0"/>
        <w:spacing w:before="240" w:beforeLines="100" w:after="240" w:afterLines="100" w:line="400" w:lineRule="exact"/>
        <w:ind w:right="-34" w:rightChars="-16"/>
        <w:jc w:val="left"/>
        <w:rPr>
          <w:rFonts w:hint="eastAsia" w:ascii="宋体" w:hAnsi="宋体" w:eastAsia="宋体" w:cs="宋体"/>
          <w:color w:val="auto"/>
          <w:kern w:val="0"/>
          <w:sz w:val="28"/>
          <w:highlight w:val="none"/>
        </w:rPr>
        <w:sectPr>
          <w:pgSz w:w="11906" w:h="16838"/>
          <w:pgMar w:top="1440" w:right="1800" w:bottom="1440" w:left="1800" w:header="851" w:footer="992" w:gutter="0"/>
          <w:pgNumType w:fmt="decimal"/>
          <w:cols w:space="425" w:num="1"/>
          <w:docGrid w:type="lines" w:linePitch="312" w:charSpace="0"/>
        </w:sectPr>
      </w:pPr>
    </w:p>
    <w:p w14:paraId="0C6C6432">
      <w:pPr>
        <w:pageBreakBefore w:val="0"/>
        <w:wordWrap w:val="0"/>
        <w:bidi w:val="0"/>
        <w:jc w:val="center"/>
        <w:rPr>
          <w:rFonts w:hint="eastAsia"/>
          <w:b/>
          <w:bCs/>
          <w:color w:val="auto"/>
          <w:sz w:val="40"/>
          <w:szCs w:val="36"/>
          <w:highlight w:val="none"/>
        </w:rPr>
      </w:pPr>
      <w:r>
        <w:rPr>
          <w:rFonts w:hint="eastAsia"/>
          <w:b/>
          <w:bCs/>
          <w:color w:val="auto"/>
          <w:sz w:val="40"/>
          <w:szCs w:val="36"/>
          <w:highlight w:val="none"/>
        </w:rPr>
        <w:t>目  录</w:t>
      </w:r>
    </w:p>
    <w:p w14:paraId="3FD4192B">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highlight w:val="none"/>
        </w:rPr>
      </w:pPr>
    </w:p>
    <w:p w14:paraId="46459EA1">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（1）投标函及投标函附录；</w:t>
      </w:r>
    </w:p>
    <w:p w14:paraId="72C24B94">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（2）法定代表人身份证明；</w:t>
      </w:r>
    </w:p>
    <w:p w14:paraId="2EE18F08">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（3）附有法定代表人身份证明的授权委托书；</w:t>
      </w:r>
    </w:p>
    <w:p w14:paraId="1723B39F">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（4）投标保证金；</w:t>
      </w:r>
    </w:p>
    <w:p w14:paraId="73B3311C">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 监理大纲；</w:t>
      </w:r>
    </w:p>
    <w:p w14:paraId="2798AFA4">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6</w:t>
      </w:r>
      <w:r>
        <w:rPr>
          <w:rFonts w:hint="eastAsia" w:ascii="宋体" w:hAnsi="宋体" w:eastAsia="宋体" w:cs="宋体"/>
          <w:color w:val="auto"/>
          <w:kern w:val="0"/>
          <w:sz w:val="28"/>
          <w:szCs w:val="28"/>
          <w:highlight w:val="none"/>
          <w:lang w:eastAsia="zh-CN"/>
        </w:rPr>
        <w:t>）技术规范；</w:t>
      </w:r>
    </w:p>
    <w:p w14:paraId="66F35C1C">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7</w:t>
      </w:r>
      <w:r>
        <w:rPr>
          <w:rFonts w:hint="eastAsia" w:ascii="宋体" w:hAnsi="宋体" w:eastAsia="宋体" w:cs="宋体"/>
          <w:color w:val="auto"/>
          <w:kern w:val="0"/>
          <w:sz w:val="28"/>
          <w:szCs w:val="28"/>
          <w:highlight w:val="none"/>
          <w:lang w:eastAsia="zh-CN"/>
        </w:rPr>
        <w:t>）项目管理机构；</w:t>
      </w:r>
    </w:p>
    <w:p w14:paraId="66E8A06D">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8</w:t>
      </w:r>
      <w:r>
        <w:rPr>
          <w:rFonts w:hint="eastAsia" w:ascii="宋体" w:hAnsi="宋体" w:eastAsia="宋体" w:cs="宋体"/>
          <w:color w:val="auto"/>
          <w:kern w:val="0"/>
          <w:sz w:val="28"/>
          <w:szCs w:val="28"/>
          <w:highlight w:val="none"/>
          <w:lang w:eastAsia="zh-CN"/>
        </w:rPr>
        <w:t>）资格审查资料；</w:t>
      </w:r>
    </w:p>
    <w:p w14:paraId="527DB0D5">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9</w:t>
      </w:r>
      <w:r>
        <w:rPr>
          <w:rFonts w:hint="eastAsia" w:ascii="宋体" w:hAnsi="宋体" w:eastAsia="宋体" w:cs="宋体"/>
          <w:color w:val="auto"/>
          <w:kern w:val="0"/>
          <w:sz w:val="28"/>
          <w:szCs w:val="28"/>
          <w:highlight w:val="none"/>
          <w:lang w:eastAsia="zh-CN"/>
        </w:rPr>
        <w:t>）其它资料。</w:t>
      </w:r>
    </w:p>
    <w:p w14:paraId="2A694626">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rPr>
      </w:pPr>
    </w:p>
    <w:p w14:paraId="76DCC0BC">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rPr>
      </w:pPr>
    </w:p>
    <w:p w14:paraId="5D25A2F2">
      <w:pPr>
        <w:keepNext w:val="0"/>
        <w:keepLines w:val="0"/>
        <w:pageBreakBefore w:val="0"/>
        <w:widowControl w:val="0"/>
        <w:kinsoku/>
        <w:wordWrap w:val="0"/>
        <w:overflowPunct/>
        <w:topLinePunct w:val="0"/>
        <w:autoSpaceDE w:val="0"/>
        <w:autoSpaceDN w:val="0"/>
        <w:bidi w:val="0"/>
        <w:adjustRightInd w:val="0"/>
        <w:snapToGrid/>
        <w:spacing w:line="600" w:lineRule="exact"/>
        <w:ind w:right="-34" w:rightChars="-16" w:firstLine="1120" w:firstLineChars="400"/>
        <w:jc w:val="left"/>
        <w:textAlignment w:val="auto"/>
        <w:rPr>
          <w:rFonts w:hint="eastAsia" w:ascii="宋体" w:hAnsi="宋体" w:eastAsia="宋体" w:cs="宋体"/>
          <w:color w:val="auto"/>
          <w:kern w:val="0"/>
          <w:sz w:val="28"/>
          <w:szCs w:val="28"/>
          <w:highlight w:val="none"/>
        </w:rPr>
        <w:sectPr>
          <w:pgSz w:w="11906" w:h="16838"/>
          <w:pgMar w:top="1440" w:right="1800" w:bottom="1440" w:left="1800" w:header="851" w:footer="992" w:gutter="0"/>
          <w:pgNumType w:fmt="decimal"/>
          <w:cols w:space="425" w:num="1"/>
          <w:docGrid w:type="lines" w:linePitch="312" w:charSpace="0"/>
        </w:sectPr>
      </w:pPr>
    </w:p>
    <w:p w14:paraId="71EC2429">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32"/>
          <w:highlight w:val="none"/>
        </w:rPr>
      </w:pPr>
      <w:bookmarkStart w:id="175" w:name="_Toc1942"/>
      <w:bookmarkStart w:id="176" w:name="_Toc29267"/>
      <w:r>
        <w:rPr>
          <w:rFonts w:hint="eastAsia" w:ascii="宋体" w:hAnsi="宋体" w:eastAsia="宋体" w:cs="宋体"/>
          <w:b/>
          <w:color w:val="auto"/>
          <w:kern w:val="0"/>
          <w:sz w:val="32"/>
          <w:highlight w:val="none"/>
        </w:rPr>
        <w:t>一、投标函及投标函附录</w:t>
      </w:r>
      <w:bookmarkEnd w:id="175"/>
      <w:bookmarkEnd w:id="176"/>
    </w:p>
    <w:p w14:paraId="2C41F762">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szCs w:val="21"/>
          <w:highlight w:val="none"/>
          <w:u w:val="single"/>
        </w:rPr>
      </w:pPr>
      <w:r>
        <w:rPr>
          <w:rFonts w:hint="eastAsia" w:ascii="宋体" w:hAnsi="宋体" w:eastAsia="宋体" w:cs="宋体"/>
          <w:b/>
          <w:color w:val="auto"/>
          <w:kern w:val="0"/>
          <w:sz w:val="30"/>
          <w:szCs w:val="30"/>
          <w:highlight w:val="none"/>
        </w:rPr>
        <w:t>（一）投标函</w:t>
      </w:r>
    </w:p>
    <w:p w14:paraId="215BC221">
      <w:pPr>
        <w:pageBreakBefore w:val="0"/>
        <w:wordWrap w:val="0"/>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（招标人名称）：</w:t>
      </w:r>
    </w:p>
    <w:p w14:paraId="2C4B625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1．我方已仔细研究了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标段</w:t>
      </w:r>
      <w:r>
        <w:rPr>
          <w:rFonts w:hint="eastAsia" w:ascii="宋体" w:hAnsi="宋体" w:eastAsia="宋体" w:cs="宋体"/>
          <w:color w:val="auto"/>
          <w:sz w:val="24"/>
          <w:szCs w:val="24"/>
          <w:highlight w:val="none"/>
        </w:rPr>
        <w:t>招标文件的全部内容并决定参加投标。如果我方中标，我方承诺工期</w:t>
      </w:r>
      <w:r>
        <w:rPr>
          <w:rFonts w:hint="eastAsia" w:ascii="宋体" w:hAnsi="宋体" w:cs="宋体"/>
          <w:color w:val="auto"/>
          <w:sz w:val="24"/>
          <w:szCs w:val="24"/>
          <w:highlight w:val="none"/>
          <w:lang w:eastAsia="zh-CN"/>
        </w:rPr>
        <w:t>监控目标</w:t>
      </w:r>
      <w:r>
        <w:rPr>
          <w:rFonts w:hint="eastAsia" w:ascii="宋体" w:hAnsi="宋体" w:eastAsia="宋体" w:cs="宋体"/>
          <w:color w:val="auto"/>
          <w:sz w:val="24"/>
          <w:szCs w:val="24"/>
          <w:highlight w:val="none"/>
        </w:rPr>
        <w:t>为</w:t>
      </w:r>
      <w:r>
        <w:rPr>
          <w:rFonts w:hint="eastAsia" w:ascii="宋体" w:hAnsi="宋体" w:eastAsia="宋体" w:cs="宋体"/>
          <w:i/>
          <w:color w:val="auto"/>
          <w:sz w:val="24"/>
          <w:szCs w:val="24"/>
          <w:highlight w:val="none"/>
          <w:u w:val="single"/>
        </w:rPr>
        <w:t xml:space="preserve">          </w:t>
      </w:r>
      <w:r>
        <w:rPr>
          <w:rFonts w:hint="eastAsia" w:ascii="宋体" w:hAnsi="宋体" w:eastAsia="宋体" w:cs="宋体"/>
          <w:color w:val="auto"/>
          <w:sz w:val="24"/>
          <w:szCs w:val="24"/>
          <w:highlight w:val="none"/>
        </w:rPr>
        <w:t>，按合同约定完成</w:t>
      </w:r>
      <w:r>
        <w:rPr>
          <w:rFonts w:hint="eastAsia" w:ascii="宋体" w:hAnsi="宋体" w:eastAsia="宋体" w:cs="宋体"/>
          <w:color w:val="auto"/>
          <w:sz w:val="24"/>
          <w:szCs w:val="24"/>
          <w:highlight w:val="none"/>
          <w:lang w:eastAsia="zh-CN"/>
        </w:rPr>
        <w:t>本标段</w:t>
      </w:r>
      <w:r>
        <w:rPr>
          <w:rFonts w:hint="eastAsia" w:ascii="宋体" w:hAnsi="宋体" w:eastAsia="宋体" w:cs="宋体"/>
          <w:color w:val="auto"/>
          <w:sz w:val="24"/>
          <w:szCs w:val="24"/>
          <w:highlight w:val="none"/>
        </w:rPr>
        <w:t>工作内容，实现工程目的，</w:t>
      </w:r>
      <w:r>
        <w:rPr>
          <w:rFonts w:hint="eastAsia" w:ascii="宋体" w:hAnsi="宋体" w:eastAsia="宋体" w:cs="宋体"/>
          <w:color w:val="auto"/>
          <w:sz w:val="24"/>
          <w:szCs w:val="24"/>
          <w:highlight w:val="none"/>
          <w:lang w:eastAsia="zh-CN"/>
        </w:rPr>
        <w:t>质量</w:t>
      </w:r>
      <w:r>
        <w:rPr>
          <w:rFonts w:hint="eastAsia" w:ascii="宋体" w:hAnsi="宋体" w:cs="宋体"/>
          <w:color w:val="auto"/>
          <w:sz w:val="24"/>
          <w:szCs w:val="24"/>
          <w:highlight w:val="none"/>
          <w:lang w:eastAsia="zh-CN"/>
        </w:rPr>
        <w:t>监控目标</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86C53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2．我方承诺在招标文件规定的投标有效期内不修改、撤销投标文件。</w:t>
      </w:r>
    </w:p>
    <w:p w14:paraId="5B57725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3．随同本投标函提交投标保证金一份，金额为人民币（大写）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EC34BA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4．如我方中标：</w:t>
      </w:r>
    </w:p>
    <w:p w14:paraId="29D7F96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（1）我方承诺在收到中标通知书后，在中标通知书规定的期限内与你方签订合同。</w:t>
      </w:r>
    </w:p>
    <w:p w14:paraId="3176A9C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（2）随同本投标函递交的投标函附录属于合同文件的组成部分。</w:t>
      </w:r>
    </w:p>
    <w:p w14:paraId="3FB0FE0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（3）我方承诺按照招标文件规定向你方递交履约担保。</w:t>
      </w:r>
    </w:p>
    <w:p w14:paraId="3A6B611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（4）我方承诺在合同约定的期限内完成并移交全部合同工程。</w:t>
      </w:r>
    </w:p>
    <w:p w14:paraId="39909E3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5．我方在此声明，所递交的投标文件及有关资料内容完整、真实和准确。</w:t>
      </w:r>
    </w:p>
    <w:p w14:paraId="2CF257F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（其他补充说明）。</w:t>
      </w:r>
    </w:p>
    <w:p w14:paraId="4282C848">
      <w:pPr>
        <w:pageBreakBefore w:val="0"/>
        <w:wordWrap w:val="0"/>
        <w:autoSpaceDE w:val="0"/>
        <w:autoSpaceDN w:val="0"/>
        <w:bidi w:val="0"/>
        <w:adjustRightInd w:val="0"/>
        <w:spacing w:line="360" w:lineRule="auto"/>
        <w:ind w:right="-34" w:rightChars="-16" w:firstLine="616" w:firstLineChars="257"/>
        <w:jc w:val="left"/>
        <w:rPr>
          <w:rFonts w:hint="eastAsia" w:ascii="宋体" w:hAnsi="宋体" w:eastAsia="宋体" w:cs="宋体"/>
          <w:color w:val="auto"/>
          <w:kern w:val="0"/>
          <w:sz w:val="24"/>
          <w:szCs w:val="24"/>
          <w:highlight w:val="none"/>
          <w:u w:val="single"/>
        </w:rPr>
      </w:pPr>
    </w:p>
    <w:p w14:paraId="6C00B33A">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投标人：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（盖单位章）</w:t>
      </w:r>
    </w:p>
    <w:p w14:paraId="78A60751">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法定代表人或其委托代理人：</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（签字）</w:t>
      </w:r>
    </w:p>
    <w:p w14:paraId="646168FE">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地址：</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77F6CE44">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网址：</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6D2C2C3D">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电话：</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08A1CF9E">
      <w:pPr>
        <w:pageBreakBefore w:val="0"/>
        <w:wordWrap w:val="0"/>
        <w:autoSpaceDE w:val="0"/>
        <w:autoSpaceDN w:val="0"/>
        <w:bidi w:val="0"/>
        <w:adjustRightInd w:val="0"/>
        <w:spacing w:line="360" w:lineRule="auto"/>
        <w:ind w:right="-34" w:rightChars="-16" w:firstLine="1920" w:firstLineChars="800"/>
        <w:jc w:val="left"/>
        <w:rPr>
          <w:rFonts w:hint="default" w:ascii="宋体" w:hAnsi="宋体" w:eastAsia="宋体" w:cs="宋体"/>
          <w:color w:val="auto"/>
          <w:kern w:val="0"/>
          <w:sz w:val="24"/>
          <w:szCs w:val="24"/>
          <w:highlight w:val="none"/>
          <w:u w:val="single"/>
          <w:lang w:val="en-US" w:eastAsia="zh-CN"/>
        </w:rPr>
      </w:pPr>
      <w:r>
        <w:rPr>
          <w:rFonts w:hint="eastAsia" w:ascii="宋体" w:hAnsi="宋体" w:eastAsia="宋体" w:cs="宋体"/>
          <w:color w:val="auto"/>
          <w:kern w:val="0"/>
          <w:sz w:val="24"/>
          <w:szCs w:val="24"/>
          <w:highlight w:val="none"/>
          <w:u w:val="none"/>
        </w:rPr>
        <w:t>传真：</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121AAE50">
      <w:pPr>
        <w:pageBreakBefore w:val="0"/>
        <w:wordWrap w:val="0"/>
        <w:autoSpaceDE w:val="0"/>
        <w:autoSpaceDN w:val="0"/>
        <w:bidi w:val="0"/>
        <w:adjustRightInd w:val="0"/>
        <w:spacing w:line="36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邮政编码：</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499F4CA5">
      <w:pPr>
        <w:pageBreakBefore w:val="0"/>
        <w:wordWrap w:val="0"/>
        <w:autoSpaceDE w:val="0"/>
        <w:autoSpaceDN w:val="0"/>
        <w:bidi w:val="0"/>
        <w:adjustRightInd w:val="0"/>
        <w:spacing w:line="360" w:lineRule="auto"/>
        <w:ind w:right="-34" w:rightChars="-16" w:firstLine="5280" w:firstLineChars="2200"/>
        <w:jc w:val="both"/>
        <w:rPr>
          <w:rFonts w:hint="eastAsia" w:ascii="宋体" w:hAnsi="宋体" w:eastAsia="宋体" w:cs="宋体"/>
          <w:color w:val="auto"/>
          <w:kern w:val="0"/>
          <w:sz w:val="24"/>
          <w:szCs w:val="24"/>
          <w:highlight w:val="none"/>
          <w:u w:val="single"/>
        </w:rPr>
      </w:pPr>
    </w:p>
    <w:p w14:paraId="0CDE61AC">
      <w:pPr>
        <w:pageBreakBefore w:val="0"/>
        <w:wordWrap w:val="0"/>
        <w:autoSpaceDE w:val="0"/>
        <w:autoSpaceDN w:val="0"/>
        <w:bidi w:val="0"/>
        <w:adjustRightInd w:val="0"/>
        <w:spacing w:line="360" w:lineRule="auto"/>
        <w:ind w:right="-34" w:rightChars="-16" w:firstLine="5760" w:firstLineChars="2400"/>
        <w:jc w:val="both"/>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1F2C664B">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u w:val="single"/>
        </w:rPr>
        <w:br w:type="page"/>
      </w:r>
      <w:r>
        <w:rPr>
          <w:rFonts w:hint="eastAsia" w:ascii="宋体" w:hAnsi="宋体" w:eastAsia="宋体" w:cs="宋体"/>
          <w:b/>
          <w:color w:val="auto"/>
          <w:kern w:val="0"/>
          <w:sz w:val="30"/>
          <w:szCs w:val="30"/>
          <w:highlight w:val="none"/>
        </w:rPr>
        <w:t>（二）投标函附录</w:t>
      </w:r>
    </w:p>
    <w:tbl>
      <w:tblPr>
        <w:tblStyle w:val="25"/>
        <w:tblW w:w="8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0"/>
        <w:gridCol w:w="1644"/>
        <w:gridCol w:w="1392"/>
        <w:gridCol w:w="1391"/>
        <w:gridCol w:w="1412"/>
        <w:gridCol w:w="1197"/>
      </w:tblGrid>
      <w:tr w14:paraId="5931A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4428A0F8">
            <w:pPr>
              <w:wordWrap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036" w:type="dxa"/>
            <w:gridSpan w:val="5"/>
            <w:noWrap w:val="0"/>
            <w:vAlign w:val="center"/>
          </w:tcPr>
          <w:p w14:paraId="00332BC3">
            <w:pPr>
              <w:wordWrap w:val="0"/>
              <w:jc w:val="center"/>
              <w:rPr>
                <w:rFonts w:hint="eastAsia" w:ascii="宋体" w:hAnsi="宋体" w:eastAsia="宋体" w:cs="宋体"/>
                <w:color w:val="auto"/>
                <w:sz w:val="24"/>
                <w:szCs w:val="24"/>
                <w:highlight w:val="none"/>
              </w:rPr>
            </w:pPr>
          </w:p>
        </w:tc>
      </w:tr>
      <w:tr w14:paraId="00659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3D6A7787">
            <w:pPr>
              <w:wordWrap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投标人</w:t>
            </w:r>
            <w:r>
              <w:rPr>
                <w:rFonts w:hint="eastAsia" w:ascii="宋体" w:hAnsi="宋体" w:cs="宋体"/>
                <w:color w:val="auto"/>
                <w:sz w:val="24"/>
                <w:szCs w:val="24"/>
                <w:highlight w:val="none"/>
                <w:lang w:eastAsia="zh-CN"/>
              </w:rPr>
              <w:t>名称</w:t>
            </w:r>
          </w:p>
        </w:tc>
        <w:tc>
          <w:tcPr>
            <w:tcW w:w="7036" w:type="dxa"/>
            <w:gridSpan w:val="5"/>
            <w:noWrap w:val="0"/>
            <w:vAlign w:val="center"/>
          </w:tcPr>
          <w:p w14:paraId="5B7403A5">
            <w:pPr>
              <w:wordWrap w:val="0"/>
              <w:jc w:val="center"/>
              <w:rPr>
                <w:rFonts w:hint="eastAsia" w:ascii="宋体" w:hAnsi="宋体" w:eastAsia="宋体" w:cs="宋体"/>
                <w:color w:val="auto"/>
                <w:sz w:val="24"/>
                <w:szCs w:val="24"/>
                <w:highlight w:val="none"/>
              </w:rPr>
            </w:pPr>
          </w:p>
        </w:tc>
      </w:tr>
      <w:tr w14:paraId="6A7C1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0E2DE1B2">
            <w:pPr>
              <w:wordWrap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标段</w:t>
            </w:r>
          </w:p>
        </w:tc>
        <w:tc>
          <w:tcPr>
            <w:tcW w:w="7036" w:type="dxa"/>
            <w:gridSpan w:val="5"/>
            <w:noWrap w:val="0"/>
            <w:vAlign w:val="center"/>
          </w:tcPr>
          <w:p w14:paraId="7A33D95C">
            <w:pPr>
              <w:wordWrap w:val="0"/>
              <w:jc w:val="center"/>
              <w:rPr>
                <w:rFonts w:hint="eastAsia" w:ascii="宋体" w:hAnsi="宋体" w:eastAsia="宋体" w:cs="宋体"/>
                <w:color w:val="auto"/>
                <w:sz w:val="24"/>
                <w:szCs w:val="24"/>
                <w:highlight w:val="none"/>
              </w:rPr>
            </w:pPr>
          </w:p>
        </w:tc>
      </w:tr>
      <w:tr w14:paraId="57C7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697325CE">
            <w:pPr>
              <w:wordWrap w:val="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投标内容</w:t>
            </w:r>
          </w:p>
        </w:tc>
        <w:tc>
          <w:tcPr>
            <w:tcW w:w="7036" w:type="dxa"/>
            <w:gridSpan w:val="5"/>
            <w:noWrap w:val="0"/>
            <w:vAlign w:val="center"/>
          </w:tcPr>
          <w:p w14:paraId="388B1E37">
            <w:pPr>
              <w:wordWrap w:val="0"/>
              <w:jc w:val="center"/>
              <w:rPr>
                <w:rFonts w:hint="eastAsia" w:ascii="宋体" w:hAnsi="宋体" w:eastAsia="宋体" w:cs="宋体"/>
                <w:color w:val="auto"/>
                <w:sz w:val="24"/>
                <w:szCs w:val="24"/>
                <w:highlight w:val="none"/>
              </w:rPr>
            </w:pPr>
          </w:p>
        </w:tc>
      </w:tr>
      <w:tr w14:paraId="230BC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960" w:type="dxa"/>
            <w:noWrap w:val="0"/>
            <w:vAlign w:val="center"/>
          </w:tcPr>
          <w:p w14:paraId="6BBE86B0">
            <w:pPr>
              <w:wordWrap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总监理工程师</w:t>
            </w:r>
          </w:p>
        </w:tc>
        <w:tc>
          <w:tcPr>
            <w:tcW w:w="1644" w:type="dxa"/>
            <w:noWrap w:val="0"/>
            <w:vAlign w:val="center"/>
          </w:tcPr>
          <w:p w14:paraId="6AAD9430">
            <w:pPr>
              <w:wordWrap w:val="0"/>
              <w:jc w:val="center"/>
              <w:rPr>
                <w:rFonts w:hint="eastAsia" w:ascii="宋体" w:hAnsi="宋体" w:eastAsia="宋体" w:cs="宋体"/>
                <w:color w:val="auto"/>
                <w:kern w:val="2"/>
                <w:sz w:val="24"/>
                <w:szCs w:val="24"/>
                <w:highlight w:val="none"/>
                <w:lang w:val="en-US" w:eastAsia="zh-CN" w:bidi="ar-SA"/>
              </w:rPr>
            </w:pPr>
          </w:p>
        </w:tc>
        <w:tc>
          <w:tcPr>
            <w:tcW w:w="1392" w:type="dxa"/>
            <w:noWrap w:val="0"/>
            <w:vAlign w:val="center"/>
          </w:tcPr>
          <w:p w14:paraId="22DBC77D">
            <w:pPr>
              <w:wordWrap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证书</w:t>
            </w:r>
            <w:r>
              <w:rPr>
                <w:rFonts w:hint="eastAsia" w:ascii="宋体" w:hAnsi="宋体" w:eastAsia="宋体" w:cs="宋体"/>
                <w:color w:val="auto"/>
                <w:sz w:val="24"/>
                <w:szCs w:val="24"/>
                <w:highlight w:val="none"/>
                <w:lang w:val="en-US" w:eastAsia="zh-CN"/>
              </w:rPr>
              <w:t>名称</w:t>
            </w:r>
          </w:p>
        </w:tc>
        <w:tc>
          <w:tcPr>
            <w:tcW w:w="1391" w:type="dxa"/>
            <w:noWrap w:val="0"/>
            <w:vAlign w:val="center"/>
          </w:tcPr>
          <w:p w14:paraId="59C3714C">
            <w:pPr>
              <w:wordWrap w:val="0"/>
              <w:jc w:val="center"/>
              <w:rPr>
                <w:rFonts w:hint="eastAsia" w:ascii="宋体" w:hAnsi="宋体" w:eastAsia="宋体" w:cs="宋体"/>
                <w:color w:val="auto"/>
                <w:kern w:val="2"/>
                <w:sz w:val="24"/>
                <w:szCs w:val="24"/>
                <w:highlight w:val="none"/>
                <w:lang w:val="en-US" w:eastAsia="zh-CN" w:bidi="ar-SA"/>
              </w:rPr>
            </w:pPr>
          </w:p>
        </w:tc>
        <w:tc>
          <w:tcPr>
            <w:tcW w:w="1412" w:type="dxa"/>
            <w:noWrap w:val="0"/>
            <w:vAlign w:val="center"/>
          </w:tcPr>
          <w:p w14:paraId="0CAB6130">
            <w:pPr>
              <w:wordWrap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证书编号</w:t>
            </w:r>
          </w:p>
        </w:tc>
        <w:tc>
          <w:tcPr>
            <w:tcW w:w="1197" w:type="dxa"/>
            <w:noWrap w:val="0"/>
            <w:vAlign w:val="center"/>
          </w:tcPr>
          <w:p w14:paraId="43CA77E2">
            <w:pPr>
              <w:wordWrap w:val="0"/>
              <w:jc w:val="center"/>
              <w:rPr>
                <w:rFonts w:hint="eastAsia" w:ascii="宋体" w:hAnsi="宋体" w:eastAsia="宋体" w:cs="宋体"/>
                <w:color w:val="auto"/>
                <w:sz w:val="24"/>
                <w:szCs w:val="24"/>
                <w:highlight w:val="none"/>
              </w:rPr>
            </w:pPr>
          </w:p>
        </w:tc>
      </w:tr>
      <w:tr w14:paraId="4BB11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jc w:val="center"/>
        </w:trPr>
        <w:tc>
          <w:tcPr>
            <w:tcW w:w="1960" w:type="dxa"/>
            <w:noWrap w:val="0"/>
            <w:vAlign w:val="center"/>
          </w:tcPr>
          <w:p w14:paraId="6C14A0BB">
            <w:pPr>
              <w:wordWrap w:val="0"/>
              <w:spacing w:before="72" w:beforeLines="30" w:after="72" w:afterLines="30"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投标报价</w:t>
            </w:r>
          </w:p>
        </w:tc>
        <w:tc>
          <w:tcPr>
            <w:tcW w:w="7036" w:type="dxa"/>
            <w:gridSpan w:val="5"/>
            <w:noWrap w:val="0"/>
            <w:vAlign w:val="center"/>
          </w:tcPr>
          <w:p w14:paraId="783888A8">
            <w:pPr>
              <w:wordWrap w:val="0"/>
              <w:spacing w:before="72" w:beforeLines="30" w:after="72" w:afterLines="30" w:line="360" w:lineRule="auto"/>
              <w:rPr>
                <w:rFonts w:hint="eastAsia" w:ascii="宋体" w:hAnsi="宋体" w:eastAsia="宋体" w:cs="宋体"/>
                <w:color w:val="auto"/>
                <w:sz w:val="24"/>
                <w:szCs w:val="24"/>
                <w:highlight w:val="none"/>
                <w:u w:val="single"/>
              </w:rPr>
            </w:pPr>
          </w:p>
        </w:tc>
      </w:tr>
      <w:tr w14:paraId="0C34C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7EF879AF">
            <w:pPr>
              <w:wordWrap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质量监控目标</w:t>
            </w:r>
          </w:p>
        </w:tc>
        <w:tc>
          <w:tcPr>
            <w:tcW w:w="7036" w:type="dxa"/>
            <w:gridSpan w:val="5"/>
            <w:noWrap w:val="0"/>
            <w:vAlign w:val="center"/>
          </w:tcPr>
          <w:p w14:paraId="4AEC8BA9">
            <w:pPr>
              <w:pStyle w:val="47"/>
              <w:wordWrap w:val="0"/>
              <w:ind w:left="0" w:leftChars="0" w:firstLine="0" w:firstLineChars="0"/>
              <w:rPr>
                <w:rFonts w:hint="eastAsia" w:ascii="宋体" w:hAnsi="宋体" w:eastAsia="宋体" w:cs="宋体"/>
                <w:color w:val="auto"/>
                <w:sz w:val="24"/>
                <w:szCs w:val="24"/>
                <w:highlight w:val="none"/>
              </w:rPr>
            </w:pPr>
          </w:p>
        </w:tc>
      </w:tr>
      <w:tr w14:paraId="6A1F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35F7319E">
            <w:pPr>
              <w:wordWrap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工期监控目标</w:t>
            </w:r>
          </w:p>
        </w:tc>
        <w:tc>
          <w:tcPr>
            <w:tcW w:w="7036" w:type="dxa"/>
            <w:gridSpan w:val="5"/>
            <w:noWrap w:val="0"/>
            <w:vAlign w:val="center"/>
          </w:tcPr>
          <w:p w14:paraId="78E614DC">
            <w:pPr>
              <w:pStyle w:val="47"/>
              <w:wordWrap w:val="0"/>
              <w:ind w:left="0" w:leftChars="0" w:firstLine="0" w:firstLineChars="0"/>
              <w:rPr>
                <w:rFonts w:hint="eastAsia" w:ascii="宋体" w:hAnsi="宋体" w:eastAsia="宋体" w:cs="宋体"/>
                <w:color w:val="auto"/>
                <w:sz w:val="24"/>
                <w:szCs w:val="24"/>
                <w:highlight w:val="none"/>
              </w:rPr>
            </w:pPr>
          </w:p>
        </w:tc>
      </w:tr>
      <w:tr w14:paraId="28B87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4613FE84">
            <w:pPr>
              <w:wordWrap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投资控制目标</w:t>
            </w:r>
          </w:p>
        </w:tc>
        <w:tc>
          <w:tcPr>
            <w:tcW w:w="7036" w:type="dxa"/>
            <w:gridSpan w:val="5"/>
            <w:noWrap w:val="0"/>
            <w:vAlign w:val="center"/>
          </w:tcPr>
          <w:p w14:paraId="4D4C9806">
            <w:pPr>
              <w:wordWrap w:val="0"/>
              <w:rPr>
                <w:rFonts w:hint="eastAsia" w:ascii="宋体" w:hAnsi="宋体" w:eastAsia="宋体" w:cs="宋体"/>
                <w:color w:val="auto"/>
                <w:sz w:val="24"/>
                <w:szCs w:val="24"/>
                <w:highlight w:val="none"/>
              </w:rPr>
            </w:pPr>
          </w:p>
        </w:tc>
      </w:tr>
      <w:tr w14:paraId="552A9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960" w:type="dxa"/>
            <w:noWrap w:val="0"/>
            <w:vAlign w:val="center"/>
          </w:tcPr>
          <w:p w14:paraId="7DABD81A">
            <w:pPr>
              <w:wordWrap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7036" w:type="dxa"/>
            <w:gridSpan w:val="5"/>
            <w:noWrap w:val="0"/>
            <w:vAlign w:val="center"/>
          </w:tcPr>
          <w:p w14:paraId="11138F86">
            <w:pPr>
              <w:wordWrap w:val="0"/>
              <w:jc w:val="both"/>
              <w:rPr>
                <w:rFonts w:hint="eastAsia" w:ascii="宋体" w:hAnsi="宋体" w:eastAsia="宋体" w:cs="宋体"/>
                <w:color w:val="auto"/>
                <w:sz w:val="24"/>
                <w:szCs w:val="24"/>
                <w:highlight w:val="none"/>
              </w:rPr>
            </w:pPr>
          </w:p>
        </w:tc>
      </w:tr>
      <w:tr w14:paraId="1D116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5" w:hRule="atLeast"/>
          <w:jc w:val="center"/>
        </w:trPr>
        <w:tc>
          <w:tcPr>
            <w:tcW w:w="8996" w:type="dxa"/>
            <w:gridSpan w:val="6"/>
            <w:noWrap w:val="0"/>
            <w:vAlign w:val="top"/>
          </w:tcPr>
          <w:p w14:paraId="3D00F06A">
            <w:pPr>
              <w:wordWrap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备注</w:t>
            </w:r>
            <w:r>
              <w:rPr>
                <w:rFonts w:hint="eastAsia" w:ascii="宋体" w:hAnsi="宋体" w:cs="宋体"/>
                <w:color w:val="auto"/>
                <w:sz w:val="24"/>
                <w:szCs w:val="24"/>
                <w:highlight w:val="none"/>
                <w:lang w:eastAsia="zh-CN"/>
              </w:rPr>
              <w:t>：</w:t>
            </w:r>
          </w:p>
        </w:tc>
      </w:tr>
    </w:tbl>
    <w:p w14:paraId="2E8BA3D4">
      <w:pPr>
        <w:bidi w:val="0"/>
        <w:rPr>
          <w:rFonts w:hint="eastAsia"/>
          <w:color w:val="auto"/>
          <w:highlight w:val="none"/>
        </w:rPr>
      </w:pPr>
    </w:p>
    <w:p w14:paraId="71F67169">
      <w:pPr>
        <w:pageBreakBefore w:val="0"/>
        <w:wordWrap w:val="0"/>
        <w:autoSpaceDE w:val="0"/>
        <w:autoSpaceDN w:val="0"/>
        <w:bidi w:val="0"/>
        <w:adjustRightInd w:val="0"/>
        <w:spacing w:line="600" w:lineRule="auto"/>
        <w:ind w:right="-34" w:rightChars="-16" w:firstLine="1920" w:firstLineChars="800"/>
        <w:jc w:val="left"/>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投标人：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（盖单位章）</w:t>
      </w:r>
    </w:p>
    <w:p w14:paraId="5E29A233">
      <w:pPr>
        <w:pageBreakBefore w:val="0"/>
        <w:wordWrap w:val="0"/>
        <w:autoSpaceDE w:val="0"/>
        <w:autoSpaceDN w:val="0"/>
        <w:bidi w:val="0"/>
        <w:adjustRightInd w:val="0"/>
        <w:spacing w:line="60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法定代表人或其委托代理人：</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（签字）</w:t>
      </w:r>
    </w:p>
    <w:p w14:paraId="6D2A9BBF">
      <w:pPr>
        <w:pageBreakBefore w:val="0"/>
        <w:wordWrap w:val="0"/>
        <w:autoSpaceDE w:val="0"/>
        <w:autoSpaceDN w:val="0"/>
        <w:bidi w:val="0"/>
        <w:adjustRightInd w:val="0"/>
        <w:spacing w:line="600" w:lineRule="auto"/>
        <w:ind w:right="-34" w:rightChars="-16" w:firstLine="5760" w:firstLineChars="2400"/>
        <w:jc w:val="both"/>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0BACB345">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b/>
          <w:color w:val="auto"/>
          <w:kern w:val="0"/>
          <w:sz w:val="28"/>
          <w:highlight w:val="none"/>
        </w:rPr>
        <w:br w:type="page"/>
      </w:r>
      <w:bookmarkStart w:id="177" w:name="_Toc5859"/>
      <w:bookmarkStart w:id="178" w:name="_Toc9212"/>
      <w:r>
        <w:rPr>
          <w:rFonts w:hint="eastAsia" w:ascii="宋体" w:hAnsi="宋体" w:eastAsia="宋体" w:cs="宋体"/>
          <w:b/>
          <w:color w:val="auto"/>
          <w:kern w:val="0"/>
          <w:sz w:val="32"/>
          <w:highlight w:val="none"/>
        </w:rPr>
        <w:t>二、法定代表人身份证明</w:t>
      </w:r>
      <w:bookmarkEnd w:id="177"/>
      <w:bookmarkEnd w:id="178"/>
    </w:p>
    <w:p w14:paraId="0DD2D4FA">
      <w:pPr>
        <w:pageBreakBefore w:val="0"/>
        <w:wordWrap w:val="0"/>
        <w:autoSpaceDE w:val="0"/>
        <w:autoSpaceDN w:val="0"/>
        <w:bidi w:val="0"/>
        <w:adjustRightInd w:val="0"/>
        <w:spacing w:line="400" w:lineRule="exact"/>
        <w:ind w:right="-34" w:rightChars="-16"/>
        <w:jc w:val="both"/>
        <w:rPr>
          <w:rFonts w:hint="eastAsia" w:ascii="宋体" w:hAnsi="宋体" w:eastAsia="宋体" w:cs="宋体"/>
          <w:color w:val="auto"/>
          <w:kern w:val="0"/>
          <w:sz w:val="24"/>
          <w:szCs w:val="24"/>
          <w:highlight w:val="none"/>
        </w:rPr>
      </w:pPr>
    </w:p>
    <w:p w14:paraId="3C1570CE">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w:t>
      </w:r>
      <w:r>
        <w:rPr>
          <w:rFonts w:hint="eastAsia" w:ascii="宋体" w:hAnsi="宋体" w:eastAsia="宋体" w:cs="宋体"/>
          <w:color w:val="auto"/>
          <w:kern w:val="0"/>
          <w:sz w:val="24"/>
          <w:szCs w:val="24"/>
          <w:highlight w:val="none"/>
          <w:u w:val="single"/>
        </w:rPr>
        <w:t xml:space="preserve">                                  </w:t>
      </w:r>
    </w:p>
    <w:p w14:paraId="4ECA6DA1">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单位性质：</w:t>
      </w:r>
      <w:r>
        <w:rPr>
          <w:rFonts w:hint="eastAsia" w:ascii="宋体" w:hAnsi="宋体" w:eastAsia="宋体" w:cs="宋体"/>
          <w:color w:val="auto"/>
          <w:kern w:val="0"/>
          <w:sz w:val="24"/>
          <w:szCs w:val="24"/>
          <w:highlight w:val="none"/>
          <w:u w:val="single"/>
        </w:rPr>
        <w:t xml:space="preserve">                                  </w:t>
      </w:r>
    </w:p>
    <w:p w14:paraId="64C89D2B">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w:t>
      </w:r>
      <w:r>
        <w:rPr>
          <w:rFonts w:hint="eastAsia" w:ascii="宋体" w:hAnsi="宋体" w:eastAsia="宋体" w:cs="宋体"/>
          <w:color w:val="auto"/>
          <w:kern w:val="0"/>
          <w:sz w:val="24"/>
          <w:szCs w:val="24"/>
          <w:highlight w:val="none"/>
          <w:u w:val="single"/>
        </w:rPr>
        <w:t xml:space="preserve">                                  </w:t>
      </w:r>
    </w:p>
    <w:p w14:paraId="2CD0A87E">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6E19309A">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经营期限：</w:t>
      </w:r>
      <w:r>
        <w:rPr>
          <w:rFonts w:hint="eastAsia" w:ascii="宋体" w:hAnsi="宋体" w:eastAsia="宋体" w:cs="宋体"/>
          <w:color w:val="auto"/>
          <w:kern w:val="0"/>
          <w:sz w:val="24"/>
          <w:szCs w:val="24"/>
          <w:highlight w:val="none"/>
          <w:u w:val="single"/>
        </w:rPr>
        <w:t xml:space="preserve">                                  </w:t>
      </w:r>
    </w:p>
    <w:p w14:paraId="41C9988F">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性别：</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年龄：</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职务：</w:t>
      </w:r>
      <w:r>
        <w:rPr>
          <w:rFonts w:hint="eastAsia" w:ascii="宋体" w:hAnsi="宋体" w:eastAsia="宋体" w:cs="宋体"/>
          <w:color w:val="auto"/>
          <w:kern w:val="0"/>
          <w:sz w:val="24"/>
          <w:szCs w:val="24"/>
          <w:highlight w:val="none"/>
          <w:u w:val="single"/>
        </w:rPr>
        <w:t xml:space="preserve">           </w:t>
      </w:r>
    </w:p>
    <w:p w14:paraId="2B713A3B">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（投标人名称）的法定代表人。</w:t>
      </w:r>
    </w:p>
    <w:p w14:paraId="03FC0658">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p>
    <w:p w14:paraId="200CBEB9">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特此证明。</w:t>
      </w:r>
    </w:p>
    <w:p w14:paraId="265F9FA0">
      <w:pPr>
        <w:bidi w:val="0"/>
        <w:rPr>
          <w:rFonts w:hint="eastAsia"/>
          <w:color w:val="auto"/>
          <w:highlight w:val="none"/>
        </w:rPr>
      </w:pPr>
    </w:p>
    <w:p w14:paraId="160721C7">
      <w:pPr>
        <w:pageBreakBefore w:val="0"/>
        <w:wordWrap w:val="0"/>
        <w:autoSpaceDE w:val="0"/>
        <w:autoSpaceDN w:val="0"/>
        <w:bidi w:val="0"/>
        <w:adjustRightInd w:val="0"/>
        <w:spacing w:line="600" w:lineRule="auto"/>
        <w:ind w:right="-34" w:rightChars="-16" w:firstLine="1920" w:firstLineChars="800"/>
        <w:jc w:val="left"/>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投标人</w:t>
      </w:r>
      <w:r>
        <w:rPr>
          <w:rFonts w:hint="eastAsia" w:ascii="宋体" w:hAnsi="宋体" w:eastAsia="宋体" w:cs="宋体"/>
          <w:color w:val="auto"/>
          <w:kern w:val="0"/>
          <w:sz w:val="24"/>
          <w:szCs w:val="24"/>
          <w:highlight w:val="none"/>
          <w:u w:val="none"/>
          <w:lang w:eastAsia="zh-CN"/>
        </w:rPr>
        <w:t>（或联合体</w:t>
      </w:r>
      <w:r>
        <w:rPr>
          <w:rFonts w:hint="eastAsia" w:ascii="宋体" w:hAnsi="宋体" w:cs="宋体"/>
          <w:color w:val="auto"/>
          <w:kern w:val="0"/>
          <w:sz w:val="24"/>
          <w:szCs w:val="24"/>
          <w:highlight w:val="none"/>
          <w:u w:val="none"/>
          <w:lang w:eastAsia="zh-CN"/>
        </w:rPr>
        <w:t>牵头方</w:t>
      </w:r>
      <w:r>
        <w:rPr>
          <w:rFonts w:hint="eastAsia" w:ascii="宋体" w:hAnsi="宋体" w:eastAsia="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u w:val="non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（盖单位章）</w:t>
      </w:r>
    </w:p>
    <w:p w14:paraId="4B40BA2C">
      <w:pPr>
        <w:pageBreakBefore w:val="0"/>
        <w:wordWrap w:val="0"/>
        <w:autoSpaceDE w:val="0"/>
        <w:autoSpaceDN w:val="0"/>
        <w:bidi w:val="0"/>
        <w:adjustRightInd w:val="0"/>
        <w:spacing w:line="600" w:lineRule="auto"/>
        <w:ind w:right="-34" w:rightChars="-16" w:firstLine="5760" w:firstLineChars="2400"/>
        <w:jc w:val="both"/>
        <w:rPr>
          <w:rFonts w:hint="eastAsia" w:ascii="宋体" w:hAnsi="宋体" w:eastAsia="宋体" w:cs="宋体"/>
          <w:color w:val="auto"/>
          <w:kern w:val="0"/>
          <w:sz w:val="24"/>
          <w:szCs w:val="24"/>
          <w:highlight w:val="none"/>
          <w:u w:val="single"/>
        </w:rPr>
      </w:pPr>
    </w:p>
    <w:p w14:paraId="40DC2328">
      <w:pPr>
        <w:pageBreakBefore w:val="0"/>
        <w:wordWrap w:val="0"/>
        <w:autoSpaceDE w:val="0"/>
        <w:autoSpaceDN w:val="0"/>
        <w:bidi w:val="0"/>
        <w:adjustRightInd w:val="0"/>
        <w:spacing w:line="600" w:lineRule="auto"/>
        <w:ind w:right="-34" w:rightChars="-16" w:firstLine="5760" w:firstLineChars="2400"/>
        <w:jc w:val="both"/>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14DBB878">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color w:val="auto"/>
          <w:kern w:val="0"/>
          <w:sz w:val="24"/>
          <w:szCs w:val="24"/>
          <w:highlight w:val="none"/>
        </w:rPr>
        <w:br w:type="page"/>
      </w:r>
      <w:bookmarkStart w:id="179" w:name="_Toc23988"/>
      <w:bookmarkStart w:id="180" w:name="_Toc6158"/>
      <w:r>
        <w:rPr>
          <w:rFonts w:hint="eastAsia" w:ascii="宋体" w:hAnsi="宋体" w:eastAsia="宋体" w:cs="宋体"/>
          <w:b/>
          <w:color w:val="auto"/>
          <w:kern w:val="0"/>
          <w:sz w:val="32"/>
          <w:highlight w:val="none"/>
        </w:rPr>
        <w:t>三、附有法定代表人身份证明的授权委托书</w:t>
      </w:r>
      <w:bookmarkEnd w:id="179"/>
      <w:bookmarkEnd w:id="180"/>
    </w:p>
    <w:p w14:paraId="5C0FA75D">
      <w:pPr>
        <w:pageBreakBefore w:val="0"/>
        <w:wordWrap w:val="0"/>
        <w:autoSpaceDE w:val="0"/>
        <w:autoSpaceDN w:val="0"/>
        <w:bidi w:val="0"/>
        <w:adjustRightInd w:val="0"/>
        <w:spacing w:line="360" w:lineRule="auto"/>
        <w:ind w:right="-34" w:rightChars="-16"/>
        <w:jc w:val="both"/>
        <w:rPr>
          <w:rFonts w:hint="eastAsia" w:ascii="宋体" w:hAnsi="宋体" w:eastAsia="宋体" w:cs="宋体"/>
          <w:color w:val="auto"/>
          <w:kern w:val="0"/>
          <w:sz w:val="24"/>
          <w:szCs w:val="24"/>
          <w:highlight w:val="none"/>
        </w:rPr>
      </w:pPr>
    </w:p>
    <w:p w14:paraId="15391BF6">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（投标人名称）的法定代表人，现委托</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（姓名）为我方代理人。代理人根据授权，以我方名义签署、澄清、说明、补正、递交、撤回、修改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（项目名称</w:t>
      </w:r>
      <w:r>
        <w:rPr>
          <w:rFonts w:hint="eastAsia" w:ascii="宋体" w:hAnsi="宋体" w:eastAsia="宋体" w:cs="宋体"/>
          <w:color w:val="auto"/>
          <w:sz w:val="24"/>
          <w:szCs w:val="24"/>
          <w:highlight w:val="none"/>
          <w:u w:val="non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标段</w:t>
      </w:r>
      <w:r>
        <w:rPr>
          <w:rFonts w:hint="eastAsia" w:ascii="宋体" w:hAnsi="宋体" w:eastAsia="宋体" w:cs="宋体"/>
          <w:color w:val="auto"/>
          <w:kern w:val="0"/>
          <w:sz w:val="24"/>
          <w:szCs w:val="24"/>
          <w:highlight w:val="none"/>
        </w:rPr>
        <w:t>投标文件、处理开、评标活动有关事宜和签订合同等，其法律后果由我方承担。</w:t>
      </w:r>
    </w:p>
    <w:p w14:paraId="31DC2270">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委托期限：</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00C0957">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代理人无转委托权。</w:t>
      </w:r>
    </w:p>
    <w:p w14:paraId="2139A306">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附：法定代表人身份证明和授权委托代理人身份证明</w:t>
      </w:r>
    </w:p>
    <w:p w14:paraId="4DCE67FB">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p>
    <w:p w14:paraId="7C30FB07">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p>
    <w:p w14:paraId="7A5D0988">
      <w:pPr>
        <w:pageBreakBefore w:val="0"/>
        <w:wordWrap w:val="0"/>
        <w:autoSpaceDE w:val="0"/>
        <w:autoSpaceDN w:val="0"/>
        <w:bidi w:val="0"/>
        <w:adjustRightInd w:val="0"/>
        <w:spacing w:before="240" w:beforeLines="100" w:after="240" w:afterLines="100" w:line="360" w:lineRule="auto"/>
        <w:ind w:right="-34" w:rightChars="-16" w:firstLine="1440" w:firstLineChars="6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none"/>
        </w:rPr>
        <w:t>投标人：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（盖单位章）</w:t>
      </w:r>
    </w:p>
    <w:p w14:paraId="2D09D838">
      <w:pPr>
        <w:pageBreakBefore w:val="0"/>
        <w:wordWrap w:val="0"/>
        <w:autoSpaceDE w:val="0"/>
        <w:autoSpaceDN w:val="0"/>
        <w:bidi w:val="0"/>
        <w:adjustRightInd w:val="0"/>
        <w:spacing w:before="240" w:beforeLines="100" w:after="240" w:afterLines="100" w:line="360" w:lineRule="auto"/>
        <w:ind w:right="-34" w:rightChars="-16" w:firstLine="1440" w:firstLineChars="6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（签字）</w:t>
      </w:r>
    </w:p>
    <w:p w14:paraId="57ACF6C1">
      <w:pPr>
        <w:pageBreakBefore w:val="0"/>
        <w:wordWrap w:val="0"/>
        <w:autoSpaceDE w:val="0"/>
        <w:autoSpaceDN w:val="0"/>
        <w:bidi w:val="0"/>
        <w:adjustRightInd w:val="0"/>
        <w:spacing w:before="240" w:beforeLines="100" w:after="240" w:afterLines="100" w:line="360" w:lineRule="auto"/>
        <w:ind w:right="-34" w:rightChars="-16" w:firstLine="1440" w:firstLineChars="6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2EB1F151">
      <w:pPr>
        <w:pageBreakBefore w:val="0"/>
        <w:wordWrap w:val="0"/>
        <w:autoSpaceDE w:val="0"/>
        <w:autoSpaceDN w:val="0"/>
        <w:bidi w:val="0"/>
        <w:adjustRightInd w:val="0"/>
        <w:spacing w:before="240" w:beforeLines="100" w:after="240" w:afterLines="100" w:line="360" w:lineRule="auto"/>
        <w:ind w:right="-34" w:rightChars="-16" w:firstLine="1440" w:firstLineChars="6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委托代理人：</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（签字）</w:t>
      </w:r>
    </w:p>
    <w:p w14:paraId="128528EB">
      <w:pPr>
        <w:pageBreakBefore w:val="0"/>
        <w:wordWrap w:val="0"/>
        <w:autoSpaceDE w:val="0"/>
        <w:autoSpaceDN w:val="0"/>
        <w:bidi w:val="0"/>
        <w:adjustRightInd w:val="0"/>
        <w:spacing w:before="240" w:beforeLines="100" w:after="240" w:afterLines="100" w:line="360" w:lineRule="auto"/>
        <w:ind w:right="-34" w:rightChars="-16" w:firstLine="1440" w:firstLineChars="6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38765B79">
      <w:pPr>
        <w:pageBreakBefore w:val="0"/>
        <w:wordWrap w:val="0"/>
        <w:autoSpaceDE w:val="0"/>
        <w:autoSpaceDN w:val="0"/>
        <w:bidi w:val="0"/>
        <w:adjustRightInd w:val="0"/>
        <w:spacing w:line="600" w:lineRule="auto"/>
        <w:ind w:right="-34" w:rightChars="-16" w:firstLine="5760" w:firstLineChars="2400"/>
        <w:jc w:val="both"/>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1C21D167">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32"/>
          <w:highlight w:val="none"/>
        </w:rPr>
      </w:pPr>
      <w:r>
        <w:rPr>
          <w:rFonts w:hint="eastAsia" w:ascii="宋体" w:hAnsi="宋体" w:eastAsia="宋体" w:cs="宋体"/>
          <w:color w:val="auto"/>
          <w:kern w:val="0"/>
          <w:highlight w:val="none"/>
        </w:rPr>
        <w:br w:type="page"/>
      </w:r>
      <w:bookmarkStart w:id="181" w:name="_Toc16552"/>
      <w:bookmarkStart w:id="182" w:name="_Toc22284"/>
      <w:r>
        <w:rPr>
          <w:rFonts w:hint="eastAsia" w:ascii="宋体" w:hAnsi="宋体" w:eastAsia="宋体" w:cs="宋体"/>
          <w:b/>
          <w:color w:val="auto"/>
          <w:kern w:val="0"/>
          <w:sz w:val="32"/>
          <w:highlight w:val="none"/>
        </w:rPr>
        <w:t>四、投标保证金</w:t>
      </w:r>
      <w:bookmarkEnd w:id="181"/>
      <w:bookmarkEnd w:id="182"/>
    </w:p>
    <w:p w14:paraId="53BA0F29">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u w:val="single"/>
        </w:rPr>
      </w:pPr>
    </w:p>
    <w:p w14:paraId="2AB74076">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（招标人名称）：</w:t>
      </w:r>
    </w:p>
    <w:p w14:paraId="76323B36">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sz w:val="24"/>
          <w:szCs w:val="24"/>
          <w:highlight w:val="none"/>
        </w:rPr>
      </w:pPr>
    </w:p>
    <w:p w14:paraId="372FA919">
      <w:pPr>
        <w:pageBreakBefore w:val="0"/>
        <w:wordWrap w:val="0"/>
        <w:autoSpaceDE w:val="0"/>
        <w:autoSpaceDN w:val="0"/>
        <w:bidi w:val="0"/>
        <w:adjustRightIn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5F9062AE">
      <w:pPr>
        <w:bidi w:val="0"/>
        <w:rPr>
          <w:rFonts w:hint="eastAsia"/>
          <w:color w:val="auto"/>
          <w:highlight w:val="none"/>
        </w:rPr>
      </w:pPr>
    </w:p>
    <w:p w14:paraId="2E2EDE53">
      <w:pPr>
        <w:pageBreakBefore w:val="0"/>
        <w:wordWrap w:val="0"/>
        <w:autoSpaceDE w:val="0"/>
        <w:autoSpaceDN w:val="0"/>
        <w:bidi w:val="0"/>
        <w:adjustRightInd w:val="0"/>
        <w:spacing w:line="600" w:lineRule="auto"/>
        <w:ind w:right="-34" w:rightChars="-16" w:firstLine="1920" w:firstLineChars="800"/>
        <w:jc w:val="left"/>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投标人：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（盖单位章）</w:t>
      </w:r>
    </w:p>
    <w:p w14:paraId="0D032412">
      <w:pPr>
        <w:pageBreakBefore w:val="0"/>
        <w:wordWrap w:val="0"/>
        <w:autoSpaceDE w:val="0"/>
        <w:autoSpaceDN w:val="0"/>
        <w:bidi w:val="0"/>
        <w:adjustRightInd w:val="0"/>
        <w:spacing w:line="600" w:lineRule="auto"/>
        <w:ind w:right="-34" w:rightChars="-16" w:firstLine="1920" w:firstLineChars="8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none"/>
        </w:rPr>
        <w:t>法定代表人或其委托代理人：</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（签字）</w:t>
      </w:r>
    </w:p>
    <w:p w14:paraId="75703860">
      <w:pPr>
        <w:pageBreakBefore w:val="0"/>
        <w:wordWrap w:val="0"/>
        <w:autoSpaceDE w:val="0"/>
        <w:autoSpaceDN w:val="0"/>
        <w:bidi w:val="0"/>
        <w:adjustRightInd w:val="0"/>
        <w:spacing w:line="600" w:lineRule="auto"/>
        <w:ind w:right="-34" w:rightChars="-16" w:firstLine="5760" w:firstLineChars="2400"/>
        <w:jc w:val="both"/>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30827108">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18"/>
          <w:highlight w:val="none"/>
        </w:rPr>
      </w:pPr>
      <w:r>
        <w:rPr>
          <w:rFonts w:hint="eastAsia" w:ascii="宋体" w:hAnsi="宋体" w:eastAsia="宋体" w:cs="宋体"/>
          <w:color w:val="auto"/>
          <w:kern w:val="0"/>
          <w:sz w:val="18"/>
          <w:highlight w:val="none"/>
        </w:rPr>
        <mc:AlternateContent>
          <mc:Choice Requires="wps">
            <w:drawing>
              <wp:anchor distT="0" distB="0" distL="114300" distR="114300" simplePos="0" relativeHeight="251661312" behindDoc="0" locked="0" layoutInCell="1" allowOverlap="1">
                <wp:simplePos x="0" y="0"/>
                <wp:positionH relativeFrom="column">
                  <wp:posOffset>-560070</wp:posOffset>
                </wp:positionH>
                <wp:positionV relativeFrom="paragraph">
                  <wp:posOffset>191135</wp:posOffset>
                </wp:positionV>
                <wp:extent cx="6400800" cy="635"/>
                <wp:effectExtent l="0" t="15875" r="0" b="21590"/>
                <wp:wrapNone/>
                <wp:docPr id="6" name="直接连接符 6"/>
                <wp:cNvGraphicFramePr/>
                <a:graphic xmlns:a="http://schemas.openxmlformats.org/drawingml/2006/main">
                  <a:graphicData uri="http://schemas.microsoft.com/office/word/2010/wordprocessingShape">
                    <wps:wsp>
                      <wps:cNvCnPr/>
                      <wps:spPr>
                        <a:xfrm>
                          <a:off x="0" y="0"/>
                          <a:ext cx="6400800" cy="63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44.1pt;margin-top:15.05pt;height:0.05pt;width:504pt;z-index:251661312;mso-width-relative:page;mso-height-relative:page;" filled="f" stroked="t" coordsize="21600,21600" o:gfxdata="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NiFIi1QAAAAkBAAAPAAAAAAAAAAEAIAAAACIAAABkcnMvZG93bnJldi54&#10;bWxQSwECFAAUAAAACACHTuJAOg0/Jv0BAAD2AwAADgAAAAAAAAABACAAAAAkAQAAZHJzL2Uyb0Rv&#10;Yy54bWxQSwUGAAAAAAYABgBZAQAAkwUAAAAA&#10;">
                <v:fill on="f" focussize="0,0"/>
                <v:stroke weight="2.5pt" color="#000000" joinstyle="round" dashstyle="1 1"/>
                <v:imagedata o:title=""/>
                <o:lock v:ext="edit" aspectratio="f"/>
              </v:line>
            </w:pict>
          </mc:Fallback>
        </mc:AlternateContent>
      </w:r>
    </w:p>
    <w:p w14:paraId="2DF22CB9">
      <w:pPr>
        <w:pStyle w:val="4"/>
        <w:pageBreakBefore w:val="0"/>
        <w:wordWrap w:val="0"/>
        <w:overflowPunct w:val="0"/>
        <w:bidi w:val="0"/>
        <w:spacing w:line="400" w:lineRule="exact"/>
        <w:ind w:right="-34" w:rightChars="-16" w:firstLine="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mc:AlternateContent>
          <mc:Choice Requires="wps">
            <w:drawing>
              <wp:anchor distT="0" distB="0" distL="114300" distR="114300" simplePos="0" relativeHeight="251662336" behindDoc="0" locked="0" layoutInCell="1" allowOverlap="1">
                <wp:simplePos x="0" y="0"/>
                <wp:positionH relativeFrom="column">
                  <wp:posOffset>-134620</wp:posOffset>
                </wp:positionH>
                <wp:positionV relativeFrom="paragraph">
                  <wp:posOffset>65405</wp:posOffset>
                </wp:positionV>
                <wp:extent cx="5526405" cy="3169920"/>
                <wp:effectExtent l="9525" t="9525" r="26670" b="20955"/>
                <wp:wrapNone/>
                <wp:docPr id="7" name="矩形 7"/>
                <wp:cNvGraphicFramePr/>
                <a:graphic xmlns:a="http://schemas.openxmlformats.org/drawingml/2006/main">
                  <a:graphicData uri="http://schemas.microsoft.com/office/word/2010/wordprocessingShape">
                    <wps:wsp>
                      <wps:cNvSpPr/>
                      <wps:spPr>
                        <a:xfrm>
                          <a:off x="0" y="0"/>
                          <a:ext cx="5526405"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433061B3">
                            <w:pPr>
                              <w:jc w:val="center"/>
                              <w:rPr>
                                <w:rFonts w:hint="eastAsia"/>
                              </w:rPr>
                            </w:pPr>
                          </w:p>
                          <w:p w14:paraId="75B814E8">
                            <w:pPr>
                              <w:jc w:val="center"/>
                              <w:rPr>
                                <w:rFonts w:hint="eastAsia"/>
                              </w:rPr>
                            </w:pPr>
                          </w:p>
                          <w:p w14:paraId="1E2EA3AA">
                            <w:pPr>
                              <w:jc w:val="center"/>
                              <w:rPr>
                                <w:rFonts w:hint="eastAsia"/>
                              </w:rPr>
                            </w:pPr>
                          </w:p>
                          <w:p w14:paraId="23A33458">
                            <w:pPr>
                              <w:jc w:val="center"/>
                              <w:rPr>
                                <w:rFonts w:hint="eastAsia"/>
                              </w:rPr>
                            </w:pPr>
                          </w:p>
                          <w:p w14:paraId="7D88423A">
                            <w:pPr>
                              <w:jc w:val="center"/>
                              <w:rPr>
                                <w:rFonts w:hint="eastAsia"/>
                              </w:rPr>
                            </w:pPr>
                          </w:p>
                          <w:p w14:paraId="74F17718">
                            <w:pPr>
                              <w:jc w:val="center"/>
                              <w:rPr>
                                <w:rFonts w:hint="eastAsia"/>
                              </w:rPr>
                            </w:pPr>
                          </w:p>
                          <w:p w14:paraId="2A434BEA">
                            <w:pPr>
                              <w:jc w:val="center"/>
                              <w:rPr>
                                <w:rFonts w:hint="eastAsia"/>
                              </w:rPr>
                            </w:pPr>
                          </w:p>
                          <w:p w14:paraId="0F798576">
                            <w:pPr>
                              <w:jc w:val="center"/>
                              <w:rPr>
                                <w:rFonts w:hint="eastAsia"/>
                                <w:b/>
                                <w:sz w:val="48"/>
                              </w:rPr>
                            </w:pPr>
                            <w:r>
                              <w:rPr>
                                <w:rFonts w:hint="eastAsia"/>
                                <w:b/>
                                <w:sz w:val="48"/>
                              </w:rPr>
                              <w:t>交易系统生成的投标保证金缴纳回执单或电子保函回执</w:t>
                            </w:r>
                          </w:p>
                          <w:p w14:paraId="77122ED2">
                            <w:pPr>
                              <w:jc w:val="center"/>
                              <w:rPr>
                                <w:rFonts w:hint="eastAsia"/>
                                <w:b/>
                                <w:sz w:val="48"/>
                              </w:rPr>
                            </w:pPr>
                          </w:p>
                          <w:p w14:paraId="13D5B98D">
                            <w:pPr>
                              <w:jc w:val="center"/>
                              <w:rPr>
                                <w:rFonts w:hint="eastAsia"/>
                                <w:b/>
                                <w:sz w:val="48"/>
                              </w:rPr>
                            </w:pPr>
                          </w:p>
                        </w:txbxContent>
                      </wps:txbx>
                      <wps:bodyPr upright="1"/>
                    </wps:wsp>
                  </a:graphicData>
                </a:graphic>
              </wp:anchor>
            </w:drawing>
          </mc:Choice>
          <mc:Fallback>
            <w:pict>
              <v:rect id="_x0000_s1026" o:spid="_x0000_s1026" o:spt="1" style="position:absolute;left:0pt;margin-left:-10.6pt;margin-top:5.15pt;height:249.6pt;width:435.15pt;z-index:251662336;mso-width-relative:page;mso-height-relative:page;" fillcolor="#FFFFFF" filled="t" stroked="t" coordsize="21600,21600" o:gfxdata="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CKG0DcAAAACgEAAA8AAAAAAAAA&#10;AQAgAAAAIgAAAGRycy9kb3ducmV2LnhtbFBLAQIUABQAAAAIAIdO4kCnq+SyDQIAADsEAAAOAAAA&#10;AAAAAAEAIAAAACsBAABkcnMvZTJvRG9jLnhtbFBLBQYAAAAABgAGAFkBAACqBQAAAAA=&#10;">
                <v:fill on="t" focussize="0,0"/>
                <v:stroke weight="1.5pt" color="#000000" joinstyle="miter" dashstyle="dashDot"/>
                <v:imagedata o:title=""/>
                <o:lock v:ext="edit" aspectratio="f"/>
                <v:textbox>
                  <w:txbxContent>
                    <w:p w14:paraId="433061B3">
                      <w:pPr>
                        <w:jc w:val="center"/>
                        <w:rPr>
                          <w:rFonts w:hint="eastAsia"/>
                        </w:rPr>
                      </w:pPr>
                    </w:p>
                    <w:p w14:paraId="75B814E8">
                      <w:pPr>
                        <w:jc w:val="center"/>
                        <w:rPr>
                          <w:rFonts w:hint="eastAsia"/>
                        </w:rPr>
                      </w:pPr>
                    </w:p>
                    <w:p w14:paraId="1E2EA3AA">
                      <w:pPr>
                        <w:jc w:val="center"/>
                        <w:rPr>
                          <w:rFonts w:hint="eastAsia"/>
                        </w:rPr>
                      </w:pPr>
                    </w:p>
                    <w:p w14:paraId="23A33458">
                      <w:pPr>
                        <w:jc w:val="center"/>
                        <w:rPr>
                          <w:rFonts w:hint="eastAsia"/>
                        </w:rPr>
                      </w:pPr>
                    </w:p>
                    <w:p w14:paraId="7D88423A">
                      <w:pPr>
                        <w:jc w:val="center"/>
                        <w:rPr>
                          <w:rFonts w:hint="eastAsia"/>
                        </w:rPr>
                      </w:pPr>
                    </w:p>
                    <w:p w14:paraId="74F17718">
                      <w:pPr>
                        <w:jc w:val="center"/>
                        <w:rPr>
                          <w:rFonts w:hint="eastAsia"/>
                        </w:rPr>
                      </w:pPr>
                    </w:p>
                    <w:p w14:paraId="2A434BEA">
                      <w:pPr>
                        <w:jc w:val="center"/>
                        <w:rPr>
                          <w:rFonts w:hint="eastAsia"/>
                        </w:rPr>
                      </w:pPr>
                    </w:p>
                    <w:p w14:paraId="0F798576">
                      <w:pPr>
                        <w:jc w:val="center"/>
                        <w:rPr>
                          <w:rFonts w:hint="eastAsia"/>
                          <w:b/>
                          <w:sz w:val="48"/>
                        </w:rPr>
                      </w:pPr>
                      <w:r>
                        <w:rPr>
                          <w:rFonts w:hint="eastAsia"/>
                          <w:b/>
                          <w:sz w:val="48"/>
                        </w:rPr>
                        <w:t>交易系统生成的投标保证金缴纳回执单或电子保函回执</w:t>
                      </w:r>
                    </w:p>
                    <w:p w14:paraId="77122ED2">
                      <w:pPr>
                        <w:jc w:val="center"/>
                        <w:rPr>
                          <w:rFonts w:hint="eastAsia"/>
                          <w:b/>
                          <w:sz w:val="48"/>
                        </w:rPr>
                      </w:pPr>
                    </w:p>
                    <w:p w14:paraId="13D5B98D">
                      <w:pPr>
                        <w:jc w:val="center"/>
                        <w:rPr>
                          <w:rFonts w:hint="eastAsia"/>
                          <w:b/>
                          <w:sz w:val="48"/>
                        </w:rPr>
                      </w:pPr>
                    </w:p>
                  </w:txbxContent>
                </v:textbox>
              </v:rect>
            </w:pict>
          </mc:Fallback>
        </mc:AlternateContent>
      </w:r>
    </w:p>
    <w:p w14:paraId="7F5D5777">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7B63294E">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30985606">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0D4B527E">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75AD1765">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0B100FBC">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1449528B">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6DCDFEB7">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791E440F">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0F79B818">
      <w:pPr>
        <w:pStyle w:val="4"/>
        <w:pageBreakBefore w:val="0"/>
        <w:wordWrap w:val="0"/>
        <w:overflowPunct w:val="0"/>
        <w:bidi w:val="0"/>
        <w:spacing w:line="400" w:lineRule="exact"/>
        <w:ind w:right="-34" w:rightChars="-16" w:firstLine="0"/>
        <w:rPr>
          <w:rFonts w:hint="eastAsia" w:ascii="宋体" w:hAnsi="宋体" w:eastAsia="宋体" w:cs="宋体"/>
          <w:b/>
          <w:color w:val="auto"/>
          <w:sz w:val="21"/>
          <w:highlight w:val="none"/>
        </w:rPr>
      </w:pPr>
    </w:p>
    <w:p w14:paraId="52FFD980">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8"/>
          <w:highlight w:val="none"/>
        </w:rPr>
      </w:pPr>
    </w:p>
    <w:p w14:paraId="7FEA77DB">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28"/>
          <w:highlight w:val="none"/>
          <w:lang w:eastAsia="zh-CN"/>
        </w:rPr>
      </w:pPr>
      <w:r>
        <w:rPr>
          <w:rFonts w:hint="eastAsia" w:ascii="宋体" w:hAnsi="宋体" w:eastAsia="宋体" w:cs="宋体"/>
          <w:b/>
          <w:color w:val="auto"/>
          <w:kern w:val="0"/>
          <w:sz w:val="28"/>
          <w:highlight w:val="none"/>
        </w:rPr>
        <w:br w:type="page"/>
      </w:r>
      <w:bookmarkStart w:id="183" w:name="_Toc13029"/>
      <w:bookmarkStart w:id="184" w:name="_Toc9092"/>
      <w:r>
        <w:rPr>
          <w:rFonts w:hint="eastAsia" w:ascii="宋体" w:hAnsi="宋体" w:cs="宋体"/>
          <w:b/>
          <w:color w:val="auto"/>
          <w:kern w:val="0"/>
          <w:sz w:val="32"/>
          <w:highlight w:val="none"/>
          <w:lang w:eastAsia="zh-CN"/>
        </w:rPr>
        <w:t>五</w:t>
      </w:r>
      <w:r>
        <w:rPr>
          <w:rFonts w:hint="eastAsia" w:ascii="宋体" w:hAnsi="宋体" w:eastAsia="宋体" w:cs="宋体"/>
          <w:b/>
          <w:color w:val="auto"/>
          <w:kern w:val="0"/>
          <w:sz w:val="32"/>
          <w:highlight w:val="none"/>
        </w:rPr>
        <w:t>、</w:t>
      </w:r>
      <w:r>
        <w:rPr>
          <w:rFonts w:hint="eastAsia" w:ascii="宋体" w:hAnsi="宋体" w:cs="宋体"/>
          <w:b/>
          <w:color w:val="auto"/>
          <w:kern w:val="0"/>
          <w:sz w:val="32"/>
          <w:highlight w:val="none"/>
          <w:lang w:eastAsia="zh-CN"/>
        </w:rPr>
        <w:t>监理大纲</w:t>
      </w:r>
      <w:bookmarkEnd w:id="183"/>
      <w:bookmarkEnd w:id="184"/>
    </w:p>
    <w:p w14:paraId="5C72968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8"/>
          <w:highlight w:val="none"/>
        </w:rPr>
      </w:pPr>
    </w:p>
    <w:p w14:paraId="670128C6">
      <w:pPr>
        <w:pageBreakBefore w:val="0"/>
        <w:wordWrap w:val="0"/>
        <w:autoSpaceDE w:val="0"/>
        <w:autoSpaceDN w:val="0"/>
        <w:bidi w:val="0"/>
        <w:adjustRightInd w:val="0"/>
        <w:spacing w:line="360" w:lineRule="auto"/>
        <w:ind w:right="-34" w:rightChars="-16"/>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投标人编制</w:t>
      </w:r>
      <w:r>
        <w:rPr>
          <w:rFonts w:hint="eastAsia" w:ascii="宋体" w:hAnsi="宋体" w:cs="宋体"/>
          <w:b/>
          <w:color w:val="auto"/>
          <w:kern w:val="0"/>
          <w:sz w:val="24"/>
          <w:szCs w:val="24"/>
          <w:highlight w:val="none"/>
          <w:lang w:eastAsia="zh-CN"/>
        </w:rPr>
        <w:t>监理大纲</w:t>
      </w:r>
      <w:r>
        <w:rPr>
          <w:rFonts w:hint="eastAsia" w:ascii="宋体" w:hAnsi="宋体" w:eastAsia="宋体" w:cs="宋体"/>
          <w:b/>
          <w:color w:val="auto"/>
          <w:kern w:val="0"/>
          <w:sz w:val="24"/>
          <w:szCs w:val="24"/>
          <w:highlight w:val="none"/>
        </w:rPr>
        <w:t>的要求：</w:t>
      </w:r>
    </w:p>
    <w:p w14:paraId="5C906A92">
      <w:pPr>
        <w:pageBreakBefore w:val="0"/>
        <w:wordWrap w:val="0"/>
        <w:autoSpaceDE w:val="0"/>
        <w:autoSpaceDN w:val="0"/>
        <w:bidi w:val="0"/>
        <w:adjustRightInd w:val="0"/>
        <w:spacing w:line="360" w:lineRule="auto"/>
        <w:ind w:right="-34" w:rightChars="-16" w:firstLine="616" w:firstLineChars="257"/>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投标人依据招标文件要求结合本项目特征进行监理大纲编制。</w:t>
      </w:r>
    </w:p>
    <w:p w14:paraId="61D3BF00">
      <w:pPr>
        <w:pStyle w:val="23"/>
        <w:pageBreakBefore w:val="0"/>
        <w:wordWrap w:val="0"/>
        <w:bidi w:val="0"/>
        <w:rPr>
          <w:rFonts w:hint="eastAsia" w:ascii="宋体" w:hAnsi="宋体" w:eastAsia="宋体" w:cs="宋体"/>
          <w:color w:val="auto"/>
          <w:highlight w:val="none"/>
        </w:rPr>
      </w:pPr>
    </w:p>
    <w:p w14:paraId="62240DCF">
      <w:pPr>
        <w:pageBreakBefore w:val="0"/>
        <w:wordWrap w:val="0"/>
        <w:bidi w:val="0"/>
        <w:spacing w:line="400" w:lineRule="exact"/>
        <w:ind w:right="-34" w:rightChars="-16" w:firstLine="560" w:firstLineChars="200"/>
        <w:rPr>
          <w:rFonts w:hint="eastAsia" w:ascii="宋体" w:hAnsi="宋体" w:eastAsia="宋体" w:cs="宋体"/>
          <w:color w:val="auto"/>
          <w:kern w:val="0"/>
          <w:sz w:val="28"/>
          <w:highlight w:val="none"/>
        </w:rPr>
      </w:pPr>
    </w:p>
    <w:p w14:paraId="05A28B19">
      <w:pPr>
        <w:pageBreakBefore w:val="0"/>
        <w:wordWrap w:val="0"/>
        <w:bidi w:val="0"/>
        <w:spacing w:line="400" w:lineRule="exact"/>
        <w:ind w:right="-34" w:rightChars="-16" w:firstLine="560" w:firstLineChars="200"/>
        <w:rPr>
          <w:rFonts w:hint="eastAsia" w:ascii="宋体" w:hAnsi="宋体" w:eastAsia="宋体" w:cs="宋体"/>
          <w:color w:val="auto"/>
          <w:kern w:val="0"/>
          <w:sz w:val="28"/>
          <w:highlight w:val="none"/>
        </w:rPr>
      </w:pPr>
    </w:p>
    <w:p w14:paraId="3D1780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auto"/>
          <w:highlight w:val="none"/>
        </w:rPr>
      </w:pPr>
      <w:r>
        <w:rPr>
          <w:rFonts w:hint="eastAsia" w:ascii="宋体" w:hAnsi="宋体" w:eastAsia="宋体" w:cs="宋体"/>
          <w:b/>
          <w:bCs/>
          <w:color w:val="auto"/>
          <w:kern w:val="0"/>
          <w:sz w:val="24"/>
          <w:szCs w:val="24"/>
          <w:highlight w:val="none"/>
        </w:rPr>
        <w:br w:type="page"/>
      </w:r>
      <w:bookmarkStart w:id="185" w:name="_Toc536525013"/>
      <w:bookmarkStart w:id="186" w:name="_Toc227474195"/>
      <w:bookmarkStart w:id="187" w:name="_Toc436741211"/>
      <w:r>
        <w:rPr>
          <w:rFonts w:hint="eastAsia" w:ascii="宋体" w:hAnsi="宋体" w:cs="宋体"/>
          <w:b/>
          <w:color w:val="auto"/>
          <w:highlight w:val="none"/>
        </w:rPr>
        <w:t>附表一、本项目拟派监理人员一览表</w:t>
      </w:r>
      <w:bookmarkEnd w:id="185"/>
      <w:bookmarkEnd w:id="186"/>
      <w:bookmarkEnd w:id="187"/>
    </w:p>
    <w:tbl>
      <w:tblPr>
        <w:tblStyle w:val="25"/>
        <w:tblW w:w="9440"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613"/>
        <w:gridCol w:w="627"/>
        <w:gridCol w:w="997"/>
        <w:gridCol w:w="900"/>
        <w:gridCol w:w="1440"/>
        <w:gridCol w:w="636"/>
        <w:gridCol w:w="1494"/>
        <w:gridCol w:w="1622"/>
      </w:tblGrid>
      <w:tr w14:paraId="1BAB29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89" w:hRule="atLeast"/>
        </w:trPr>
        <w:tc>
          <w:tcPr>
            <w:tcW w:w="1111" w:type="dxa"/>
            <w:vMerge w:val="restart"/>
            <w:noWrap w:val="0"/>
            <w:vAlign w:val="center"/>
          </w:tcPr>
          <w:p w14:paraId="557D4DF1">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613" w:type="dxa"/>
            <w:vMerge w:val="restart"/>
            <w:noWrap w:val="0"/>
            <w:vAlign w:val="center"/>
          </w:tcPr>
          <w:p w14:paraId="4E011A40">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性</w:t>
            </w:r>
          </w:p>
          <w:p w14:paraId="4945EEAF">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别</w:t>
            </w:r>
          </w:p>
        </w:tc>
        <w:tc>
          <w:tcPr>
            <w:tcW w:w="627" w:type="dxa"/>
            <w:vMerge w:val="restart"/>
            <w:noWrap w:val="0"/>
            <w:vAlign w:val="center"/>
          </w:tcPr>
          <w:p w14:paraId="5A941742">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年</w:t>
            </w:r>
          </w:p>
          <w:p w14:paraId="740E1B6B">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龄</w:t>
            </w:r>
          </w:p>
        </w:tc>
        <w:tc>
          <w:tcPr>
            <w:tcW w:w="997" w:type="dxa"/>
            <w:vMerge w:val="restart"/>
            <w:noWrap w:val="0"/>
            <w:vAlign w:val="center"/>
          </w:tcPr>
          <w:p w14:paraId="11B1F43A">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文化</w:t>
            </w:r>
          </w:p>
          <w:p w14:paraId="4E874D7F">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程度</w:t>
            </w:r>
          </w:p>
        </w:tc>
        <w:tc>
          <w:tcPr>
            <w:tcW w:w="900" w:type="dxa"/>
            <w:vMerge w:val="restart"/>
            <w:noWrap w:val="0"/>
            <w:vAlign w:val="center"/>
          </w:tcPr>
          <w:p w14:paraId="03AF2509">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从事</w:t>
            </w:r>
          </w:p>
          <w:p w14:paraId="5072F434">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专业</w:t>
            </w:r>
          </w:p>
        </w:tc>
        <w:tc>
          <w:tcPr>
            <w:tcW w:w="1440" w:type="dxa"/>
            <w:vMerge w:val="restart"/>
            <w:noWrap w:val="0"/>
            <w:vAlign w:val="center"/>
          </w:tcPr>
          <w:p w14:paraId="475D5D7C">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何时从事监理工作</w:t>
            </w:r>
          </w:p>
        </w:tc>
        <w:tc>
          <w:tcPr>
            <w:tcW w:w="636" w:type="dxa"/>
            <w:vMerge w:val="restart"/>
            <w:noWrap w:val="0"/>
            <w:vAlign w:val="center"/>
          </w:tcPr>
          <w:p w14:paraId="609C1BFC">
            <w:pPr>
              <w:snapToGrid w:val="0"/>
              <w:spacing w:before="50" w:after="50" w:line="500" w:lineRule="exact"/>
              <w:ind w:left="-107" w:leftChars="-51" w:firstLine="79" w:firstLineChars="38"/>
              <w:jc w:val="center"/>
              <w:rPr>
                <w:rFonts w:hint="eastAsia" w:ascii="宋体" w:hAnsi="宋体" w:cs="宋体"/>
                <w:color w:val="auto"/>
                <w:szCs w:val="21"/>
                <w:highlight w:val="none"/>
              </w:rPr>
            </w:pPr>
            <w:r>
              <w:rPr>
                <w:rFonts w:hint="eastAsia" w:ascii="宋体" w:hAnsi="宋体" w:cs="宋体"/>
                <w:color w:val="auto"/>
                <w:szCs w:val="21"/>
                <w:highlight w:val="none"/>
              </w:rPr>
              <w:t>职</w:t>
            </w:r>
          </w:p>
          <w:p w14:paraId="5CF24B7C">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称</w:t>
            </w:r>
          </w:p>
        </w:tc>
        <w:tc>
          <w:tcPr>
            <w:tcW w:w="3116" w:type="dxa"/>
            <w:gridSpan w:val="2"/>
            <w:noWrap w:val="0"/>
            <w:vAlign w:val="center"/>
          </w:tcPr>
          <w:p w14:paraId="5CA2B50B">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注册监理工程师（监理员）</w:t>
            </w:r>
          </w:p>
        </w:tc>
      </w:tr>
      <w:tr w14:paraId="4A1B30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0" w:hRule="atLeast"/>
        </w:trPr>
        <w:tc>
          <w:tcPr>
            <w:tcW w:w="1111" w:type="dxa"/>
            <w:vMerge w:val="continue"/>
            <w:noWrap w:val="0"/>
            <w:vAlign w:val="center"/>
          </w:tcPr>
          <w:p w14:paraId="68491A25">
            <w:pPr>
              <w:snapToGrid w:val="0"/>
              <w:spacing w:before="50" w:after="50" w:line="500" w:lineRule="exact"/>
              <w:jc w:val="center"/>
              <w:rPr>
                <w:rFonts w:hint="eastAsia" w:ascii="宋体" w:hAnsi="宋体" w:cs="宋体"/>
                <w:color w:val="auto"/>
                <w:szCs w:val="21"/>
                <w:highlight w:val="none"/>
              </w:rPr>
            </w:pPr>
          </w:p>
        </w:tc>
        <w:tc>
          <w:tcPr>
            <w:tcW w:w="613" w:type="dxa"/>
            <w:vMerge w:val="continue"/>
            <w:noWrap w:val="0"/>
            <w:vAlign w:val="center"/>
          </w:tcPr>
          <w:p w14:paraId="53571C26">
            <w:pPr>
              <w:snapToGrid w:val="0"/>
              <w:spacing w:before="50" w:after="50" w:line="500" w:lineRule="exact"/>
              <w:jc w:val="center"/>
              <w:rPr>
                <w:rFonts w:hint="eastAsia" w:ascii="宋体" w:hAnsi="宋体" w:cs="宋体"/>
                <w:color w:val="auto"/>
                <w:szCs w:val="21"/>
                <w:highlight w:val="none"/>
              </w:rPr>
            </w:pPr>
          </w:p>
        </w:tc>
        <w:tc>
          <w:tcPr>
            <w:tcW w:w="627" w:type="dxa"/>
            <w:vMerge w:val="continue"/>
            <w:noWrap w:val="0"/>
            <w:vAlign w:val="center"/>
          </w:tcPr>
          <w:p w14:paraId="5B0EEAD6">
            <w:pPr>
              <w:snapToGrid w:val="0"/>
              <w:spacing w:before="50" w:after="50" w:line="500" w:lineRule="exact"/>
              <w:jc w:val="center"/>
              <w:rPr>
                <w:rFonts w:hint="eastAsia" w:ascii="宋体" w:hAnsi="宋体" w:cs="宋体"/>
                <w:color w:val="auto"/>
                <w:szCs w:val="21"/>
                <w:highlight w:val="none"/>
              </w:rPr>
            </w:pPr>
          </w:p>
        </w:tc>
        <w:tc>
          <w:tcPr>
            <w:tcW w:w="997" w:type="dxa"/>
            <w:vMerge w:val="continue"/>
            <w:noWrap w:val="0"/>
            <w:vAlign w:val="center"/>
          </w:tcPr>
          <w:p w14:paraId="6D767E9A">
            <w:pPr>
              <w:snapToGrid w:val="0"/>
              <w:spacing w:before="50" w:after="50" w:line="500" w:lineRule="exact"/>
              <w:jc w:val="center"/>
              <w:rPr>
                <w:rFonts w:hint="eastAsia" w:ascii="宋体" w:hAnsi="宋体" w:cs="宋体"/>
                <w:color w:val="auto"/>
                <w:szCs w:val="21"/>
                <w:highlight w:val="none"/>
              </w:rPr>
            </w:pPr>
          </w:p>
        </w:tc>
        <w:tc>
          <w:tcPr>
            <w:tcW w:w="900" w:type="dxa"/>
            <w:vMerge w:val="continue"/>
            <w:noWrap w:val="0"/>
            <w:vAlign w:val="center"/>
          </w:tcPr>
          <w:p w14:paraId="22BCC380">
            <w:pPr>
              <w:snapToGrid w:val="0"/>
              <w:spacing w:before="50" w:after="50" w:line="500" w:lineRule="exact"/>
              <w:jc w:val="center"/>
              <w:rPr>
                <w:rFonts w:hint="eastAsia" w:ascii="宋体" w:hAnsi="宋体" w:cs="宋体"/>
                <w:color w:val="auto"/>
                <w:szCs w:val="21"/>
                <w:highlight w:val="none"/>
              </w:rPr>
            </w:pPr>
          </w:p>
        </w:tc>
        <w:tc>
          <w:tcPr>
            <w:tcW w:w="1440" w:type="dxa"/>
            <w:vMerge w:val="continue"/>
            <w:noWrap w:val="0"/>
            <w:vAlign w:val="center"/>
          </w:tcPr>
          <w:p w14:paraId="26BDB01C">
            <w:pPr>
              <w:snapToGrid w:val="0"/>
              <w:spacing w:before="50" w:after="50" w:line="500" w:lineRule="exact"/>
              <w:jc w:val="center"/>
              <w:rPr>
                <w:rFonts w:hint="eastAsia" w:ascii="宋体" w:hAnsi="宋体" w:cs="宋体"/>
                <w:color w:val="auto"/>
                <w:szCs w:val="21"/>
                <w:highlight w:val="none"/>
              </w:rPr>
            </w:pPr>
          </w:p>
        </w:tc>
        <w:tc>
          <w:tcPr>
            <w:tcW w:w="636" w:type="dxa"/>
            <w:vMerge w:val="continue"/>
            <w:noWrap w:val="0"/>
            <w:vAlign w:val="center"/>
          </w:tcPr>
          <w:p w14:paraId="60C7086B">
            <w:pPr>
              <w:snapToGrid w:val="0"/>
              <w:spacing w:before="50" w:after="50" w:line="500" w:lineRule="exact"/>
              <w:jc w:val="center"/>
              <w:rPr>
                <w:rFonts w:hint="eastAsia" w:ascii="宋体" w:hAnsi="宋体" w:cs="宋体"/>
                <w:color w:val="auto"/>
                <w:szCs w:val="21"/>
                <w:highlight w:val="none"/>
              </w:rPr>
            </w:pPr>
          </w:p>
        </w:tc>
        <w:tc>
          <w:tcPr>
            <w:tcW w:w="1494" w:type="dxa"/>
            <w:noWrap w:val="0"/>
            <w:vAlign w:val="center"/>
          </w:tcPr>
          <w:p w14:paraId="603C6F66">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类别</w:t>
            </w:r>
          </w:p>
        </w:tc>
        <w:tc>
          <w:tcPr>
            <w:tcW w:w="1622" w:type="dxa"/>
            <w:noWrap w:val="0"/>
            <w:vAlign w:val="center"/>
          </w:tcPr>
          <w:p w14:paraId="2C354967">
            <w:pPr>
              <w:snapToGrid w:val="0"/>
              <w:spacing w:before="50" w:after="50"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证号</w:t>
            </w:r>
          </w:p>
        </w:tc>
      </w:tr>
      <w:tr w14:paraId="45C971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7EA19124">
            <w:pPr>
              <w:spacing w:before="50" w:after="50" w:line="500" w:lineRule="exact"/>
              <w:jc w:val="left"/>
              <w:rPr>
                <w:rFonts w:hint="eastAsia" w:ascii="宋体" w:hAnsi="宋体" w:cs="宋体"/>
                <w:color w:val="auto"/>
                <w:szCs w:val="21"/>
                <w:highlight w:val="none"/>
              </w:rPr>
            </w:pPr>
          </w:p>
        </w:tc>
        <w:tc>
          <w:tcPr>
            <w:tcW w:w="613" w:type="dxa"/>
            <w:noWrap w:val="0"/>
            <w:vAlign w:val="top"/>
          </w:tcPr>
          <w:p w14:paraId="44B1A678">
            <w:pPr>
              <w:spacing w:before="50" w:after="50" w:line="500" w:lineRule="exact"/>
              <w:jc w:val="left"/>
              <w:rPr>
                <w:rFonts w:hint="eastAsia" w:ascii="宋体" w:hAnsi="宋体" w:cs="宋体"/>
                <w:color w:val="auto"/>
                <w:szCs w:val="21"/>
                <w:highlight w:val="none"/>
              </w:rPr>
            </w:pPr>
          </w:p>
        </w:tc>
        <w:tc>
          <w:tcPr>
            <w:tcW w:w="627" w:type="dxa"/>
            <w:noWrap w:val="0"/>
            <w:vAlign w:val="top"/>
          </w:tcPr>
          <w:p w14:paraId="7343AE1B">
            <w:pPr>
              <w:spacing w:before="50" w:after="50" w:line="500" w:lineRule="exact"/>
              <w:jc w:val="left"/>
              <w:rPr>
                <w:rFonts w:hint="eastAsia" w:ascii="宋体" w:hAnsi="宋体" w:cs="宋体"/>
                <w:color w:val="auto"/>
                <w:szCs w:val="21"/>
                <w:highlight w:val="none"/>
              </w:rPr>
            </w:pPr>
          </w:p>
        </w:tc>
        <w:tc>
          <w:tcPr>
            <w:tcW w:w="997" w:type="dxa"/>
            <w:noWrap w:val="0"/>
            <w:vAlign w:val="top"/>
          </w:tcPr>
          <w:p w14:paraId="1BA94F93">
            <w:pPr>
              <w:spacing w:before="50" w:after="50" w:line="500" w:lineRule="exact"/>
              <w:jc w:val="left"/>
              <w:rPr>
                <w:rFonts w:hint="eastAsia" w:ascii="宋体" w:hAnsi="宋体" w:cs="宋体"/>
                <w:color w:val="auto"/>
                <w:szCs w:val="21"/>
                <w:highlight w:val="none"/>
              </w:rPr>
            </w:pPr>
          </w:p>
        </w:tc>
        <w:tc>
          <w:tcPr>
            <w:tcW w:w="900" w:type="dxa"/>
            <w:noWrap w:val="0"/>
            <w:vAlign w:val="top"/>
          </w:tcPr>
          <w:p w14:paraId="15AC8D5D">
            <w:pPr>
              <w:spacing w:before="50" w:after="50" w:line="500" w:lineRule="exact"/>
              <w:jc w:val="left"/>
              <w:rPr>
                <w:rFonts w:hint="eastAsia" w:ascii="宋体" w:hAnsi="宋体" w:cs="宋体"/>
                <w:color w:val="auto"/>
                <w:szCs w:val="21"/>
                <w:highlight w:val="none"/>
              </w:rPr>
            </w:pPr>
          </w:p>
        </w:tc>
        <w:tc>
          <w:tcPr>
            <w:tcW w:w="1440" w:type="dxa"/>
            <w:noWrap w:val="0"/>
            <w:vAlign w:val="top"/>
          </w:tcPr>
          <w:p w14:paraId="4F8CB57A">
            <w:pPr>
              <w:spacing w:before="50" w:after="50" w:line="500" w:lineRule="exact"/>
              <w:jc w:val="left"/>
              <w:rPr>
                <w:rFonts w:hint="eastAsia" w:ascii="宋体" w:hAnsi="宋体" w:cs="宋体"/>
                <w:color w:val="auto"/>
                <w:szCs w:val="21"/>
                <w:highlight w:val="none"/>
              </w:rPr>
            </w:pPr>
          </w:p>
        </w:tc>
        <w:tc>
          <w:tcPr>
            <w:tcW w:w="636" w:type="dxa"/>
            <w:noWrap w:val="0"/>
            <w:vAlign w:val="top"/>
          </w:tcPr>
          <w:p w14:paraId="6E3D7546">
            <w:pPr>
              <w:spacing w:before="50" w:after="50" w:line="500" w:lineRule="exact"/>
              <w:jc w:val="left"/>
              <w:rPr>
                <w:rFonts w:hint="eastAsia" w:ascii="宋体" w:hAnsi="宋体" w:cs="宋体"/>
                <w:color w:val="auto"/>
                <w:szCs w:val="21"/>
                <w:highlight w:val="none"/>
              </w:rPr>
            </w:pPr>
          </w:p>
        </w:tc>
        <w:tc>
          <w:tcPr>
            <w:tcW w:w="1494" w:type="dxa"/>
            <w:noWrap w:val="0"/>
            <w:vAlign w:val="top"/>
          </w:tcPr>
          <w:p w14:paraId="722F75E3">
            <w:pPr>
              <w:spacing w:before="50" w:after="50" w:line="500" w:lineRule="exact"/>
              <w:jc w:val="left"/>
              <w:rPr>
                <w:rFonts w:hint="eastAsia" w:ascii="宋体" w:hAnsi="宋体" w:cs="宋体"/>
                <w:color w:val="auto"/>
                <w:szCs w:val="21"/>
                <w:highlight w:val="none"/>
              </w:rPr>
            </w:pPr>
          </w:p>
        </w:tc>
        <w:tc>
          <w:tcPr>
            <w:tcW w:w="1622" w:type="dxa"/>
            <w:noWrap w:val="0"/>
            <w:vAlign w:val="top"/>
          </w:tcPr>
          <w:p w14:paraId="22BF4137">
            <w:pPr>
              <w:spacing w:before="50" w:after="50" w:line="500" w:lineRule="exact"/>
              <w:jc w:val="left"/>
              <w:rPr>
                <w:rFonts w:hint="eastAsia" w:ascii="宋体" w:hAnsi="宋体" w:cs="宋体"/>
                <w:color w:val="auto"/>
                <w:szCs w:val="21"/>
                <w:highlight w:val="none"/>
              </w:rPr>
            </w:pPr>
          </w:p>
        </w:tc>
      </w:tr>
      <w:tr w14:paraId="6FF2BB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282FC0AF">
            <w:pPr>
              <w:spacing w:before="50" w:after="50" w:line="500" w:lineRule="exact"/>
              <w:jc w:val="left"/>
              <w:rPr>
                <w:rFonts w:hint="eastAsia" w:ascii="宋体" w:hAnsi="宋体" w:cs="宋体"/>
                <w:color w:val="auto"/>
                <w:szCs w:val="21"/>
                <w:highlight w:val="none"/>
              </w:rPr>
            </w:pPr>
          </w:p>
        </w:tc>
        <w:tc>
          <w:tcPr>
            <w:tcW w:w="613" w:type="dxa"/>
            <w:noWrap w:val="0"/>
            <w:vAlign w:val="top"/>
          </w:tcPr>
          <w:p w14:paraId="6D09B921">
            <w:pPr>
              <w:spacing w:before="50" w:after="50" w:line="500" w:lineRule="exact"/>
              <w:jc w:val="left"/>
              <w:rPr>
                <w:rFonts w:hint="eastAsia" w:ascii="宋体" w:hAnsi="宋体" w:cs="宋体"/>
                <w:color w:val="auto"/>
                <w:szCs w:val="21"/>
                <w:highlight w:val="none"/>
              </w:rPr>
            </w:pPr>
          </w:p>
        </w:tc>
        <w:tc>
          <w:tcPr>
            <w:tcW w:w="627" w:type="dxa"/>
            <w:noWrap w:val="0"/>
            <w:vAlign w:val="top"/>
          </w:tcPr>
          <w:p w14:paraId="33079ADB">
            <w:pPr>
              <w:spacing w:before="50" w:after="50" w:line="500" w:lineRule="exact"/>
              <w:jc w:val="left"/>
              <w:rPr>
                <w:rFonts w:hint="eastAsia" w:ascii="宋体" w:hAnsi="宋体" w:cs="宋体"/>
                <w:color w:val="auto"/>
                <w:szCs w:val="21"/>
                <w:highlight w:val="none"/>
              </w:rPr>
            </w:pPr>
          </w:p>
        </w:tc>
        <w:tc>
          <w:tcPr>
            <w:tcW w:w="997" w:type="dxa"/>
            <w:noWrap w:val="0"/>
            <w:vAlign w:val="top"/>
          </w:tcPr>
          <w:p w14:paraId="05730A18">
            <w:pPr>
              <w:spacing w:before="50" w:after="50" w:line="500" w:lineRule="exact"/>
              <w:jc w:val="left"/>
              <w:rPr>
                <w:rFonts w:hint="eastAsia" w:ascii="宋体" w:hAnsi="宋体" w:cs="宋体"/>
                <w:color w:val="auto"/>
                <w:szCs w:val="21"/>
                <w:highlight w:val="none"/>
              </w:rPr>
            </w:pPr>
          </w:p>
        </w:tc>
        <w:tc>
          <w:tcPr>
            <w:tcW w:w="900" w:type="dxa"/>
            <w:noWrap w:val="0"/>
            <w:vAlign w:val="top"/>
          </w:tcPr>
          <w:p w14:paraId="55190972">
            <w:pPr>
              <w:spacing w:before="50" w:after="50" w:line="500" w:lineRule="exact"/>
              <w:jc w:val="left"/>
              <w:rPr>
                <w:rFonts w:hint="eastAsia" w:ascii="宋体" w:hAnsi="宋体" w:cs="宋体"/>
                <w:color w:val="auto"/>
                <w:szCs w:val="21"/>
                <w:highlight w:val="none"/>
              </w:rPr>
            </w:pPr>
          </w:p>
        </w:tc>
        <w:tc>
          <w:tcPr>
            <w:tcW w:w="1440" w:type="dxa"/>
            <w:noWrap w:val="0"/>
            <w:vAlign w:val="top"/>
          </w:tcPr>
          <w:p w14:paraId="5A19791C">
            <w:pPr>
              <w:spacing w:before="50" w:after="50" w:line="500" w:lineRule="exact"/>
              <w:jc w:val="left"/>
              <w:rPr>
                <w:rFonts w:hint="eastAsia" w:ascii="宋体" w:hAnsi="宋体" w:cs="宋体"/>
                <w:color w:val="auto"/>
                <w:szCs w:val="21"/>
                <w:highlight w:val="none"/>
              </w:rPr>
            </w:pPr>
          </w:p>
        </w:tc>
        <w:tc>
          <w:tcPr>
            <w:tcW w:w="636" w:type="dxa"/>
            <w:noWrap w:val="0"/>
            <w:vAlign w:val="top"/>
          </w:tcPr>
          <w:p w14:paraId="26B78921">
            <w:pPr>
              <w:spacing w:before="50" w:after="50" w:line="500" w:lineRule="exact"/>
              <w:jc w:val="left"/>
              <w:rPr>
                <w:rFonts w:hint="eastAsia" w:ascii="宋体" w:hAnsi="宋体" w:cs="宋体"/>
                <w:color w:val="auto"/>
                <w:szCs w:val="21"/>
                <w:highlight w:val="none"/>
              </w:rPr>
            </w:pPr>
          </w:p>
        </w:tc>
        <w:tc>
          <w:tcPr>
            <w:tcW w:w="1494" w:type="dxa"/>
            <w:noWrap w:val="0"/>
            <w:vAlign w:val="top"/>
          </w:tcPr>
          <w:p w14:paraId="78FDA085">
            <w:pPr>
              <w:spacing w:before="50" w:after="50" w:line="500" w:lineRule="exact"/>
              <w:jc w:val="left"/>
              <w:rPr>
                <w:rFonts w:hint="eastAsia" w:ascii="宋体" w:hAnsi="宋体" w:cs="宋体"/>
                <w:color w:val="auto"/>
                <w:szCs w:val="21"/>
                <w:highlight w:val="none"/>
              </w:rPr>
            </w:pPr>
          </w:p>
        </w:tc>
        <w:tc>
          <w:tcPr>
            <w:tcW w:w="1622" w:type="dxa"/>
            <w:noWrap w:val="0"/>
            <w:vAlign w:val="top"/>
          </w:tcPr>
          <w:p w14:paraId="5382191B">
            <w:pPr>
              <w:spacing w:before="50" w:after="50" w:line="500" w:lineRule="exact"/>
              <w:jc w:val="left"/>
              <w:rPr>
                <w:rFonts w:hint="eastAsia" w:ascii="宋体" w:hAnsi="宋体" w:cs="宋体"/>
                <w:color w:val="auto"/>
                <w:szCs w:val="21"/>
                <w:highlight w:val="none"/>
              </w:rPr>
            </w:pPr>
          </w:p>
        </w:tc>
      </w:tr>
      <w:tr w14:paraId="5EDA07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51F1FB5C">
            <w:pPr>
              <w:spacing w:before="50" w:after="50" w:line="500" w:lineRule="exact"/>
              <w:jc w:val="left"/>
              <w:rPr>
                <w:rFonts w:hint="eastAsia" w:ascii="宋体" w:hAnsi="宋体" w:cs="宋体"/>
                <w:color w:val="auto"/>
                <w:szCs w:val="21"/>
                <w:highlight w:val="none"/>
              </w:rPr>
            </w:pPr>
          </w:p>
        </w:tc>
        <w:tc>
          <w:tcPr>
            <w:tcW w:w="613" w:type="dxa"/>
            <w:noWrap w:val="0"/>
            <w:vAlign w:val="top"/>
          </w:tcPr>
          <w:p w14:paraId="243966DF">
            <w:pPr>
              <w:spacing w:before="50" w:after="50" w:line="500" w:lineRule="exact"/>
              <w:jc w:val="left"/>
              <w:rPr>
                <w:rFonts w:hint="eastAsia" w:ascii="宋体" w:hAnsi="宋体" w:cs="宋体"/>
                <w:color w:val="auto"/>
                <w:szCs w:val="21"/>
                <w:highlight w:val="none"/>
              </w:rPr>
            </w:pPr>
          </w:p>
        </w:tc>
        <w:tc>
          <w:tcPr>
            <w:tcW w:w="627" w:type="dxa"/>
            <w:noWrap w:val="0"/>
            <w:vAlign w:val="top"/>
          </w:tcPr>
          <w:p w14:paraId="033D1DF0">
            <w:pPr>
              <w:spacing w:before="50" w:after="50" w:line="500" w:lineRule="exact"/>
              <w:jc w:val="left"/>
              <w:rPr>
                <w:rFonts w:hint="eastAsia" w:ascii="宋体" w:hAnsi="宋体" w:cs="宋体"/>
                <w:color w:val="auto"/>
                <w:szCs w:val="21"/>
                <w:highlight w:val="none"/>
              </w:rPr>
            </w:pPr>
          </w:p>
        </w:tc>
        <w:tc>
          <w:tcPr>
            <w:tcW w:w="997" w:type="dxa"/>
            <w:noWrap w:val="0"/>
            <w:vAlign w:val="top"/>
          </w:tcPr>
          <w:p w14:paraId="13825FEC">
            <w:pPr>
              <w:spacing w:before="50" w:after="50" w:line="500" w:lineRule="exact"/>
              <w:jc w:val="left"/>
              <w:rPr>
                <w:rFonts w:hint="eastAsia" w:ascii="宋体" w:hAnsi="宋体" w:cs="宋体"/>
                <w:color w:val="auto"/>
                <w:szCs w:val="21"/>
                <w:highlight w:val="none"/>
              </w:rPr>
            </w:pPr>
          </w:p>
        </w:tc>
        <w:tc>
          <w:tcPr>
            <w:tcW w:w="900" w:type="dxa"/>
            <w:noWrap w:val="0"/>
            <w:vAlign w:val="top"/>
          </w:tcPr>
          <w:p w14:paraId="7C3E7645">
            <w:pPr>
              <w:spacing w:before="50" w:after="50" w:line="500" w:lineRule="exact"/>
              <w:jc w:val="left"/>
              <w:rPr>
                <w:rFonts w:hint="eastAsia" w:ascii="宋体" w:hAnsi="宋体" w:cs="宋体"/>
                <w:color w:val="auto"/>
                <w:szCs w:val="21"/>
                <w:highlight w:val="none"/>
              </w:rPr>
            </w:pPr>
          </w:p>
        </w:tc>
        <w:tc>
          <w:tcPr>
            <w:tcW w:w="1440" w:type="dxa"/>
            <w:noWrap w:val="0"/>
            <w:vAlign w:val="top"/>
          </w:tcPr>
          <w:p w14:paraId="2444AC28">
            <w:pPr>
              <w:spacing w:before="50" w:after="50" w:line="500" w:lineRule="exact"/>
              <w:jc w:val="left"/>
              <w:rPr>
                <w:rFonts w:hint="eastAsia" w:ascii="宋体" w:hAnsi="宋体" w:cs="宋体"/>
                <w:color w:val="auto"/>
                <w:szCs w:val="21"/>
                <w:highlight w:val="none"/>
              </w:rPr>
            </w:pPr>
          </w:p>
        </w:tc>
        <w:tc>
          <w:tcPr>
            <w:tcW w:w="636" w:type="dxa"/>
            <w:noWrap w:val="0"/>
            <w:vAlign w:val="top"/>
          </w:tcPr>
          <w:p w14:paraId="6FCC61DE">
            <w:pPr>
              <w:spacing w:before="50" w:after="50" w:line="500" w:lineRule="exact"/>
              <w:jc w:val="left"/>
              <w:rPr>
                <w:rFonts w:hint="eastAsia" w:ascii="宋体" w:hAnsi="宋体" w:cs="宋体"/>
                <w:color w:val="auto"/>
                <w:szCs w:val="21"/>
                <w:highlight w:val="none"/>
              </w:rPr>
            </w:pPr>
          </w:p>
        </w:tc>
        <w:tc>
          <w:tcPr>
            <w:tcW w:w="1494" w:type="dxa"/>
            <w:noWrap w:val="0"/>
            <w:vAlign w:val="top"/>
          </w:tcPr>
          <w:p w14:paraId="57E064A0">
            <w:pPr>
              <w:spacing w:before="50" w:after="50" w:line="500" w:lineRule="exact"/>
              <w:jc w:val="left"/>
              <w:rPr>
                <w:rFonts w:hint="eastAsia" w:ascii="宋体" w:hAnsi="宋体" w:cs="宋体"/>
                <w:color w:val="auto"/>
                <w:szCs w:val="21"/>
                <w:highlight w:val="none"/>
              </w:rPr>
            </w:pPr>
          </w:p>
        </w:tc>
        <w:tc>
          <w:tcPr>
            <w:tcW w:w="1622" w:type="dxa"/>
            <w:noWrap w:val="0"/>
            <w:vAlign w:val="top"/>
          </w:tcPr>
          <w:p w14:paraId="3DA7D2B3">
            <w:pPr>
              <w:spacing w:before="50" w:after="50" w:line="500" w:lineRule="exact"/>
              <w:jc w:val="left"/>
              <w:rPr>
                <w:rFonts w:hint="eastAsia" w:ascii="宋体" w:hAnsi="宋体" w:cs="宋体"/>
                <w:color w:val="auto"/>
                <w:szCs w:val="21"/>
                <w:highlight w:val="none"/>
              </w:rPr>
            </w:pPr>
          </w:p>
        </w:tc>
      </w:tr>
      <w:tr w14:paraId="2FE410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1" w:type="dxa"/>
            <w:noWrap w:val="0"/>
            <w:vAlign w:val="top"/>
          </w:tcPr>
          <w:p w14:paraId="3820E014">
            <w:pPr>
              <w:spacing w:before="50" w:after="50" w:line="500" w:lineRule="exact"/>
              <w:jc w:val="left"/>
              <w:rPr>
                <w:rFonts w:hint="eastAsia" w:ascii="宋体" w:hAnsi="宋体" w:cs="宋体"/>
                <w:color w:val="auto"/>
                <w:szCs w:val="21"/>
                <w:highlight w:val="none"/>
              </w:rPr>
            </w:pPr>
          </w:p>
        </w:tc>
        <w:tc>
          <w:tcPr>
            <w:tcW w:w="613" w:type="dxa"/>
            <w:noWrap w:val="0"/>
            <w:vAlign w:val="top"/>
          </w:tcPr>
          <w:p w14:paraId="68339587">
            <w:pPr>
              <w:spacing w:before="50" w:after="50" w:line="500" w:lineRule="exact"/>
              <w:jc w:val="left"/>
              <w:rPr>
                <w:rFonts w:hint="eastAsia" w:ascii="宋体" w:hAnsi="宋体" w:cs="宋体"/>
                <w:color w:val="auto"/>
                <w:szCs w:val="21"/>
                <w:highlight w:val="none"/>
              </w:rPr>
            </w:pPr>
          </w:p>
        </w:tc>
        <w:tc>
          <w:tcPr>
            <w:tcW w:w="627" w:type="dxa"/>
            <w:noWrap w:val="0"/>
            <w:vAlign w:val="top"/>
          </w:tcPr>
          <w:p w14:paraId="346455F4">
            <w:pPr>
              <w:spacing w:before="50" w:after="50" w:line="500" w:lineRule="exact"/>
              <w:jc w:val="left"/>
              <w:rPr>
                <w:rFonts w:hint="eastAsia" w:ascii="宋体" w:hAnsi="宋体" w:cs="宋体"/>
                <w:color w:val="auto"/>
                <w:szCs w:val="21"/>
                <w:highlight w:val="none"/>
              </w:rPr>
            </w:pPr>
          </w:p>
        </w:tc>
        <w:tc>
          <w:tcPr>
            <w:tcW w:w="997" w:type="dxa"/>
            <w:noWrap w:val="0"/>
            <w:vAlign w:val="top"/>
          </w:tcPr>
          <w:p w14:paraId="43B1F8B7">
            <w:pPr>
              <w:spacing w:before="50" w:after="50" w:line="500" w:lineRule="exact"/>
              <w:jc w:val="left"/>
              <w:rPr>
                <w:rFonts w:hint="eastAsia" w:ascii="宋体" w:hAnsi="宋体" w:cs="宋体"/>
                <w:color w:val="auto"/>
                <w:szCs w:val="21"/>
                <w:highlight w:val="none"/>
              </w:rPr>
            </w:pPr>
          </w:p>
        </w:tc>
        <w:tc>
          <w:tcPr>
            <w:tcW w:w="900" w:type="dxa"/>
            <w:noWrap w:val="0"/>
            <w:vAlign w:val="top"/>
          </w:tcPr>
          <w:p w14:paraId="4A3CA5D2">
            <w:pPr>
              <w:spacing w:before="50" w:after="50" w:line="500" w:lineRule="exact"/>
              <w:jc w:val="left"/>
              <w:rPr>
                <w:rFonts w:hint="eastAsia" w:ascii="宋体" w:hAnsi="宋体" w:cs="宋体"/>
                <w:color w:val="auto"/>
                <w:szCs w:val="21"/>
                <w:highlight w:val="none"/>
              </w:rPr>
            </w:pPr>
          </w:p>
        </w:tc>
        <w:tc>
          <w:tcPr>
            <w:tcW w:w="1440" w:type="dxa"/>
            <w:noWrap w:val="0"/>
            <w:vAlign w:val="top"/>
          </w:tcPr>
          <w:p w14:paraId="4D4F9032">
            <w:pPr>
              <w:spacing w:before="50" w:after="50" w:line="500" w:lineRule="exact"/>
              <w:jc w:val="left"/>
              <w:rPr>
                <w:rFonts w:hint="eastAsia" w:ascii="宋体" w:hAnsi="宋体" w:cs="宋体"/>
                <w:color w:val="auto"/>
                <w:szCs w:val="21"/>
                <w:highlight w:val="none"/>
              </w:rPr>
            </w:pPr>
          </w:p>
        </w:tc>
        <w:tc>
          <w:tcPr>
            <w:tcW w:w="636" w:type="dxa"/>
            <w:noWrap w:val="0"/>
            <w:vAlign w:val="top"/>
          </w:tcPr>
          <w:p w14:paraId="6F4D94EB">
            <w:pPr>
              <w:spacing w:before="50" w:after="50" w:line="500" w:lineRule="exact"/>
              <w:jc w:val="left"/>
              <w:rPr>
                <w:rFonts w:hint="eastAsia" w:ascii="宋体" w:hAnsi="宋体" w:cs="宋体"/>
                <w:color w:val="auto"/>
                <w:szCs w:val="21"/>
                <w:highlight w:val="none"/>
              </w:rPr>
            </w:pPr>
          </w:p>
        </w:tc>
        <w:tc>
          <w:tcPr>
            <w:tcW w:w="1494" w:type="dxa"/>
            <w:noWrap w:val="0"/>
            <w:vAlign w:val="top"/>
          </w:tcPr>
          <w:p w14:paraId="3EDF1607">
            <w:pPr>
              <w:spacing w:before="50" w:after="50" w:line="500" w:lineRule="exact"/>
              <w:jc w:val="left"/>
              <w:rPr>
                <w:rFonts w:hint="eastAsia" w:ascii="宋体" w:hAnsi="宋体" w:cs="宋体"/>
                <w:color w:val="auto"/>
                <w:szCs w:val="21"/>
                <w:highlight w:val="none"/>
              </w:rPr>
            </w:pPr>
          </w:p>
        </w:tc>
        <w:tc>
          <w:tcPr>
            <w:tcW w:w="1622" w:type="dxa"/>
            <w:noWrap w:val="0"/>
            <w:vAlign w:val="top"/>
          </w:tcPr>
          <w:p w14:paraId="445DA2BF">
            <w:pPr>
              <w:spacing w:before="50" w:after="50" w:line="500" w:lineRule="exact"/>
              <w:jc w:val="left"/>
              <w:rPr>
                <w:rFonts w:hint="eastAsia" w:ascii="宋体" w:hAnsi="宋体" w:cs="宋体"/>
                <w:color w:val="auto"/>
                <w:szCs w:val="21"/>
                <w:highlight w:val="none"/>
              </w:rPr>
            </w:pPr>
          </w:p>
        </w:tc>
      </w:tr>
      <w:tr w14:paraId="0B0DC9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11" w:type="dxa"/>
            <w:noWrap w:val="0"/>
            <w:vAlign w:val="top"/>
          </w:tcPr>
          <w:p w14:paraId="390B45A3">
            <w:pPr>
              <w:spacing w:before="50" w:after="50" w:line="500" w:lineRule="exact"/>
              <w:jc w:val="left"/>
              <w:rPr>
                <w:rFonts w:hint="eastAsia" w:ascii="宋体" w:hAnsi="宋体" w:cs="宋体"/>
                <w:color w:val="auto"/>
                <w:szCs w:val="21"/>
                <w:highlight w:val="none"/>
              </w:rPr>
            </w:pPr>
          </w:p>
        </w:tc>
        <w:tc>
          <w:tcPr>
            <w:tcW w:w="613" w:type="dxa"/>
            <w:noWrap w:val="0"/>
            <w:vAlign w:val="top"/>
          </w:tcPr>
          <w:p w14:paraId="5403877A">
            <w:pPr>
              <w:spacing w:before="50" w:after="50" w:line="500" w:lineRule="exact"/>
              <w:jc w:val="left"/>
              <w:rPr>
                <w:rFonts w:hint="eastAsia" w:ascii="宋体" w:hAnsi="宋体" w:cs="宋体"/>
                <w:color w:val="auto"/>
                <w:szCs w:val="21"/>
                <w:highlight w:val="none"/>
              </w:rPr>
            </w:pPr>
          </w:p>
        </w:tc>
        <w:tc>
          <w:tcPr>
            <w:tcW w:w="627" w:type="dxa"/>
            <w:noWrap w:val="0"/>
            <w:vAlign w:val="top"/>
          </w:tcPr>
          <w:p w14:paraId="5B0CB76A">
            <w:pPr>
              <w:spacing w:before="50" w:after="50" w:line="500" w:lineRule="exact"/>
              <w:jc w:val="left"/>
              <w:rPr>
                <w:rFonts w:hint="eastAsia" w:ascii="宋体" w:hAnsi="宋体" w:cs="宋体"/>
                <w:color w:val="auto"/>
                <w:szCs w:val="21"/>
                <w:highlight w:val="none"/>
              </w:rPr>
            </w:pPr>
          </w:p>
        </w:tc>
        <w:tc>
          <w:tcPr>
            <w:tcW w:w="997" w:type="dxa"/>
            <w:noWrap w:val="0"/>
            <w:vAlign w:val="top"/>
          </w:tcPr>
          <w:p w14:paraId="0443C89D">
            <w:pPr>
              <w:spacing w:before="50" w:after="50" w:line="500" w:lineRule="exact"/>
              <w:jc w:val="left"/>
              <w:rPr>
                <w:rFonts w:hint="eastAsia" w:ascii="宋体" w:hAnsi="宋体" w:cs="宋体"/>
                <w:color w:val="auto"/>
                <w:szCs w:val="21"/>
                <w:highlight w:val="none"/>
              </w:rPr>
            </w:pPr>
          </w:p>
        </w:tc>
        <w:tc>
          <w:tcPr>
            <w:tcW w:w="900" w:type="dxa"/>
            <w:noWrap w:val="0"/>
            <w:vAlign w:val="top"/>
          </w:tcPr>
          <w:p w14:paraId="490013FE">
            <w:pPr>
              <w:spacing w:before="50" w:after="50" w:line="500" w:lineRule="exact"/>
              <w:jc w:val="left"/>
              <w:rPr>
                <w:rFonts w:hint="eastAsia" w:ascii="宋体" w:hAnsi="宋体" w:cs="宋体"/>
                <w:color w:val="auto"/>
                <w:szCs w:val="21"/>
                <w:highlight w:val="none"/>
              </w:rPr>
            </w:pPr>
          </w:p>
        </w:tc>
        <w:tc>
          <w:tcPr>
            <w:tcW w:w="1440" w:type="dxa"/>
            <w:noWrap w:val="0"/>
            <w:vAlign w:val="top"/>
          </w:tcPr>
          <w:p w14:paraId="415D20FA">
            <w:pPr>
              <w:spacing w:before="50" w:after="50" w:line="500" w:lineRule="exact"/>
              <w:jc w:val="left"/>
              <w:rPr>
                <w:rFonts w:hint="eastAsia" w:ascii="宋体" w:hAnsi="宋体" w:cs="宋体"/>
                <w:color w:val="auto"/>
                <w:szCs w:val="21"/>
                <w:highlight w:val="none"/>
              </w:rPr>
            </w:pPr>
          </w:p>
        </w:tc>
        <w:tc>
          <w:tcPr>
            <w:tcW w:w="636" w:type="dxa"/>
            <w:noWrap w:val="0"/>
            <w:vAlign w:val="top"/>
          </w:tcPr>
          <w:p w14:paraId="243F2C19">
            <w:pPr>
              <w:spacing w:before="50" w:after="50" w:line="500" w:lineRule="exact"/>
              <w:jc w:val="left"/>
              <w:rPr>
                <w:rFonts w:hint="eastAsia" w:ascii="宋体" w:hAnsi="宋体" w:cs="宋体"/>
                <w:color w:val="auto"/>
                <w:szCs w:val="21"/>
                <w:highlight w:val="none"/>
              </w:rPr>
            </w:pPr>
          </w:p>
        </w:tc>
        <w:tc>
          <w:tcPr>
            <w:tcW w:w="1494" w:type="dxa"/>
            <w:noWrap w:val="0"/>
            <w:vAlign w:val="top"/>
          </w:tcPr>
          <w:p w14:paraId="36D2CC40">
            <w:pPr>
              <w:spacing w:before="50" w:after="50" w:line="500" w:lineRule="exact"/>
              <w:jc w:val="left"/>
              <w:rPr>
                <w:rFonts w:hint="eastAsia" w:ascii="宋体" w:hAnsi="宋体" w:cs="宋体"/>
                <w:color w:val="auto"/>
                <w:szCs w:val="21"/>
                <w:highlight w:val="none"/>
              </w:rPr>
            </w:pPr>
          </w:p>
        </w:tc>
        <w:tc>
          <w:tcPr>
            <w:tcW w:w="1622" w:type="dxa"/>
            <w:noWrap w:val="0"/>
            <w:vAlign w:val="top"/>
          </w:tcPr>
          <w:p w14:paraId="0CD6F9E0">
            <w:pPr>
              <w:spacing w:before="50" w:after="50" w:line="500" w:lineRule="exact"/>
              <w:jc w:val="left"/>
              <w:rPr>
                <w:rFonts w:hint="eastAsia" w:ascii="宋体" w:hAnsi="宋体" w:cs="宋体"/>
                <w:color w:val="auto"/>
                <w:szCs w:val="21"/>
                <w:highlight w:val="none"/>
              </w:rPr>
            </w:pPr>
          </w:p>
        </w:tc>
      </w:tr>
    </w:tbl>
    <w:p w14:paraId="1DA56A13">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70"/>
        <w:textAlignment w:val="auto"/>
        <w:rPr>
          <w:rFonts w:hint="eastAsia" w:ascii="宋体" w:hAnsi="宋体" w:cs="宋体"/>
          <w:color w:val="auto"/>
          <w:szCs w:val="21"/>
          <w:highlight w:val="none"/>
        </w:rPr>
      </w:pPr>
      <w:r>
        <w:rPr>
          <w:rFonts w:hint="eastAsia" w:ascii="宋体" w:hAnsi="宋体" w:cs="宋体"/>
          <w:color w:val="auto"/>
          <w:szCs w:val="21"/>
          <w:highlight w:val="none"/>
        </w:rPr>
        <w:t>投标人（盖章）：</w:t>
      </w:r>
    </w:p>
    <w:p w14:paraId="31034B7C">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70"/>
        <w:textAlignment w:val="auto"/>
        <w:rPr>
          <w:rFonts w:hint="eastAsia" w:ascii="宋体" w:hAnsi="宋体" w:cs="宋体"/>
          <w:color w:val="auto"/>
          <w:szCs w:val="21"/>
          <w:highlight w:val="none"/>
        </w:rPr>
      </w:pPr>
      <w:r>
        <w:rPr>
          <w:rFonts w:hint="eastAsia" w:ascii="宋体" w:hAnsi="宋体" w:cs="宋体"/>
          <w:color w:val="auto"/>
          <w:szCs w:val="21"/>
          <w:highlight w:val="none"/>
        </w:rPr>
        <w:t>投标单位法定代表人或其授权委托代理人签字:</w:t>
      </w:r>
    </w:p>
    <w:p w14:paraId="11078F67">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25" w:firstLineChars="250"/>
        <w:textAlignment w:val="auto"/>
        <w:rPr>
          <w:rFonts w:hint="eastAsia" w:ascii="宋体" w:hAnsi="宋体" w:cs="宋体"/>
          <w:color w:val="auto"/>
          <w:szCs w:val="21"/>
          <w:highlight w:val="none"/>
        </w:rPr>
      </w:pPr>
      <w:r>
        <w:rPr>
          <w:rFonts w:hint="eastAsia" w:ascii="宋体" w:hAnsi="宋体" w:cs="宋体"/>
          <w:color w:val="auto"/>
          <w:szCs w:val="21"/>
          <w:highlight w:val="none"/>
        </w:rPr>
        <w:t>日   期：     年   月   日</w:t>
      </w:r>
    </w:p>
    <w:p w14:paraId="0F1FA4BE">
      <w:pPr>
        <w:jc w:val="both"/>
        <w:rPr>
          <w:rFonts w:hint="eastAsia" w:ascii="宋体" w:hAnsi="宋体" w:cs="宋体"/>
          <w:b/>
          <w:color w:val="auto"/>
          <w:highlight w:val="none"/>
        </w:rPr>
      </w:pPr>
      <w:bookmarkStart w:id="188" w:name="_Toc536525014"/>
      <w:bookmarkStart w:id="189" w:name="_Toc227474198"/>
      <w:bookmarkStart w:id="190" w:name="_Toc436741214"/>
    </w:p>
    <w:p w14:paraId="1AFBBB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附表二、拟用于本项目中的主要仪器设备一览表</w:t>
      </w:r>
      <w:bookmarkEnd w:id="188"/>
      <w:bookmarkEnd w:id="189"/>
      <w:bookmarkEnd w:id="190"/>
    </w:p>
    <w:tbl>
      <w:tblPr>
        <w:tblStyle w:val="25"/>
        <w:tblW w:w="9299"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1999"/>
        <w:gridCol w:w="1598"/>
        <w:gridCol w:w="1865"/>
        <w:gridCol w:w="1719"/>
      </w:tblGrid>
      <w:tr w14:paraId="773702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2118" w:type="dxa"/>
            <w:noWrap w:val="0"/>
            <w:vAlign w:val="center"/>
          </w:tcPr>
          <w:p w14:paraId="30CF5E6B">
            <w:pPr>
              <w:snapToGrid w:val="0"/>
              <w:spacing w:before="50" w:after="50"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设备名称</w:t>
            </w:r>
          </w:p>
        </w:tc>
        <w:tc>
          <w:tcPr>
            <w:tcW w:w="1999" w:type="dxa"/>
            <w:noWrap w:val="0"/>
            <w:vAlign w:val="center"/>
          </w:tcPr>
          <w:p w14:paraId="5105F842">
            <w:pPr>
              <w:snapToGrid w:val="0"/>
              <w:spacing w:before="50" w:after="50" w:line="500" w:lineRule="exact"/>
              <w:ind w:right="-113" w:rightChars="-54"/>
              <w:jc w:val="center"/>
              <w:rPr>
                <w:rFonts w:hint="eastAsia" w:ascii="宋体" w:hAnsi="宋体" w:cs="宋体"/>
                <w:color w:val="auto"/>
                <w:sz w:val="24"/>
                <w:highlight w:val="none"/>
              </w:rPr>
            </w:pPr>
            <w:r>
              <w:rPr>
                <w:rFonts w:hint="eastAsia" w:ascii="宋体" w:hAnsi="宋体" w:cs="宋体"/>
                <w:color w:val="auto"/>
                <w:sz w:val="24"/>
                <w:highlight w:val="none"/>
              </w:rPr>
              <w:t>规格型号</w:t>
            </w:r>
          </w:p>
        </w:tc>
        <w:tc>
          <w:tcPr>
            <w:tcW w:w="1598" w:type="dxa"/>
            <w:noWrap w:val="0"/>
            <w:vAlign w:val="center"/>
          </w:tcPr>
          <w:p w14:paraId="2E710653">
            <w:pPr>
              <w:snapToGrid w:val="0"/>
              <w:spacing w:before="50" w:after="50"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单位</w:t>
            </w:r>
          </w:p>
        </w:tc>
        <w:tc>
          <w:tcPr>
            <w:tcW w:w="1865" w:type="dxa"/>
            <w:noWrap w:val="0"/>
            <w:vAlign w:val="center"/>
          </w:tcPr>
          <w:p w14:paraId="4A99DD15">
            <w:pPr>
              <w:snapToGrid w:val="0"/>
              <w:spacing w:before="50" w:after="50"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数量</w:t>
            </w:r>
          </w:p>
        </w:tc>
        <w:tc>
          <w:tcPr>
            <w:tcW w:w="1719" w:type="dxa"/>
            <w:noWrap w:val="0"/>
            <w:vAlign w:val="center"/>
          </w:tcPr>
          <w:p w14:paraId="6DBEB044">
            <w:pPr>
              <w:snapToGrid w:val="0"/>
              <w:spacing w:before="50" w:after="50" w:line="500" w:lineRule="exact"/>
              <w:ind w:left="211" w:hanging="211" w:hangingChars="88"/>
              <w:jc w:val="center"/>
              <w:rPr>
                <w:rFonts w:hint="eastAsia" w:ascii="宋体" w:hAnsi="宋体" w:cs="宋体"/>
                <w:color w:val="auto"/>
                <w:sz w:val="24"/>
                <w:highlight w:val="none"/>
              </w:rPr>
            </w:pPr>
            <w:r>
              <w:rPr>
                <w:rFonts w:hint="eastAsia" w:ascii="宋体" w:hAnsi="宋体" w:cs="宋体"/>
                <w:color w:val="auto"/>
                <w:sz w:val="24"/>
                <w:highlight w:val="none"/>
              </w:rPr>
              <w:t>自有/租赁</w:t>
            </w:r>
          </w:p>
        </w:tc>
      </w:tr>
      <w:tr w14:paraId="41A1A9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62358C44">
            <w:pPr>
              <w:spacing w:before="50" w:after="50" w:line="500" w:lineRule="exact"/>
              <w:jc w:val="left"/>
              <w:rPr>
                <w:rFonts w:hint="eastAsia" w:ascii="宋体" w:hAnsi="宋体" w:cs="宋体"/>
                <w:color w:val="auto"/>
                <w:sz w:val="24"/>
                <w:highlight w:val="none"/>
              </w:rPr>
            </w:pPr>
          </w:p>
        </w:tc>
        <w:tc>
          <w:tcPr>
            <w:tcW w:w="1999" w:type="dxa"/>
            <w:noWrap w:val="0"/>
            <w:vAlign w:val="top"/>
          </w:tcPr>
          <w:p w14:paraId="4E90D2B7">
            <w:pPr>
              <w:spacing w:before="50" w:after="50" w:line="500" w:lineRule="exact"/>
              <w:jc w:val="left"/>
              <w:rPr>
                <w:rFonts w:hint="eastAsia" w:ascii="宋体" w:hAnsi="宋体" w:cs="宋体"/>
                <w:color w:val="auto"/>
                <w:sz w:val="24"/>
                <w:highlight w:val="none"/>
              </w:rPr>
            </w:pPr>
          </w:p>
        </w:tc>
        <w:tc>
          <w:tcPr>
            <w:tcW w:w="1598" w:type="dxa"/>
            <w:noWrap w:val="0"/>
            <w:vAlign w:val="top"/>
          </w:tcPr>
          <w:p w14:paraId="572D82A5">
            <w:pPr>
              <w:spacing w:before="50" w:after="50" w:line="500" w:lineRule="exact"/>
              <w:jc w:val="left"/>
              <w:rPr>
                <w:rFonts w:hint="eastAsia" w:ascii="宋体" w:hAnsi="宋体" w:cs="宋体"/>
                <w:color w:val="auto"/>
                <w:sz w:val="24"/>
                <w:highlight w:val="none"/>
              </w:rPr>
            </w:pPr>
          </w:p>
        </w:tc>
        <w:tc>
          <w:tcPr>
            <w:tcW w:w="1865" w:type="dxa"/>
            <w:noWrap w:val="0"/>
            <w:vAlign w:val="top"/>
          </w:tcPr>
          <w:p w14:paraId="32DFC846">
            <w:pPr>
              <w:spacing w:before="50" w:after="50" w:line="500" w:lineRule="exact"/>
              <w:jc w:val="left"/>
              <w:rPr>
                <w:rFonts w:hint="eastAsia" w:ascii="宋体" w:hAnsi="宋体" w:cs="宋体"/>
                <w:color w:val="auto"/>
                <w:sz w:val="24"/>
                <w:highlight w:val="none"/>
              </w:rPr>
            </w:pPr>
          </w:p>
        </w:tc>
        <w:tc>
          <w:tcPr>
            <w:tcW w:w="1719" w:type="dxa"/>
            <w:noWrap w:val="0"/>
            <w:vAlign w:val="top"/>
          </w:tcPr>
          <w:p w14:paraId="52C1E317">
            <w:pPr>
              <w:spacing w:before="50" w:after="50" w:line="500" w:lineRule="exact"/>
              <w:jc w:val="left"/>
              <w:rPr>
                <w:rFonts w:hint="eastAsia" w:ascii="宋体" w:hAnsi="宋体" w:cs="宋体"/>
                <w:color w:val="auto"/>
                <w:sz w:val="24"/>
                <w:highlight w:val="none"/>
              </w:rPr>
            </w:pPr>
          </w:p>
        </w:tc>
      </w:tr>
      <w:tr w14:paraId="6DA82E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782B1146">
            <w:pPr>
              <w:spacing w:before="50" w:after="50" w:line="500" w:lineRule="exact"/>
              <w:jc w:val="left"/>
              <w:rPr>
                <w:rFonts w:hint="eastAsia" w:ascii="宋体" w:hAnsi="宋体" w:cs="宋体"/>
                <w:color w:val="auto"/>
                <w:sz w:val="24"/>
                <w:highlight w:val="none"/>
              </w:rPr>
            </w:pPr>
          </w:p>
        </w:tc>
        <w:tc>
          <w:tcPr>
            <w:tcW w:w="1999" w:type="dxa"/>
            <w:noWrap w:val="0"/>
            <w:vAlign w:val="top"/>
          </w:tcPr>
          <w:p w14:paraId="0AFAB274">
            <w:pPr>
              <w:spacing w:before="50" w:after="50" w:line="500" w:lineRule="exact"/>
              <w:jc w:val="left"/>
              <w:rPr>
                <w:rFonts w:hint="eastAsia" w:ascii="宋体" w:hAnsi="宋体" w:cs="宋体"/>
                <w:color w:val="auto"/>
                <w:sz w:val="24"/>
                <w:highlight w:val="none"/>
              </w:rPr>
            </w:pPr>
          </w:p>
        </w:tc>
        <w:tc>
          <w:tcPr>
            <w:tcW w:w="1598" w:type="dxa"/>
            <w:noWrap w:val="0"/>
            <w:vAlign w:val="top"/>
          </w:tcPr>
          <w:p w14:paraId="1F61079C">
            <w:pPr>
              <w:spacing w:before="50" w:after="50" w:line="500" w:lineRule="exact"/>
              <w:jc w:val="left"/>
              <w:rPr>
                <w:rFonts w:hint="eastAsia" w:ascii="宋体" w:hAnsi="宋体" w:cs="宋体"/>
                <w:color w:val="auto"/>
                <w:sz w:val="24"/>
                <w:highlight w:val="none"/>
              </w:rPr>
            </w:pPr>
          </w:p>
        </w:tc>
        <w:tc>
          <w:tcPr>
            <w:tcW w:w="1865" w:type="dxa"/>
            <w:noWrap w:val="0"/>
            <w:vAlign w:val="top"/>
          </w:tcPr>
          <w:p w14:paraId="66CF0034">
            <w:pPr>
              <w:spacing w:before="50" w:after="50" w:line="500" w:lineRule="exact"/>
              <w:jc w:val="left"/>
              <w:rPr>
                <w:rFonts w:hint="eastAsia" w:ascii="宋体" w:hAnsi="宋体" w:cs="宋体"/>
                <w:color w:val="auto"/>
                <w:sz w:val="24"/>
                <w:highlight w:val="none"/>
              </w:rPr>
            </w:pPr>
          </w:p>
        </w:tc>
        <w:tc>
          <w:tcPr>
            <w:tcW w:w="1719" w:type="dxa"/>
            <w:noWrap w:val="0"/>
            <w:vAlign w:val="top"/>
          </w:tcPr>
          <w:p w14:paraId="50750BFE">
            <w:pPr>
              <w:spacing w:before="50" w:after="50" w:line="500" w:lineRule="exact"/>
              <w:jc w:val="left"/>
              <w:rPr>
                <w:rFonts w:hint="eastAsia" w:ascii="宋体" w:hAnsi="宋体" w:cs="宋体"/>
                <w:color w:val="auto"/>
                <w:sz w:val="24"/>
                <w:highlight w:val="none"/>
              </w:rPr>
            </w:pPr>
          </w:p>
        </w:tc>
      </w:tr>
      <w:tr w14:paraId="76CCDF4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1D33B61B">
            <w:pPr>
              <w:spacing w:before="50" w:after="50" w:line="500" w:lineRule="exact"/>
              <w:jc w:val="left"/>
              <w:rPr>
                <w:rFonts w:hint="eastAsia" w:ascii="宋体" w:hAnsi="宋体" w:cs="宋体"/>
                <w:color w:val="auto"/>
                <w:sz w:val="24"/>
                <w:highlight w:val="none"/>
              </w:rPr>
            </w:pPr>
          </w:p>
        </w:tc>
        <w:tc>
          <w:tcPr>
            <w:tcW w:w="1999" w:type="dxa"/>
            <w:noWrap w:val="0"/>
            <w:vAlign w:val="top"/>
          </w:tcPr>
          <w:p w14:paraId="49635196">
            <w:pPr>
              <w:spacing w:before="50" w:after="50" w:line="500" w:lineRule="exact"/>
              <w:jc w:val="left"/>
              <w:rPr>
                <w:rFonts w:hint="eastAsia" w:ascii="宋体" w:hAnsi="宋体" w:cs="宋体"/>
                <w:color w:val="auto"/>
                <w:sz w:val="24"/>
                <w:highlight w:val="none"/>
              </w:rPr>
            </w:pPr>
          </w:p>
        </w:tc>
        <w:tc>
          <w:tcPr>
            <w:tcW w:w="1598" w:type="dxa"/>
            <w:noWrap w:val="0"/>
            <w:vAlign w:val="top"/>
          </w:tcPr>
          <w:p w14:paraId="67E7739D">
            <w:pPr>
              <w:spacing w:before="50" w:after="50" w:line="500" w:lineRule="exact"/>
              <w:jc w:val="left"/>
              <w:rPr>
                <w:rFonts w:hint="eastAsia" w:ascii="宋体" w:hAnsi="宋体" w:cs="宋体"/>
                <w:color w:val="auto"/>
                <w:sz w:val="24"/>
                <w:highlight w:val="none"/>
              </w:rPr>
            </w:pPr>
          </w:p>
        </w:tc>
        <w:tc>
          <w:tcPr>
            <w:tcW w:w="1865" w:type="dxa"/>
            <w:noWrap w:val="0"/>
            <w:vAlign w:val="top"/>
          </w:tcPr>
          <w:p w14:paraId="7997471A">
            <w:pPr>
              <w:spacing w:before="50" w:after="50" w:line="500" w:lineRule="exact"/>
              <w:jc w:val="left"/>
              <w:rPr>
                <w:rFonts w:hint="eastAsia" w:ascii="宋体" w:hAnsi="宋体" w:cs="宋体"/>
                <w:color w:val="auto"/>
                <w:sz w:val="24"/>
                <w:highlight w:val="none"/>
              </w:rPr>
            </w:pPr>
          </w:p>
        </w:tc>
        <w:tc>
          <w:tcPr>
            <w:tcW w:w="1719" w:type="dxa"/>
            <w:noWrap w:val="0"/>
            <w:vAlign w:val="top"/>
          </w:tcPr>
          <w:p w14:paraId="144BF674">
            <w:pPr>
              <w:spacing w:before="50" w:after="50" w:line="500" w:lineRule="exact"/>
              <w:jc w:val="left"/>
              <w:rPr>
                <w:rFonts w:hint="eastAsia" w:ascii="宋体" w:hAnsi="宋体" w:cs="宋体"/>
                <w:color w:val="auto"/>
                <w:sz w:val="24"/>
                <w:highlight w:val="none"/>
              </w:rPr>
            </w:pPr>
          </w:p>
        </w:tc>
      </w:tr>
      <w:tr w14:paraId="581632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070C6118">
            <w:pPr>
              <w:spacing w:before="50" w:after="50" w:line="500" w:lineRule="exact"/>
              <w:jc w:val="left"/>
              <w:rPr>
                <w:rFonts w:hint="eastAsia" w:ascii="宋体" w:hAnsi="宋体" w:cs="宋体"/>
                <w:color w:val="auto"/>
                <w:sz w:val="24"/>
                <w:highlight w:val="none"/>
              </w:rPr>
            </w:pPr>
          </w:p>
        </w:tc>
        <w:tc>
          <w:tcPr>
            <w:tcW w:w="1999" w:type="dxa"/>
            <w:noWrap w:val="0"/>
            <w:vAlign w:val="top"/>
          </w:tcPr>
          <w:p w14:paraId="0E1B3DCE">
            <w:pPr>
              <w:spacing w:before="50" w:after="50" w:line="500" w:lineRule="exact"/>
              <w:jc w:val="left"/>
              <w:rPr>
                <w:rFonts w:hint="eastAsia" w:ascii="宋体" w:hAnsi="宋体" w:cs="宋体"/>
                <w:color w:val="auto"/>
                <w:sz w:val="24"/>
                <w:highlight w:val="none"/>
              </w:rPr>
            </w:pPr>
          </w:p>
        </w:tc>
        <w:tc>
          <w:tcPr>
            <w:tcW w:w="1598" w:type="dxa"/>
            <w:noWrap w:val="0"/>
            <w:vAlign w:val="top"/>
          </w:tcPr>
          <w:p w14:paraId="6531F5F5">
            <w:pPr>
              <w:spacing w:before="50" w:after="50" w:line="500" w:lineRule="exact"/>
              <w:jc w:val="left"/>
              <w:rPr>
                <w:rFonts w:hint="eastAsia" w:ascii="宋体" w:hAnsi="宋体" w:cs="宋体"/>
                <w:color w:val="auto"/>
                <w:sz w:val="24"/>
                <w:highlight w:val="none"/>
              </w:rPr>
            </w:pPr>
          </w:p>
        </w:tc>
        <w:tc>
          <w:tcPr>
            <w:tcW w:w="1865" w:type="dxa"/>
            <w:noWrap w:val="0"/>
            <w:vAlign w:val="top"/>
          </w:tcPr>
          <w:p w14:paraId="6EB941DE">
            <w:pPr>
              <w:spacing w:before="50" w:after="50" w:line="500" w:lineRule="exact"/>
              <w:jc w:val="left"/>
              <w:rPr>
                <w:rFonts w:hint="eastAsia" w:ascii="宋体" w:hAnsi="宋体" w:cs="宋体"/>
                <w:color w:val="auto"/>
                <w:sz w:val="24"/>
                <w:highlight w:val="none"/>
              </w:rPr>
            </w:pPr>
          </w:p>
        </w:tc>
        <w:tc>
          <w:tcPr>
            <w:tcW w:w="1719" w:type="dxa"/>
            <w:noWrap w:val="0"/>
            <w:vAlign w:val="top"/>
          </w:tcPr>
          <w:p w14:paraId="37060999">
            <w:pPr>
              <w:spacing w:before="50" w:after="50" w:line="500" w:lineRule="exact"/>
              <w:jc w:val="left"/>
              <w:rPr>
                <w:rFonts w:hint="eastAsia" w:ascii="宋体" w:hAnsi="宋体" w:cs="宋体"/>
                <w:color w:val="auto"/>
                <w:sz w:val="24"/>
                <w:highlight w:val="none"/>
              </w:rPr>
            </w:pPr>
          </w:p>
        </w:tc>
      </w:tr>
      <w:tr w14:paraId="145265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val="0"/>
            <w:vAlign w:val="top"/>
          </w:tcPr>
          <w:p w14:paraId="340A6601">
            <w:pPr>
              <w:spacing w:before="50" w:after="50" w:line="500" w:lineRule="exact"/>
              <w:jc w:val="left"/>
              <w:rPr>
                <w:rFonts w:hint="eastAsia" w:ascii="宋体" w:hAnsi="宋体" w:cs="宋体"/>
                <w:color w:val="auto"/>
                <w:sz w:val="24"/>
                <w:highlight w:val="none"/>
              </w:rPr>
            </w:pPr>
          </w:p>
        </w:tc>
        <w:tc>
          <w:tcPr>
            <w:tcW w:w="1999" w:type="dxa"/>
            <w:noWrap w:val="0"/>
            <w:vAlign w:val="top"/>
          </w:tcPr>
          <w:p w14:paraId="53E08612">
            <w:pPr>
              <w:spacing w:before="50" w:after="50" w:line="500" w:lineRule="exact"/>
              <w:jc w:val="left"/>
              <w:rPr>
                <w:rFonts w:hint="eastAsia" w:ascii="宋体" w:hAnsi="宋体" w:cs="宋体"/>
                <w:color w:val="auto"/>
                <w:sz w:val="24"/>
                <w:highlight w:val="none"/>
              </w:rPr>
            </w:pPr>
          </w:p>
        </w:tc>
        <w:tc>
          <w:tcPr>
            <w:tcW w:w="1598" w:type="dxa"/>
            <w:noWrap w:val="0"/>
            <w:vAlign w:val="top"/>
          </w:tcPr>
          <w:p w14:paraId="6C7ABDE4">
            <w:pPr>
              <w:spacing w:before="50" w:after="50" w:line="500" w:lineRule="exact"/>
              <w:jc w:val="left"/>
              <w:rPr>
                <w:rFonts w:hint="eastAsia" w:ascii="宋体" w:hAnsi="宋体" w:cs="宋体"/>
                <w:color w:val="auto"/>
                <w:sz w:val="24"/>
                <w:highlight w:val="none"/>
              </w:rPr>
            </w:pPr>
          </w:p>
        </w:tc>
        <w:tc>
          <w:tcPr>
            <w:tcW w:w="1865" w:type="dxa"/>
            <w:noWrap w:val="0"/>
            <w:vAlign w:val="top"/>
          </w:tcPr>
          <w:p w14:paraId="2F1EE9B1">
            <w:pPr>
              <w:spacing w:before="50" w:after="50" w:line="500" w:lineRule="exact"/>
              <w:jc w:val="left"/>
              <w:rPr>
                <w:rFonts w:hint="eastAsia" w:ascii="宋体" w:hAnsi="宋体" w:cs="宋体"/>
                <w:color w:val="auto"/>
                <w:sz w:val="24"/>
                <w:highlight w:val="none"/>
              </w:rPr>
            </w:pPr>
          </w:p>
        </w:tc>
        <w:tc>
          <w:tcPr>
            <w:tcW w:w="1719" w:type="dxa"/>
            <w:noWrap w:val="0"/>
            <w:vAlign w:val="top"/>
          </w:tcPr>
          <w:p w14:paraId="706F9A44">
            <w:pPr>
              <w:spacing w:before="50" w:after="50" w:line="500" w:lineRule="exact"/>
              <w:jc w:val="left"/>
              <w:rPr>
                <w:rFonts w:hint="eastAsia" w:ascii="宋体" w:hAnsi="宋体" w:cs="宋体"/>
                <w:color w:val="auto"/>
                <w:sz w:val="24"/>
                <w:highlight w:val="none"/>
              </w:rPr>
            </w:pPr>
          </w:p>
        </w:tc>
      </w:tr>
    </w:tbl>
    <w:p w14:paraId="30E0997D">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600" w:firstLineChars="25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投标人（盖章）：</w:t>
      </w:r>
    </w:p>
    <w:p w14:paraId="0A1BAB12">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57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投标单位法定代表人或其授权委托代理人签字:</w:t>
      </w:r>
    </w:p>
    <w:p w14:paraId="47F74328">
      <w:pPr>
        <w:keepNext w:val="0"/>
        <w:keepLines w:val="0"/>
        <w:pageBreakBefore w:val="0"/>
        <w:widowControl w:val="0"/>
        <w:kinsoku/>
        <w:wordWrap/>
        <w:overflowPunct/>
        <w:topLinePunct w:val="0"/>
        <w:autoSpaceDE/>
        <w:autoSpaceDN/>
        <w:bidi w:val="0"/>
        <w:adjustRightInd/>
        <w:snapToGrid/>
        <w:spacing w:before="156" w:beforeLines="50" w:after="156" w:afterLines="50" w:line="400" w:lineRule="exact"/>
        <w:ind w:firstLine="600" w:firstLineChars="250"/>
        <w:textAlignment w:val="auto"/>
        <w:rPr>
          <w:rFonts w:hint="eastAsia" w:ascii="宋体" w:hAnsi="宋体" w:eastAsia="宋体" w:cs="宋体"/>
          <w:color w:val="auto"/>
          <w:kern w:val="0"/>
          <w:sz w:val="24"/>
          <w:highlight w:val="none"/>
        </w:rPr>
      </w:pPr>
      <w:r>
        <w:rPr>
          <w:rFonts w:hint="eastAsia" w:ascii="宋体" w:hAnsi="宋体" w:cs="宋体"/>
          <w:color w:val="auto"/>
          <w:sz w:val="24"/>
          <w:szCs w:val="24"/>
          <w:highlight w:val="none"/>
        </w:rPr>
        <w:t>日   期：     年   月   日</w:t>
      </w:r>
    </w:p>
    <w:p w14:paraId="2327D2FC">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b/>
          <w:color w:val="auto"/>
          <w:kern w:val="0"/>
          <w:sz w:val="28"/>
          <w:highlight w:val="none"/>
        </w:rPr>
        <w:br w:type="page"/>
      </w:r>
      <w:bookmarkStart w:id="191" w:name="_Toc26763"/>
      <w:bookmarkStart w:id="192" w:name="_Toc28406"/>
      <w:r>
        <w:rPr>
          <w:rFonts w:hint="eastAsia" w:ascii="宋体" w:hAnsi="宋体" w:cs="宋体"/>
          <w:b/>
          <w:color w:val="auto"/>
          <w:kern w:val="0"/>
          <w:sz w:val="32"/>
          <w:highlight w:val="none"/>
          <w:lang w:eastAsia="zh-CN"/>
        </w:rPr>
        <w:t>六</w:t>
      </w:r>
      <w:r>
        <w:rPr>
          <w:rFonts w:hint="eastAsia" w:ascii="宋体" w:hAnsi="宋体" w:eastAsia="宋体" w:cs="宋体"/>
          <w:b/>
          <w:color w:val="auto"/>
          <w:kern w:val="0"/>
          <w:sz w:val="32"/>
          <w:highlight w:val="none"/>
        </w:rPr>
        <w:t>、技术标准和要求</w:t>
      </w:r>
      <w:bookmarkEnd w:id="191"/>
      <w:bookmarkEnd w:id="192"/>
    </w:p>
    <w:p w14:paraId="333031EC">
      <w:pPr>
        <w:pageBreakBefore w:val="0"/>
        <w:wordWrap w:val="0"/>
        <w:autoSpaceDE w:val="0"/>
        <w:autoSpaceDN w:val="0"/>
        <w:bidi w:val="0"/>
        <w:adjustRightInd w:val="0"/>
        <w:spacing w:before="240" w:beforeLines="100" w:line="360" w:lineRule="auto"/>
        <w:ind w:right="-34" w:rightChars="-16" w:firstLine="480" w:firstLineChars="200"/>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投标人在本招标工程项目中的工程建设标准、规范等技术要求应符合招标文件“第</w:t>
      </w:r>
      <w:r>
        <w:rPr>
          <w:rFonts w:hint="eastAsia" w:ascii="宋体" w:hAnsi="宋体" w:eastAsia="宋体" w:cs="宋体"/>
          <w:color w:val="auto"/>
          <w:kern w:val="0"/>
          <w:sz w:val="24"/>
          <w:szCs w:val="24"/>
          <w:highlight w:val="none"/>
          <w:lang w:val="en-US" w:eastAsia="zh-CN"/>
        </w:rPr>
        <w:t>六</w:t>
      </w:r>
      <w:r>
        <w:rPr>
          <w:rFonts w:hint="eastAsia" w:ascii="宋体" w:hAnsi="宋体" w:eastAsia="宋体" w:cs="宋体"/>
          <w:color w:val="auto"/>
          <w:kern w:val="0"/>
          <w:sz w:val="24"/>
          <w:szCs w:val="24"/>
          <w:highlight w:val="none"/>
        </w:rPr>
        <w:t>章技术标准和要求”。</w:t>
      </w:r>
    </w:p>
    <w:p w14:paraId="4371133A">
      <w:pPr>
        <w:pageBreakBefore w:val="0"/>
        <w:wordWrap w:val="0"/>
        <w:autoSpaceDE w:val="0"/>
        <w:autoSpaceDN w:val="0"/>
        <w:bidi w:val="0"/>
        <w:adjustRightInd w:val="0"/>
        <w:spacing w:line="360" w:lineRule="auto"/>
        <w:ind w:right="-34" w:rightChars="-16"/>
        <w:outlineLvl w:val="9"/>
        <w:rPr>
          <w:rFonts w:hint="eastAsia" w:ascii="宋体" w:hAnsi="宋体" w:eastAsia="宋体" w:cs="宋体"/>
          <w:color w:val="auto"/>
          <w:kern w:val="0"/>
          <w:sz w:val="24"/>
          <w:szCs w:val="24"/>
          <w:highlight w:val="none"/>
        </w:rPr>
      </w:pPr>
    </w:p>
    <w:p w14:paraId="254F7DA7">
      <w:pPr>
        <w:pageBreakBefore w:val="0"/>
        <w:wordWrap w:val="0"/>
        <w:autoSpaceDE w:val="0"/>
        <w:autoSpaceDN w:val="0"/>
        <w:bidi w:val="0"/>
        <w:adjustRightInd w:val="0"/>
        <w:spacing w:line="360" w:lineRule="auto"/>
        <w:ind w:right="-34" w:rightChars="-16"/>
        <w:outlineLvl w:val="9"/>
        <w:rPr>
          <w:rFonts w:hint="eastAsia" w:ascii="宋体" w:hAnsi="宋体" w:eastAsia="宋体" w:cs="宋体"/>
          <w:color w:val="auto"/>
          <w:kern w:val="0"/>
          <w:sz w:val="24"/>
          <w:szCs w:val="24"/>
          <w:highlight w:val="none"/>
        </w:rPr>
      </w:pPr>
    </w:p>
    <w:p w14:paraId="3D15B85A">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8A64275">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7E0998A7">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D7432C9">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6F51713">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227EB92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C3ED13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8CA5E78">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03E170E6">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5433BAF1">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15E29129">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DE6E7BC">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3097F26">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B3F2FA3">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8673270">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724ADC8">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3329AB2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532F3AE4">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61602EA5">
      <w:pPr>
        <w:pageBreakBefore w:val="0"/>
        <w:wordWrap w:val="0"/>
        <w:autoSpaceDE w:val="0"/>
        <w:autoSpaceDN w:val="0"/>
        <w:bidi w:val="0"/>
        <w:adjustRightInd w:val="0"/>
        <w:spacing w:line="400" w:lineRule="exact"/>
        <w:ind w:right="-34" w:rightChars="-16"/>
        <w:outlineLvl w:val="9"/>
        <w:rPr>
          <w:rFonts w:hint="eastAsia" w:ascii="宋体" w:hAnsi="宋体" w:eastAsia="宋体" w:cs="宋体"/>
          <w:color w:val="auto"/>
          <w:kern w:val="0"/>
          <w:sz w:val="28"/>
          <w:highlight w:val="none"/>
        </w:rPr>
      </w:pPr>
    </w:p>
    <w:p w14:paraId="41688405">
      <w:pPr>
        <w:pageBreakBefore w:val="0"/>
        <w:wordWrap w:val="0"/>
        <w:autoSpaceDE w:val="0"/>
        <w:autoSpaceDN w:val="0"/>
        <w:bidi w:val="0"/>
        <w:adjustRightInd w:val="0"/>
        <w:spacing w:line="400" w:lineRule="exact"/>
        <w:ind w:right="-34" w:rightChars="-16"/>
        <w:jc w:val="center"/>
        <w:outlineLvl w:val="9"/>
        <w:rPr>
          <w:rFonts w:hint="eastAsia" w:ascii="宋体" w:hAnsi="宋体" w:eastAsia="宋体" w:cs="宋体"/>
          <w:b/>
          <w:color w:val="auto"/>
          <w:kern w:val="0"/>
          <w:sz w:val="32"/>
          <w:szCs w:val="32"/>
          <w:highlight w:val="none"/>
        </w:rPr>
      </w:pPr>
    </w:p>
    <w:p w14:paraId="58391E59">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color w:val="auto"/>
          <w:kern w:val="0"/>
          <w:sz w:val="28"/>
          <w:highlight w:val="none"/>
        </w:rPr>
      </w:pPr>
      <w:r>
        <w:rPr>
          <w:rFonts w:hint="eastAsia" w:ascii="宋体" w:hAnsi="宋体" w:eastAsia="宋体" w:cs="宋体"/>
          <w:color w:val="auto"/>
          <w:kern w:val="0"/>
          <w:highlight w:val="none"/>
        </w:rPr>
        <w:br w:type="page"/>
      </w:r>
      <w:bookmarkStart w:id="193" w:name="_Toc21118"/>
      <w:bookmarkStart w:id="194" w:name="_Toc18803"/>
      <w:r>
        <w:rPr>
          <w:rFonts w:hint="eastAsia" w:ascii="宋体" w:hAnsi="宋体" w:cs="宋体"/>
          <w:b/>
          <w:color w:val="auto"/>
          <w:kern w:val="0"/>
          <w:sz w:val="32"/>
          <w:highlight w:val="none"/>
          <w:lang w:eastAsia="zh-CN"/>
        </w:rPr>
        <w:t>七</w:t>
      </w:r>
      <w:r>
        <w:rPr>
          <w:rFonts w:hint="eastAsia" w:ascii="宋体" w:hAnsi="宋体" w:eastAsia="宋体" w:cs="宋体"/>
          <w:b/>
          <w:color w:val="auto"/>
          <w:kern w:val="0"/>
          <w:sz w:val="32"/>
          <w:highlight w:val="none"/>
        </w:rPr>
        <w:t>、项目管理机构</w:t>
      </w:r>
      <w:bookmarkEnd w:id="193"/>
      <w:bookmarkEnd w:id="194"/>
    </w:p>
    <w:p w14:paraId="26F78918">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kern w:val="0"/>
          <w:sz w:val="24"/>
          <w:highlight w:val="none"/>
        </w:rPr>
      </w:pPr>
      <w:r>
        <w:rPr>
          <w:rFonts w:hint="eastAsia" w:ascii="宋体" w:hAnsi="宋体" w:eastAsia="宋体" w:cs="宋体"/>
          <w:b/>
          <w:color w:val="auto"/>
          <w:kern w:val="0"/>
          <w:sz w:val="30"/>
          <w:szCs w:val="30"/>
          <w:highlight w:val="none"/>
        </w:rPr>
        <w:t>（一）项目管理机构组成表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272"/>
        <w:gridCol w:w="798"/>
        <w:gridCol w:w="1239"/>
        <w:gridCol w:w="1013"/>
        <w:gridCol w:w="987"/>
      </w:tblGrid>
      <w:tr w14:paraId="368FB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0"/>
            <w:vAlign w:val="center"/>
          </w:tcPr>
          <w:p w14:paraId="006677B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1034" w:type="dxa"/>
            <w:vMerge w:val="restart"/>
            <w:noWrap w:val="0"/>
            <w:vAlign w:val="center"/>
          </w:tcPr>
          <w:p w14:paraId="6404A8D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035" w:type="dxa"/>
            <w:vMerge w:val="restart"/>
            <w:noWrap w:val="0"/>
            <w:vAlign w:val="center"/>
          </w:tcPr>
          <w:p w14:paraId="44F3A37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职称</w:t>
            </w:r>
          </w:p>
        </w:tc>
        <w:tc>
          <w:tcPr>
            <w:tcW w:w="5309" w:type="dxa"/>
            <w:gridSpan w:val="5"/>
            <w:noWrap w:val="0"/>
            <w:vAlign w:val="center"/>
          </w:tcPr>
          <w:p w14:paraId="0B0D07D0">
            <w:pPr>
              <w:bidi w:val="0"/>
              <w:jc w:val="center"/>
              <w:rPr>
                <w:rFonts w:hint="eastAsia"/>
                <w:color w:val="auto"/>
                <w:sz w:val="24"/>
                <w:szCs w:val="24"/>
                <w:highlight w:val="none"/>
              </w:rPr>
            </w:pPr>
            <w:r>
              <w:rPr>
                <w:rFonts w:hint="eastAsia"/>
                <w:color w:val="auto"/>
                <w:sz w:val="24"/>
                <w:szCs w:val="24"/>
                <w:highlight w:val="none"/>
              </w:rPr>
              <w:t>执业或职业资格证明</w:t>
            </w:r>
          </w:p>
        </w:tc>
      </w:tr>
      <w:tr w14:paraId="6AC5A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1034" w:type="dxa"/>
            <w:vMerge w:val="continue"/>
            <w:noWrap w:val="0"/>
            <w:vAlign w:val="center"/>
          </w:tcPr>
          <w:p w14:paraId="0BEBD3F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34" w:type="dxa"/>
            <w:vMerge w:val="continue"/>
            <w:noWrap w:val="0"/>
            <w:vAlign w:val="center"/>
          </w:tcPr>
          <w:p w14:paraId="1906A55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035" w:type="dxa"/>
            <w:vMerge w:val="continue"/>
            <w:noWrap w:val="0"/>
            <w:vAlign w:val="center"/>
          </w:tcPr>
          <w:p w14:paraId="1BB87A8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272" w:type="dxa"/>
            <w:noWrap w:val="0"/>
            <w:vAlign w:val="center"/>
          </w:tcPr>
          <w:p w14:paraId="4620D643">
            <w:pPr>
              <w:bidi w:val="0"/>
              <w:jc w:val="center"/>
              <w:rPr>
                <w:rFonts w:hint="eastAsia"/>
                <w:color w:val="auto"/>
                <w:sz w:val="24"/>
                <w:szCs w:val="24"/>
                <w:highlight w:val="none"/>
              </w:rPr>
            </w:pPr>
            <w:r>
              <w:rPr>
                <w:rFonts w:hint="eastAsia"/>
                <w:color w:val="auto"/>
                <w:sz w:val="24"/>
                <w:szCs w:val="24"/>
                <w:highlight w:val="none"/>
              </w:rPr>
              <w:t>证书名称</w:t>
            </w:r>
          </w:p>
        </w:tc>
        <w:tc>
          <w:tcPr>
            <w:tcW w:w="798" w:type="dxa"/>
            <w:noWrap w:val="0"/>
            <w:vAlign w:val="center"/>
          </w:tcPr>
          <w:p w14:paraId="77CCB653">
            <w:pPr>
              <w:bidi w:val="0"/>
              <w:jc w:val="center"/>
              <w:rPr>
                <w:rFonts w:hint="eastAsia"/>
                <w:color w:val="auto"/>
                <w:sz w:val="24"/>
                <w:szCs w:val="24"/>
                <w:highlight w:val="none"/>
              </w:rPr>
            </w:pPr>
            <w:r>
              <w:rPr>
                <w:rFonts w:hint="eastAsia"/>
                <w:color w:val="auto"/>
                <w:sz w:val="24"/>
                <w:szCs w:val="24"/>
                <w:highlight w:val="none"/>
              </w:rPr>
              <w:t>级别</w:t>
            </w:r>
          </w:p>
        </w:tc>
        <w:tc>
          <w:tcPr>
            <w:tcW w:w="1239" w:type="dxa"/>
            <w:noWrap w:val="0"/>
            <w:vAlign w:val="center"/>
          </w:tcPr>
          <w:p w14:paraId="0BB40B2A">
            <w:pPr>
              <w:bidi w:val="0"/>
              <w:jc w:val="center"/>
              <w:rPr>
                <w:rFonts w:hint="eastAsia"/>
                <w:color w:val="auto"/>
                <w:sz w:val="24"/>
                <w:szCs w:val="24"/>
                <w:highlight w:val="none"/>
              </w:rPr>
            </w:pPr>
            <w:r>
              <w:rPr>
                <w:rFonts w:hint="eastAsia"/>
                <w:color w:val="auto"/>
                <w:sz w:val="24"/>
                <w:szCs w:val="24"/>
                <w:highlight w:val="none"/>
              </w:rPr>
              <w:t>证书编号</w:t>
            </w:r>
          </w:p>
        </w:tc>
        <w:tc>
          <w:tcPr>
            <w:tcW w:w="1013" w:type="dxa"/>
            <w:noWrap w:val="0"/>
            <w:vAlign w:val="center"/>
          </w:tcPr>
          <w:p w14:paraId="1CEB55E2">
            <w:pPr>
              <w:bidi w:val="0"/>
              <w:jc w:val="center"/>
              <w:rPr>
                <w:rFonts w:hint="eastAsia"/>
                <w:color w:val="auto"/>
                <w:sz w:val="24"/>
                <w:szCs w:val="24"/>
                <w:highlight w:val="none"/>
              </w:rPr>
            </w:pPr>
            <w:r>
              <w:rPr>
                <w:rFonts w:hint="eastAsia"/>
                <w:color w:val="auto"/>
                <w:sz w:val="24"/>
                <w:szCs w:val="24"/>
                <w:highlight w:val="none"/>
              </w:rPr>
              <w:t>专业</w:t>
            </w:r>
          </w:p>
        </w:tc>
        <w:tc>
          <w:tcPr>
            <w:tcW w:w="987" w:type="dxa"/>
            <w:noWrap w:val="0"/>
            <w:vAlign w:val="center"/>
          </w:tcPr>
          <w:p w14:paraId="79E6E38F">
            <w:pPr>
              <w:bidi w:val="0"/>
              <w:jc w:val="center"/>
              <w:rPr>
                <w:rFonts w:hint="eastAsia"/>
                <w:color w:val="auto"/>
                <w:sz w:val="24"/>
                <w:szCs w:val="24"/>
                <w:highlight w:val="none"/>
              </w:rPr>
            </w:pPr>
            <w:r>
              <w:rPr>
                <w:rFonts w:hint="eastAsia"/>
                <w:color w:val="auto"/>
                <w:sz w:val="24"/>
                <w:szCs w:val="24"/>
                <w:highlight w:val="none"/>
              </w:rPr>
              <w:t>备注</w:t>
            </w:r>
          </w:p>
        </w:tc>
      </w:tr>
      <w:tr w14:paraId="37B6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391D3F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22FCBA2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3207610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0F6D0B3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1CC8E63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3035C66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28D248C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577FD82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1143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66922BA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77784AF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7A80A3D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15F1014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4F21CB9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65D9277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2B0D303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6C69ED3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25F8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2036E1C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3194F22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1217108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52E4FA5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5F6462B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4B737D2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008895C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46B9AD4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4F316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69698F1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005CFA7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21A302D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07D87D8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268EA19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136CBB4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2526A74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7232F49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3CA68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21D502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648ECEB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5D4D2B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6B85D74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404BB4E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57DB9B2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1E3AF80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01FA550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34F1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4819FF0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38EC358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4AAEE76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162AB67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255EC99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2E50B72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5356084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2252E91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677B7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467D6A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054D7E1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0094C2E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1054FFF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1E15480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626EE09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2EAF21E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771BF26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76DB7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1A8C004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4C12371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4440901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1AAAC63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41624B4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0FD1B9F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1BD277F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7683608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3691B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C05164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0C54254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505DC5F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56F3306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15E9A46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477D340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0DB9333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6CB1B63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r w14:paraId="4F30A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C0CE0D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4" w:type="dxa"/>
            <w:noWrap w:val="0"/>
            <w:vAlign w:val="center"/>
          </w:tcPr>
          <w:p w14:paraId="7451194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35" w:type="dxa"/>
            <w:noWrap w:val="0"/>
            <w:vAlign w:val="center"/>
          </w:tcPr>
          <w:p w14:paraId="0C84FF9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72" w:type="dxa"/>
            <w:noWrap w:val="0"/>
            <w:vAlign w:val="center"/>
          </w:tcPr>
          <w:p w14:paraId="6496E67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798" w:type="dxa"/>
            <w:noWrap w:val="0"/>
            <w:vAlign w:val="center"/>
          </w:tcPr>
          <w:p w14:paraId="79FD42B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239" w:type="dxa"/>
            <w:noWrap w:val="0"/>
            <w:vAlign w:val="center"/>
          </w:tcPr>
          <w:p w14:paraId="7D3C862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1013" w:type="dxa"/>
            <w:noWrap w:val="0"/>
            <w:vAlign w:val="center"/>
          </w:tcPr>
          <w:p w14:paraId="079F48A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c>
          <w:tcPr>
            <w:tcW w:w="987" w:type="dxa"/>
            <w:noWrap w:val="0"/>
            <w:vAlign w:val="center"/>
          </w:tcPr>
          <w:p w14:paraId="2BCFC79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highlight w:val="none"/>
              </w:rPr>
            </w:pPr>
          </w:p>
        </w:tc>
      </w:tr>
    </w:tbl>
    <w:p w14:paraId="0A3BFD7F">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24"/>
          <w:highlight w:val="none"/>
        </w:rPr>
      </w:pPr>
    </w:p>
    <w:p w14:paraId="4B99FC2A">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4"/>
          <w:highlight w:val="none"/>
        </w:rPr>
        <w:br w:type="page"/>
      </w:r>
      <w:r>
        <w:rPr>
          <w:rFonts w:hint="eastAsia" w:ascii="宋体" w:hAnsi="宋体" w:eastAsia="宋体" w:cs="宋体"/>
          <w:b/>
          <w:color w:val="auto"/>
          <w:kern w:val="0"/>
          <w:sz w:val="30"/>
          <w:szCs w:val="30"/>
          <w:highlight w:val="none"/>
        </w:rPr>
        <w:t>（二）主要人员简历表</w:t>
      </w:r>
    </w:p>
    <w:p w14:paraId="1E504ADF">
      <w:pPr>
        <w:pageBreakBefore w:val="0"/>
        <w:wordWrap w:val="0"/>
        <w:autoSpaceDE w:val="0"/>
        <w:autoSpaceDN w:val="0"/>
        <w:bidi w:val="0"/>
        <w:adjustRightInd w:val="0"/>
        <w:spacing w:line="360" w:lineRule="auto"/>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sz w:val="24"/>
          <w:szCs w:val="24"/>
          <w:highlight w:val="none"/>
        </w:rPr>
        <w:t>“主要人员简历表”中的项目</w:t>
      </w:r>
      <w:r>
        <w:rPr>
          <w:rFonts w:hint="eastAsia" w:ascii="宋体" w:hAnsi="宋体" w:cs="宋体"/>
          <w:color w:val="auto"/>
          <w:kern w:val="0"/>
          <w:sz w:val="24"/>
          <w:szCs w:val="24"/>
          <w:highlight w:val="none"/>
          <w:lang w:eastAsia="zh-CN"/>
        </w:rPr>
        <w:t>总监理工程师</w:t>
      </w:r>
      <w:r>
        <w:rPr>
          <w:rFonts w:hint="eastAsia" w:ascii="宋体" w:hAnsi="宋体" w:eastAsia="宋体" w:cs="宋体"/>
          <w:color w:val="auto"/>
          <w:kern w:val="0"/>
          <w:sz w:val="24"/>
          <w:szCs w:val="24"/>
          <w:highlight w:val="none"/>
        </w:rPr>
        <w:t>附执业证书等复印件或扫描件；其他主要人员附职称证（执业证或上岗证书）复印件或扫描件。</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7CC95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2E955A6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 名</w:t>
            </w:r>
          </w:p>
        </w:tc>
        <w:tc>
          <w:tcPr>
            <w:tcW w:w="1551" w:type="dxa"/>
            <w:gridSpan w:val="2"/>
            <w:noWrap w:val="0"/>
            <w:vAlign w:val="center"/>
          </w:tcPr>
          <w:p w14:paraId="01FFFD6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5" w:type="dxa"/>
            <w:noWrap w:val="0"/>
            <w:vAlign w:val="center"/>
          </w:tcPr>
          <w:p w14:paraId="681A30E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年 龄</w:t>
            </w:r>
          </w:p>
        </w:tc>
        <w:tc>
          <w:tcPr>
            <w:tcW w:w="1552" w:type="dxa"/>
            <w:noWrap w:val="0"/>
            <w:vAlign w:val="center"/>
          </w:tcPr>
          <w:p w14:paraId="4BCDC19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843" w:type="dxa"/>
            <w:gridSpan w:val="2"/>
            <w:noWrap w:val="0"/>
            <w:vAlign w:val="center"/>
          </w:tcPr>
          <w:p w14:paraId="1C2149E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学 历</w:t>
            </w:r>
          </w:p>
        </w:tc>
        <w:tc>
          <w:tcPr>
            <w:tcW w:w="1263" w:type="dxa"/>
            <w:noWrap w:val="0"/>
            <w:vAlign w:val="center"/>
          </w:tcPr>
          <w:p w14:paraId="499FA61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4CC1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228D5476">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 称</w:t>
            </w:r>
          </w:p>
        </w:tc>
        <w:tc>
          <w:tcPr>
            <w:tcW w:w="1551" w:type="dxa"/>
            <w:gridSpan w:val="2"/>
            <w:noWrap w:val="0"/>
            <w:vAlign w:val="center"/>
          </w:tcPr>
          <w:p w14:paraId="7C985F7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5" w:type="dxa"/>
            <w:noWrap w:val="0"/>
            <w:vAlign w:val="center"/>
          </w:tcPr>
          <w:p w14:paraId="6700FFD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 务</w:t>
            </w:r>
          </w:p>
        </w:tc>
        <w:tc>
          <w:tcPr>
            <w:tcW w:w="1552" w:type="dxa"/>
            <w:noWrap w:val="0"/>
            <w:vAlign w:val="center"/>
          </w:tcPr>
          <w:p w14:paraId="12F9BCE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843" w:type="dxa"/>
            <w:gridSpan w:val="2"/>
            <w:noWrap w:val="0"/>
            <w:vAlign w:val="center"/>
          </w:tcPr>
          <w:p w14:paraId="5FC8F37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拟在本合同任职</w:t>
            </w:r>
          </w:p>
        </w:tc>
        <w:tc>
          <w:tcPr>
            <w:tcW w:w="1263" w:type="dxa"/>
            <w:noWrap w:val="0"/>
            <w:vAlign w:val="center"/>
          </w:tcPr>
          <w:p w14:paraId="65C3A6B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CF2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6EDC4FE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主要工作经历</w:t>
            </w:r>
          </w:p>
        </w:tc>
      </w:tr>
      <w:tr w14:paraId="69FE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14:paraId="0427981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时 间</w:t>
            </w:r>
          </w:p>
        </w:tc>
        <w:tc>
          <w:tcPr>
            <w:tcW w:w="2329" w:type="dxa"/>
            <w:gridSpan w:val="2"/>
            <w:noWrap w:val="0"/>
            <w:vAlign w:val="center"/>
          </w:tcPr>
          <w:p w14:paraId="299AF4B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参加过的类似项目</w:t>
            </w:r>
          </w:p>
        </w:tc>
        <w:tc>
          <w:tcPr>
            <w:tcW w:w="2328" w:type="dxa"/>
            <w:gridSpan w:val="2"/>
            <w:noWrap w:val="0"/>
            <w:vAlign w:val="center"/>
          </w:tcPr>
          <w:p w14:paraId="410D5B9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担任职务</w:t>
            </w:r>
          </w:p>
        </w:tc>
        <w:tc>
          <w:tcPr>
            <w:tcW w:w="2330" w:type="dxa"/>
            <w:gridSpan w:val="2"/>
            <w:noWrap w:val="0"/>
            <w:vAlign w:val="center"/>
          </w:tcPr>
          <w:p w14:paraId="3809103F">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w:t>
            </w:r>
          </w:p>
        </w:tc>
      </w:tr>
      <w:tr w14:paraId="6BC14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26FD5FD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7EE8119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304A160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79457ED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3D323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4F33334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3E8AE00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6B59D16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2C6533D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74B7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1865EB6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62999F9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7AEE9C0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1BED025B">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33CD3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616C7EE">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44EB9BC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117F816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1D6587AC">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3977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40CD2313">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2F2B8B0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6D72A4A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7920AC3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1BB10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8227991">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54361794">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282FDC98">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0B2281C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206AF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B295849">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2AA7A44A">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6CF199A2">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7C1FBB10">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r w14:paraId="7F595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ABAF51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9" w:type="dxa"/>
            <w:gridSpan w:val="2"/>
            <w:noWrap w:val="0"/>
            <w:vAlign w:val="center"/>
          </w:tcPr>
          <w:p w14:paraId="7277711D">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28" w:type="dxa"/>
            <w:gridSpan w:val="2"/>
            <w:noWrap w:val="0"/>
            <w:vAlign w:val="center"/>
          </w:tcPr>
          <w:p w14:paraId="46D006D7">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c>
          <w:tcPr>
            <w:tcW w:w="2330" w:type="dxa"/>
            <w:gridSpan w:val="2"/>
            <w:noWrap w:val="0"/>
            <w:vAlign w:val="center"/>
          </w:tcPr>
          <w:p w14:paraId="7A3D1835">
            <w:pPr>
              <w:pageBreakBefore w:val="0"/>
              <w:wordWrap w:val="0"/>
              <w:autoSpaceDE w:val="0"/>
              <w:autoSpaceDN w:val="0"/>
              <w:bidi w:val="0"/>
              <w:adjustRightInd w:val="0"/>
              <w:spacing w:line="400" w:lineRule="exact"/>
              <w:ind w:right="-34" w:rightChars="-16"/>
              <w:jc w:val="center"/>
              <w:rPr>
                <w:rFonts w:hint="eastAsia" w:ascii="宋体" w:hAnsi="宋体" w:eastAsia="宋体" w:cs="宋体"/>
                <w:color w:val="auto"/>
                <w:kern w:val="0"/>
                <w:highlight w:val="none"/>
              </w:rPr>
            </w:pPr>
          </w:p>
        </w:tc>
      </w:tr>
    </w:tbl>
    <w:p w14:paraId="6A318A1D">
      <w:pPr>
        <w:pageBreakBefore w:val="0"/>
        <w:wordWrap w:val="0"/>
        <w:autoSpaceDE w:val="0"/>
        <w:autoSpaceDN w:val="0"/>
        <w:bidi w:val="0"/>
        <w:adjustRightInd w:val="0"/>
        <w:spacing w:line="400" w:lineRule="exact"/>
        <w:ind w:right="-34" w:rightChars="-16"/>
        <w:jc w:val="left"/>
        <w:rPr>
          <w:rFonts w:hint="eastAsia" w:ascii="宋体" w:hAnsi="宋体" w:eastAsia="宋体" w:cs="宋体"/>
          <w:color w:val="auto"/>
          <w:kern w:val="0"/>
          <w:sz w:val="18"/>
          <w:highlight w:val="none"/>
        </w:rPr>
      </w:pPr>
    </w:p>
    <w:p w14:paraId="6BF1B001">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4"/>
          <w:szCs w:val="18"/>
          <w:highlight w:val="none"/>
        </w:rPr>
        <w:br w:type="page"/>
      </w:r>
      <w:r>
        <w:rPr>
          <w:rFonts w:hint="eastAsia" w:ascii="宋体" w:hAnsi="宋体" w:eastAsia="宋体" w:cs="宋体"/>
          <w:b/>
          <w:color w:val="auto"/>
          <w:kern w:val="0"/>
          <w:sz w:val="30"/>
          <w:szCs w:val="30"/>
          <w:highlight w:val="none"/>
        </w:rPr>
        <w:t>（三）其他</w:t>
      </w:r>
    </w:p>
    <w:p w14:paraId="6858C481">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28"/>
          <w:highlight w:val="none"/>
        </w:rPr>
      </w:pPr>
      <w:r>
        <w:rPr>
          <w:rFonts w:hint="eastAsia" w:ascii="宋体" w:hAnsi="宋体" w:eastAsia="宋体" w:cs="宋体"/>
          <w:color w:val="auto"/>
          <w:kern w:val="0"/>
          <w:sz w:val="28"/>
          <w:highlight w:val="none"/>
        </w:rPr>
        <w:br w:type="page"/>
      </w:r>
      <w:bookmarkStart w:id="195" w:name="_Toc3325"/>
      <w:bookmarkStart w:id="196" w:name="_Toc27744"/>
      <w:r>
        <w:rPr>
          <w:rFonts w:hint="eastAsia" w:ascii="宋体" w:hAnsi="宋体" w:cs="宋体"/>
          <w:b/>
          <w:color w:val="auto"/>
          <w:kern w:val="0"/>
          <w:sz w:val="32"/>
          <w:highlight w:val="none"/>
          <w:lang w:eastAsia="zh-CN"/>
        </w:rPr>
        <w:t>八</w:t>
      </w:r>
      <w:r>
        <w:rPr>
          <w:rFonts w:hint="eastAsia" w:ascii="宋体" w:hAnsi="宋体" w:eastAsia="宋体" w:cs="宋体"/>
          <w:b/>
          <w:color w:val="auto"/>
          <w:kern w:val="0"/>
          <w:sz w:val="32"/>
          <w:highlight w:val="none"/>
        </w:rPr>
        <w:t>、资格审查资料</w:t>
      </w:r>
      <w:bookmarkEnd w:id="195"/>
      <w:bookmarkEnd w:id="196"/>
    </w:p>
    <w:p w14:paraId="51EDB218">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rPr>
        <w:t>（一）投标人基本情况表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14:paraId="1BBF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52388EE8">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w:t>
            </w:r>
          </w:p>
        </w:tc>
        <w:tc>
          <w:tcPr>
            <w:tcW w:w="7761" w:type="dxa"/>
            <w:gridSpan w:val="7"/>
            <w:noWrap w:val="0"/>
            <w:vAlign w:val="center"/>
          </w:tcPr>
          <w:p w14:paraId="0814284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5EE51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3405743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注册地址</w:t>
            </w:r>
          </w:p>
        </w:tc>
        <w:tc>
          <w:tcPr>
            <w:tcW w:w="3768" w:type="dxa"/>
            <w:gridSpan w:val="3"/>
            <w:noWrap w:val="0"/>
            <w:vAlign w:val="center"/>
          </w:tcPr>
          <w:p w14:paraId="54CD030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gridSpan w:val="2"/>
            <w:noWrap w:val="0"/>
            <w:vAlign w:val="center"/>
          </w:tcPr>
          <w:p w14:paraId="7C002C3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2662" w:type="dxa"/>
            <w:gridSpan w:val="2"/>
            <w:noWrap w:val="0"/>
            <w:vAlign w:val="center"/>
          </w:tcPr>
          <w:p w14:paraId="532231A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4C082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noWrap w:val="0"/>
            <w:vAlign w:val="center"/>
          </w:tcPr>
          <w:p w14:paraId="5AAF8B9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联系方式</w:t>
            </w:r>
          </w:p>
        </w:tc>
        <w:tc>
          <w:tcPr>
            <w:tcW w:w="1107" w:type="dxa"/>
            <w:noWrap w:val="0"/>
            <w:vAlign w:val="center"/>
          </w:tcPr>
          <w:p w14:paraId="7837847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w:t>
            </w:r>
          </w:p>
        </w:tc>
        <w:tc>
          <w:tcPr>
            <w:tcW w:w="2661" w:type="dxa"/>
            <w:gridSpan w:val="2"/>
            <w:noWrap w:val="0"/>
            <w:vAlign w:val="center"/>
          </w:tcPr>
          <w:p w14:paraId="448121A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gridSpan w:val="2"/>
            <w:noWrap w:val="0"/>
            <w:vAlign w:val="center"/>
          </w:tcPr>
          <w:p w14:paraId="695C173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p>
        </w:tc>
        <w:tc>
          <w:tcPr>
            <w:tcW w:w="2662" w:type="dxa"/>
            <w:gridSpan w:val="2"/>
            <w:noWrap w:val="0"/>
            <w:vAlign w:val="center"/>
          </w:tcPr>
          <w:p w14:paraId="6E97DD0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D091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noWrap w:val="0"/>
            <w:vAlign w:val="center"/>
          </w:tcPr>
          <w:p w14:paraId="2E7DAD3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7" w:type="dxa"/>
            <w:noWrap w:val="0"/>
            <w:vAlign w:val="center"/>
          </w:tcPr>
          <w:p w14:paraId="76F6CA6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  真</w:t>
            </w:r>
          </w:p>
        </w:tc>
        <w:tc>
          <w:tcPr>
            <w:tcW w:w="2661" w:type="dxa"/>
            <w:gridSpan w:val="2"/>
            <w:noWrap w:val="0"/>
            <w:vAlign w:val="center"/>
          </w:tcPr>
          <w:p w14:paraId="7A83B8D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gridSpan w:val="2"/>
            <w:noWrap w:val="0"/>
            <w:vAlign w:val="center"/>
          </w:tcPr>
          <w:p w14:paraId="3E7DA21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网 址</w:t>
            </w:r>
          </w:p>
        </w:tc>
        <w:tc>
          <w:tcPr>
            <w:tcW w:w="2662" w:type="dxa"/>
            <w:gridSpan w:val="2"/>
            <w:noWrap w:val="0"/>
            <w:vAlign w:val="center"/>
          </w:tcPr>
          <w:p w14:paraId="389618A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58440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2B4BFC76">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组织结构</w:t>
            </w:r>
          </w:p>
        </w:tc>
        <w:tc>
          <w:tcPr>
            <w:tcW w:w="7761" w:type="dxa"/>
            <w:gridSpan w:val="7"/>
            <w:noWrap w:val="0"/>
            <w:vAlign w:val="center"/>
          </w:tcPr>
          <w:p w14:paraId="2BEB617D">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14DA9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2A0C927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1107" w:type="dxa"/>
            <w:noWrap w:val="0"/>
            <w:vAlign w:val="center"/>
          </w:tcPr>
          <w:p w14:paraId="3EB0037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330" w:type="dxa"/>
            <w:noWrap w:val="0"/>
            <w:vAlign w:val="center"/>
          </w:tcPr>
          <w:p w14:paraId="7432C43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noWrap w:val="0"/>
            <w:vAlign w:val="center"/>
          </w:tcPr>
          <w:p w14:paraId="5CFFEAA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技术职称</w:t>
            </w:r>
          </w:p>
        </w:tc>
        <w:tc>
          <w:tcPr>
            <w:tcW w:w="1331" w:type="dxa"/>
            <w:gridSpan w:val="2"/>
            <w:noWrap w:val="0"/>
            <w:vAlign w:val="center"/>
          </w:tcPr>
          <w:p w14:paraId="5F618A9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noWrap w:val="0"/>
            <w:vAlign w:val="center"/>
          </w:tcPr>
          <w:p w14:paraId="6942EA9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电话</w:t>
            </w:r>
          </w:p>
        </w:tc>
        <w:tc>
          <w:tcPr>
            <w:tcW w:w="1331" w:type="dxa"/>
            <w:noWrap w:val="0"/>
            <w:vAlign w:val="center"/>
          </w:tcPr>
          <w:p w14:paraId="37D59B8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7AD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7471F05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项目总监</w:t>
            </w:r>
          </w:p>
        </w:tc>
        <w:tc>
          <w:tcPr>
            <w:tcW w:w="1107" w:type="dxa"/>
            <w:noWrap w:val="0"/>
            <w:vAlign w:val="center"/>
          </w:tcPr>
          <w:p w14:paraId="5C68B89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330" w:type="dxa"/>
            <w:noWrap w:val="0"/>
            <w:vAlign w:val="center"/>
          </w:tcPr>
          <w:p w14:paraId="23111C6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noWrap w:val="0"/>
            <w:vAlign w:val="center"/>
          </w:tcPr>
          <w:p w14:paraId="65C5B53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技术职称</w:t>
            </w:r>
          </w:p>
        </w:tc>
        <w:tc>
          <w:tcPr>
            <w:tcW w:w="1331" w:type="dxa"/>
            <w:gridSpan w:val="2"/>
            <w:noWrap w:val="0"/>
            <w:vAlign w:val="center"/>
          </w:tcPr>
          <w:p w14:paraId="3E55B309">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331" w:type="dxa"/>
            <w:noWrap w:val="0"/>
            <w:vAlign w:val="center"/>
          </w:tcPr>
          <w:p w14:paraId="14BB854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电话</w:t>
            </w:r>
          </w:p>
        </w:tc>
        <w:tc>
          <w:tcPr>
            <w:tcW w:w="1331" w:type="dxa"/>
            <w:noWrap w:val="0"/>
            <w:vAlign w:val="center"/>
          </w:tcPr>
          <w:p w14:paraId="673DA23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7BF2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5A59CCB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成立时间</w:t>
            </w:r>
          </w:p>
        </w:tc>
        <w:tc>
          <w:tcPr>
            <w:tcW w:w="3768" w:type="dxa"/>
            <w:gridSpan w:val="3"/>
            <w:noWrap w:val="0"/>
            <w:vAlign w:val="center"/>
          </w:tcPr>
          <w:p w14:paraId="0669C09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3993" w:type="dxa"/>
            <w:gridSpan w:val="4"/>
            <w:noWrap w:val="0"/>
            <w:vAlign w:val="center"/>
          </w:tcPr>
          <w:p w14:paraId="68CC363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员工总人数：</w:t>
            </w:r>
          </w:p>
        </w:tc>
      </w:tr>
      <w:tr w14:paraId="4B8A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578AB7B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企业资质等级</w:t>
            </w:r>
          </w:p>
        </w:tc>
        <w:tc>
          <w:tcPr>
            <w:tcW w:w="3768" w:type="dxa"/>
            <w:gridSpan w:val="3"/>
            <w:noWrap w:val="0"/>
            <w:vAlign w:val="center"/>
          </w:tcPr>
          <w:p w14:paraId="087975A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6" w:type="dxa"/>
            <w:vMerge w:val="restart"/>
            <w:noWrap w:val="0"/>
            <w:vAlign w:val="center"/>
          </w:tcPr>
          <w:p w14:paraId="5FB46CF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其中</w:t>
            </w:r>
          </w:p>
        </w:tc>
        <w:tc>
          <w:tcPr>
            <w:tcW w:w="1556" w:type="dxa"/>
            <w:gridSpan w:val="2"/>
            <w:noWrap w:val="0"/>
            <w:vAlign w:val="center"/>
          </w:tcPr>
          <w:p w14:paraId="70A7304B">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项目总监</w:t>
            </w:r>
          </w:p>
        </w:tc>
        <w:tc>
          <w:tcPr>
            <w:tcW w:w="1331" w:type="dxa"/>
            <w:noWrap w:val="0"/>
            <w:vAlign w:val="center"/>
          </w:tcPr>
          <w:p w14:paraId="1B8A4CE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6E17A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01E4AFA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营业执照号</w:t>
            </w:r>
          </w:p>
        </w:tc>
        <w:tc>
          <w:tcPr>
            <w:tcW w:w="3768" w:type="dxa"/>
            <w:gridSpan w:val="3"/>
            <w:noWrap w:val="0"/>
            <w:vAlign w:val="center"/>
          </w:tcPr>
          <w:p w14:paraId="2844B150">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6" w:type="dxa"/>
            <w:vMerge w:val="continue"/>
            <w:noWrap w:val="0"/>
            <w:vAlign w:val="center"/>
          </w:tcPr>
          <w:p w14:paraId="1E6CF48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6" w:type="dxa"/>
            <w:gridSpan w:val="2"/>
            <w:noWrap w:val="0"/>
            <w:vAlign w:val="center"/>
          </w:tcPr>
          <w:p w14:paraId="2DB506EF">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高级职称人员</w:t>
            </w:r>
          </w:p>
        </w:tc>
        <w:tc>
          <w:tcPr>
            <w:tcW w:w="1331" w:type="dxa"/>
            <w:noWrap w:val="0"/>
            <w:vAlign w:val="center"/>
          </w:tcPr>
          <w:p w14:paraId="56EEB25C">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01019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0F4776A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注册资金</w:t>
            </w:r>
          </w:p>
        </w:tc>
        <w:tc>
          <w:tcPr>
            <w:tcW w:w="3768" w:type="dxa"/>
            <w:gridSpan w:val="3"/>
            <w:noWrap w:val="0"/>
            <w:vAlign w:val="center"/>
          </w:tcPr>
          <w:p w14:paraId="5CCDB706">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6" w:type="dxa"/>
            <w:vMerge w:val="continue"/>
            <w:noWrap w:val="0"/>
            <w:vAlign w:val="center"/>
          </w:tcPr>
          <w:p w14:paraId="7277D385">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6" w:type="dxa"/>
            <w:gridSpan w:val="2"/>
            <w:noWrap w:val="0"/>
            <w:vAlign w:val="center"/>
          </w:tcPr>
          <w:p w14:paraId="3E27F50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中级职称人员</w:t>
            </w:r>
          </w:p>
        </w:tc>
        <w:tc>
          <w:tcPr>
            <w:tcW w:w="1331" w:type="dxa"/>
            <w:noWrap w:val="0"/>
            <w:vAlign w:val="center"/>
          </w:tcPr>
          <w:p w14:paraId="11D1A1A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1C974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7212A293">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p>
        </w:tc>
        <w:tc>
          <w:tcPr>
            <w:tcW w:w="3768" w:type="dxa"/>
            <w:gridSpan w:val="3"/>
            <w:noWrap w:val="0"/>
            <w:vAlign w:val="center"/>
          </w:tcPr>
          <w:p w14:paraId="2740CDB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6" w:type="dxa"/>
            <w:vMerge w:val="continue"/>
            <w:noWrap w:val="0"/>
            <w:vAlign w:val="center"/>
          </w:tcPr>
          <w:p w14:paraId="2D4EFB5A">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6" w:type="dxa"/>
            <w:gridSpan w:val="2"/>
            <w:noWrap w:val="0"/>
            <w:vAlign w:val="center"/>
          </w:tcPr>
          <w:p w14:paraId="033FDA3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初级职称人员</w:t>
            </w:r>
          </w:p>
        </w:tc>
        <w:tc>
          <w:tcPr>
            <w:tcW w:w="1331" w:type="dxa"/>
            <w:noWrap w:val="0"/>
            <w:vAlign w:val="center"/>
          </w:tcPr>
          <w:p w14:paraId="716E90E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2F58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1D26DAE1">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w:t>
            </w:r>
          </w:p>
        </w:tc>
        <w:tc>
          <w:tcPr>
            <w:tcW w:w="3768" w:type="dxa"/>
            <w:gridSpan w:val="3"/>
            <w:noWrap w:val="0"/>
            <w:vAlign w:val="center"/>
          </w:tcPr>
          <w:p w14:paraId="00FA6D3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106" w:type="dxa"/>
            <w:vMerge w:val="continue"/>
            <w:noWrap w:val="0"/>
            <w:vAlign w:val="center"/>
          </w:tcPr>
          <w:p w14:paraId="582CA2F8">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c>
          <w:tcPr>
            <w:tcW w:w="1556" w:type="dxa"/>
            <w:gridSpan w:val="2"/>
            <w:noWrap w:val="0"/>
            <w:vAlign w:val="center"/>
          </w:tcPr>
          <w:p w14:paraId="4FAAC00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 工</w:t>
            </w:r>
          </w:p>
        </w:tc>
        <w:tc>
          <w:tcPr>
            <w:tcW w:w="1331" w:type="dxa"/>
            <w:noWrap w:val="0"/>
            <w:vAlign w:val="center"/>
          </w:tcPr>
          <w:p w14:paraId="033010E7">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54A5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1" w:hRule="atLeast"/>
          <w:jc w:val="center"/>
        </w:trPr>
        <w:tc>
          <w:tcPr>
            <w:tcW w:w="1552" w:type="dxa"/>
            <w:noWrap w:val="0"/>
            <w:vAlign w:val="center"/>
          </w:tcPr>
          <w:p w14:paraId="3A8EC472">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经营范围</w:t>
            </w:r>
          </w:p>
        </w:tc>
        <w:tc>
          <w:tcPr>
            <w:tcW w:w="7761" w:type="dxa"/>
            <w:gridSpan w:val="7"/>
            <w:noWrap w:val="0"/>
            <w:vAlign w:val="center"/>
          </w:tcPr>
          <w:p w14:paraId="60181D1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r w14:paraId="2D4F4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552" w:type="dxa"/>
            <w:noWrap w:val="0"/>
            <w:vAlign w:val="center"/>
          </w:tcPr>
          <w:p w14:paraId="67A84274">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c>
          <w:tcPr>
            <w:tcW w:w="7761" w:type="dxa"/>
            <w:gridSpan w:val="7"/>
            <w:noWrap w:val="0"/>
            <w:vAlign w:val="center"/>
          </w:tcPr>
          <w:p w14:paraId="1BCC517E">
            <w:pPr>
              <w:autoSpaceDE w:val="0"/>
              <w:autoSpaceDN w:val="0"/>
              <w:adjustRightInd w:val="0"/>
              <w:spacing w:line="400" w:lineRule="exact"/>
              <w:ind w:right="-34" w:rightChars="-16"/>
              <w:jc w:val="center"/>
              <w:rPr>
                <w:rFonts w:hint="eastAsia" w:ascii="宋体" w:hAnsi="宋体" w:eastAsia="宋体" w:cs="宋体"/>
                <w:color w:val="auto"/>
                <w:kern w:val="0"/>
                <w:sz w:val="24"/>
                <w:szCs w:val="24"/>
                <w:highlight w:val="none"/>
              </w:rPr>
            </w:pPr>
          </w:p>
        </w:tc>
      </w:tr>
    </w:tbl>
    <w:p w14:paraId="13D64373">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8"/>
          <w:highlight w:val="none"/>
        </w:rPr>
        <w:br w:type="page"/>
      </w:r>
      <w:r>
        <w:rPr>
          <w:rFonts w:hint="eastAsia" w:ascii="宋体" w:hAnsi="宋体" w:eastAsia="宋体" w:cs="宋体"/>
          <w:b/>
          <w:color w:val="auto"/>
          <w:kern w:val="0"/>
          <w:sz w:val="30"/>
          <w:szCs w:val="30"/>
          <w:highlight w:val="none"/>
        </w:rPr>
        <w:t>（二）近年财务状况表</w:t>
      </w:r>
    </w:p>
    <w:p w14:paraId="0EEF83A5">
      <w:pPr>
        <w:numPr>
          <w:ilvl w:val="0"/>
          <w:numId w:val="0"/>
        </w:numPr>
        <w:ind w:left="0" w:leftChars="0" w:right="0" w:rightChars="0" w:firstLine="0" w:firstLineChars="0"/>
        <w:jc w:val="center"/>
        <w:outlineLvl w:val="9"/>
        <w:rPr>
          <w:rFonts w:hint="eastAsia" w:ascii="宋体" w:hAnsi="宋体" w:eastAsia="宋体"/>
          <w:b w:val="0"/>
          <w:color w:val="auto"/>
          <w:sz w:val="28"/>
          <w:highlight w:val="none"/>
        </w:rPr>
      </w:pPr>
      <w:r>
        <w:rPr>
          <w:rFonts w:hint="eastAsia" w:ascii="宋体" w:hAnsi="宋体" w:eastAsia="宋体" w:cs="宋体"/>
          <w:color w:val="auto"/>
          <w:kern w:val="0"/>
          <w:sz w:val="28"/>
          <w:highlight w:val="none"/>
        </w:rPr>
        <w:br w:type="page"/>
      </w:r>
      <w:r>
        <w:rPr>
          <w:rFonts w:hint="eastAsia" w:ascii="宋体" w:hAnsi="宋体" w:eastAsia="宋体" w:cs="宋体"/>
          <w:b/>
          <w:color w:val="auto"/>
          <w:kern w:val="0"/>
          <w:sz w:val="30"/>
          <w:szCs w:val="30"/>
          <w:highlight w:val="none"/>
        </w:rPr>
        <w:t>（三）企业</w:t>
      </w:r>
      <w:r>
        <w:rPr>
          <w:rFonts w:hint="eastAsia" w:ascii="宋体" w:hAnsi="宋体" w:eastAsia="宋体" w:cs="宋体"/>
          <w:b/>
          <w:color w:val="auto"/>
          <w:kern w:val="0"/>
          <w:sz w:val="30"/>
          <w:szCs w:val="30"/>
          <w:highlight w:val="none"/>
          <w:lang w:val="en-US" w:eastAsia="zh-CN"/>
        </w:rPr>
        <w:t>2023</w:t>
      </w:r>
      <w:r>
        <w:rPr>
          <w:rFonts w:hint="eastAsia" w:ascii="宋体" w:hAnsi="宋体" w:eastAsia="宋体" w:cs="宋体"/>
          <w:b/>
          <w:color w:val="auto"/>
          <w:kern w:val="0"/>
          <w:sz w:val="30"/>
          <w:szCs w:val="30"/>
          <w:highlight w:val="none"/>
        </w:rPr>
        <w:t>年以来承担过的主要建设项目监理业绩</w:t>
      </w:r>
    </w:p>
    <w:tbl>
      <w:tblPr>
        <w:tblStyle w:val="25"/>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8"/>
        <w:gridCol w:w="1351"/>
        <w:gridCol w:w="1179"/>
        <w:gridCol w:w="983"/>
        <w:gridCol w:w="987"/>
        <w:gridCol w:w="1542"/>
        <w:gridCol w:w="1439"/>
      </w:tblGrid>
      <w:tr w14:paraId="60EB1A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998" w:type="dxa"/>
            <w:noWrap w:val="0"/>
            <w:vAlign w:val="center"/>
          </w:tcPr>
          <w:p w14:paraId="2F10C464">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项目名称</w:t>
            </w:r>
          </w:p>
        </w:tc>
        <w:tc>
          <w:tcPr>
            <w:tcW w:w="1351" w:type="dxa"/>
            <w:noWrap w:val="0"/>
            <w:vAlign w:val="center"/>
          </w:tcPr>
          <w:p w14:paraId="33510160">
            <w:pPr>
              <w:snapToGrid w:val="0"/>
              <w:spacing w:before="50" w:after="50" w:line="440" w:lineRule="exact"/>
              <w:ind w:right="-113" w:rightChars="-54"/>
              <w:jc w:val="center"/>
              <w:rPr>
                <w:rFonts w:hint="eastAsia" w:ascii="宋体" w:hAnsi="宋体"/>
                <w:color w:val="auto"/>
                <w:sz w:val="24"/>
                <w:highlight w:val="none"/>
              </w:rPr>
            </w:pPr>
            <w:r>
              <w:rPr>
                <w:rFonts w:hint="eastAsia" w:ascii="宋体" w:hAnsi="宋体"/>
                <w:color w:val="auto"/>
                <w:sz w:val="24"/>
                <w:highlight w:val="none"/>
              </w:rPr>
              <w:t>总造价</w:t>
            </w:r>
          </w:p>
          <w:p w14:paraId="7009F017">
            <w:pPr>
              <w:snapToGrid w:val="0"/>
              <w:spacing w:before="50" w:after="50" w:line="440" w:lineRule="exact"/>
              <w:ind w:right="-113" w:rightChars="-54"/>
              <w:jc w:val="center"/>
              <w:rPr>
                <w:rFonts w:hint="eastAsia" w:ascii="宋体" w:hAnsi="宋体"/>
                <w:color w:val="auto"/>
                <w:sz w:val="24"/>
                <w:highlight w:val="none"/>
              </w:rPr>
            </w:pPr>
            <w:r>
              <w:rPr>
                <w:rFonts w:hint="eastAsia" w:ascii="宋体" w:hAnsi="宋体"/>
                <w:color w:val="auto"/>
                <w:sz w:val="24"/>
                <w:highlight w:val="none"/>
              </w:rPr>
              <w:t>（万元）</w:t>
            </w:r>
          </w:p>
        </w:tc>
        <w:tc>
          <w:tcPr>
            <w:tcW w:w="1179" w:type="dxa"/>
            <w:noWrap w:val="0"/>
            <w:vAlign w:val="center"/>
          </w:tcPr>
          <w:p w14:paraId="13662BA4">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规模</w:t>
            </w:r>
          </w:p>
          <w:p w14:paraId="53C0E269">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m</w:t>
            </w:r>
            <w:r>
              <w:rPr>
                <w:rFonts w:ascii="宋体" w:hAnsi="宋体"/>
                <w:color w:val="auto"/>
                <w:sz w:val="24"/>
                <w:highlight w:val="none"/>
                <w:vertAlign w:val="superscript"/>
              </w:rPr>
              <w:t>2</w:t>
            </w:r>
            <w:r>
              <w:rPr>
                <w:rFonts w:hint="eastAsia" w:ascii="宋体" w:hAnsi="宋体"/>
                <w:color w:val="auto"/>
                <w:sz w:val="24"/>
                <w:highlight w:val="none"/>
              </w:rPr>
              <w:t>）</w:t>
            </w:r>
          </w:p>
        </w:tc>
        <w:tc>
          <w:tcPr>
            <w:tcW w:w="983" w:type="dxa"/>
            <w:noWrap w:val="0"/>
            <w:vAlign w:val="center"/>
          </w:tcPr>
          <w:p w14:paraId="4BAE1991">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地点</w:t>
            </w:r>
          </w:p>
        </w:tc>
        <w:tc>
          <w:tcPr>
            <w:tcW w:w="987" w:type="dxa"/>
            <w:noWrap w:val="0"/>
            <w:vAlign w:val="center"/>
          </w:tcPr>
          <w:p w14:paraId="7CADD244">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建设</w:t>
            </w:r>
          </w:p>
          <w:p w14:paraId="2CC680A3">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单位</w:t>
            </w:r>
          </w:p>
        </w:tc>
        <w:tc>
          <w:tcPr>
            <w:tcW w:w="1542" w:type="dxa"/>
            <w:noWrap w:val="0"/>
            <w:vAlign w:val="center"/>
          </w:tcPr>
          <w:p w14:paraId="63F90E51">
            <w:pPr>
              <w:snapToGrid w:val="0"/>
              <w:spacing w:before="50" w:after="50" w:line="440" w:lineRule="exact"/>
              <w:jc w:val="center"/>
              <w:rPr>
                <w:rFonts w:hint="eastAsia" w:ascii="宋体" w:hAnsi="宋体"/>
                <w:color w:val="auto"/>
                <w:sz w:val="24"/>
                <w:highlight w:val="none"/>
              </w:rPr>
            </w:pPr>
            <w:r>
              <w:rPr>
                <w:rFonts w:hint="eastAsia" w:ascii="宋体" w:hAnsi="宋体"/>
                <w:color w:val="auto"/>
                <w:sz w:val="24"/>
                <w:highlight w:val="none"/>
              </w:rPr>
              <w:t>竣工日期</w:t>
            </w:r>
          </w:p>
        </w:tc>
        <w:tc>
          <w:tcPr>
            <w:tcW w:w="1439" w:type="dxa"/>
            <w:noWrap w:val="0"/>
            <w:vAlign w:val="center"/>
          </w:tcPr>
          <w:p w14:paraId="09D5B068">
            <w:pPr>
              <w:snapToGrid w:val="0"/>
              <w:spacing w:before="50" w:after="50" w:line="440" w:lineRule="exact"/>
              <w:ind w:left="211" w:hanging="211" w:hangingChars="88"/>
              <w:jc w:val="center"/>
              <w:rPr>
                <w:rFonts w:hint="eastAsia" w:ascii="宋体" w:hAnsi="宋体"/>
                <w:color w:val="auto"/>
                <w:sz w:val="24"/>
                <w:highlight w:val="none"/>
              </w:rPr>
            </w:pPr>
            <w:r>
              <w:rPr>
                <w:rFonts w:hint="eastAsia" w:ascii="宋体" w:hAnsi="宋体"/>
                <w:color w:val="auto"/>
                <w:sz w:val="24"/>
                <w:highlight w:val="none"/>
              </w:rPr>
              <w:t>质量等级</w:t>
            </w:r>
          </w:p>
        </w:tc>
      </w:tr>
      <w:tr w14:paraId="1FFB8A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1AA35852">
            <w:pPr>
              <w:spacing w:before="50" w:after="50" w:line="500" w:lineRule="exact"/>
              <w:jc w:val="left"/>
              <w:rPr>
                <w:rFonts w:hint="eastAsia" w:ascii="宋体" w:hAnsi="宋体"/>
                <w:color w:val="auto"/>
                <w:sz w:val="24"/>
                <w:highlight w:val="none"/>
              </w:rPr>
            </w:pPr>
          </w:p>
        </w:tc>
        <w:tc>
          <w:tcPr>
            <w:tcW w:w="1351" w:type="dxa"/>
            <w:noWrap w:val="0"/>
            <w:vAlign w:val="top"/>
          </w:tcPr>
          <w:p w14:paraId="30A36F83">
            <w:pPr>
              <w:spacing w:before="50" w:after="50" w:line="500" w:lineRule="exact"/>
              <w:jc w:val="left"/>
              <w:rPr>
                <w:rFonts w:hint="eastAsia" w:ascii="宋体" w:hAnsi="宋体"/>
                <w:color w:val="auto"/>
                <w:sz w:val="24"/>
                <w:highlight w:val="none"/>
              </w:rPr>
            </w:pPr>
          </w:p>
        </w:tc>
        <w:tc>
          <w:tcPr>
            <w:tcW w:w="1179" w:type="dxa"/>
            <w:noWrap w:val="0"/>
            <w:vAlign w:val="top"/>
          </w:tcPr>
          <w:p w14:paraId="03B129BB">
            <w:pPr>
              <w:spacing w:before="50" w:after="50" w:line="500" w:lineRule="exact"/>
              <w:jc w:val="left"/>
              <w:rPr>
                <w:rFonts w:hint="eastAsia" w:ascii="宋体" w:hAnsi="宋体"/>
                <w:color w:val="auto"/>
                <w:sz w:val="24"/>
                <w:highlight w:val="none"/>
              </w:rPr>
            </w:pPr>
          </w:p>
        </w:tc>
        <w:tc>
          <w:tcPr>
            <w:tcW w:w="983" w:type="dxa"/>
            <w:noWrap w:val="0"/>
            <w:vAlign w:val="top"/>
          </w:tcPr>
          <w:p w14:paraId="7B2774D5">
            <w:pPr>
              <w:spacing w:before="50" w:after="50" w:line="500" w:lineRule="exact"/>
              <w:jc w:val="left"/>
              <w:rPr>
                <w:rFonts w:hint="eastAsia" w:ascii="宋体" w:hAnsi="宋体"/>
                <w:color w:val="auto"/>
                <w:sz w:val="24"/>
                <w:highlight w:val="none"/>
              </w:rPr>
            </w:pPr>
          </w:p>
        </w:tc>
        <w:tc>
          <w:tcPr>
            <w:tcW w:w="987" w:type="dxa"/>
            <w:noWrap w:val="0"/>
            <w:vAlign w:val="top"/>
          </w:tcPr>
          <w:p w14:paraId="15793318">
            <w:pPr>
              <w:spacing w:before="50" w:after="50" w:line="500" w:lineRule="exact"/>
              <w:jc w:val="left"/>
              <w:rPr>
                <w:rFonts w:hint="eastAsia" w:ascii="宋体" w:hAnsi="宋体"/>
                <w:color w:val="auto"/>
                <w:sz w:val="24"/>
                <w:highlight w:val="none"/>
              </w:rPr>
            </w:pPr>
          </w:p>
        </w:tc>
        <w:tc>
          <w:tcPr>
            <w:tcW w:w="1542" w:type="dxa"/>
            <w:noWrap w:val="0"/>
            <w:vAlign w:val="top"/>
          </w:tcPr>
          <w:p w14:paraId="495D96B5">
            <w:pPr>
              <w:spacing w:before="50" w:after="50" w:line="500" w:lineRule="exact"/>
              <w:jc w:val="left"/>
              <w:rPr>
                <w:rFonts w:hint="eastAsia" w:ascii="宋体" w:hAnsi="宋体"/>
                <w:color w:val="auto"/>
                <w:sz w:val="24"/>
                <w:highlight w:val="none"/>
              </w:rPr>
            </w:pPr>
          </w:p>
        </w:tc>
        <w:tc>
          <w:tcPr>
            <w:tcW w:w="1439" w:type="dxa"/>
            <w:noWrap w:val="0"/>
            <w:vAlign w:val="top"/>
          </w:tcPr>
          <w:p w14:paraId="0A00673E">
            <w:pPr>
              <w:spacing w:before="50" w:after="50" w:line="500" w:lineRule="exact"/>
              <w:jc w:val="left"/>
              <w:rPr>
                <w:rFonts w:hint="eastAsia" w:ascii="宋体" w:hAnsi="宋体"/>
                <w:color w:val="auto"/>
                <w:sz w:val="24"/>
                <w:highlight w:val="none"/>
              </w:rPr>
            </w:pPr>
          </w:p>
        </w:tc>
      </w:tr>
      <w:tr w14:paraId="50B62B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3E950AC0">
            <w:pPr>
              <w:spacing w:before="50" w:after="50" w:line="500" w:lineRule="exact"/>
              <w:jc w:val="left"/>
              <w:rPr>
                <w:rFonts w:hint="eastAsia" w:ascii="宋体" w:hAnsi="宋体"/>
                <w:color w:val="auto"/>
                <w:sz w:val="24"/>
                <w:highlight w:val="none"/>
              </w:rPr>
            </w:pPr>
          </w:p>
        </w:tc>
        <w:tc>
          <w:tcPr>
            <w:tcW w:w="1351" w:type="dxa"/>
            <w:noWrap w:val="0"/>
            <w:vAlign w:val="top"/>
          </w:tcPr>
          <w:p w14:paraId="51409126">
            <w:pPr>
              <w:spacing w:before="50" w:after="50" w:line="500" w:lineRule="exact"/>
              <w:jc w:val="left"/>
              <w:rPr>
                <w:rFonts w:hint="eastAsia" w:ascii="宋体" w:hAnsi="宋体"/>
                <w:color w:val="auto"/>
                <w:sz w:val="24"/>
                <w:highlight w:val="none"/>
              </w:rPr>
            </w:pPr>
          </w:p>
        </w:tc>
        <w:tc>
          <w:tcPr>
            <w:tcW w:w="1179" w:type="dxa"/>
            <w:noWrap w:val="0"/>
            <w:vAlign w:val="top"/>
          </w:tcPr>
          <w:p w14:paraId="1F29EADF">
            <w:pPr>
              <w:spacing w:before="50" w:after="50" w:line="500" w:lineRule="exact"/>
              <w:jc w:val="left"/>
              <w:rPr>
                <w:rFonts w:hint="eastAsia" w:ascii="宋体" w:hAnsi="宋体"/>
                <w:color w:val="auto"/>
                <w:sz w:val="24"/>
                <w:highlight w:val="none"/>
              </w:rPr>
            </w:pPr>
          </w:p>
        </w:tc>
        <w:tc>
          <w:tcPr>
            <w:tcW w:w="983" w:type="dxa"/>
            <w:noWrap w:val="0"/>
            <w:vAlign w:val="top"/>
          </w:tcPr>
          <w:p w14:paraId="38F49718">
            <w:pPr>
              <w:spacing w:before="50" w:after="50" w:line="500" w:lineRule="exact"/>
              <w:jc w:val="left"/>
              <w:rPr>
                <w:rFonts w:hint="eastAsia" w:ascii="宋体" w:hAnsi="宋体"/>
                <w:color w:val="auto"/>
                <w:sz w:val="24"/>
                <w:highlight w:val="none"/>
              </w:rPr>
            </w:pPr>
          </w:p>
        </w:tc>
        <w:tc>
          <w:tcPr>
            <w:tcW w:w="987" w:type="dxa"/>
            <w:noWrap w:val="0"/>
            <w:vAlign w:val="top"/>
          </w:tcPr>
          <w:p w14:paraId="6BC62B03">
            <w:pPr>
              <w:spacing w:before="50" w:after="50" w:line="500" w:lineRule="exact"/>
              <w:jc w:val="left"/>
              <w:rPr>
                <w:rFonts w:hint="eastAsia" w:ascii="宋体" w:hAnsi="宋体"/>
                <w:color w:val="auto"/>
                <w:sz w:val="24"/>
                <w:highlight w:val="none"/>
              </w:rPr>
            </w:pPr>
          </w:p>
        </w:tc>
        <w:tc>
          <w:tcPr>
            <w:tcW w:w="1542" w:type="dxa"/>
            <w:noWrap w:val="0"/>
            <w:vAlign w:val="top"/>
          </w:tcPr>
          <w:p w14:paraId="1FBABE37">
            <w:pPr>
              <w:spacing w:before="50" w:after="50" w:line="500" w:lineRule="exact"/>
              <w:jc w:val="left"/>
              <w:rPr>
                <w:rFonts w:hint="eastAsia" w:ascii="宋体" w:hAnsi="宋体"/>
                <w:color w:val="auto"/>
                <w:sz w:val="24"/>
                <w:highlight w:val="none"/>
              </w:rPr>
            </w:pPr>
          </w:p>
        </w:tc>
        <w:tc>
          <w:tcPr>
            <w:tcW w:w="1439" w:type="dxa"/>
            <w:noWrap w:val="0"/>
            <w:vAlign w:val="top"/>
          </w:tcPr>
          <w:p w14:paraId="25101518">
            <w:pPr>
              <w:spacing w:before="50" w:after="50" w:line="500" w:lineRule="exact"/>
              <w:jc w:val="left"/>
              <w:rPr>
                <w:rFonts w:hint="eastAsia" w:ascii="宋体" w:hAnsi="宋体"/>
                <w:color w:val="auto"/>
                <w:sz w:val="24"/>
                <w:highlight w:val="none"/>
              </w:rPr>
            </w:pPr>
          </w:p>
        </w:tc>
      </w:tr>
      <w:tr w14:paraId="19FB17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2849AC68">
            <w:pPr>
              <w:spacing w:before="50" w:after="50" w:line="500" w:lineRule="exact"/>
              <w:jc w:val="left"/>
              <w:rPr>
                <w:rFonts w:hint="eastAsia" w:ascii="宋体" w:hAnsi="宋体"/>
                <w:color w:val="auto"/>
                <w:sz w:val="24"/>
                <w:highlight w:val="none"/>
              </w:rPr>
            </w:pPr>
          </w:p>
        </w:tc>
        <w:tc>
          <w:tcPr>
            <w:tcW w:w="1351" w:type="dxa"/>
            <w:noWrap w:val="0"/>
            <w:vAlign w:val="top"/>
          </w:tcPr>
          <w:p w14:paraId="25896033">
            <w:pPr>
              <w:spacing w:before="50" w:after="50" w:line="500" w:lineRule="exact"/>
              <w:jc w:val="left"/>
              <w:rPr>
                <w:rFonts w:hint="eastAsia" w:ascii="宋体" w:hAnsi="宋体"/>
                <w:color w:val="auto"/>
                <w:sz w:val="24"/>
                <w:highlight w:val="none"/>
              </w:rPr>
            </w:pPr>
          </w:p>
        </w:tc>
        <w:tc>
          <w:tcPr>
            <w:tcW w:w="1179" w:type="dxa"/>
            <w:noWrap w:val="0"/>
            <w:vAlign w:val="top"/>
          </w:tcPr>
          <w:p w14:paraId="309266DA">
            <w:pPr>
              <w:spacing w:before="50" w:after="50" w:line="500" w:lineRule="exact"/>
              <w:jc w:val="left"/>
              <w:rPr>
                <w:rFonts w:hint="eastAsia" w:ascii="宋体" w:hAnsi="宋体"/>
                <w:color w:val="auto"/>
                <w:sz w:val="24"/>
                <w:highlight w:val="none"/>
              </w:rPr>
            </w:pPr>
          </w:p>
        </w:tc>
        <w:tc>
          <w:tcPr>
            <w:tcW w:w="983" w:type="dxa"/>
            <w:noWrap w:val="0"/>
            <w:vAlign w:val="top"/>
          </w:tcPr>
          <w:p w14:paraId="68C70195">
            <w:pPr>
              <w:spacing w:before="50" w:after="50" w:line="500" w:lineRule="exact"/>
              <w:jc w:val="left"/>
              <w:rPr>
                <w:rFonts w:hint="eastAsia" w:ascii="宋体" w:hAnsi="宋体"/>
                <w:color w:val="auto"/>
                <w:sz w:val="24"/>
                <w:highlight w:val="none"/>
              </w:rPr>
            </w:pPr>
          </w:p>
        </w:tc>
        <w:tc>
          <w:tcPr>
            <w:tcW w:w="987" w:type="dxa"/>
            <w:noWrap w:val="0"/>
            <w:vAlign w:val="top"/>
          </w:tcPr>
          <w:p w14:paraId="4DB4CE62">
            <w:pPr>
              <w:spacing w:before="50" w:after="50" w:line="500" w:lineRule="exact"/>
              <w:jc w:val="left"/>
              <w:rPr>
                <w:rFonts w:hint="eastAsia" w:ascii="宋体" w:hAnsi="宋体"/>
                <w:color w:val="auto"/>
                <w:sz w:val="24"/>
                <w:highlight w:val="none"/>
              </w:rPr>
            </w:pPr>
          </w:p>
        </w:tc>
        <w:tc>
          <w:tcPr>
            <w:tcW w:w="1542" w:type="dxa"/>
            <w:noWrap w:val="0"/>
            <w:vAlign w:val="top"/>
          </w:tcPr>
          <w:p w14:paraId="40E0B9FB">
            <w:pPr>
              <w:spacing w:before="50" w:after="50" w:line="500" w:lineRule="exact"/>
              <w:jc w:val="left"/>
              <w:rPr>
                <w:rFonts w:hint="eastAsia" w:ascii="宋体" w:hAnsi="宋体"/>
                <w:color w:val="auto"/>
                <w:sz w:val="24"/>
                <w:highlight w:val="none"/>
              </w:rPr>
            </w:pPr>
          </w:p>
        </w:tc>
        <w:tc>
          <w:tcPr>
            <w:tcW w:w="1439" w:type="dxa"/>
            <w:noWrap w:val="0"/>
            <w:vAlign w:val="top"/>
          </w:tcPr>
          <w:p w14:paraId="67B7492B">
            <w:pPr>
              <w:spacing w:before="50" w:after="50" w:line="500" w:lineRule="exact"/>
              <w:jc w:val="left"/>
              <w:rPr>
                <w:rFonts w:hint="eastAsia" w:ascii="宋体" w:hAnsi="宋体"/>
                <w:color w:val="auto"/>
                <w:sz w:val="24"/>
                <w:highlight w:val="none"/>
              </w:rPr>
            </w:pPr>
          </w:p>
        </w:tc>
      </w:tr>
      <w:tr w14:paraId="06868E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98" w:type="dxa"/>
            <w:noWrap w:val="0"/>
            <w:vAlign w:val="top"/>
          </w:tcPr>
          <w:p w14:paraId="4F9C0DCD">
            <w:pPr>
              <w:spacing w:before="50" w:after="50" w:line="500" w:lineRule="exact"/>
              <w:jc w:val="left"/>
              <w:rPr>
                <w:rFonts w:hint="eastAsia" w:ascii="宋体" w:hAnsi="宋体"/>
                <w:color w:val="auto"/>
                <w:sz w:val="24"/>
                <w:highlight w:val="none"/>
              </w:rPr>
            </w:pPr>
          </w:p>
        </w:tc>
        <w:tc>
          <w:tcPr>
            <w:tcW w:w="1351" w:type="dxa"/>
            <w:noWrap w:val="0"/>
            <w:vAlign w:val="top"/>
          </w:tcPr>
          <w:p w14:paraId="3468E17A">
            <w:pPr>
              <w:spacing w:before="50" w:after="50" w:line="500" w:lineRule="exact"/>
              <w:jc w:val="left"/>
              <w:rPr>
                <w:rFonts w:hint="eastAsia" w:ascii="宋体" w:hAnsi="宋体"/>
                <w:color w:val="auto"/>
                <w:sz w:val="24"/>
                <w:highlight w:val="none"/>
              </w:rPr>
            </w:pPr>
          </w:p>
        </w:tc>
        <w:tc>
          <w:tcPr>
            <w:tcW w:w="1179" w:type="dxa"/>
            <w:noWrap w:val="0"/>
            <w:vAlign w:val="top"/>
          </w:tcPr>
          <w:p w14:paraId="788ECB5F">
            <w:pPr>
              <w:spacing w:before="50" w:after="50" w:line="500" w:lineRule="exact"/>
              <w:jc w:val="left"/>
              <w:rPr>
                <w:rFonts w:hint="eastAsia" w:ascii="宋体" w:hAnsi="宋体"/>
                <w:color w:val="auto"/>
                <w:sz w:val="24"/>
                <w:highlight w:val="none"/>
              </w:rPr>
            </w:pPr>
          </w:p>
        </w:tc>
        <w:tc>
          <w:tcPr>
            <w:tcW w:w="983" w:type="dxa"/>
            <w:noWrap w:val="0"/>
            <w:vAlign w:val="top"/>
          </w:tcPr>
          <w:p w14:paraId="613F7286">
            <w:pPr>
              <w:spacing w:before="50" w:after="50" w:line="500" w:lineRule="exact"/>
              <w:jc w:val="left"/>
              <w:rPr>
                <w:rFonts w:hint="eastAsia" w:ascii="宋体" w:hAnsi="宋体"/>
                <w:color w:val="auto"/>
                <w:sz w:val="24"/>
                <w:highlight w:val="none"/>
              </w:rPr>
            </w:pPr>
          </w:p>
        </w:tc>
        <w:tc>
          <w:tcPr>
            <w:tcW w:w="987" w:type="dxa"/>
            <w:noWrap w:val="0"/>
            <w:vAlign w:val="top"/>
          </w:tcPr>
          <w:p w14:paraId="3A7C3728">
            <w:pPr>
              <w:spacing w:before="50" w:after="50" w:line="500" w:lineRule="exact"/>
              <w:jc w:val="left"/>
              <w:rPr>
                <w:rFonts w:hint="eastAsia" w:ascii="宋体" w:hAnsi="宋体"/>
                <w:color w:val="auto"/>
                <w:sz w:val="24"/>
                <w:highlight w:val="none"/>
              </w:rPr>
            </w:pPr>
          </w:p>
        </w:tc>
        <w:tc>
          <w:tcPr>
            <w:tcW w:w="1542" w:type="dxa"/>
            <w:noWrap w:val="0"/>
            <w:vAlign w:val="top"/>
          </w:tcPr>
          <w:p w14:paraId="70241D8F">
            <w:pPr>
              <w:spacing w:before="50" w:after="50" w:line="500" w:lineRule="exact"/>
              <w:jc w:val="left"/>
              <w:rPr>
                <w:rFonts w:hint="eastAsia" w:ascii="宋体" w:hAnsi="宋体"/>
                <w:color w:val="auto"/>
                <w:sz w:val="24"/>
                <w:highlight w:val="none"/>
              </w:rPr>
            </w:pPr>
          </w:p>
        </w:tc>
        <w:tc>
          <w:tcPr>
            <w:tcW w:w="1439" w:type="dxa"/>
            <w:noWrap w:val="0"/>
            <w:vAlign w:val="top"/>
          </w:tcPr>
          <w:p w14:paraId="3B0DA665">
            <w:pPr>
              <w:spacing w:before="50" w:after="50" w:line="500" w:lineRule="exact"/>
              <w:jc w:val="left"/>
              <w:rPr>
                <w:rFonts w:hint="eastAsia" w:ascii="宋体" w:hAnsi="宋体"/>
                <w:color w:val="auto"/>
                <w:sz w:val="24"/>
                <w:highlight w:val="none"/>
              </w:rPr>
            </w:pPr>
          </w:p>
        </w:tc>
      </w:tr>
      <w:tr w14:paraId="5FEDF0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678FBD2B">
            <w:pPr>
              <w:spacing w:before="50" w:after="50" w:line="500" w:lineRule="exact"/>
              <w:jc w:val="left"/>
              <w:rPr>
                <w:rFonts w:hint="eastAsia" w:ascii="宋体" w:hAnsi="宋体"/>
                <w:color w:val="auto"/>
                <w:sz w:val="24"/>
                <w:highlight w:val="none"/>
              </w:rPr>
            </w:pPr>
          </w:p>
        </w:tc>
        <w:tc>
          <w:tcPr>
            <w:tcW w:w="1351" w:type="dxa"/>
            <w:noWrap w:val="0"/>
            <w:vAlign w:val="top"/>
          </w:tcPr>
          <w:p w14:paraId="5AAEE8B5">
            <w:pPr>
              <w:spacing w:before="50" w:after="50" w:line="500" w:lineRule="exact"/>
              <w:jc w:val="left"/>
              <w:rPr>
                <w:rFonts w:hint="eastAsia" w:ascii="宋体" w:hAnsi="宋体"/>
                <w:color w:val="auto"/>
                <w:sz w:val="24"/>
                <w:highlight w:val="none"/>
              </w:rPr>
            </w:pPr>
          </w:p>
        </w:tc>
        <w:tc>
          <w:tcPr>
            <w:tcW w:w="1179" w:type="dxa"/>
            <w:noWrap w:val="0"/>
            <w:vAlign w:val="top"/>
          </w:tcPr>
          <w:p w14:paraId="0A9D06A9">
            <w:pPr>
              <w:spacing w:before="50" w:after="50" w:line="500" w:lineRule="exact"/>
              <w:jc w:val="left"/>
              <w:rPr>
                <w:rFonts w:hint="eastAsia" w:ascii="宋体" w:hAnsi="宋体"/>
                <w:color w:val="auto"/>
                <w:sz w:val="24"/>
                <w:highlight w:val="none"/>
              </w:rPr>
            </w:pPr>
          </w:p>
        </w:tc>
        <w:tc>
          <w:tcPr>
            <w:tcW w:w="983" w:type="dxa"/>
            <w:noWrap w:val="0"/>
            <w:vAlign w:val="top"/>
          </w:tcPr>
          <w:p w14:paraId="085FB678">
            <w:pPr>
              <w:spacing w:before="50" w:after="50" w:line="500" w:lineRule="exact"/>
              <w:jc w:val="left"/>
              <w:rPr>
                <w:rFonts w:hint="eastAsia" w:ascii="宋体" w:hAnsi="宋体"/>
                <w:color w:val="auto"/>
                <w:sz w:val="24"/>
                <w:highlight w:val="none"/>
              </w:rPr>
            </w:pPr>
          </w:p>
        </w:tc>
        <w:tc>
          <w:tcPr>
            <w:tcW w:w="987" w:type="dxa"/>
            <w:noWrap w:val="0"/>
            <w:vAlign w:val="top"/>
          </w:tcPr>
          <w:p w14:paraId="04520BD5">
            <w:pPr>
              <w:spacing w:before="50" w:after="50" w:line="500" w:lineRule="exact"/>
              <w:jc w:val="left"/>
              <w:rPr>
                <w:rFonts w:hint="eastAsia" w:ascii="宋体" w:hAnsi="宋体"/>
                <w:color w:val="auto"/>
                <w:sz w:val="24"/>
                <w:highlight w:val="none"/>
              </w:rPr>
            </w:pPr>
          </w:p>
        </w:tc>
        <w:tc>
          <w:tcPr>
            <w:tcW w:w="1542" w:type="dxa"/>
            <w:noWrap w:val="0"/>
            <w:vAlign w:val="top"/>
          </w:tcPr>
          <w:p w14:paraId="28976C9C">
            <w:pPr>
              <w:spacing w:before="50" w:after="50" w:line="500" w:lineRule="exact"/>
              <w:jc w:val="left"/>
              <w:rPr>
                <w:rFonts w:hint="eastAsia" w:ascii="宋体" w:hAnsi="宋体"/>
                <w:color w:val="auto"/>
                <w:sz w:val="24"/>
                <w:highlight w:val="none"/>
              </w:rPr>
            </w:pPr>
          </w:p>
        </w:tc>
        <w:tc>
          <w:tcPr>
            <w:tcW w:w="1439" w:type="dxa"/>
            <w:noWrap w:val="0"/>
            <w:vAlign w:val="top"/>
          </w:tcPr>
          <w:p w14:paraId="5267501A">
            <w:pPr>
              <w:spacing w:before="50" w:after="50" w:line="500" w:lineRule="exact"/>
              <w:jc w:val="left"/>
              <w:rPr>
                <w:rFonts w:hint="eastAsia" w:ascii="宋体" w:hAnsi="宋体"/>
                <w:color w:val="auto"/>
                <w:sz w:val="24"/>
                <w:highlight w:val="none"/>
              </w:rPr>
            </w:pPr>
          </w:p>
        </w:tc>
      </w:tr>
      <w:tr w14:paraId="08822EF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62D9A8C5">
            <w:pPr>
              <w:spacing w:before="50" w:after="50" w:line="500" w:lineRule="exact"/>
              <w:jc w:val="left"/>
              <w:rPr>
                <w:rFonts w:hint="eastAsia" w:ascii="宋体" w:hAnsi="宋体"/>
                <w:color w:val="auto"/>
                <w:sz w:val="24"/>
                <w:highlight w:val="none"/>
              </w:rPr>
            </w:pPr>
          </w:p>
        </w:tc>
        <w:tc>
          <w:tcPr>
            <w:tcW w:w="1351" w:type="dxa"/>
            <w:noWrap w:val="0"/>
            <w:vAlign w:val="top"/>
          </w:tcPr>
          <w:p w14:paraId="553841AB">
            <w:pPr>
              <w:spacing w:before="50" w:after="50" w:line="500" w:lineRule="exact"/>
              <w:jc w:val="left"/>
              <w:rPr>
                <w:rFonts w:hint="eastAsia" w:ascii="宋体" w:hAnsi="宋体"/>
                <w:color w:val="auto"/>
                <w:sz w:val="24"/>
                <w:highlight w:val="none"/>
              </w:rPr>
            </w:pPr>
          </w:p>
        </w:tc>
        <w:tc>
          <w:tcPr>
            <w:tcW w:w="1179" w:type="dxa"/>
            <w:noWrap w:val="0"/>
            <w:vAlign w:val="top"/>
          </w:tcPr>
          <w:p w14:paraId="6B9A4985">
            <w:pPr>
              <w:spacing w:before="50" w:after="50" w:line="500" w:lineRule="exact"/>
              <w:jc w:val="left"/>
              <w:rPr>
                <w:rFonts w:hint="eastAsia" w:ascii="宋体" w:hAnsi="宋体"/>
                <w:color w:val="auto"/>
                <w:sz w:val="24"/>
                <w:highlight w:val="none"/>
              </w:rPr>
            </w:pPr>
          </w:p>
        </w:tc>
        <w:tc>
          <w:tcPr>
            <w:tcW w:w="983" w:type="dxa"/>
            <w:noWrap w:val="0"/>
            <w:vAlign w:val="top"/>
          </w:tcPr>
          <w:p w14:paraId="725779A0">
            <w:pPr>
              <w:spacing w:before="50" w:after="50" w:line="500" w:lineRule="exact"/>
              <w:jc w:val="left"/>
              <w:rPr>
                <w:rFonts w:hint="eastAsia" w:ascii="宋体" w:hAnsi="宋体"/>
                <w:color w:val="auto"/>
                <w:sz w:val="24"/>
                <w:highlight w:val="none"/>
              </w:rPr>
            </w:pPr>
          </w:p>
        </w:tc>
        <w:tc>
          <w:tcPr>
            <w:tcW w:w="987" w:type="dxa"/>
            <w:noWrap w:val="0"/>
            <w:vAlign w:val="top"/>
          </w:tcPr>
          <w:p w14:paraId="2326AB04">
            <w:pPr>
              <w:spacing w:before="50" w:after="50" w:line="500" w:lineRule="exact"/>
              <w:jc w:val="left"/>
              <w:rPr>
                <w:rFonts w:hint="eastAsia" w:ascii="宋体" w:hAnsi="宋体"/>
                <w:color w:val="auto"/>
                <w:sz w:val="24"/>
                <w:highlight w:val="none"/>
              </w:rPr>
            </w:pPr>
          </w:p>
        </w:tc>
        <w:tc>
          <w:tcPr>
            <w:tcW w:w="1542" w:type="dxa"/>
            <w:noWrap w:val="0"/>
            <w:vAlign w:val="top"/>
          </w:tcPr>
          <w:p w14:paraId="19C735B3">
            <w:pPr>
              <w:spacing w:before="50" w:after="50" w:line="500" w:lineRule="exact"/>
              <w:jc w:val="left"/>
              <w:rPr>
                <w:rFonts w:hint="eastAsia" w:ascii="宋体" w:hAnsi="宋体"/>
                <w:color w:val="auto"/>
                <w:sz w:val="24"/>
                <w:highlight w:val="none"/>
              </w:rPr>
            </w:pPr>
          </w:p>
        </w:tc>
        <w:tc>
          <w:tcPr>
            <w:tcW w:w="1439" w:type="dxa"/>
            <w:noWrap w:val="0"/>
            <w:vAlign w:val="top"/>
          </w:tcPr>
          <w:p w14:paraId="1741186B">
            <w:pPr>
              <w:spacing w:before="50" w:after="50" w:line="500" w:lineRule="exact"/>
              <w:jc w:val="left"/>
              <w:rPr>
                <w:rFonts w:hint="eastAsia" w:ascii="宋体" w:hAnsi="宋体"/>
                <w:color w:val="auto"/>
                <w:sz w:val="24"/>
                <w:highlight w:val="none"/>
              </w:rPr>
            </w:pPr>
          </w:p>
        </w:tc>
      </w:tr>
      <w:tr w14:paraId="46EA6F6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5589C3F3">
            <w:pPr>
              <w:spacing w:before="50" w:after="50" w:line="500" w:lineRule="exact"/>
              <w:jc w:val="left"/>
              <w:rPr>
                <w:rFonts w:hint="eastAsia" w:ascii="宋体" w:hAnsi="宋体"/>
                <w:color w:val="auto"/>
                <w:sz w:val="24"/>
                <w:highlight w:val="none"/>
              </w:rPr>
            </w:pPr>
          </w:p>
        </w:tc>
        <w:tc>
          <w:tcPr>
            <w:tcW w:w="1351" w:type="dxa"/>
            <w:noWrap w:val="0"/>
            <w:vAlign w:val="top"/>
          </w:tcPr>
          <w:p w14:paraId="08192BB0">
            <w:pPr>
              <w:spacing w:before="50" w:after="50" w:line="500" w:lineRule="exact"/>
              <w:jc w:val="left"/>
              <w:rPr>
                <w:rFonts w:hint="eastAsia" w:ascii="宋体" w:hAnsi="宋体"/>
                <w:color w:val="auto"/>
                <w:sz w:val="24"/>
                <w:highlight w:val="none"/>
              </w:rPr>
            </w:pPr>
          </w:p>
        </w:tc>
        <w:tc>
          <w:tcPr>
            <w:tcW w:w="1179" w:type="dxa"/>
            <w:noWrap w:val="0"/>
            <w:vAlign w:val="top"/>
          </w:tcPr>
          <w:p w14:paraId="32656482">
            <w:pPr>
              <w:spacing w:before="50" w:after="50" w:line="500" w:lineRule="exact"/>
              <w:jc w:val="left"/>
              <w:rPr>
                <w:rFonts w:hint="eastAsia" w:ascii="宋体" w:hAnsi="宋体"/>
                <w:color w:val="auto"/>
                <w:sz w:val="24"/>
                <w:highlight w:val="none"/>
              </w:rPr>
            </w:pPr>
          </w:p>
        </w:tc>
        <w:tc>
          <w:tcPr>
            <w:tcW w:w="983" w:type="dxa"/>
            <w:noWrap w:val="0"/>
            <w:vAlign w:val="top"/>
          </w:tcPr>
          <w:p w14:paraId="7DFD8F6F">
            <w:pPr>
              <w:spacing w:before="50" w:after="50" w:line="500" w:lineRule="exact"/>
              <w:jc w:val="left"/>
              <w:rPr>
                <w:rFonts w:hint="eastAsia" w:ascii="宋体" w:hAnsi="宋体"/>
                <w:color w:val="auto"/>
                <w:sz w:val="24"/>
                <w:highlight w:val="none"/>
              </w:rPr>
            </w:pPr>
          </w:p>
        </w:tc>
        <w:tc>
          <w:tcPr>
            <w:tcW w:w="987" w:type="dxa"/>
            <w:noWrap w:val="0"/>
            <w:vAlign w:val="top"/>
          </w:tcPr>
          <w:p w14:paraId="33C18929">
            <w:pPr>
              <w:spacing w:before="50" w:after="50" w:line="500" w:lineRule="exact"/>
              <w:jc w:val="left"/>
              <w:rPr>
                <w:rFonts w:hint="eastAsia" w:ascii="宋体" w:hAnsi="宋体"/>
                <w:color w:val="auto"/>
                <w:sz w:val="24"/>
                <w:highlight w:val="none"/>
              </w:rPr>
            </w:pPr>
          </w:p>
        </w:tc>
        <w:tc>
          <w:tcPr>
            <w:tcW w:w="1542" w:type="dxa"/>
            <w:noWrap w:val="0"/>
            <w:vAlign w:val="top"/>
          </w:tcPr>
          <w:p w14:paraId="1F1AA673">
            <w:pPr>
              <w:spacing w:before="50" w:after="50" w:line="500" w:lineRule="exact"/>
              <w:jc w:val="left"/>
              <w:rPr>
                <w:rFonts w:hint="eastAsia" w:ascii="宋体" w:hAnsi="宋体"/>
                <w:color w:val="auto"/>
                <w:sz w:val="24"/>
                <w:highlight w:val="none"/>
              </w:rPr>
            </w:pPr>
          </w:p>
        </w:tc>
        <w:tc>
          <w:tcPr>
            <w:tcW w:w="1439" w:type="dxa"/>
            <w:noWrap w:val="0"/>
            <w:vAlign w:val="top"/>
          </w:tcPr>
          <w:p w14:paraId="21E46FA2">
            <w:pPr>
              <w:spacing w:before="50" w:after="50" w:line="500" w:lineRule="exact"/>
              <w:jc w:val="left"/>
              <w:rPr>
                <w:rFonts w:hint="eastAsia" w:ascii="宋体" w:hAnsi="宋体"/>
                <w:color w:val="auto"/>
                <w:sz w:val="24"/>
                <w:highlight w:val="none"/>
              </w:rPr>
            </w:pPr>
          </w:p>
        </w:tc>
      </w:tr>
      <w:tr w14:paraId="028EEE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7A3E2D37">
            <w:pPr>
              <w:spacing w:before="50" w:after="50" w:line="500" w:lineRule="exact"/>
              <w:jc w:val="left"/>
              <w:rPr>
                <w:rFonts w:hint="eastAsia" w:ascii="宋体" w:hAnsi="宋体"/>
                <w:color w:val="auto"/>
                <w:sz w:val="24"/>
                <w:highlight w:val="none"/>
              </w:rPr>
            </w:pPr>
          </w:p>
        </w:tc>
        <w:tc>
          <w:tcPr>
            <w:tcW w:w="1351" w:type="dxa"/>
            <w:noWrap w:val="0"/>
            <w:vAlign w:val="top"/>
          </w:tcPr>
          <w:p w14:paraId="03583E43">
            <w:pPr>
              <w:spacing w:before="50" w:after="50" w:line="500" w:lineRule="exact"/>
              <w:jc w:val="left"/>
              <w:rPr>
                <w:rFonts w:hint="eastAsia" w:ascii="宋体" w:hAnsi="宋体"/>
                <w:color w:val="auto"/>
                <w:sz w:val="24"/>
                <w:highlight w:val="none"/>
              </w:rPr>
            </w:pPr>
          </w:p>
        </w:tc>
        <w:tc>
          <w:tcPr>
            <w:tcW w:w="1179" w:type="dxa"/>
            <w:noWrap w:val="0"/>
            <w:vAlign w:val="top"/>
          </w:tcPr>
          <w:p w14:paraId="6820D760">
            <w:pPr>
              <w:spacing w:before="50" w:after="50" w:line="500" w:lineRule="exact"/>
              <w:jc w:val="left"/>
              <w:rPr>
                <w:rFonts w:hint="eastAsia" w:ascii="宋体" w:hAnsi="宋体"/>
                <w:color w:val="auto"/>
                <w:sz w:val="24"/>
                <w:highlight w:val="none"/>
              </w:rPr>
            </w:pPr>
          </w:p>
        </w:tc>
        <w:tc>
          <w:tcPr>
            <w:tcW w:w="983" w:type="dxa"/>
            <w:noWrap w:val="0"/>
            <w:vAlign w:val="top"/>
          </w:tcPr>
          <w:p w14:paraId="02197947">
            <w:pPr>
              <w:spacing w:before="50" w:after="50" w:line="500" w:lineRule="exact"/>
              <w:jc w:val="left"/>
              <w:rPr>
                <w:rFonts w:hint="eastAsia" w:ascii="宋体" w:hAnsi="宋体"/>
                <w:color w:val="auto"/>
                <w:sz w:val="24"/>
                <w:highlight w:val="none"/>
              </w:rPr>
            </w:pPr>
          </w:p>
        </w:tc>
        <w:tc>
          <w:tcPr>
            <w:tcW w:w="987" w:type="dxa"/>
            <w:noWrap w:val="0"/>
            <w:vAlign w:val="top"/>
          </w:tcPr>
          <w:p w14:paraId="0CB4A742">
            <w:pPr>
              <w:spacing w:before="50" w:after="50" w:line="500" w:lineRule="exact"/>
              <w:jc w:val="left"/>
              <w:rPr>
                <w:rFonts w:hint="eastAsia" w:ascii="宋体" w:hAnsi="宋体"/>
                <w:color w:val="auto"/>
                <w:sz w:val="24"/>
                <w:highlight w:val="none"/>
              </w:rPr>
            </w:pPr>
          </w:p>
        </w:tc>
        <w:tc>
          <w:tcPr>
            <w:tcW w:w="1542" w:type="dxa"/>
            <w:noWrap w:val="0"/>
            <w:vAlign w:val="top"/>
          </w:tcPr>
          <w:p w14:paraId="6DB80302">
            <w:pPr>
              <w:spacing w:before="50" w:after="50" w:line="500" w:lineRule="exact"/>
              <w:jc w:val="left"/>
              <w:rPr>
                <w:rFonts w:hint="eastAsia" w:ascii="宋体" w:hAnsi="宋体"/>
                <w:color w:val="auto"/>
                <w:sz w:val="24"/>
                <w:highlight w:val="none"/>
              </w:rPr>
            </w:pPr>
          </w:p>
        </w:tc>
        <w:tc>
          <w:tcPr>
            <w:tcW w:w="1439" w:type="dxa"/>
            <w:noWrap w:val="0"/>
            <w:vAlign w:val="top"/>
          </w:tcPr>
          <w:p w14:paraId="46B03647">
            <w:pPr>
              <w:spacing w:before="50" w:after="50" w:line="500" w:lineRule="exact"/>
              <w:jc w:val="left"/>
              <w:rPr>
                <w:rFonts w:hint="eastAsia" w:ascii="宋体" w:hAnsi="宋体"/>
                <w:color w:val="auto"/>
                <w:sz w:val="24"/>
                <w:highlight w:val="none"/>
              </w:rPr>
            </w:pPr>
          </w:p>
        </w:tc>
      </w:tr>
      <w:tr w14:paraId="486419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757693E1">
            <w:pPr>
              <w:spacing w:before="50" w:after="50" w:line="500" w:lineRule="exact"/>
              <w:jc w:val="left"/>
              <w:rPr>
                <w:rFonts w:hint="eastAsia" w:ascii="宋体" w:hAnsi="宋体"/>
                <w:color w:val="auto"/>
                <w:sz w:val="24"/>
                <w:highlight w:val="none"/>
              </w:rPr>
            </w:pPr>
          </w:p>
        </w:tc>
        <w:tc>
          <w:tcPr>
            <w:tcW w:w="1351" w:type="dxa"/>
            <w:noWrap w:val="0"/>
            <w:vAlign w:val="top"/>
          </w:tcPr>
          <w:p w14:paraId="7D6E4032">
            <w:pPr>
              <w:spacing w:before="50" w:after="50" w:line="500" w:lineRule="exact"/>
              <w:jc w:val="left"/>
              <w:rPr>
                <w:rFonts w:hint="eastAsia" w:ascii="宋体" w:hAnsi="宋体"/>
                <w:color w:val="auto"/>
                <w:sz w:val="24"/>
                <w:highlight w:val="none"/>
              </w:rPr>
            </w:pPr>
          </w:p>
        </w:tc>
        <w:tc>
          <w:tcPr>
            <w:tcW w:w="1179" w:type="dxa"/>
            <w:noWrap w:val="0"/>
            <w:vAlign w:val="top"/>
          </w:tcPr>
          <w:p w14:paraId="3541DBF9">
            <w:pPr>
              <w:spacing w:before="50" w:after="50" w:line="500" w:lineRule="exact"/>
              <w:jc w:val="left"/>
              <w:rPr>
                <w:rFonts w:hint="eastAsia" w:ascii="宋体" w:hAnsi="宋体"/>
                <w:color w:val="auto"/>
                <w:sz w:val="24"/>
                <w:highlight w:val="none"/>
              </w:rPr>
            </w:pPr>
          </w:p>
        </w:tc>
        <w:tc>
          <w:tcPr>
            <w:tcW w:w="983" w:type="dxa"/>
            <w:noWrap w:val="0"/>
            <w:vAlign w:val="top"/>
          </w:tcPr>
          <w:p w14:paraId="59B09F69">
            <w:pPr>
              <w:spacing w:before="50" w:after="50" w:line="500" w:lineRule="exact"/>
              <w:jc w:val="left"/>
              <w:rPr>
                <w:rFonts w:hint="eastAsia" w:ascii="宋体" w:hAnsi="宋体"/>
                <w:color w:val="auto"/>
                <w:sz w:val="24"/>
                <w:highlight w:val="none"/>
              </w:rPr>
            </w:pPr>
          </w:p>
        </w:tc>
        <w:tc>
          <w:tcPr>
            <w:tcW w:w="987" w:type="dxa"/>
            <w:noWrap w:val="0"/>
            <w:vAlign w:val="top"/>
          </w:tcPr>
          <w:p w14:paraId="33B5D9C1">
            <w:pPr>
              <w:spacing w:before="50" w:after="50" w:line="500" w:lineRule="exact"/>
              <w:jc w:val="left"/>
              <w:rPr>
                <w:rFonts w:hint="eastAsia" w:ascii="宋体" w:hAnsi="宋体"/>
                <w:color w:val="auto"/>
                <w:sz w:val="24"/>
                <w:highlight w:val="none"/>
              </w:rPr>
            </w:pPr>
          </w:p>
        </w:tc>
        <w:tc>
          <w:tcPr>
            <w:tcW w:w="1542" w:type="dxa"/>
            <w:noWrap w:val="0"/>
            <w:vAlign w:val="top"/>
          </w:tcPr>
          <w:p w14:paraId="715D5C1C">
            <w:pPr>
              <w:spacing w:before="50" w:after="50" w:line="500" w:lineRule="exact"/>
              <w:jc w:val="left"/>
              <w:rPr>
                <w:rFonts w:hint="eastAsia" w:ascii="宋体" w:hAnsi="宋体"/>
                <w:color w:val="auto"/>
                <w:sz w:val="24"/>
                <w:highlight w:val="none"/>
              </w:rPr>
            </w:pPr>
          </w:p>
        </w:tc>
        <w:tc>
          <w:tcPr>
            <w:tcW w:w="1439" w:type="dxa"/>
            <w:noWrap w:val="0"/>
            <w:vAlign w:val="top"/>
          </w:tcPr>
          <w:p w14:paraId="26DC52B1">
            <w:pPr>
              <w:spacing w:before="50" w:after="50" w:line="500" w:lineRule="exact"/>
              <w:jc w:val="left"/>
              <w:rPr>
                <w:rFonts w:hint="eastAsia" w:ascii="宋体" w:hAnsi="宋体"/>
                <w:color w:val="auto"/>
                <w:sz w:val="24"/>
                <w:highlight w:val="none"/>
              </w:rPr>
            </w:pPr>
          </w:p>
        </w:tc>
      </w:tr>
      <w:tr w14:paraId="5FA7DF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1FB76390">
            <w:pPr>
              <w:spacing w:before="50" w:after="50" w:line="500" w:lineRule="exact"/>
              <w:jc w:val="left"/>
              <w:rPr>
                <w:rFonts w:hint="eastAsia" w:ascii="宋体" w:hAnsi="宋体"/>
                <w:color w:val="auto"/>
                <w:sz w:val="24"/>
                <w:highlight w:val="none"/>
              </w:rPr>
            </w:pPr>
          </w:p>
        </w:tc>
        <w:tc>
          <w:tcPr>
            <w:tcW w:w="1351" w:type="dxa"/>
            <w:noWrap w:val="0"/>
            <w:vAlign w:val="top"/>
          </w:tcPr>
          <w:p w14:paraId="6767B03B">
            <w:pPr>
              <w:spacing w:before="50" w:after="50" w:line="500" w:lineRule="exact"/>
              <w:jc w:val="left"/>
              <w:rPr>
                <w:rFonts w:hint="eastAsia" w:ascii="宋体" w:hAnsi="宋体"/>
                <w:color w:val="auto"/>
                <w:sz w:val="24"/>
                <w:highlight w:val="none"/>
              </w:rPr>
            </w:pPr>
          </w:p>
        </w:tc>
        <w:tc>
          <w:tcPr>
            <w:tcW w:w="1179" w:type="dxa"/>
            <w:noWrap w:val="0"/>
            <w:vAlign w:val="top"/>
          </w:tcPr>
          <w:p w14:paraId="735B8617">
            <w:pPr>
              <w:spacing w:before="50" w:after="50" w:line="500" w:lineRule="exact"/>
              <w:jc w:val="left"/>
              <w:rPr>
                <w:rFonts w:hint="eastAsia" w:ascii="宋体" w:hAnsi="宋体"/>
                <w:color w:val="auto"/>
                <w:sz w:val="24"/>
                <w:highlight w:val="none"/>
              </w:rPr>
            </w:pPr>
          </w:p>
        </w:tc>
        <w:tc>
          <w:tcPr>
            <w:tcW w:w="983" w:type="dxa"/>
            <w:noWrap w:val="0"/>
            <w:vAlign w:val="top"/>
          </w:tcPr>
          <w:p w14:paraId="35CDF9E9">
            <w:pPr>
              <w:spacing w:before="50" w:after="50" w:line="500" w:lineRule="exact"/>
              <w:jc w:val="left"/>
              <w:rPr>
                <w:rFonts w:hint="eastAsia" w:ascii="宋体" w:hAnsi="宋体"/>
                <w:color w:val="auto"/>
                <w:sz w:val="24"/>
                <w:highlight w:val="none"/>
              </w:rPr>
            </w:pPr>
          </w:p>
        </w:tc>
        <w:tc>
          <w:tcPr>
            <w:tcW w:w="987" w:type="dxa"/>
            <w:noWrap w:val="0"/>
            <w:vAlign w:val="top"/>
          </w:tcPr>
          <w:p w14:paraId="7E1DDB03">
            <w:pPr>
              <w:spacing w:before="50" w:after="50" w:line="500" w:lineRule="exact"/>
              <w:jc w:val="left"/>
              <w:rPr>
                <w:rFonts w:hint="eastAsia" w:ascii="宋体" w:hAnsi="宋体"/>
                <w:color w:val="auto"/>
                <w:sz w:val="24"/>
                <w:highlight w:val="none"/>
              </w:rPr>
            </w:pPr>
          </w:p>
        </w:tc>
        <w:tc>
          <w:tcPr>
            <w:tcW w:w="1542" w:type="dxa"/>
            <w:noWrap w:val="0"/>
            <w:vAlign w:val="top"/>
          </w:tcPr>
          <w:p w14:paraId="51CF9FC4">
            <w:pPr>
              <w:spacing w:before="50" w:after="50" w:line="500" w:lineRule="exact"/>
              <w:jc w:val="left"/>
              <w:rPr>
                <w:rFonts w:hint="eastAsia" w:ascii="宋体" w:hAnsi="宋体"/>
                <w:color w:val="auto"/>
                <w:sz w:val="24"/>
                <w:highlight w:val="none"/>
              </w:rPr>
            </w:pPr>
          </w:p>
        </w:tc>
        <w:tc>
          <w:tcPr>
            <w:tcW w:w="1439" w:type="dxa"/>
            <w:noWrap w:val="0"/>
            <w:vAlign w:val="top"/>
          </w:tcPr>
          <w:p w14:paraId="0E2622E1">
            <w:pPr>
              <w:spacing w:before="50" w:after="50" w:line="500" w:lineRule="exact"/>
              <w:jc w:val="left"/>
              <w:rPr>
                <w:rFonts w:hint="eastAsia" w:ascii="宋体" w:hAnsi="宋体"/>
                <w:color w:val="auto"/>
                <w:sz w:val="24"/>
                <w:highlight w:val="none"/>
              </w:rPr>
            </w:pPr>
          </w:p>
        </w:tc>
      </w:tr>
      <w:tr w14:paraId="6D6C092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998" w:type="dxa"/>
            <w:noWrap w:val="0"/>
            <w:vAlign w:val="top"/>
          </w:tcPr>
          <w:p w14:paraId="08C76994">
            <w:pPr>
              <w:spacing w:before="50" w:after="50" w:line="500" w:lineRule="exact"/>
              <w:jc w:val="left"/>
              <w:rPr>
                <w:rFonts w:hint="eastAsia" w:ascii="宋体" w:hAnsi="宋体"/>
                <w:color w:val="auto"/>
                <w:sz w:val="24"/>
                <w:highlight w:val="none"/>
              </w:rPr>
            </w:pPr>
          </w:p>
        </w:tc>
        <w:tc>
          <w:tcPr>
            <w:tcW w:w="1351" w:type="dxa"/>
            <w:noWrap w:val="0"/>
            <w:vAlign w:val="top"/>
          </w:tcPr>
          <w:p w14:paraId="07E5299E">
            <w:pPr>
              <w:spacing w:before="50" w:after="50" w:line="500" w:lineRule="exact"/>
              <w:jc w:val="left"/>
              <w:rPr>
                <w:rFonts w:hint="eastAsia" w:ascii="宋体" w:hAnsi="宋体"/>
                <w:color w:val="auto"/>
                <w:sz w:val="24"/>
                <w:highlight w:val="none"/>
              </w:rPr>
            </w:pPr>
          </w:p>
        </w:tc>
        <w:tc>
          <w:tcPr>
            <w:tcW w:w="1179" w:type="dxa"/>
            <w:noWrap w:val="0"/>
            <w:vAlign w:val="top"/>
          </w:tcPr>
          <w:p w14:paraId="6C3BD08E">
            <w:pPr>
              <w:spacing w:before="50" w:after="50" w:line="500" w:lineRule="exact"/>
              <w:jc w:val="left"/>
              <w:rPr>
                <w:rFonts w:hint="eastAsia" w:ascii="宋体" w:hAnsi="宋体"/>
                <w:color w:val="auto"/>
                <w:sz w:val="24"/>
                <w:highlight w:val="none"/>
              </w:rPr>
            </w:pPr>
          </w:p>
        </w:tc>
        <w:tc>
          <w:tcPr>
            <w:tcW w:w="983" w:type="dxa"/>
            <w:noWrap w:val="0"/>
            <w:vAlign w:val="top"/>
          </w:tcPr>
          <w:p w14:paraId="3B07A692">
            <w:pPr>
              <w:spacing w:before="50" w:after="50" w:line="500" w:lineRule="exact"/>
              <w:jc w:val="left"/>
              <w:rPr>
                <w:rFonts w:hint="eastAsia" w:ascii="宋体" w:hAnsi="宋体"/>
                <w:color w:val="auto"/>
                <w:sz w:val="24"/>
                <w:highlight w:val="none"/>
              </w:rPr>
            </w:pPr>
          </w:p>
        </w:tc>
        <w:tc>
          <w:tcPr>
            <w:tcW w:w="987" w:type="dxa"/>
            <w:noWrap w:val="0"/>
            <w:vAlign w:val="top"/>
          </w:tcPr>
          <w:p w14:paraId="1CC25912">
            <w:pPr>
              <w:spacing w:before="50" w:after="50" w:line="500" w:lineRule="exact"/>
              <w:jc w:val="left"/>
              <w:rPr>
                <w:rFonts w:hint="eastAsia" w:ascii="宋体" w:hAnsi="宋体"/>
                <w:color w:val="auto"/>
                <w:sz w:val="24"/>
                <w:highlight w:val="none"/>
              </w:rPr>
            </w:pPr>
          </w:p>
        </w:tc>
        <w:tc>
          <w:tcPr>
            <w:tcW w:w="1542" w:type="dxa"/>
            <w:noWrap w:val="0"/>
            <w:vAlign w:val="top"/>
          </w:tcPr>
          <w:p w14:paraId="5E33EC21">
            <w:pPr>
              <w:spacing w:before="50" w:after="50" w:line="500" w:lineRule="exact"/>
              <w:jc w:val="left"/>
              <w:rPr>
                <w:rFonts w:hint="eastAsia" w:ascii="宋体" w:hAnsi="宋体"/>
                <w:color w:val="auto"/>
                <w:sz w:val="24"/>
                <w:highlight w:val="none"/>
              </w:rPr>
            </w:pPr>
          </w:p>
        </w:tc>
        <w:tc>
          <w:tcPr>
            <w:tcW w:w="1439" w:type="dxa"/>
            <w:noWrap w:val="0"/>
            <w:vAlign w:val="top"/>
          </w:tcPr>
          <w:p w14:paraId="5B5C2BB2">
            <w:pPr>
              <w:spacing w:before="50" w:after="50" w:line="500" w:lineRule="exact"/>
              <w:jc w:val="left"/>
              <w:rPr>
                <w:rFonts w:hint="eastAsia" w:ascii="宋体" w:hAnsi="宋体"/>
                <w:color w:val="auto"/>
                <w:sz w:val="24"/>
                <w:highlight w:val="none"/>
              </w:rPr>
            </w:pPr>
          </w:p>
        </w:tc>
      </w:tr>
      <w:tr w14:paraId="3EA98B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98" w:type="dxa"/>
            <w:noWrap w:val="0"/>
            <w:vAlign w:val="top"/>
          </w:tcPr>
          <w:p w14:paraId="41FB5AF6">
            <w:pPr>
              <w:spacing w:before="50" w:after="50" w:line="500" w:lineRule="exact"/>
              <w:jc w:val="left"/>
              <w:rPr>
                <w:rFonts w:hint="eastAsia" w:ascii="宋体" w:hAnsi="宋体"/>
                <w:color w:val="auto"/>
                <w:sz w:val="24"/>
                <w:highlight w:val="none"/>
              </w:rPr>
            </w:pPr>
          </w:p>
        </w:tc>
        <w:tc>
          <w:tcPr>
            <w:tcW w:w="1351" w:type="dxa"/>
            <w:noWrap w:val="0"/>
            <w:vAlign w:val="top"/>
          </w:tcPr>
          <w:p w14:paraId="44092E08">
            <w:pPr>
              <w:spacing w:before="50" w:after="50" w:line="500" w:lineRule="exact"/>
              <w:jc w:val="left"/>
              <w:rPr>
                <w:rFonts w:hint="eastAsia" w:ascii="宋体" w:hAnsi="宋体"/>
                <w:color w:val="auto"/>
                <w:sz w:val="24"/>
                <w:highlight w:val="none"/>
              </w:rPr>
            </w:pPr>
          </w:p>
        </w:tc>
        <w:tc>
          <w:tcPr>
            <w:tcW w:w="1179" w:type="dxa"/>
            <w:noWrap w:val="0"/>
            <w:vAlign w:val="top"/>
          </w:tcPr>
          <w:p w14:paraId="0FBD7090">
            <w:pPr>
              <w:spacing w:before="50" w:after="50" w:line="500" w:lineRule="exact"/>
              <w:jc w:val="left"/>
              <w:rPr>
                <w:rFonts w:hint="eastAsia" w:ascii="宋体" w:hAnsi="宋体"/>
                <w:color w:val="auto"/>
                <w:sz w:val="24"/>
                <w:highlight w:val="none"/>
              </w:rPr>
            </w:pPr>
          </w:p>
        </w:tc>
        <w:tc>
          <w:tcPr>
            <w:tcW w:w="983" w:type="dxa"/>
            <w:noWrap w:val="0"/>
            <w:vAlign w:val="top"/>
          </w:tcPr>
          <w:p w14:paraId="7036E245">
            <w:pPr>
              <w:spacing w:before="50" w:after="50" w:line="500" w:lineRule="exact"/>
              <w:jc w:val="left"/>
              <w:rPr>
                <w:rFonts w:hint="eastAsia" w:ascii="宋体" w:hAnsi="宋体"/>
                <w:color w:val="auto"/>
                <w:sz w:val="24"/>
                <w:highlight w:val="none"/>
              </w:rPr>
            </w:pPr>
          </w:p>
        </w:tc>
        <w:tc>
          <w:tcPr>
            <w:tcW w:w="987" w:type="dxa"/>
            <w:noWrap w:val="0"/>
            <w:vAlign w:val="top"/>
          </w:tcPr>
          <w:p w14:paraId="63E10D24">
            <w:pPr>
              <w:spacing w:before="50" w:after="50" w:line="500" w:lineRule="exact"/>
              <w:jc w:val="left"/>
              <w:rPr>
                <w:rFonts w:hint="eastAsia" w:ascii="宋体" w:hAnsi="宋体"/>
                <w:color w:val="auto"/>
                <w:sz w:val="24"/>
                <w:highlight w:val="none"/>
              </w:rPr>
            </w:pPr>
          </w:p>
        </w:tc>
        <w:tc>
          <w:tcPr>
            <w:tcW w:w="1542" w:type="dxa"/>
            <w:noWrap w:val="0"/>
            <w:vAlign w:val="top"/>
          </w:tcPr>
          <w:p w14:paraId="77C91B67">
            <w:pPr>
              <w:spacing w:before="50" w:after="50" w:line="500" w:lineRule="exact"/>
              <w:jc w:val="left"/>
              <w:rPr>
                <w:rFonts w:hint="eastAsia" w:ascii="宋体" w:hAnsi="宋体"/>
                <w:color w:val="auto"/>
                <w:sz w:val="24"/>
                <w:highlight w:val="none"/>
              </w:rPr>
            </w:pPr>
          </w:p>
        </w:tc>
        <w:tc>
          <w:tcPr>
            <w:tcW w:w="1439" w:type="dxa"/>
            <w:noWrap w:val="0"/>
            <w:vAlign w:val="top"/>
          </w:tcPr>
          <w:p w14:paraId="37D2E604">
            <w:pPr>
              <w:spacing w:before="50" w:after="50" w:line="500" w:lineRule="exact"/>
              <w:jc w:val="left"/>
              <w:rPr>
                <w:rFonts w:hint="eastAsia" w:ascii="宋体" w:hAnsi="宋体"/>
                <w:color w:val="auto"/>
                <w:sz w:val="24"/>
                <w:highlight w:val="none"/>
              </w:rPr>
            </w:pPr>
          </w:p>
        </w:tc>
      </w:tr>
    </w:tbl>
    <w:p w14:paraId="31ACC60C">
      <w:pPr>
        <w:spacing w:line="360" w:lineRule="auto"/>
        <w:ind w:firstLine="570"/>
        <w:rPr>
          <w:rFonts w:hint="eastAsia" w:ascii="宋体" w:hAnsi="宋体"/>
          <w:color w:val="auto"/>
          <w:sz w:val="28"/>
          <w:szCs w:val="28"/>
          <w:highlight w:val="none"/>
        </w:rPr>
      </w:pPr>
    </w:p>
    <w:p w14:paraId="5BCD7C1D">
      <w:pPr>
        <w:spacing w:before="156" w:beforeLines="50" w:after="156" w:afterLines="50" w:line="500" w:lineRule="exact"/>
        <w:ind w:firstLine="570"/>
        <w:rPr>
          <w:rFonts w:hint="eastAsia" w:ascii="宋体" w:hAnsi="宋体"/>
          <w:color w:val="auto"/>
          <w:sz w:val="24"/>
          <w:szCs w:val="24"/>
          <w:highlight w:val="none"/>
        </w:rPr>
      </w:pPr>
      <w:r>
        <w:rPr>
          <w:rFonts w:hint="eastAsia" w:ascii="宋体" w:hAnsi="宋体"/>
          <w:color w:val="auto"/>
          <w:sz w:val="24"/>
          <w:szCs w:val="24"/>
          <w:highlight w:val="none"/>
        </w:rPr>
        <w:t>投标人（盖章）：</w:t>
      </w:r>
    </w:p>
    <w:p w14:paraId="3419F202">
      <w:pPr>
        <w:spacing w:before="156" w:beforeLines="50" w:after="156" w:afterLines="50" w:line="500" w:lineRule="exact"/>
        <w:ind w:firstLine="570"/>
        <w:rPr>
          <w:rFonts w:hint="eastAsia" w:ascii="宋体" w:hAnsi="宋体"/>
          <w:color w:val="auto"/>
          <w:sz w:val="24"/>
          <w:szCs w:val="24"/>
          <w:highlight w:val="none"/>
        </w:rPr>
      </w:pPr>
      <w:r>
        <w:rPr>
          <w:rFonts w:hint="eastAsia" w:ascii="宋体" w:hAnsi="宋体"/>
          <w:color w:val="auto"/>
          <w:sz w:val="24"/>
          <w:szCs w:val="24"/>
          <w:highlight w:val="none"/>
        </w:rPr>
        <w:t>投标单位法定代表人或其授权委托代理人签字:</w:t>
      </w:r>
    </w:p>
    <w:p w14:paraId="46D1BEAE">
      <w:pPr>
        <w:spacing w:before="156" w:beforeLines="50" w:after="156" w:afterLines="50" w:line="500" w:lineRule="exact"/>
        <w:ind w:firstLine="600" w:firstLineChars="250"/>
        <w:rPr>
          <w:rFonts w:hint="eastAsia" w:ascii="宋体" w:hAnsi="宋体"/>
          <w:color w:val="auto"/>
          <w:sz w:val="24"/>
          <w:szCs w:val="24"/>
          <w:highlight w:val="none"/>
        </w:rPr>
      </w:pPr>
      <w:r>
        <w:rPr>
          <w:rFonts w:hint="eastAsia" w:ascii="宋体" w:hAnsi="宋体"/>
          <w:color w:val="auto"/>
          <w:sz w:val="24"/>
          <w:szCs w:val="24"/>
          <w:highlight w:val="none"/>
        </w:rPr>
        <w:t>日   期：     年   月   日</w:t>
      </w:r>
    </w:p>
    <w:p w14:paraId="334ED3B0">
      <w:pPr>
        <w:spacing w:before="50" w:after="50" w:line="500" w:lineRule="exact"/>
        <w:rPr>
          <w:rFonts w:hint="eastAsia" w:ascii="宋体" w:hAnsi="宋体"/>
          <w:b/>
          <w:color w:val="auto"/>
          <w:sz w:val="24"/>
          <w:szCs w:val="24"/>
          <w:highlight w:val="none"/>
        </w:rPr>
      </w:pPr>
      <w:r>
        <w:rPr>
          <w:rFonts w:hint="eastAsia" w:ascii="宋体" w:hAnsi="宋体"/>
          <w:b/>
          <w:color w:val="auto"/>
          <w:sz w:val="24"/>
          <w:szCs w:val="24"/>
          <w:highlight w:val="none"/>
        </w:rPr>
        <w:t>注：后附企业监理业绩证明材料</w:t>
      </w:r>
    </w:p>
    <w:p w14:paraId="067FF92B">
      <w:pPr>
        <w:rPr>
          <w:rFonts w:hint="eastAsia" w:ascii="宋体" w:hAnsi="宋体" w:eastAsia="宋体" w:cs="宋体"/>
          <w:color w:val="auto"/>
          <w:sz w:val="22"/>
          <w:highlight w:val="none"/>
        </w:rPr>
      </w:pPr>
    </w:p>
    <w:p w14:paraId="792DFC8D">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8"/>
          <w:highlight w:val="none"/>
        </w:rPr>
        <w:br w:type="page"/>
      </w:r>
      <w:r>
        <w:rPr>
          <w:rFonts w:hint="eastAsia" w:ascii="宋体" w:hAnsi="宋体" w:eastAsia="宋体" w:cs="宋体"/>
          <w:b/>
          <w:color w:val="auto"/>
          <w:kern w:val="0"/>
          <w:sz w:val="30"/>
          <w:szCs w:val="30"/>
          <w:highlight w:val="none"/>
        </w:rPr>
        <w:t>（</w:t>
      </w:r>
      <w:r>
        <w:rPr>
          <w:rFonts w:hint="eastAsia" w:ascii="宋体" w:hAnsi="宋体" w:cs="宋体"/>
          <w:b/>
          <w:color w:val="auto"/>
          <w:kern w:val="0"/>
          <w:sz w:val="30"/>
          <w:szCs w:val="30"/>
          <w:highlight w:val="none"/>
          <w:lang w:val="en-US" w:eastAsia="zh-CN"/>
        </w:rPr>
        <w:t>四</w:t>
      </w:r>
      <w:r>
        <w:rPr>
          <w:rFonts w:hint="eastAsia" w:ascii="宋体" w:hAnsi="宋体" w:eastAsia="宋体" w:cs="宋体"/>
          <w:b/>
          <w:color w:val="auto"/>
          <w:kern w:val="0"/>
          <w:sz w:val="30"/>
          <w:szCs w:val="30"/>
          <w:highlight w:val="none"/>
        </w:rPr>
        <w:t>）近年发生的诉讼及仲裁情况</w:t>
      </w:r>
    </w:p>
    <w:p w14:paraId="14D8012F">
      <w:pPr>
        <w:pageBreakBefore w:val="0"/>
        <w:wordWrap w:val="0"/>
        <w:bidi w:val="0"/>
        <w:spacing w:before="50" w:after="5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说明：近年发生的诉讼和仲裁情况仅限于投标人败诉的，且与履行承包合同有关的案件，不包括调解结案以及未裁决的仲裁或未终审判决的诉讼。</w:t>
      </w:r>
    </w:p>
    <w:p w14:paraId="58B6A95E">
      <w:pPr>
        <w:pageBreakBefore w:val="0"/>
        <w:wordWrap w:val="0"/>
        <w:autoSpaceDE w:val="0"/>
        <w:autoSpaceDN w:val="0"/>
        <w:bidi w:val="0"/>
        <w:adjustRightInd w:val="0"/>
        <w:spacing w:line="360" w:lineRule="auto"/>
        <w:ind w:right="-34" w:rightChars="-16"/>
        <w:jc w:val="center"/>
        <w:outlineLvl w:val="1"/>
        <w:rPr>
          <w:rFonts w:hint="eastAsia" w:ascii="宋体" w:hAnsi="宋体" w:eastAsia="宋体" w:cs="宋体"/>
          <w:b/>
          <w:color w:val="auto"/>
          <w:kern w:val="0"/>
          <w:sz w:val="30"/>
          <w:szCs w:val="30"/>
          <w:highlight w:val="none"/>
        </w:rPr>
      </w:pPr>
      <w:r>
        <w:rPr>
          <w:rFonts w:hint="eastAsia" w:ascii="宋体" w:hAnsi="宋体" w:eastAsia="宋体" w:cs="宋体"/>
          <w:color w:val="auto"/>
          <w:sz w:val="24"/>
          <w:highlight w:val="none"/>
        </w:rPr>
        <w:br w:type="page"/>
      </w:r>
      <w:bookmarkStart w:id="197" w:name="_Toc18987"/>
      <w:bookmarkStart w:id="198" w:name="_Toc4379"/>
      <w:r>
        <w:rPr>
          <w:rFonts w:hint="eastAsia" w:ascii="宋体" w:hAnsi="宋体" w:cs="宋体"/>
          <w:b/>
          <w:color w:val="auto"/>
          <w:kern w:val="0"/>
          <w:sz w:val="32"/>
          <w:highlight w:val="none"/>
          <w:lang w:eastAsia="zh-CN"/>
        </w:rPr>
        <w:t>九</w:t>
      </w:r>
      <w:r>
        <w:rPr>
          <w:rFonts w:hint="eastAsia" w:ascii="宋体" w:hAnsi="宋体" w:eastAsia="宋体" w:cs="宋体"/>
          <w:b/>
          <w:color w:val="auto"/>
          <w:kern w:val="0"/>
          <w:sz w:val="32"/>
          <w:highlight w:val="none"/>
        </w:rPr>
        <w:t>、其他材料</w:t>
      </w:r>
      <w:bookmarkEnd w:id="197"/>
      <w:bookmarkEnd w:id="198"/>
    </w:p>
    <w:p w14:paraId="283C3F80">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szCs w:val="24"/>
          <w:highlight w:val="none"/>
        </w:rPr>
      </w:pPr>
      <w:r>
        <w:rPr>
          <w:rFonts w:hint="eastAsia" w:ascii="宋体" w:hAnsi="宋体" w:eastAsia="宋体" w:cs="宋体"/>
          <w:b/>
          <w:color w:val="auto"/>
          <w:kern w:val="0"/>
          <w:sz w:val="30"/>
          <w:szCs w:val="30"/>
          <w:highlight w:val="none"/>
        </w:rPr>
        <w:t>（一）投标活动承诺书</w:t>
      </w:r>
    </w:p>
    <w:p w14:paraId="72ADF69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75FE304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一、遵循公开、公正和诚实信用的原则自愿参加本项目的投标，所提供的一切材料都是真实、有效、合法的；</w:t>
      </w:r>
    </w:p>
    <w:p w14:paraId="6CCDFD6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二、不存在投标报价明显低于成本价或高于招标文件设定的</w:t>
      </w:r>
      <w:r>
        <w:rPr>
          <w:rFonts w:hint="eastAsia" w:ascii="宋体" w:hAnsi="宋体" w:cs="宋体"/>
          <w:color w:val="auto"/>
          <w:sz w:val="24"/>
          <w:szCs w:val="24"/>
          <w:highlight w:val="none"/>
          <w:lang w:eastAsia="zh-CN"/>
        </w:rPr>
        <w:t>招标控制价</w:t>
      </w:r>
      <w:r>
        <w:rPr>
          <w:rFonts w:hint="eastAsia" w:ascii="宋体" w:hAnsi="宋体" w:eastAsia="宋体" w:cs="宋体"/>
          <w:color w:val="auto"/>
          <w:sz w:val="24"/>
          <w:szCs w:val="24"/>
          <w:highlight w:val="none"/>
        </w:rPr>
        <w:t>，恶意扰乱市场正常秩序；</w:t>
      </w:r>
    </w:p>
    <w:p w14:paraId="2D9EF88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三、不存在出租（出借）或转让资格、资质证书供他人投标的情况，不借用、挂靠他人资质证书，不存在以他人名义投标或者以其他方式弄虚作假（含不实承诺）骗取中标情形</w:t>
      </w:r>
      <w:r>
        <w:rPr>
          <w:rFonts w:hint="eastAsia" w:ascii="宋体" w:hAnsi="宋体" w:eastAsia="宋体" w:cs="宋体"/>
          <w:color w:val="auto"/>
          <w:sz w:val="24"/>
          <w:szCs w:val="24"/>
          <w:highlight w:val="none"/>
          <w:lang w:eastAsia="zh-CN"/>
        </w:rPr>
        <w:t>；</w:t>
      </w:r>
    </w:p>
    <w:p w14:paraId="03A2A0C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77D6065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五、不与招标人、招标代理机构或其他投标人串通投标，损害国家利益、社会公共利益或者他人的合法权益</w:t>
      </w:r>
      <w:r>
        <w:rPr>
          <w:rFonts w:hint="eastAsia" w:ascii="宋体" w:hAnsi="宋体" w:eastAsia="宋体" w:cs="宋体"/>
          <w:color w:val="auto"/>
          <w:sz w:val="24"/>
          <w:szCs w:val="24"/>
          <w:highlight w:val="none"/>
          <w:lang w:eastAsia="zh-CN"/>
        </w:rPr>
        <w:t>；</w:t>
      </w:r>
    </w:p>
    <w:p w14:paraId="69C71D9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六、严格遵守开标现场纪律，服从监管人员管理</w:t>
      </w:r>
      <w:r>
        <w:rPr>
          <w:rFonts w:hint="eastAsia" w:ascii="宋体" w:hAnsi="宋体" w:eastAsia="宋体" w:cs="宋体"/>
          <w:color w:val="auto"/>
          <w:sz w:val="24"/>
          <w:szCs w:val="24"/>
          <w:highlight w:val="none"/>
          <w:lang w:eastAsia="zh-CN"/>
        </w:rPr>
        <w:t>；</w:t>
      </w:r>
    </w:p>
    <w:p w14:paraId="02E8C75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以上内容我已仔细阅读，本公司若有违反承诺内容的行为，自愿依法接受取消投标资格、记入信用档案、取消中标资格、没收投标保证金等有关处理，愿意承担法律责任，给招标人造成损失的，依法承担赔偿责任。</w:t>
      </w:r>
    </w:p>
    <w:p w14:paraId="1494DE8B">
      <w:pPr>
        <w:pStyle w:val="20"/>
        <w:pageBreakBefore w:val="0"/>
        <w:wordWrap w:val="0"/>
        <w:bidi w:val="0"/>
        <w:spacing w:before="0" w:beforeAutospacing="0" w:after="0" w:afterAutospacing="0" w:line="420" w:lineRule="exact"/>
        <w:ind w:right="640" w:firstLine="2880" w:firstLineChars="1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承 诺 人：</w:t>
      </w:r>
      <w:r>
        <w:rPr>
          <w:rFonts w:hint="eastAsia" w:cs="宋体"/>
          <w:color w:val="auto"/>
          <w:szCs w:val="24"/>
          <w:highlight w:val="none"/>
          <w:u w:val="single"/>
          <w:lang w:val="en-US" w:eastAsia="zh-CN"/>
        </w:rPr>
        <w:t xml:space="preserve">                        </w:t>
      </w:r>
      <w:r>
        <w:rPr>
          <w:rFonts w:hint="eastAsia" w:ascii="宋体" w:hAnsi="宋体" w:eastAsia="宋体" w:cs="宋体"/>
          <w:color w:val="auto"/>
          <w:szCs w:val="24"/>
          <w:highlight w:val="none"/>
        </w:rPr>
        <w:t>（公章）</w:t>
      </w:r>
    </w:p>
    <w:p w14:paraId="784DEA3A">
      <w:pPr>
        <w:pStyle w:val="20"/>
        <w:pageBreakBefore w:val="0"/>
        <w:wordWrap w:val="0"/>
        <w:bidi w:val="0"/>
        <w:spacing w:before="0" w:beforeAutospacing="0" w:after="0" w:afterAutospacing="0" w:line="420" w:lineRule="exact"/>
        <w:ind w:right="640" w:firstLine="2880" w:firstLineChars="1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联系电话：</w:t>
      </w:r>
      <w:r>
        <w:rPr>
          <w:rFonts w:hint="eastAsia" w:cs="宋体"/>
          <w:color w:val="auto"/>
          <w:szCs w:val="24"/>
          <w:highlight w:val="none"/>
          <w:u w:val="single"/>
          <w:lang w:val="en-US" w:eastAsia="zh-CN"/>
        </w:rPr>
        <w:t xml:space="preserve">                              </w:t>
      </w:r>
    </w:p>
    <w:p w14:paraId="007B02C4">
      <w:pPr>
        <w:pStyle w:val="20"/>
        <w:pageBreakBefore w:val="0"/>
        <w:wordWrap w:val="0"/>
        <w:bidi w:val="0"/>
        <w:spacing w:before="0" w:beforeAutospacing="0" w:after="0" w:afterAutospacing="0" w:line="420" w:lineRule="exact"/>
        <w:ind w:right="640" w:firstLine="2880" w:firstLineChars="1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法定代表人或委托代理人签字：</w:t>
      </w:r>
      <w:r>
        <w:rPr>
          <w:rFonts w:hint="eastAsia" w:cs="宋体"/>
          <w:color w:val="auto"/>
          <w:szCs w:val="24"/>
          <w:highlight w:val="none"/>
          <w:u w:val="single"/>
          <w:lang w:val="en-US" w:eastAsia="zh-CN"/>
        </w:rPr>
        <w:t xml:space="preserve">            </w:t>
      </w:r>
    </w:p>
    <w:p w14:paraId="6D1EBB61">
      <w:pPr>
        <w:pStyle w:val="20"/>
        <w:pageBreakBefore w:val="0"/>
        <w:wordWrap w:val="0"/>
        <w:bidi w:val="0"/>
        <w:spacing w:before="0" w:beforeAutospacing="0" w:after="0" w:afterAutospacing="0" w:line="450" w:lineRule="atLeast"/>
        <w:ind w:right="640"/>
        <w:jc w:val="right"/>
        <w:rPr>
          <w:rFonts w:hint="eastAsia" w:ascii="宋体" w:hAnsi="宋体" w:eastAsia="宋体" w:cs="宋体"/>
          <w:color w:val="auto"/>
          <w:sz w:val="28"/>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none"/>
        </w:rPr>
        <w:t>日</w:t>
      </w:r>
    </w:p>
    <w:p w14:paraId="63E5F71D">
      <w:pPr>
        <w:bidi w:val="0"/>
        <w:rPr>
          <w:rFonts w:hint="eastAsia"/>
          <w:b/>
          <w:bCs/>
          <w:color w:val="auto"/>
          <w:sz w:val="24"/>
          <w:szCs w:val="24"/>
          <w:highlight w:val="none"/>
        </w:rPr>
      </w:pPr>
    </w:p>
    <w:p w14:paraId="61B4B38D">
      <w:pPr>
        <w:bidi w:val="0"/>
        <w:jc w:val="both"/>
        <w:outlineLvl w:val="1"/>
        <w:rPr>
          <w:rFonts w:hint="eastAsia"/>
          <w:b/>
          <w:bCs/>
          <w:color w:val="auto"/>
          <w:sz w:val="24"/>
          <w:szCs w:val="24"/>
          <w:highlight w:val="none"/>
        </w:rPr>
        <w:sectPr>
          <w:pgSz w:w="11906" w:h="16838"/>
          <w:pgMar w:top="1440" w:right="1800" w:bottom="1440" w:left="1800" w:header="851" w:footer="992" w:gutter="0"/>
          <w:pgNumType w:fmt="decimal"/>
          <w:cols w:space="425" w:num="1"/>
          <w:docGrid w:type="lines" w:linePitch="312" w:charSpace="0"/>
        </w:sectPr>
      </w:pPr>
    </w:p>
    <w:p w14:paraId="3F4DE7AD">
      <w:pPr>
        <w:pageBreakBefore w:val="0"/>
        <w:wordWrap w:val="0"/>
        <w:autoSpaceDE w:val="0"/>
        <w:autoSpaceDN w:val="0"/>
        <w:bidi w:val="0"/>
        <w:adjustRightInd w:val="0"/>
        <w:spacing w:line="360" w:lineRule="auto"/>
        <w:ind w:right="-34" w:rightChars="-16"/>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kern w:val="0"/>
          <w:sz w:val="30"/>
          <w:szCs w:val="30"/>
          <w:highlight w:val="none"/>
        </w:rPr>
        <w:t>（二）投标人认为有必要提供的其他材料</w:t>
      </w:r>
    </w:p>
    <w:p w14:paraId="71CAEBA2">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107777DA">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43A73813">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68E99DC3">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38EF8721">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1B21AC3C">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20C6A11D">
      <w:pPr>
        <w:pageBreakBefore w:val="0"/>
        <w:widowControl w:val="0"/>
        <w:numPr>
          <w:ilvl w:val="0"/>
          <w:numId w:val="0"/>
        </w:numPr>
        <w:wordWrap w:val="0"/>
        <w:bidi w:val="0"/>
        <w:jc w:val="center"/>
        <w:outlineLvl w:val="9"/>
        <w:rPr>
          <w:rFonts w:hint="default" w:ascii="宋体" w:hAnsi="宋体" w:eastAsia="宋体" w:cs="宋体"/>
          <w:color w:val="auto"/>
          <w:sz w:val="24"/>
          <w:szCs w:val="24"/>
          <w:highlight w:val="none"/>
          <w:lang w:val="en-US" w:eastAsia="zh-CN"/>
        </w:rPr>
      </w:pPr>
    </w:p>
    <w:p w14:paraId="77BAF3D3">
      <w:pPr>
        <w:rPr>
          <w:color w:val="auto"/>
          <w:highlight w:val="none"/>
        </w:rPr>
      </w:pPr>
    </w:p>
    <w:p w14:paraId="3CD7D061">
      <w:pPr>
        <w:rPr>
          <w:color w:val="auto"/>
          <w:highlight w:val="none"/>
        </w:rPr>
      </w:pPr>
    </w:p>
    <w:p w14:paraId="77E059E6">
      <w:pPr>
        <w:rPr>
          <w:color w:val="auto"/>
          <w:highlight w:val="none"/>
        </w:rPr>
      </w:pPr>
    </w:p>
    <w:p w14:paraId="6ABB77A4">
      <w:pPr>
        <w:rPr>
          <w:color w:val="auto"/>
          <w:highlight w:val="none"/>
        </w:rPr>
      </w:pPr>
    </w:p>
    <w:p w14:paraId="4BFE5AB1">
      <w:pPr>
        <w:rPr>
          <w:color w:val="auto"/>
          <w:highlight w:val="none"/>
        </w:rPr>
      </w:pPr>
    </w:p>
    <w:p w14:paraId="746BBA31">
      <w:pPr>
        <w:rPr>
          <w:color w:val="auto"/>
          <w:highlight w:val="none"/>
        </w:rPr>
      </w:pPr>
    </w:p>
    <w:p w14:paraId="0F5A3A53">
      <w:pPr>
        <w:rPr>
          <w:color w:val="auto"/>
          <w:highlight w:val="none"/>
        </w:rPr>
      </w:pPr>
    </w:p>
    <w:p w14:paraId="1E44798C">
      <w:pPr>
        <w:rPr>
          <w:color w:val="auto"/>
          <w:highlight w:val="none"/>
        </w:rPr>
      </w:pPr>
    </w:p>
    <w:p w14:paraId="09887442">
      <w:pPr>
        <w:rPr>
          <w:color w:val="auto"/>
          <w:highlight w:val="none"/>
        </w:rPr>
      </w:pPr>
    </w:p>
    <w:p w14:paraId="33E18340">
      <w:pPr>
        <w:rPr>
          <w:color w:val="auto"/>
          <w:highlight w:val="none"/>
        </w:rPr>
      </w:pPr>
    </w:p>
    <w:p w14:paraId="16EEAFB0">
      <w:pPr>
        <w:rPr>
          <w:color w:val="auto"/>
          <w:highlight w:val="none"/>
        </w:rPr>
      </w:pPr>
    </w:p>
    <w:p w14:paraId="63A27C32">
      <w:pPr>
        <w:rPr>
          <w:color w:val="auto"/>
          <w:highlight w:val="none"/>
        </w:rPr>
      </w:pPr>
    </w:p>
    <w:p w14:paraId="5AC194B8">
      <w:pPr>
        <w:rPr>
          <w:color w:val="auto"/>
          <w:highlight w:val="none"/>
        </w:rPr>
      </w:pPr>
    </w:p>
    <w:p w14:paraId="51A5746E">
      <w:pPr>
        <w:rPr>
          <w:color w:val="auto"/>
          <w:highlight w:val="none"/>
        </w:rPr>
      </w:pPr>
    </w:p>
    <w:p w14:paraId="70E31740">
      <w:pPr>
        <w:rPr>
          <w:color w:val="auto"/>
          <w:highlight w:val="none"/>
        </w:rPr>
      </w:pPr>
    </w:p>
    <w:p w14:paraId="70C0AF67">
      <w:pPr>
        <w:rPr>
          <w:color w:val="auto"/>
          <w:highlight w:val="none"/>
        </w:rPr>
      </w:pPr>
    </w:p>
    <w:p w14:paraId="2D1D5646">
      <w:pPr>
        <w:rPr>
          <w:color w:val="auto"/>
          <w:highlight w:val="none"/>
        </w:rPr>
      </w:pPr>
    </w:p>
    <w:p w14:paraId="25EF59FC">
      <w:pPr>
        <w:numPr>
          <w:ilvl w:val="0"/>
          <w:numId w:val="0"/>
        </w:numPr>
        <w:ind w:leftChars="0"/>
        <w:rPr>
          <w:rFonts w:hint="default"/>
          <w:color w:val="auto"/>
          <w:highlight w:val="none"/>
          <w:lang w:val="en-US" w:eastAsia="zh-CN"/>
        </w:rPr>
      </w:pPr>
    </w:p>
    <w:p w14:paraId="51E7BBA5">
      <w:pPr>
        <w:rPr>
          <w:color w:val="auto"/>
          <w:highlight w:val="none"/>
        </w:rPr>
      </w:pPr>
    </w:p>
    <w:p w14:paraId="0BDD580E">
      <w:pPr>
        <w:rPr>
          <w:color w:val="auto"/>
          <w:highlight w:val="none"/>
        </w:rPr>
      </w:pPr>
    </w:p>
    <w:p w14:paraId="7CC7BF1A">
      <w:pPr>
        <w:rPr>
          <w:color w:val="auto"/>
          <w:highlight w:val="none"/>
        </w:rPr>
      </w:pPr>
    </w:p>
    <w:p w14:paraId="262CE1A6">
      <w:pPr>
        <w:rPr>
          <w:color w:val="auto"/>
          <w:highlight w:val="none"/>
        </w:rPr>
      </w:pPr>
    </w:p>
    <w:p w14:paraId="62410F5E">
      <w:pPr>
        <w:rPr>
          <w:color w:val="auto"/>
          <w:highlight w:val="none"/>
        </w:rPr>
      </w:pPr>
    </w:p>
    <w:p w14:paraId="49CA6C77">
      <w:pPr>
        <w:rPr>
          <w:color w:val="auto"/>
          <w:highlight w:val="none"/>
        </w:rPr>
      </w:pPr>
    </w:p>
    <w:p w14:paraId="714EFCA9">
      <w:pPr>
        <w:rPr>
          <w:color w:val="auto"/>
          <w:highlight w:val="none"/>
        </w:rPr>
      </w:pPr>
    </w:p>
    <w:p w14:paraId="5499A3AF">
      <w:pPr>
        <w:rPr>
          <w:color w:val="auto"/>
          <w:highlight w:val="none"/>
        </w:rPr>
      </w:pPr>
    </w:p>
    <w:p w14:paraId="00CFEBBC">
      <w:pPr>
        <w:rPr>
          <w:color w:val="auto"/>
          <w:highlight w:val="none"/>
        </w:rPr>
      </w:pPr>
    </w:p>
    <w:p w14:paraId="24219A1B">
      <w:pPr>
        <w:rPr>
          <w:color w:val="auto"/>
          <w:highlight w:val="none"/>
        </w:rPr>
      </w:pPr>
    </w:p>
    <w:p w14:paraId="752A2B8C">
      <w:pPr>
        <w:rPr>
          <w:color w:val="auto"/>
          <w:highlight w:val="none"/>
        </w:rPr>
      </w:pPr>
    </w:p>
    <w:p w14:paraId="0D583E3C">
      <w:pPr>
        <w:rPr>
          <w:color w:val="auto"/>
          <w:highlight w:val="none"/>
        </w:rPr>
      </w:pPr>
    </w:p>
    <w:p w14:paraId="3F27C4F4">
      <w:pPr>
        <w:rPr>
          <w:color w:val="auto"/>
          <w:highlight w:val="none"/>
        </w:rPr>
      </w:pPr>
    </w:p>
    <w:p w14:paraId="2992BDA4">
      <w:pPr>
        <w:rPr>
          <w:color w:val="auto"/>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
    <w:altName w:val="Times New Roman"/>
    <w:panose1 w:val="00000000000000000000"/>
    <w:charset w:val="00"/>
    <w:family w:val="auto"/>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967B0">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F9F51D">
                          <w:pPr>
                            <w:pStyle w:val="1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0F9F51D">
                    <w:pPr>
                      <w:pStyle w:val="1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07E39">
    <w:pPr>
      <w:pStyle w:val="14"/>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7A9B8E">
                          <w:pPr>
                            <w:pStyle w:val="1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27A9B8E">
                    <w:pPr>
                      <w:pStyle w:val="1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6B4E5">
    <w:pPr>
      <w:pStyle w:val="14"/>
      <w:jc w:val="center"/>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058251">
                          <w:pPr>
                            <w:pStyle w:val="1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B058251">
                    <w:pPr>
                      <w:pStyle w:val="1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1E1AD">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BDFAAE"/>
    <w:multiLevelType w:val="singleLevel"/>
    <w:tmpl w:val="84BDFAAE"/>
    <w:lvl w:ilvl="0" w:tentative="0">
      <w:start w:val="2"/>
      <w:numFmt w:val="chineseCounting"/>
      <w:suff w:val="space"/>
      <w:lvlText w:val="第%1章"/>
      <w:lvlJc w:val="left"/>
      <w:rPr>
        <w:rFonts w:hint="eastAsia"/>
      </w:rPr>
    </w:lvl>
  </w:abstractNum>
  <w:abstractNum w:abstractNumId="1">
    <w:nsid w:val="62687BB6"/>
    <w:multiLevelType w:val="multilevel"/>
    <w:tmpl w:val="62687BB6"/>
    <w:lvl w:ilvl="0" w:tentative="0">
      <w:start w:val="1"/>
      <w:numFmt w:val="decimal"/>
      <w:pStyle w:val="49"/>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2">
    <w:nsid w:val="6E87019F"/>
    <w:multiLevelType w:val="multilevel"/>
    <w:tmpl w:val="6E87019F"/>
    <w:lvl w:ilvl="0" w:tentative="0">
      <w:start w:val="1"/>
      <w:numFmt w:val="chineseCountingThousand"/>
      <w:pStyle w:val="53"/>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04127"/>
    <w:rsid w:val="00DA5DEB"/>
    <w:rsid w:val="010271F8"/>
    <w:rsid w:val="032633D2"/>
    <w:rsid w:val="03782C2B"/>
    <w:rsid w:val="0406489A"/>
    <w:rsid w:val="040C6AE9"/>
    <w:rsid w:val="04620DE2"/>
    <w:rsid w:val="0471096D"/>
    <w:rsid w:val="04B44BD9"/>
    <w:rsid w:val="04DB28E6"/>
    <w:rsid w:val="05CF793B"/>
    <w:rsid w:val="05F94DCD"/>
    <w:rsid w:val="07736A7C"/>
    <w:rsid w:val="07E43A28"/>
    <w:rsid w:val="07EC1A0C"/>
    <w:rsid w:val="07FC0BA5"/>
    <w:rsid w:val="07FC4574"/>
    <w:rsid w:val="083D3697"/>
    <w:rsid w:val="08716E9D"/>
    <w:rsid w:val="08AE4799"/>
    <w:rsid w:val="090F0B06"/>
    <w:rsid w:val="091F4B4B"/>
    <w:rsid w:val="094A12D9"/>
    <w:rsid w:val="09771D4B"/>
    <w:rsid w:val="0A873492"/>
    <w:rsid w:val="0A8D4F5C"/>
    <w:rsid w:val="0AB14B71"/>
    <w:rsid w:val="0AF06CE8"/>
    <w:rsid w:val="0B350656"/>
    <w:rsid w:val="0B423E3E"/>
    <w:rsid w:val="0B5C5BE2"/>
    <w:rsid w:val="0C8A49D1"/>
    <w:rsid w:val="0D40111F"/>
    <w:rsid w:val="0D75742F"/>
    <w:rsid w:val="0D8458C4"/>
    <w:rsid w:val="0DB42637"/>
    <w:rsid w:val="0DCC7955"/>
    <w:rsid w:val="0EE03C66"/>
    <w:rsid w:val="0EE47FF6"/>
    <w:rsid w:val="0F2161CD"/>
    <w:rsid w:val="0F411F6A"/>
    <w:rsid w:val="0F44466F"/>
    <w:rsid w:val="0F6023BE"/>
    <w:rsid w:val="10615A49"/>
    <w:rsid w:val="109127D2"/>
    <w:rsid w:val="10CF50A9"/>
    <w:rsid w:val="10D26166"/>
    <w:rsid w:val="117B6771"/>
    <w:rsid w:val="11ED31FD"/>
    <w:rsid w:val="12810624"/>
    <w:rsid w:val="12D275F1"/>
    <w:rsid w:val="12FD4B03"/>
    <w:rsid w:val="1346712C"/>
    <w:rsid w:val="13D824C6"/>
    <w:rsid w:val="14187EC0"/>
    <w:rsid w:val="14256DF8"/>
    <w:rsid w:val="14983A03"/>
    <w:rsid w:val="155B6F0B"/>
    <w:rsid w:val="15761F97"/>
    <w:rsid w:val="16525D16"/>
    <w:rsid w:val="16677B31"/>
    <w:rsid w:val="170B0459"/>
    <w:rsid w:val="17A0588E"/>
    <w:rsid w:val="18553FB3"/>
    <w:rsid w:val="185E4FE3"/>
    <w:rsid w:val="18960DCA"/>
    <w:rsid w:val="18B851FD"/>
    <w:rsid w:val="1A5F56EF"/>
    <w:rsid w:val="1AB04A94"/>
    <w:rsid w:val="1B065B6B"/>
    <w:rsid w:val="1BC502DC"/>
    <w:rsid w:val="1BC616CD"/>
    <w:rsid w:val="1C403731"/>
    <w:rsid w:val="1C60776B"/>
    <w:rsid w:val="1CF71A15"/>
    <w:rsid w:val="1CFB7D79"/>
    <w:rsid w:val="1DAB48C4"/>
    <w:rsid w:val="1E7948A6"/>
    <w:rsid w:val="1E9811D0"/>
    <w:rsid w:val="1EF045B7"/>
    <w:rsid w:val="1FDD640A"/>
    <w:rsid w:val="20174376"/>
    <w:rsid w:val="20230F6D"/>
    <w:rsid w:val="203942EC"/>
    <w:rsid w:val="20A4370C"/>
    <w:rsid w:val="20BC7D1A"/>
    <w:rsid w:val="20C04A0E"/>
    <w:rsid w:val="21072C86"/>
    <w:rsid w:val="218755AB"/>
    <w:rsid w:val="21A954A2"/>
    <w:rsid w:val="22477195"/>
    <w:rsid w:val="22A32546"/>
    <w:rsid w:val="22A719E1"/>
    <w:rsid w:val="244B2840"/>
    <w:rsid w:val="251655C9"/>
    <w:rsid w:val="256C5331"/>
    <w:rsid w:val="257E3EE8"/>
    <w:rsid w:val="25B032A3"/>
    <w:rsid w:val="25B819DC"/>
    <w:rsid w:val="26057A26"/>
    <w:rsid w:val="261513AF"/>
    <w:rsid w:val="262B0B7B"/>
    <w:rsid w:val="263A2B6C"/>
    <w:rsid w:val="267972B5"/>
    <w:rsid w:val="26F57CEA"/>
    <w:rsid w:val="270E1B1F"/>
    <w:rsid w:val="27285394"/>
    <w:rsid w:val="27341C79"/>
    <w:rsid w:val="27341F81"/>
    <w:rsid w:val="273E4765"/>
    <w:rsid w:val="281832D7"/>
    <w:rsid w:val="28F16AC5"/>
    <w:rsid w:val="29032EE2"/>
    <w:rsid w:val="29277078"/>
    <w:rsid w:val="29315FA2"/>
    <w:rsid w:val="29842A7C"/>
    <w:rsid w:val="29BF3AB4"/>
    <w:rsid w:val="2A4B0BCB"/>
    <w:rsid w:val="2B4118A8"/>
    <w:rsid w:val="2B4B4DE2"/>
    <w:rsid w:val="2B9123EB"/>
    <w:rsid w:val="2B9920E3"/>
    <w:rsid w:val="2C9111D4"/>
    <w:rsid w:val="2CD17454"/>
    <w:rsid w:val="2CFC6DCE"/>
    <w:rsid w:val="2D2B0227"/>
    <w:rsid w:val="2D320A41"/>
    <w:rsid w:val="2DB12902"/>
    <w:rsid w:val="2EBD7686"/>
    <w:rsid w:val="2EEA4CFC"/>
    <w:rsid w:val="2EF17E00"/>
    <w:rsid w:val="2EFF57A9"/>
    <w:rsid w:val="2F43516D"/>
    <w:rsid w:val="2FCA4873"/>
    <w:rsid w:val="3106646D"/>
    <w:rsid w:val="312C200E"/>
    <w:rsid w:val="31342FDA"/>
    <w:rsid w:val="317258B0"/>
    <w:rsid w:val="31CE09E2"/>
    <w:rsid w:val="31D125D7"/>
    <w:rsid w:val="31E16592"/>
    <w:rsid w:val="31E3055C"/>
    <w:rsid w:val="3266269C"/>
    <w:rsid w:val="3269517F"/>
    <w:rsid w:val="32B86373"/>
    <w:rsid w:val="332D5503"/>
    <w:rsid w:val="33D17AC9"/>
    <w:rsid w:val="34A97302"/>
    <w:rsid w:val="358E4299"/>
    <w:rsid w:val="35E14DB3"/>
    <w:rsid w:val="36281A99"/>
    <w:rsid w:val="36653C36"/>
    <w:rsid w:val="366B28CE"/>
    <w:rsid w:val="36AD348B"/>
    <w:rsid w:val="36EC2EAC"/>
    <w:rsid w:val="372E4027"/>
    <w:rsid w:val="37735A55"/>
    <w:rsid w:val="37CB0B6E"/>
    <w:rsid w:val="3842422E"/>
    <w:rsid w:val="385F5004"/>
    <w:rsid w:val="394B0965"/>
    <w:rsid w:val="3A5D1109"/>
    <w:rsid w:val="3A8538B6"/>
    <w:rsid w:val="3AC56A51"/>
    <w:rsid w:val="3B0E664A"/>
    <w:rsid w:val="3B5E7522"/>
    <w:rsid w:val="3B64626A"/>
    <w:rsid w:val="3BCA4FD6"/>
    <w:rsid w:val="3BD11514"/>
    <w:rsid w:val="3C812767"/>
    <w:rsid w:val="3D000214"/>
    <w:rsid w:val="3D595B76"/>
    <w:rsid w:val="3D934BE4"/>
    <w:rsid w:val="3DDD67A7"/>
    <w:rsid w:val="3DE2791A"/>
    <w:rsid w:val="3E7F160D"/>
    <w:rsid w:val="3E9969FE"/>
    <w:rsid w:val="3EAE02DD"/>
    <w:rsid w:val="3EC51D66"/>
    <w:rsid w:val="3ED96F6F"/>
    <w:rsid w:val="3F4A1C1A"/>
    <w:rsid w:val="40CD5FA4"/>
    <w:rsid w:val="410D0EB3"/>
    <w:rsid w:val="41E2438C"/>
    <w:rsid w:val="420E6F2F"/>
    <w:rsid w:val="42892A5A"/>
    <w:rsid w:val="437521A8"/>
    <w:rsid w:val="44055F4E"/>
    <w:rsid w:val="441C78B8"/>
    <w:rsid w:val="449776B0"/>
    <w:rsid w:val="45E32226"/>
    <w:rsid w:val="469F45FA"/>
    <w:rsid w:val="46DF4DE2"/>
    <w:rsid w:val="48423580"/>
    <w:rsid w:val="48E94F23"/>
    <w:rsid w:val="48F65B7F"/>
    <w:rsid w:val="492139EC"/>
    <w:rsid w:val="49DE2683"/>
    <w:rsid w:val="49E15D07"/>
    <w:rsid w:val="4A2B3C01"/>
    <w:rsid w:val="4A4D3D1A"/>
    <w:rsid w:val="4A6D0E1C"/>
    <w:rsid w:val="4AB7159A"/>
    <w:rsid w:val="4AE81B2A"/>
    <w:rsid w:val="4C3B3E29"/>
    <w:rsid w:val="4E7F47E8"/>
    <w:rsid w:val="4E8A668A"/>
    <w:rsid w:val="4EC43EA1"/>
    <w:rsid w:val="4ED37718"/>
    <w:rsid w:val="4F3C76E4"/>
    <w:rsid w:val="502640B7"/>
    <w:rsid w:val="509E5922"/>
    <w:rsid w:val="50D5605A"/>
    <w:rsid w:val="50ED2406"/>
    <w:rsid w:val="50EF4705"/>
    <w:rsid w:val="517C5B1F"/>
    <w:rsid w:val="51AE428B"/>
    <w:rsid w:val="52B80293"/>
    <w:rsid w:val="52E63442"/>
    <w:rsid w:val="53093B64"/>
    <w:rsid w:val="5374687F"/>
    <w:rsid w:val="537E7003"/>
    <w:rsid w:val="54027849"/>
    <w:rsid w:val="541F5AB9"/>
    <w:rsid w:val="549366B5"/>
    <w:rsid w:val="54A946C1"/>
    <w:rsid w:val="54DA7145"/>
    <w:rsid w:val="54E57FC4"/>
    <w:rsid w:val="54FF3F9A"/>
    <w:rsid w:val="555E5060"/>
    <w:rsid w:val="556D17E3"/>
    <w:rsid w:val="55AA2FBB"/>
    <w:rsid w:val="55B654BC"/>
    <w:rsid w:val="56234563"/>
    <w:rsid w:val="56BA0FDC"/>
    <w:rsid w:val="571D5AF2"/>
    <w:rsid w:val="57816F2D"/>
    <w:rsid w:val="57E62D59"/>
    <w:rsid w:val="57E774FB"/>
    <w:rsid w:val="58244BBB"/>
    <w:rsid w:val="585A440C"/>
    <w:rsid w:val="5877446E"/>
    <w:rsid w:val="58F033DB"/>
    <w:rsid w:val="58F84A09"/>
    <w:rsid w:val="59190FEB"/>
    <w:rsid w:val="591F15CA"/>
    <w:rsid w:val="592C145F"/>
    <w:rsid w:val="59E43C2C"/>
    <w:rsid w:val="5ADF7263"/>
    <w:rsid w:val="5AE549C0"/>
    <w:rsid w:val="5B022F52"/>
    <w:rsid w:val="5B134F2A"/>
    <w:rsid w:val="5B224F27"/>
    <w:rsid w:val="5B543737"/>
    <w:rsid w:val="5C191AE4"/>
    <w:rsid w:val="5C3242F4"/>
    <w:rsid w:val="5C7636ED"/>
    <w:rsid w:val="5C862AB9"/>
    <w:rsid w:val="5CA96851"/>
    <w:rsid w:val="5CE543AA"/>
    <w:rsid w:val="5D482D23"/>
    <w:rsid w:val="5DBD364D"/>
    <w:rsid w:val="5DC310BE"/>
    <w:rsid w:val="5E2D1A0D"/>
    <w:rsid w:val="5E364FFF"/>
    <w:rsid w:val="5E8C3B32"/>
    <w:rsid w:val="5EA40237"/>
    <w:rsid w:val="5EADD456"/>
    <w:rsid w:val="5EFE30E6"/>
    <w:rsid w:val="5FE353E7"/>
    <w:rsid w:val="608449F2"/>
    <w:rsid w:val="60C25BB7"/>
    <w:rsid w:val="61671270"/>
    <w:rsid w:val="61AC338F"/>
    <w:rsid w:val="627D3549"/>
    <w:rsid w:val="62EF1E31"/>
    <w:rsid w:val="634C56B2"/>
    <w:rsid w:val="637013A0"/>
    <w:rsid w:val="639A2609"/>
    <w:rsid w:val="640A312F"/>
    <w:rsid w:val="64B204F7"/>
    <w:rsid w:val="64C80D68"/>
    <w:rsid w:val="65063F1E"/>
    <w:rsid w:val="6582360D"/>
    <w:rsid w:val="65D26342"/>
    <w:rsid w:val="65EB3752"/>
    <w:rsid w:val="66040419"/>
    <w:rsid w:val="664663E8"/>
    <w:rsid w:val="6647680A"/>
    <w:rsid w:val="6650370B"/>
    <w:rsid w:val="67386679"/>
    <w:rsid w:val="67876CB8"/>
    <w:rsid w:val="67DC065B"/>
    <w:rsid w:val="67E122B6"/>
    <w:rsid w:val="68D221B5"/>
    <w:rsid w:val="68EE61E6"/>
    <w:rsid w:val="69D23F5B"/>
    <w:rsid w:val="6A2745F0"/>
    <w:rsid w:val="6A6FE3E1"/>
    <w:rsid w:val="6B962F81"/>
    <w:rsid w:val="6BD526E8"/>
    <w:rsid w:val="6C891725"/>
    <w:rsid w:val="6C924B4B"/>
    <w:rsid w:val="6CAA7616"/>
    <w:rsid w:val="6D751D11"/>
    <w:rsid w:val="6DC3270A"/>
    <w:rsid w:val="6DDA5020"/>
    <w:rsid w:val="6E1E3AF5"/>
    <w:rsid w:val="6E78372F"/>
    <w:rsid w:val="6EB91D86"/>
    <w:rsid w:val="6EF07700"/>
    <w:rsid w:val="6F6B1B80"/>
    <w:rsid w:val="706E310B"/>
    <w:rsid w:val="709826A3"/>
    <w:rsid w:val="71046BC4"/>
    <w:rsid w:val="717A2857"/>
    <w:rsid w:val="71836742"/>
    <w:rsid w:val="7184730C"/>
    <w:rsid w:val="72D82ABE"/>
    <w:rsid w:val="73504D4A"/>
    <w:rsid w:val="744367FC"/>
    <w:rsid w:val="745944A7"/>
    <w:rsid w:val="747B571F"/>
    <w:rsid w:val="74BD01BD"/>
    <w:rsid w:val="74E53270"/>
    <w:rsid w:val="750E6C6B"/>
    <w:rsid w:val="752860C7"/>
    <w:rsid w:val="75670F35"/>
    <w:rsid w:val="756E14B8"/>
    <w:rsid w:val="76070215"/>
    <w:rsid w:val="77541BC5"/>
    <w:rsid w:val="78372827"/>
    <w:rsid w:val="783A38D3"/>
    <w:rsid w:val="78D770B8"/>
    <w:rsid w:val="78FA19E0"/>
    <w:rsid w:val="79AF0EEF"/>
    <w:rsid w:val="7AE04C06"/>
    <w:rsid w:val="7AE3469E"/>
    <w:rsid w:val="7B3B62E0"/>
    <w:rsid w:val="7B7C1DF0"/>
    <w:rsid w:val="7BC01A2A"/>
    <w:rsid w:val="7BE37C3D"/>
    <w:rsid w:val="7C2714A9"/>
    <w:rsid w:val="7CAC7BAE"/>
    <w:rsid w:val="7DB859C6"/>
    <w:rsid w:val="7E5E656D"/>
    <w:rsid w:val="7EB50157"/>
    <w:rsid w:val="7F1C3D32"/>
    <w:rsid w:val="7F74752A"/>
    <w:rsid w:val="85DD5757"/>
    <w:rsid w:val="ADDBF8E0"/>
    <w:rsid w:val="EBF39D39"/>
    <w:rsid w:val="F9AFD343"/>
    <w:rsid w:val="FCFB6A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4">
    <w:name w:val="Normal Indent"/>
    <w:basedOn w:val="1"/>
    <w:next w:val="5"/>
    <w:qFormat/>
    <w:uiPriority w:val="0"/>
    <w:pPr>
      <w:adjustRightInd w:val="0"/>
      <w:ind w:firstLine="420"/>
      <w:jc w:val="left"/>
      <w:textAlignment w:val="baseline"/>
    </w:pPr>
    <w:rPr>
      <w:rFonts w:ascii="Times New Roman" w:hAnsi="Times New Roman" w:eastAsia="楷体_GB2312" w:cs="Times New Roman"/>
      <w:sz w:val="24"/>
    </w:rPr>
  </w:style>
  <w:style w:type="paragraph" w:styleId="5">
    <w:name w:val="index 5"/>
    <w:basedOn w:val="1"/>
    <w:next w:val="1"/>
    <w:qFormat/>
    <w:uiPriority w:val="0"/>
    <w:pPr>
      <w:widowControl w:val="0"/>
      <w:ind w:left="1680"/>
      <w:jc w:val="both"/>
    </w:pPr>
    <w:rPr>
      <w:rFonts w:ascii="仿宋_GB2312" w:hAnsi="Times New Roman" w:eastAsia="仿宋_GB2312" w:cs="Arial"/>
      <w:kern w:val="2"/>
      <w:sz w:val="32"/>
      <w:szCs w:val="32"/>
      <w:lang w:val="en-US" w:eastAsia="zh-CN" w:bidi="ar-SA"/>
    </w:rPr>
  </w:style>
  <w:style w:type="paragraph" w:styleId="6">
    <w:name w:val="caption"/>
    <w:basedOn w:val="1"/>
    <w:next w:val="1"/>
    <w:qFormat/>
    <w:uiPriority w:val="0"/>
    <w:rPr>
      <w:rFonts w:ascii="Cambria" w:hAnsi="Cambria" w:eastAsia="黑体"/>
      <w:kern w:val="2"/>
    </w:rPr>
  </w:style>
  <w:style w:type="paragraph" w:styleId="7">
    <w:name w:val="annotation text"/>
    <w:basedOn w:val="1"/>
    <w:qFormat/>
    <w:uiPriority w:val="0"/>
    <w:pPr>
      <w:jc w:val="left"/>
    </w:pPr>
  </w:style>
  <w:style w:type="paragraph" w:styleId="8">
    <w:name w:val="Body Text"/>
    <w:basedOn w:val="1"/>
    <w:next w:val="9"/>
    <w:qFormat/>
    <w:uiPriority w:val="0"/>
    <w:pPr>
      <w:adjustRightInd w:val="0"/>
      <w:spacing w:after="60" w:line="360" w:lineRule="atLeast"/>
      <w:ind w:left="72" w:leftChars="30" w:right="30" w:rightChars="30"/>
      <w:jc w:val="center"/>
      <w:textAlignment w:val="baseline"/>
    </w:pPr>
    <w:rPr>
      <w:kern w:val="0"/>
      <w:sz w:val="20"/>
    </w:rPr>
  </w:style>
  <w:style w:type="paragraph" w:styleId="9">
    <w:name w:val="Body Text 2"/>
    <w:basedOn w:val="1"/>
    <w:next w:val="8"/>
    <w:qFormat/>
    <w:uiPriority w:val="99"/>
    <w:pPr>
      <w:spacing w:line="500" w:lineRule="exact"/>
      <w:jc w:val="center"/>
    </w:pPr>
    <w:rPr>
      <w:rFonts w:hAnsi="宋体" w:eastAsia="方正小标宋_GBK"/>
      <w:spacing w:val="-20"/>
      <w:sz w:val="44"/>
    </w:rPr>
  </w:style>
  <w:style w:type="paragraph" w:styleId="10">
    <w:name w:val="Body Text Indent"/>
    <w:basedOn w:val="1"/>
    <w:qFormat/>
    <w:uiPriority w:val="0"/>
    <w:pPr>
      <w:spacing w:after="120" w:afterLines="0" w:afterAutospacing="0"/>
      <w:ind w:left="420" w:leftChars="200"/>
    </w:pPr>
    <w:rPr>
      <w:rFonts w:ascii="Times New Roman" w:hAnsi="Times New Roman" w:eastAsia="宋体" w:cs="Times New Roman"/>
    </w:rPr>
  </w:style>
  <w:style w:type="paragraph" w:styleId="11">
    <w:name w:val="toc 5"/>
    <w:basedOn w:val="1"/>
    <w:next w:val="1"/>
    <w:unhideWhenUsed/>
    <w:qFormat/>
    <w:uiPriority w:val="39"/>
    <w:pPr>
      <w:ind w:left="1680" w:leftChars="800"/>
    </w:pPr>
    <w:rPr>
      <w:sz w:val="21"/>
    </w:rPr>
  </w:style>
  <w:style w:type="paragraph" w:styleId="12">
    <w:name w:val="Plain Text"/>
    <w:basedOn w:val="1"/>
    <w:next w:val="8"/>
    <w:qFormat/>
    <w:uiPriority w:val="0"/>
    <w:pPr>
      <w:spacing w:line="360" w:lineRule="auto"/>
      <w:ind w:firstLine="200" w:firstLineChars="200"/>
    </w:pPr>
    <w:rPr>
      <w:rFonts w:ascii="宋体" w:hAnsi="Courier New"/>
      <w:kern w:val="0"/>
      <w:sz w:val="24"/>
      <w:szCs w:val="20"/>
    </w:rPr>
  </w:style>
  <w:style w:type="paragraph" w:styleId="13">
    <w:name w:val="Date"/>
    <w:basedOn w:val="1"/>
    <w:next w:val="1"/>
    <w:qFormat/>
    <w:uiPriority w:val="0"/>
    <w:pPr>
      <w:ind w:left="100" w:leftChars="2500"/>
    </w:pPr>
    <w:rPr>
      <w:sz w:val="28"/>
    </w:rPr>
  </w:style>
  <w:style w:type="paragraph" w:styleId="14">
    <w:name w:val="footer"/>
    <w:basedOn w:val="1"/>
    <w:qFormat/>
    <w:uiPriority w:val="99"/>
    <w:pPr>
      <w:tabs>
        <w:tab w:val="center" w:pos="4153"/>
        <w:tab w:val="right" w:pos="8306"/>
      </w:tabs>
      <w:snapToGrid w:val="0"/>
      <w:jc w:val="left"/>
    </w:pPr>
    <w:rPr>
      <w:sz w:val="18"/>
    </w:rPr>
  </w:style>
  <w:style w:type="paragraph" w:styleId="15">
    <w:name w:val="envelope return"/>
    <w:basedOn w:val="1"/>
    <w:qFormat/>
    <w:uiPriority w:val="0"/>
    <w:pPr>
      <w:snapToGrid w:val="0"/>
    </w:pPr>
    <w:rPr>
      <w:rFonts w:ascii="Arial" w:hAnsi="Arial"/>
    </w:rPr>
  </w:style>
  <w:style w:type="paragraph" w:styleId="16">
    <w:name w:val="header"/>
    <w:basedOn w:val="1"/>
    <w:next w:val="17"/>
    <w:qFormat/>
    <w:uiPriority w:val="99"/>
    <w:pPr>
      <w:pBdr>
        <w:bottom w:val="single" w:color="auto" w:sz="6" w:space="1"/>
      </w:pBdr>
      <w:tabs>
        <w:tab w:val="center" w:pos="4153"/>
        <w:tab w:val="right" w:pos="8306"/>
      </w:tabs>
      <w:snapToGrid w:val="0"/>
      <w:jc w:val="center"/>
    </w:pPr>
    <w:rPr>
      <w:sz w:val="18"/>
    </w:rPr>
  </w:style>
  <w:style w:type="paragraph" w:customStyle="1" w:styleId="17">
    <w:name w:val="Quote"/>
    <w:basedOn w:val="1"/>
    <w:next w:val="1"/>
    <w:qFormat/>
    <w:uiPriority w:val="0"/>
    <w:rPr>
      <w:i/>
      <w:iCs/>
      <w:color w:val="000000"/>
      <w:kern w:val="0"/>
      <w:sz w:val="20"/>
    </w:rPr>
  </w:style>
  <w:style w:type="paragraph" w:styleId="18">
    <w:name w:val="toc 1"/>
    <w:basedOn w:val="1"/>
    <w:next w:val="1"/>
    <w:qFormat/>
    <w:uiPriority w:val="0"/>
  </w:style>
  <w:style w:type="paragraph" w:styleId="19">
    <w:name w:val="toc 2"/>
    <w:basedOn w:val="1"/>
    <w:next w:val="1"/>
    <w:qFormat/>
    <w:uiPriority w:val="0"/>
    <w:pPr>
      <w:ind w:left="420" w:leftChars="200"/>
    </w:pPr>
  </w:style>
  <w:style w:type="paragraph" w:styleId="20">
    <w:name w:val="Normal (Web)"/>
    <w:basedOn w:val="1"/>
    <w:qFormat/>
    <w:uiPriority w:val="99"/>
    <w:pPr>
      <w:widowControl/>
      <w:spacing w:before="100" w:beforeLines="0" w:beforeAutospacing="1" w:after="100" w:afterLines="0" w:afterAutospacing="1"/>
      <w:jc w:val="left"/>
    </w:pPr>
    <w:rPr>
      <w:rFonts w:hint="eastAsia" w:ascii="宋体" w:hAnsi="宋体" w:eastAsia="宋体" w:cs="Times New Roman"/>
      <w:kern w:val="0"/>
      <w:sz w:val="24"/>
    </w:rPr>
  </w:style>
  <w:style w:type="paragraph" w:styleId="21">
    <w:name w:val="Title"/>
    <w:basedOn w:val="1"/>
    <w:qFormat/>
    <w:uiPriority w:val="0"/>
    <w:pPr>
      <w:spacing w:before="120" w:after="60"/>
      <w:jc w:val="center"/>
    </w:pPr>
    <w:rPr>
      <w:rFonts w:ascii="Arial" w:hAnsi="Arial"/>
      <w:b/>
      <w:sz w:val="44"/>
    </w:rPr>
  </w:style>
  <w:style w:type="paragraph" w:styleId="22">
    <w:name w:val="Body Text First Indent"/>
    <w:basedOn w:val="8"/>
    <w:next w:val="23"/>
    <w:qFormat/>
    <w:uiPriority w:val="0"/>
    <w:pPr>
      <w:ind w:firstLine="420" w:firstLineChars="100"/>
    </w:pPr>
  </w:style>
  <w:style w:type="paragraph" w:styleId="23">
    <w:name w:val="Body Text First Indent 2"/>
    <w:basedOn w:val="10"/>
    <w:next w:val="24"/>
    <w:qFormat/>
    <w:uiPriority w:val="99"/>
    <w:pPr>
      <w:spacing w:after="120" w:afterLines="0" w:line="240" w:lineRule="auto"/>
      <w:ind w:left="420" w:leftChars="200" w:firstLine="420" w:firstLineChars="200"/>
    </w:pPr>
  </w:style>
  <w:style w:type="paragraph" w:customStyle="1" w:styleId="24">
    <w:name w:val="样式 正文首行缩进 2 + Arial"/>
    <w:basedOn w:val="1"/>
    <w:next w:val="1"/>
    <w:qFormat/>
    <w:uiPriority w:val="0"/>
    <w:pPr>
      <w:spacing w:after="120" w:line="320" w:lineRule="atLeast"/>
      <w:ind w:firstLine="200" w:firstLineChars="200"/>
    </w:pPr>
    <w:rPr>
      <w:rFonts w:ascii="Arial" w:hAnsi="Arial"/>
      <w:kern w:val="0"/>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style>
  <w:style w:type="character" w:styleId="29">
    <w:name w:val="page number"/>
    <w:basedOn w:val="27"/>
    <w:qFormat/>
    <w:uiPriority w:val="0"/>
    <w:rPr>
      <w:rFonts w:ascii="Times New Roman" w:hAnsi="Times New Roman" w:eastAsia="宋体" w:cs="Times New Roman"/>
    </w:rPr>
  </w:style>
  <w:style w:type="character" w:styleId="30">
    <w:name w:val="FollowedHyperlink"/>
    <w:basedOn w:val="27"/>
    <w:qFormat/>
    <w:uiPriority w:val="0"/>
    <w:rPr>
      <w:color w:val="800080"/>
      <w:u w:val="none"/>
    </w:rPr>
  </w:style>
  <w:style w:type="character" w:styleId="31">
    <w:name w:val="Emphasis"/>
    <w:basedOn w:val="27"/>
    <w:qFormat/>
    <w:uiPriority w:val="0"/>
  </w:style>
  <w:style w:type="character" w:styleId="32">
    <w:name w:val="HTML Definition"/>
    <w:basedOn w:val="27"/>
    <w:qFormat/>
    <w:uiPriority w:val="0"/>
  </w:style>
  <w:style w:type="character" w:styleId="33">
    <w:name w:val="HTML Typewriter"/>
    <w:basedOn w:val="27"/>
    <w:qFormat/>
    <w:uiPriority w:val="0"/>
    <w:rPr>
      <w:rFonts w:hint="default" w:ascii="monospace" w:hAnsi="monospace" w:eastAsia="monospace" w:cs="monospace"/>
      <w:sz w:val="20"/>
    </w:rPr>
  </w:style>
  <w:style w:type="character" w:styleId="34">
    <w:name w:val="HTML Acronym"/>
    <w:basedOn w:val="27"/>
    <w:qFormat/>
    <w:uiPriority w:val="0"/>
  </w:style>
  <w:style w:type="character" w:styleId="35">
    <w:name w:val="HTML Variable"/>
    <w:basedOn w:val="27"/>
    <w:qFormat/>
    <w:uiPriority w:val="0"/>
  </w:style>
  <w:style w:type="character" w:styleId="36">
    <w:name w:val="Hyperlink"/>
    <w:basedOn w:val="27"/>
    <w:qFormat/>
    <w:uiPriority w:val="99"/>
    <w:rPr>
      <w:rFonts w:ascii="Times New Roman" w:hAnsi="Times New Roman" w:eastAsia="宋体" w:cs="Times New Roman"/>
      <w:color w:val="0000FF"/>
      <w:u w:val="single"/>
    </w:rPr>
  </w:style>
  <w:style w:type="character" w:styleId="37">
    <w:name w:val="HTML Code"/>
    <w:basedOn w:val="27"/>
    <w:qFormat/>
    <w:uiPriority w:val="0"/>
    <w:rPr>
      <w:rFonts w:ascii="monospace" w:hAnsi="monospace" w:eastAsia="monospace" w:cs="monospace"/>
      <w:sz w:val="20"/>
    </w:rPr>
  </w:style>
  <w:style w:type="character" w:styleId="38">
    <w:name w:val="HTML Cite"/>
    <w:basedOn w:val="27"/>
    <w:qFormat/>
    <w:uiPriority w:val="0"/>
  </w:style>
  <w:style w:type="character" w:styleId="39">
    <w:name w:val="HTML Keyboard"/>
    <w:basedOn w:val="27"/>
    <w:qFormat/>
    <w:uiPriority w:val="0"/>
    <w:rPr>
      <w:rFonts w:hint="default" w:ascii="monospace" w:hAnsi="monospace" w:eastAsia="monospace" w:cs="monospace"/>
      <w:sz w:val="20"/>
    </w:rPr>
  </w:style>
  <w:style w:type="character" w:styleId="40">
    <w:name w:val="HTML Sample"/>
    <w:basedOn w:val="27"/>
    <w:qFormat/>
    <w:uiPriority w:val="0"/>
    <w:rPr>
      <w:rFonts w:hint="default" w:ascii="monospace" w:hAnsi="monospace" w:eastAsia="monospace" w:cs="monospace"/>
    </w:rPr>
  </w:style>
  <w:style w:type="paragraph" w:customStyle="1" w:styleId="41">
    <w:name w:val="无间隔1"/>
    <w:basedOn w:val="42"/>
    <w:next w:val="6"/>
    <w:qFormat/>
    <w:uiPriority w:val="1"/>
    <w:pPr>
      <w:spacing w:line="400" w:lineRule="exact"/>
    </w:pPr>
    <w:rPr>
      <w:sz w:val="24"/>
    </w:rPr>
  </w:style>
  <w:style w:type="paragraph" w:customStyle="1" w:styleId="42">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43">
    <w:name w:val="style4"/>
    <w:basedOn w:val="44"/>
    <w:next w:val="45"/>
    <w:qFormat/>
    <w:uiPriority w:val="0"/>
    <w:pPr>
      <w:widowControl/>
      <w:spacing w:before="280" w:after="280"/>
    </w:pPr>
    <w:rPr>
      <w:rFonts w:ascii="宋体"/>
      <w:sz w:val="18"/>
    </w:rPr>
  </w:style>
  <w:style w:type="paragraph" w:customStyle="1" w:styleId="44">
    <w:name w:val="Normal"/>
    <w:next w:val="22"/>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45">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6">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paragraph" w:customStyle="1" w:styleId="47">
    <w:name w:val="Default"/>
    <w:basedOn w:val="12"/>
    <w:next w:val="48"/>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8">
    <w:name w:val="大标题"/>
    <w:basedOn w:val="1"/>
    <w:next w:val="23"/>
    <w:qFormat/>
    <w:uiPriority w:val="0"/>
    <w:pPr>
      <w:jc w:val="center"/>
    </w:pPr>
    <w:rPr>
      <w:rFonts w:ascii="Arial" w:hAnsi="Arial"/>
      <w:b/>
      <w:sz w:val="28"/>
    </w:rPr>
  </w:style>
  <w:style w:type="paragraph" w:customStyle="1" w:styleId="49">
    <w:name w:val="协议书标题2"/>
    <w:basedOn w:val="3"/>
    <w:next w:val="1"/>
    <w:qFormat/>
    <w:uiPriority w:val="0"/>
    <w:pPr>
      <w:keepNext w:val="0"/>
      <w:keepLines w:val="0"/>
      <w:widowControl/>
      <w:numPr>
        <w:ilvl w:val="0"/>
        <w:numId w:val="1"/>
      </w:numPr>
      <w:tabs>
        <w:tab w:val="left" w:pos="567"/>
      </w:tabs>
      <w:wordWrap w:val="0"/>
      <w:topLinePunct/>
      <w:adjustRightInd w:val="0"/>
      <w:snapToGrid w:val="0"/>
      <w:spacing w:before="0" w:after="120" w:afterLines="50" w:line="360" w:lineRule="auto"/>
      <w:ind w:firstLine="0"/>
      <w:jc w:val="left"/>
    </w:pPr>
    <w:rPr>
      <w:rFonts w:ascii="宋体" w:hAnsi="宋体" w:eastAsia="宋体"/>
      <w:kern w:val="0"/>
      <w:sz w:val="24"/>
    </w:rPr>
  </w:style>
  <w:style w:type="paragraph" w:customStyle="1" w:styleId="50">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51">
    <w:name w:val="正文（缩进）"/>
    <w:basedOn w:val="1"/>
    <w:qFormat/>
    <w:uiPriority w:val="0"/>
    <w:pPr>
      <w:spacing w:before="156" w:after="156"/>
      <w:ind w:firstLine="480" w:firstLineChars="200"/>
    </w:pPr>
  </w:style>
  <w:style w:type="paragraph" w:customStyle="1" w:styleId="52">
    <w:name w:val="专用标题2"/>
    <w:basedOn w:val="3"/>
    <w:next w:val="1"/>
    <w:qFormat/>
    <w:uiPriority w:val="0"/>
    <w:pPr>
      <w:keepNext w:val="0"/>
      <w:keepLines w:val="0"/>
      <w:widowControl/>
      <w:tabs>
        <w:tab w:val="left" w:pos="993"/>
      </w:tabs>
      <w:adjustRightInd w:val="0"/>
      <w:snapToGrid w:val="0"/>
      <w:spacing w:before="0" w:after="120" w:afterLines="50" w:line="360" w:lineRule="auto"/>
    </w:pPr>
    <w:rPr>
      <w:rFonts w:ascii="宋体" w:hAnsi="宋体" w:eastAsia="宋体" w:cs="Times"/>
      <w:kern w:val="0"/>
      <w:sz w:val="28"/>
    </w:rPr>
  </w:style>
  <w:style w:type="paragraph" w:customStyle="1" w:styleId="53">
    <w:name w:val="附件标题"/>
    <w:basedOn w:val="3"/>
    <w:next w:val="1"/>
    <w:qFormat/>
    <w:uiPriority w:val="0"/>
    <w:pPr>
      <w:widowControl/>
      <w:numPr>
        <w:ilvl w:val="0"/>
        <w:numId w:val="2"/>
      </w:numPr>
      <w:tabs>
        <w:tab w:val="left" w:pos="1134"/>
      </w:tabs>
      <w:wordWrap w:val="0"/>
      <w:topLinePunct/>
      <w:adjustRightInd w:val="0"/>
      <w:snapToGrid w:val="0"/>
      <w:spacing w:before="0" w:after="120" w:afterLines="50" w:line="360" w:lineRule="auto"/>
      <w:ind w:firstLine="0"/>
      <w:jc w:val="center"/>
    </w:pPr>
    <w:rPr>
      <w:rFonts w:ascii="黑体" w:hAnsi="黑体"/>
      <w:kern w:val="0"/>
      <w:sz w:val="30"/>
      <w:szCs w:val="30"/>
    </w:rPr>
  </w:style>
  <w:style w:type="paragraph" w:customStyle="1" w:styleId="54">
    <w:name w:val=" Char1 Char Char Char"/>
    <w:basedOn w:val="1"/>
    <w:qFormat/>
    <w:uiPriority w:val="0"/>
    <w:rPr>
      <w:rFonts w:ascii="Times New Roman" w:hAnsi="Times New Roman" w:eastAsia="宋体" w:cs="Times New Roman"/>
    </w:rPr>
  </w:style>
  <w:style w:type="character" w:customStyle="1" w:styleId="55">
    <w:name w:val="esdskipcrossnaventer"/>
    <w:basedOn w:val="27"/>
    <w:qFormat/>
    <w:uiPriority w:val="0"/>
    <w:rPr>
      <w:color w:val="FFFFFF"/>
      <w:sz w:val="24"/>
      <w:szCs w:val="24"/>
      <w:shd w:val="clear" w:fill="2A6EB3"/>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17622</Words>
  <Characters>19550</Characters>
  <Lines>0</Lines>
  <Paragraphs>0</Paragraphs>
  <TotalTime>0</TotalTime>
  <ScaleCrop>false</ScaleCrop>
  <LinksUpToDate>false</LinksUpToDate>
  <CharactersWithSpaces>19742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2024-09-20T09:19:00Z</dcterms:created>
  <dc:creator>Administrator</dc:creator>
  <cp:lastModifiedBy>WPS_1650769878</cp:lastModifiedBy>
  <cp:lastPrinted>2026-10-15T11:02:00Z</cp:lastPrinted>
  <dcterms:modified xsi:type="dcterms:W3CDTF">2026-10-21T00:48:52Z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B29B99C538C142009D5CAFF3106D4CA2_13</vt:lpwstr>
  </property>
  <property fmtid="{D5CDD505-2E9C-101B-9397-08002B2CF9AE}" pid="4" name="KSOTemplateDocerSaveRecord">
    <vt:lpwstr>eyJoZGlkIjoiMmNkNGZiNWFmYTg5MDYyZDVlMjQxYzBhZmFmMzk5NDYiLCJ1c2VySWQiOiIxMzYyNzcxODk5In0=</vt:lpwstr>
  </property>
</Properties>
</file>