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C07FE">
      <w:pPr>
        <w:keepNext w:val="0"/>
        <w:keepLines w:val="0"/>
        <w:pageBreakBefore w:val="0"/>
        <w:widowControl/>
        <w:kinsoku/>
        <w:wordWrap w:val="0"/>
        <w:overflowPunct/>
        <w:topLinePunct w:val="0"/>
        <w:autoSpaceDE/>
        <w:autoSpaceDN/>
        <w:bidi w:val="0"/>
        <w:adjustRightInd/>
        <w:snapToGrid/>
        <w:spacing w:before="0" w:after="0" w:line="480" w:lineRule="auto"/>
        <w:ind w:right="-34" w:rightChars="-16"/>
        <w:jc w:val="center"/>
        <w:textAlignment w:val="auto"/>
        <w:outlineLvl w:val="9"/>
        <w:rPr>
          <w:rFonts w:hint="eastAsia" w:ascii="宋体" w:hAnsi="宋体" w:eastAsia="宋体" w:cs="Times New Roman"/>
          <w:b/>
          <w:bCs/>
          <w:color w:val="auto"/>
          <w:kern w:val="0"/>
          <w:sz w:val="18"/>
          <w:szCs w:val="18"/>
          <w:highlight w:val="none"/>
          <w:lang w:val="en-US" w:eastAsia="zh-CN" w:bidi="ar-SA"/>
        </w:rPr>
      </w:pPr>
      <w:bookmarkStart w:id="0" w:name="_Toc221949901"/>
      <w:bookmarkStart w:id="1" w:name="_Toc221949902"/>
      <w:r>
        <w:rPr>
          <w:rFonts w:hint="eastAsia" w:ascii="宋体" w:hAnsi="宋体" w:eastAsia="宋体" w:cs="Times New Roman"/>
          <w:b/>
          <w:bCs/>
          <w:color w:val="auto"/>
          <w:kern w:val="0"/>
          <w:sz w:val="44"/>
          <w:szCs w:val="44"/>
          <w:highlight w:val="none"/>
          <w:lang w:val="en-US" w:eastAsia="zh-CN" w:bidi="ar-SA"/>
        </w:rPr>
        <w:t>驻马店市薄山水库除险加固工程（一期）（三次）</w:t>
      </w:r>
    </w:p>
    <w:p w14:paraId="5DF61BA5">
      <w:pPr>
        <w:keepNext w:val="0"/>
        <w:keepLines w:val="0"/>
        <w:pageBreakBefore w:val="0"/>
        <w:widowControl w:val="0"/>
        <w:kinsoku/>
        <w:wordWrap w:val="0"/>
        <w:overflowPunct/>
        <w:topLinePunct w:val="0"/>
        <w:autoSpaceDE/>
        <w:autoSpaceDN/>
        <w:bidi w:val="0"/>
        <w:adjustRightInd/>
        <w:snapToGrid/>
        <w:spacing w:before="0" w:after="0" w:line="480" w:lineRule="auto"/>
        <w:ind w:right="0" w:rightChars="0"/>
        <w:jc w:val="center"/>
        <w:textAlignment w:val="auto"/>
        <w:outlineLvl w:val="9"/>
        <w:rPr>
          <w:rFonts w:hint="eastAsia" w:ascii="宋体" w:hAnsi="宋体" w:eastAsia="宋体" w:cs="Times New Roman"/>
          <w:b/>
          <w:bCs/>
          <w:color w:val="auto"/>
          <w:kern w:val="0"/>
          <w:sz w:val="40"/>
          <w:szCs w:val="40"/>
          <w:highlight w:val="none"/>
          <w:lang w:val="en-US" w:eastAsia="zh-CN" w:bidi="ar-SA"/>
        </w:rPr>
      </w:pPr>
    </w:p>
    <w:p w14:paraId="7196AEAF">
      <w:pPr>
        <w:keepNext w:val="0"/>
        <w:keepLines w:val="0"/>
        <w:pageBreakBefore w:val="0"/>
        <w:widowControl w:val="0"/>
        <w:kinsoku/>
        <w:wordWrap w:val="0"/>
        <w:overflowPunct/>
        <w:topLinePunct w:val="0"/>
        <w:autoSpaceDE/>
        <w:autoSpaceDN/>
        <w:bidi w:val="0"/>
        <w:adjustRightInd/>
        <w:snapToGrid/>
        <w:spacing w:before="0" w:after="0" w:line="48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（第四标段：金属结构设备购置标段）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firstLine="3092" w:firstLineChars="1100"/>
        <w:jc w:val="both"/>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项目编号：ZMD2026-047</w:t>
      </w:r>
    </w:p>
    <w:p w14:paraId="09E9901A">
      <w:pPr>
        <w:widowControl/>
        <w:spacing w:after="120"/>
        <w:jc w:val="left"/>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highlight w:val="none"/>
          <w:lang w:val="en-US" w:eastAsia="zh-CN" w:bidi="ar-SA"/>
        </w:rPr>
        <w:drawing>
          <wp:inline distT="0" distB="0" distL="114300" distR="114300">
            <wp:extent cx="2494280" cy="2243455"/>
            <wp:effectExtent l="0" t="0" r="1270" b="4445"/>
            <wp:docPr id="3"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5a78228779e97083ae3a88ca3fd9488"/>
                    <pic:cNvPicPr>
                      <a:picLocks noChangeAspect="1"/>
                    </pic:cNvPicPr>
                  </pic:nvPicPr>
                  <pic:blipFill>
                    <a:blip r:embed="rId10"/>
                    <a:stretch>
                      <a:fillRect/>
                    </a:stretch>
                  </pic:blipFill>
                  <pic:spPr>
                    <a:xfrm>
                      <a:off x="0" y="0"/>
                      <a:ext cx="2494280" cy="2243455"/>
                    </a:xfrm>
                    <a:prstGeom prst="rect">
                      <a:avLst/>
                    </a:prstGeom>
                    <a:noFill/>
                    <a:ln>
                      <a:noFill/>
                    </a:ln>
                  </pic:spPr>
                </pic:pic>
              </a:graphicData>
            </a:graphic>
          </wp:inline>
        </w:drawing>
      </w:r>
    </w:p>
    <w:p w14:paraId="47A162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bookmarkStart w:id="2" w:name="_Toc11515"/>
      <w:bookmarkStart w:id="3" w:name="_Toc4262"/>
      <w:bookmarkStart w:id="4" w:name="_Toc268707665"/>
      <w:bookmarkStart w:id="5" w:name="_Toc221949915"/>
      <w:bookmarkStart w:id="6" w:name="_Toc7579"/>
      <w:bookmarkStart w:id="7" w:name="_Toc26463"/>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highlight w:val="none"/>
          <w:lang w:val="en-US" w:eastAsia="zh-CN"/>
        </w:rPr>
        <w:drawing>
          <wp:anchor distT="0" distB="0" distL="114300" distR="114300" simplePos="0" relativeHeight="251660288" behindDoc="1" locked="0" layoutInCell="1" allowOverlap="1">
            <wp:simplePos x="0" y="0"/>
            <wp:positionH relativeFrom="column">
              <wp:posOffset>1851025</wp:posOffset>
            </wp:positionH>
            <wp:positionV relativeFrom="paragraph">
              <wp:posOffset>279400</wp:posOffset>
            </wp:positionV>
            <wp:extent cx="4131310" cy="942340"/>
            <wp:effectExtent l="0" t="0" r="0" b="0"/>
            <wp:wrapNone/>
            <wp:docPr id="4" name="图片 4"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jivhkcjX_副本透明"/>
                    <pic:cNvPicPr>
                      <a:picLocks noChangeAspect="1"/>
                    </pic:cNvPicPr>
                  </pic:nvPicPr>
                  <pic:blipFill>
                    <a:blip r:embed="rId11"/>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1914181524"/>
        </w:rPr>
        <w:t>招标</w:t>
      </w:r>
      <w:r>
        <w:rPr>
          <w:rFonts w:hint="eastAsia" w:ascii="宋体" w:hAnsi="宋体" w:eastAsia="宋体" w:cs="宋体"/>
          <w:b/>
          <w:bCs/>
          <w:color w:val="auto"/>
          <w:spacing w:val="0"/>
          <w:kern w:val="0"/>
          <w:sz w:val="32"/>
          <w:szCs w:val="32"/>
          <w:highlight w:val="none"/>
          <w:fitText w:val="1920" w:id="1914181524"/>
        </w:rPr>
        <w:t>人</w:t>
      </w:r>
      <w:r>
        <w:rPr>
          <w:rFonts w:hint="eastAsia" w:ascii="宋体" w:hAnsi="宋体" w:eastAsia="宋体" w:cs="宋体"/>
          <w:b/>
          <w:bCs/>
          <w:color w:val="auto"/>
          <w:kern w:val="44"/>
          <w:sz w:val="32"/>
          <w:szCs w:val="32"/>
          <w:highlight w:val="none"/>
        </w:rPr>
        <w:t>：</w:t>
      </w:r>
      <w:bookmarkEnd w:id="2"/>
      <w:bookmarkEnd w:id="3"/>
      <w:bookmarkEnd w:id="4"/>
      <w:bookmarkEnd w:id="5"/>
      <w:bookmarkEnd w:id="6"/>
      <w:bookmarkEnd w:id="7"/>
      <w:bookmarkStart w:id="8" w:name="_Toc10162"/>
      <w:bookmarkStart w:id="9" w:name="_Toc1299"/>
      <w:bookmarkStart w:id="10" w:name="_Toc16285"/>
      <w:bookmarkStart w:id="11" w:name="_Toc24588"/>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1195639519"/>
          <w:lang w:val="en-US" w:eastAsia="zh-CN"/>
        </w:rPr>
        <w:t>招标</w:t>
      </w:r>
      <w:r>
        <w:rPr>
          <w:rFonts w:hint="eastAsia" w:ascii="宋体" w:hAnsi="宋体" w:eastAsia="宋体" w:cs="宋体"/>
          <w:b/>
          <w:bCs/>
          <w:color w:val="auto"/>
          <w:spacing w:val="0"/>
          <w:kern w:val="0"/>
          <w:sz w:val="32"/>
          <w:szCs w:val="32"/>
          <w:highlight w:val="none"/>
          <w:fitText w:val="1920" w:id="1195639519"/>
        </w:rPr>
        <w:t>代理机构</w:t>
      </w:r>
      <w:r>
        <w:rPr>
          <w:rFonts w:hint="eastAsia" w:ascii="宋体" w:hAnsi="宋体" w:eastAsia="宋体" w:cs="宋体"/>
          <w:b/>
          <w:bCs/>
          <w:color w:val="auto"/>
          <w:kern w:val="44"/>
          <w:sz w:val="32"/>
          <w:szCs w:val="32"/>
          <w:highlight w:val="none"/>
        </w:rPr>
        <w:t>：</w:t>
      </w:r>
      <w:bookmarkEnd w:id="8"/>
      <w:bookmarkEnd w:id="9"/>
      <w:bookmarkEnd w:id="10"/>
      <w:bookmarkEnd w:id="11"/>
    </w:p>
    <w:p w14:paraId="7FB6C953">
      <w:pPr>
        <w:widowControl/>
        <w:tabs>
          <w:tab w:val="left" w:pos="1060"/>
        </w:tabs>
        <w:spacing w:before="100" w:beforeAutospacing="1" w:after="100" w:afterAutospacing="1" w:line="360" w:lineRule="auto"/>
        <w:ind w:left="1073" w:leftChars="503" w:right="0" w:rightChars="0" w:hanging="17" w:firstLineChars="0"/>
        <w:jc w:val="left"/>
        <w:rPr>
          <w:rFonts w:hint="eastAsia" w:ascii="宋体" w:hAnsi="宋体" w:eastAsia="宋体" w:cs="宋体"/>
          <w:b/>
          <w:bCs/>
          <w:color w:val="auto"/>
          <w:sz w:val="32"/>
          <w:szCs w:val="32"/>
          <w:highlight w:val="none"/>
          <w:u w:val="none"/>
        </w:rPr>
      </w:pPr>
      <w:bookmarkStart w:id="12" w:name="_Toc221949917"/>
      <w:bookmarkStart w:id="13" w:name="_Toc10731"/>
      <w:bookmarkStart w:id="14" w:name="_Toc268707666"/>
      <w:bookmarkStart w:id="15" w:name="_Toc21023"/>
      <w:bookmarkStart w:id="16" w:name="_Toc9813"/>
      <w:bookmarkStart w:id="17" w:name="_Toc25869"/>
      <w:r>
        <w:rPr>
          <w:rFonts w:hint="eastAsia" w:ascii="宋体" w:hAnsi="宋体" w:eastAsia="宋体" w:cs="宋体"/>
          <w:b/>
          <w:bCs/>
          <w:color w:val="auto"/>
          <w:spacing w:val="640"/>
          <w:kern w:val="0"/>
          <w:sz w:val="32"/>
          <w:szCs w:val="32"/>
          <w:highlight w:val="none"/>
          <w:fitText w:val="1920" w:id="1325158106"/>
        </w:rPr>
        <w:t>日</w:t>
      </w:r>
      <w:r>
        <w:rPr>
          <w:rFonts w:hint="eastAsia" w:ascii="宋体" w:hAnsi="宋体" w:eastAsia="宋体" w:cs="宋体"/>
          <w:b/>
          <w:bCs/>
          <w:color w:val="auto"/>
          <w:spacing w:val="0"/>
          <w:kern w:val="0"/>
          <w:sz w:val="32"/>
          <w:szCs w:val="32"/>
          <w:highlight w:val="none"/>
          <w:fitText w:val="1920" w:id="1325158106"/>
        </w:rPr>
        <w:t>期</w:t>
      </w:r>
      <w:r>
        <w:rPr>
          <w:rFonts w:hint="eastAsia" w:ascii="宋体" w:hAnsi="宋体" w:eastAsia="宋体" w:cs="宋体"/>
          <w:b/>
          <w:bCs/>
          <w:color w:val="auto"/>
          <w:kern w:val="44"/>
          <w:sz w:val="32"/>
          <w:szCs w:val="32"/>
          <w:highlight w:val="none"/>
        </w:rPr>
        <w:t>：</w:t>
      </w:r>
      <w:bookmarkEnd w:id="12"/>
      <w:bookmarkEnd w:id="13"/>
      <w:bookmarkEnd w:id="14"/>
      <w:bookmarkEnd w:id="15"/>
      <w:bookmarkEnd w:id="16"/>
      <w:bookmarkEnd w:id="17"/>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十</w:t>
      </w:r>
      <w:r>
        <w:rPr>
          <w:rFonts w:hint="eastAsia" w:ascii="宋体" w:hAnsi="宋体" w:eastAsia="宋体" w:cs="宋体"/>
          <w:b/>
          <w:bCs/>
          <w:color w:val="auto"/>
          <w:sz w:val="32"/>
          <w:szCs w:val="32"/>
          <w:highlight w:val="none"/>
          <w:u w:val="none"/>
        </w:rPr>
        <w:t>月</w:t>
      </w:r>
    </w:p>
    <w:p w14:paraId="0EF59ADE">
      <w:pPr>
        <w:spacing w:line="400" w:lineRule="exact"/>
        <w:ind w:right="-34" w:rightChars="-16"/>
        <w:jc w:val="center"/>
        <w:rPr>
          <w:rFonts w:hint="eastAsia" w:ascii="宋体" w:hAnsi="宋体" w:eastAsia="宋体" w:cs="宋体"/>
          <w:b/>
          <w:color w:val="auto"/>
          <w:sz w:val="36"/>
          <w:szCs w:val="36"/>
          <w:highlight w:val="none"/>
        </w:rPr>
        <w:sectPr>
          <w:pgSz w:w="11906" w:h="16838"/>
          <w:pgMar w:top="1417" w:right="1417" w:bottom="1417" w:left="1417" w:header="851" w:footer="992" w:gutter="0"/>
          <w:pgNumType w:fmt="decimal"/>
          <w:cols w:space="720" w:num="1"/>
          <w:rtlGutter w:val="0"/>
          <w:docGrid w:type="lines" w:linePitch="312" w:charSpace="0"/>
        </w:sectPr>
      </w:pPr>
    </w:p>
    <w:p w14:paraId="185A8403">
      <w:pPr>
        <w:widowControl/>
        <w:spacing w:line="400" w:lineRule="exact"/>
        <w:ind w:right="-34" w:rightChars="-16"/>
        <w:jc w:val="center"/>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17EE5DFF">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373537B3">
      <w:pPr>
        <w:widowControl/>
        <w:spacing w:line="600" w:lineRule="auto"/>
        <w:ind w:firstLine="320" w:firstLineChars="10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一、项目负责人：</w:t>
      </w:r>
      <w:r>
        <w:rPr>
          <w:rFonts w:hint="eastAsia" w:ascii="宋体" w:hAnsi="宋体" w:eastAsia="宋体" w:cs="宋体"/>
          <w:sz w:val="32"/>
          <w:szCs w:val="32"/>
          <w:highlight w:val="none"/>
          <w:u w:val="single"/>
        </w:rPr>
        <w:t xml:space="preserve"> 刘学盈 </w:t>
      </w:r>
    </w:p>
    <w:p w14:paraId="77B5FB4F">
      <w:pPr>
        <w:widowControl/>
        <w:spacing w:line="600" w:lineRule="auto"/>
        <w:ind w:firstLine="320" w:firstLineChars="10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（建设类注册执业（职业）资格证号：</w:t>
      </w:r>
      <w:r>
        <w:rPr>
          <w:rFonts w:hint="eastAsia" w:ascii="宋体" w:hAnsi="宋体" w:eastAsia="宋体" w:cs="宋体"/>
          <w:sz w:val="32"/>
          <w:szCs w:val="32"/>
          <w:highlight w:val="none"/>
          <w:u w:val="single"/>
        </w:rPr>
        <w:t>建【造】11224100010068</w:t>
      </w:r>
      <w:r>
        <w:rPr>
          <w:rFonts w:hint="eastAsia" w:ascii="宋体" w:hAnsi="宋体" w:eastAsia="宋体" w:cs="宋体"/>
          <w:sz w:val="32"/>
          <w:szCs w:val="32"/>
          <w:highlight w:val="none"/>
        </w:rPr>
        <w:t>）</w:t>
      </w:r>
    </w:p>
    <w:p w14:paraId="2DC7F62A">
      <w:pPr>
        <w:widowControl/>
        <w:spacing w:line="600" w:lineRule="auto"/>
        <w:ind w:firstLine="320" w:firstLineChars="10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二、其他人员</w:t>
      </w:r>
    </w:p>
    <w:p w14:paraId="533872CE">
      <w:pPr>
        <w:widowControl/>
        <w:spacing w:line="600" w:lineRule="auto"/>
        <w:ind w:left="840" w:leftChars="40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1、姓名： </w:t>
      </w:r>
      <w:r>
        <w:rPr>
          <w:rFonts w:hint="eastAsia" w:ascii="宋体" w:hAnsi="宋体" w:eastAsia="宋体" w:cs="宋体"/>
          <w:sz w:val="32"/>
          <w:szCs w:val="32"/>
          <w:highlight w:val="none"/>
          <w:u w:val="single"/>
        </w:rPr>
        <w:t>马  强</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u w:val="single"/>
        </w:rPr>
        <w:t>招标代理从业资格证Z4501004634</w:t>
      </w:r>
    </w:p>
    <w:p w14:paraId="0A5671AD">
      <w:pPr>
        <w:widowControl/>
        <w:spacing w:line="600" w:lineRule="auto"/>
        <w:ind w:left="840" w:leftChars="400"/>
        <w:jc w:val="left"/>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2、姓名： </w:t>
      </w:r>
      <w:r>
        <w:rPr>
          <w:rFonts w:hint="eastAsia" w:ascii="宋体" w:hAnsi="宋体" w:eastAsia="宋体" w:cs="宋体"/>
          <w:sz w:val="32"/>
          <w:szCs w:val="32"/>
          <w:highlight w:val="none"/>
          <w:u w:val="single"/>
        </w:rPr>
        <w:t>赵雅静</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u w:val="single"/>
        </w:rPr>
        <w:t xml:space="preserve"> 招标代理从业资格证Z45020221540</w:t>
      </w:r>
    </w:p>
    <w:p w14:paraId="7CC322FE">
      <w:pPr>
        <w:widowControl/>
        <w:spacing w:line="600" w:lineRule="auto"/>
        <w:ind w:left="840" w:leftChars="40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3、姓名： </w:t>
      </w:r>
      <w:r>
        <w:rPr>
          <w:rFonts w:hint="eastAsia" w:ascii="宋体" w:hAnsi="宋体" w:eastAsia="宋体" w:cs="宋体"/>
          <w:sz w:val="32"/>
          <w:szCs w:val="32"/>
          <w:highlight w:val="none"/>
          <w:u w:val="single"/>
        </w:rPr>
        <w:t>董国杰</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u w:val="single"/>
        </w:rPr>
        <w:t>招标代理从业资格证Z45020211607</w:t>
      </w:r>
    </w:p>
    <w:p w14:paraId="2927452B">
      <w:pPr>
        <w:autoSpaceDE/>
        <w:autoSpaceDN/>
        <w:adjustRightInd/>
        <w:spacing w:beforeLines="0" w:afterLines="0" w:line="240" w:lineRule="auto"/>
        <w:ind w:firstLine="964" w:firstLineChars="300"/>
        <w:jc w:val="both"/>
        <w:rPr>
          <w:rFonts w:hint="eastAsia" w:ascii="宋体" w:hAnsi="宋体" w:eastAsia="宋体" w:cs="宋体"/>
          <w:b/>
          <w:bCs/>
          <w:color w:val="auto"/>
          <w:sz w:val="32"/>
          <w:szCs w:val="32"/>
          <w:highlight w:val="none"/>
          <w:u w:val="none"/>
        </w:rPr>
        <w:sectPr>
          <w:footerReference r:id="rId3" w:type="default"/>
          <w:pgSz w:w="11906" w:h="16838"/>
          <w:pgMar w:top="1417" w:right="1417" w:bottom="1417" w:left="1417" w:header="851" w:footer="992" w:gutter="0"/>
          <w:pgNumType w:fmt="decimal" w:start="1"/>
          <w:cols w:space="720" w:num="1"/>
          <w:rtlGutter w:val="0"/>
          <w:docGrid w:type="lines" w:linePitch="312" w:charSpace="0"/>
        </w:sectPr>
      </w:pPr>
    </w:p>
    <w:bookmarkEnd w:id="0"/>
    <w:bookmarkEnd w:id="1"/>
    <w:p w14:paraId="3DA58896">
      <w:pPr>
        <w:widowControl/>
        <w:adjustRightInd w:val="0"/>
        <w:snapToGrid w:val="0"/>
        <w:spacing w:beforeLines="0" w:afterLines="0" w:line="360" w:lineRule="auto"/>
        <w:jc w:val="center"/>
        <w:rPr>
          <w:rFonts w:hint="eastAsia" w:ascii="宋体" w:hAnsi="宋体" w:eastAsia="宋体" w:cs="宋体"/>
          <w:b/>
          <w:bCs/>
          <w:color w:val="000000"/>
          <w:sz w:val="30"/>
          <w:szCs w:val="30"/>
          <w:highlight w:val="none"/>
        </w:rPr>
      </w:pPr>
      <w:bookmarkStart w:id="18" w:name="_Toc221949919"/>
      <w:r>
        <w:rPr>
          <w:rFonts w:hint="eastAsia" w:ascii="宋体" w:hAnsi="宋体" w:eastAsia="宋体" w:cs="宋体"/>
          <w:b/>
          <w:bCs/>
          <w:color w:val="000000"/>
          <w:sz w:val="30"/>
          <w:szCs w:val="30"/>
          <w:highlight w:val="none"/>
        </w:rPr>
        <w:t>目  录</w:t>
      </w:r>
    </w:p>
    <w:p w14:paraId="38086B7D">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color w:val="000000"/>
          <w:kern w:val="2"/>
          <w:sz w:val="24"/>
          <w:szCs w:val="24"/>
          <w:highlight w:val="none"/>
          <w:lang w:val="en-US" w:eastAsia="zh-CN" w:bidi="ar-SA"/>
        </w:rPr>
        <w:instrText xml:space="preserve">TOC \o "1-1" \h \u </w:instrText>
      </w:r>
      <w:r>
        <w:rPr>
          <w:rFonts w:hint="eastAsia" w:ascii="宋体" w:hAnsi="宋体" w:eastAsia="宋体" w:cs="宋体"/>
          <w:b w:val="0"/>
          <w:bCs w:val="0"/>
          <w:caps/>
          <w:color w:val="000000"/>
          <w:kern w:val="2"/>
          <w:sz w:val="24"/>
          <w:szCs w:val="24"/>
          <w:highlight w:val="none"/>
          <w:lang w:val="en-US" w:eastAsia="zh-CN" w:bidi="ar-SA"/>
        </w:rPr>
        <w:fldChar w:fldCharType="separate"/>
      </w: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_Toc15688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第一卷</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_Toc15688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1</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61989512">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_Toc21136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第一章 招标公告</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_Toc21136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2</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50ACC183">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_Toc13504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第二章 投标人须知</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_Toc13504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6</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211DCDDB">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_Toc24514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第三章 评标办法及定标办法</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_Toc24514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23</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0A7016B7">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_Toc760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第四章 合同条款及格式</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_Toc760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32</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52B31DD9">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_Toc8660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第二卷</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_Toc8660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51</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7BB37B39">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_Toc3129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第五章 工程量清单及图纸</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_Toc3129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52</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3AB8BED5">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_Toc5842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第三卷</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_Toc5842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53</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052A06A0">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highlight w:val="none"/>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_Toc32157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第六章 投标文件格式</w:t>
      </w:r>
      <w:r>
        <w:rPr>
          <w:rFonts w:hint="eastAsia" w:ascii="宋体" w:hAnsi="宋体" w:eastAsia="宋体" w:cs="宋体"/>
          <w:b w:val="0"/>
          <w:bCs w:val="0"/>
          <w:caps/>
          <w:kern w:val="2"/>
          <w:sz w:val="24"/>
          <w:szCs w:val="24"/>
          <w:highlight w:val="none"/>
          <w:lang w:val="en-US" w:eastAsia="zh-CN" w:bidi="ar-SA"/>
        </w:rPr>
        <w:tab/>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PAGEREF _Toc32157 \h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54</w:t>
      </w:r>
      <w:r>
        <w:rPr>
          <w:rFonts w:hint="eastAsia" w:ascii="宋体" w:hAnsi="宋体" w:eastAsia="宋体" w:cs="宋体"/>
          <w:b w:val="0"/>
          <w:bCs w:val="0"/>
          <w:caps/>
          <w:kern w:val="2"/>
          <w:sz w:val="24"/>
          <w:szCs w:val="24"/>
          <w:highlight w:val="none"/>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1F4B989C">
      <w:pPr>
        <w:widowControl/>
        <w:spacing w:beforeLines="0" w:afterLines="0" w:line="360" w:lineRule="auto"/>
        <w:ind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p>
    <w:p w14:paraId="52F234FF">
      <w:pPr>
        <w:spacing w:beforeLines="0" w:after="0" w:afterLines="0" w:line="240" w:lineRule="auto"/>
        <w:rPr>
          <w:rFonts w:hint="eastAsia" w:ascii="宋体" w:hAnsi="宋体" w:eastAsia="宋体" w:cs="宋体"/>
          <w:kern w:val="2"/>
          <w:sz w:val="21"/>
          <w:szCs w:val="22"/>
          <w:highlight w:val="none"/>
          <w:lang w:val="en-US" w:eastAsia="zh-CN" w:bidi="ar-SA"/>
        </w:rPr>
      </w:pPr>
    </w:p>
    <w:p w14:paraId="371AC599">
      <w:pPr>
        <w:widowControl/>
        <w:spacing w:beforeLines="0" w:afterLines="0" w:line="240" w:lineRule="auto"/>
        <w:ind w:firstLine="0" w:firstLineChars="0"/>
        <w:jc w:val="left"/>
        <w:rPr>
          <w:rFonts w:hint="eastAsia" w:ascii="宋体" w:hAnsi="宋体" w:eastAsia="宋体" w:cs="宋体"/>
          <w:color w:val="000000"/>
          <w:sz w:val="24"/>
          <w:szCs w:val="24"/>
          <w:highlight w:val="none"/>
        </w:rPr>
      </w:pPr>
    </w:p>
    <w:p w14:paraId="31A3A01A">
      <w:pPr>
        <w:spacing w:beforeLines="0" w:afterLines="0" w:line="240" w:lineRule="auto"/>
        <w:ind w:firstLine="0" w:firstLineChars="0"/>
        <w:rPr>
          <w:rFonts w:hint="eastAsia" w:ascii="宋体" w:hAnsi="宋体" w:eastAsia="宋体" w:cs="宋体"/>
          <w:color w:val="000000"/>
          <w:sz w:val="24"/>
          <w:szCs w:val="24"/>
          <w:highlight w:val="none"/>
        </w:rPr>
        <w:sectPr>
          <w:headerReference r:id="rId4" w:type="default"/>
          <w:footerReference r:id="rId5" w:type="default"/>
          <w:pgSz w:w="11905" w:h="16838"/>
          <w:pgMar w:top="1417" w:right="1417" w:bottom="1417" w:left="1417" w:header="794" w:footer="794" w:gutter="0"/>
          <w:pgNumType w:start="1"/>
          <w:cols w:space="720" w:num="1"/>
          <w:docGrid w:linePitch="286" w:charSpace="0"/>
        </w:sectPr>
      </w:pPr>
    </w:p>
    <w:p w14:paraId="0836C6D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1BE9A77">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7F37504">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172CE468">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43DE3F6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7520874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94155C0">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3589D3A3">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5F08FF2">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2ED6C125">
      <w:pPr>
        <w:widowControl/>
        <w:spacing w:beforeLines="0" w:afterLines="0" w:line="240" w:lineRule="auto"/>
        <w:jc w:val="left"/>
        <w:rPr>
          <w:rFonts w:hint="eastAsia" w:ascii="宋体" w:hAnsi="宋体" w:eastAsia="宋体" w:cs="宋体"/>
          <w:szCs w:val="22"/>
          <w:highlight w:val="none"/>
        </w:rPr>
      </w:pPr>
    </w:p>
    <w:p w14:paraId="7879E58B">
      <w:pPr>
        <w:widowControl/>
        <w:spacing w:beforeLines="0" w:afterLines="0" w:line="240" w:lineRule="auto"/>
        <w:jc w:val="left"/>
        <w:rPr>
          <w:rFonts w:hint="eastAsia" w:ascii="宋体" w:hAnsi="宋体" w:eastAsia="宋体" w:cs="宋体"/>
          <w:szCs w:val="22"/>
          <w:highlight w:val="none"/>
        </w:rPr>
      </w:pPr>
    </w:p>
    <w:p w14:paraId="4AF68A33">
      <w:pPr>
        <w:widowControl/>
        <w:spacing w:beforeLines="0" w:afterLines="0" w:line="240" w:lineRule="auto"/>
        <w:jc w:val="left"/>
        <w:rPr>
          <w:rFonts w:hint="eastAsia" w:ascii="宋体" w:hAnsi="宋体" w:eastAsia="宋体" w:cs="宋体"/>
          <w:szCs w:val="22"/>
          <w:highlight w:val="none"/>
        </w:rPr>
      </w:pPr>
    </w:p>
    <w:p w14:paraId="014D4099">
      <w:pPr>
        <w:widowControl/>
        <w:spacing w:beforeLines="0" w:afterLines="0" w:line="240" w:lineRule="auto"/>
        <w:jc w:val="left"/>
        <w:rPr>
          <w:rFonts w:hint="eastAsia" w:ascii="宋体" w:hAnsi="宋体" w:eastAsia="宋体" w:cs="宋体"/>
          <w:szCs w:val="22"/>
          <w:highlight w:val="none"/>
        </w:rPr>
      </w:pPr>
    </w:p>
    <w:p w14:paraId="45A6A5AA">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19" w:name="_Toc25370"/>
      <w:bookmarkStart w:id="20" w:name="_Toc5303"/>
      <w:bookmarkStart w:id="21" w:name="_Toc91344920"/>
      <w:bookmarkStart w:id="22" w:name="_Toc62034395"/>
      <w:bookmarkStart w:id="23" w:name="_Toc15688"/>
      <w:bookmarkStart w:id="24" w:name="_Toc19173"/>
      <w:bookmarkStart w:id="25" w:name="_Toc332378823"/>
      <w:bookmarkStart w:id="26" w:name="_Toc15276"/>
      <w:bookmarkStart w:id="27" w:name="_Toc29130"/>
      <w:r>
        <w:rPr>
          <w:rFonts w:hint="eastAsia" w:ascii="宋体" w:hAnsi="宋体" w:eastAsia="宋体" w:cs="宋体"/>
          <w:b/>
          <w:bCs/>
          <w:kern w:val="44"/>
          <w:sz w:val="52"/>
          <w:szCs w:val="52"/>
          <w:highlight w:val="none"/>
          <w:lang w:val="en-US" w:eastAsia="zh-CN" w:bidi="ar-SA"/>
        </w:rPr>
        <w:t>第一卷</w:t>
      </w:r>
      <w:bookmarkEnd w:id="18"/>
      <w:bookmarkEnd w:id="19"/>
      <w:bookmarkEnd w:id="20"/>
      <w:bookmarkEnd w:id="21"/>
      <w:bookmarkEnd w:id="22"/>
      <w:bookmarkEnd w:id="23"/>
      <w:bookmarkEnd w:id="24"/>
      <w:bookmarkEnd w:id="25"/>
      <w:bookmarkEnd w:id="26"/>
      <w:bookmarkEnd w:id="27"/>
    </w:p>
    <w:p w14:paraId="257FCBD5">
      <w:pPr>
        <w:widowControl/>
        <w:spacing w:beforeLines="-2147483648" w:afterLines="-2147483648" w:line="240" w:lineRule="auto"/>
        <w:jc w:val="left"/>
        <w:rPr>
          <w:rFonts w:hint="eastAsia" w:ascii="宋体" w:hAnsi="宋体" w:eastAsia="宋体" w:cs="宋体"/>
          <w:szCs w:val="22"/>
          <w:highlight w:val="none"/>
        </w:rPr>
      </w:pPr>
      <w:bookmarkStart w:id="28" w:name="_Toc222030982"/>
      <w:bookmarkStart w:id="29" w:name="_Toc221949986"/>
      <w:bookmarkStart w:id="30" w:name="_Toc144974494"/>
      <w:bookmarkStart w:id="31" w:name="_Toc229305340"/>
      <w:bookmarkStart w:id="32" w:name="_Toc222033831"/>
      <w:bookmarkStart w:id="33" w:name="_Toc222032649"/>
      <w:bookmarkStart w:id="34" w:name="_Toc168475641"/>
      <w:bookmarkStart w:id="35" w:name="_Toc168476044"/>
      <w:bookmarkStart w:id="36" w:name="_Toc222029480"/>
      <w:r>
        <w:rPr>
          <w:rFonts w:hint="eastAsia" w:ascii="宋体" w:hAnsi="宋体" w:eastAsia="宋体" w:cs="宋体"/>
          <w:szCs w:val="22"/>
          <w:highlight w:val="none"/>
        </w:rPr>
        <w:br w:type="page"/>
      </w:r>
    </w:p>
    <w:p w14:paraId="2F48E812">
      <w:pPr>
        <w:keepNext w:val="0"/>
        <w:keepLines w:val="0"/>
        <w:pageBreakBefore w:val="0"/>
        <w:widowControl/>
        <w:numPr>
          <w:ilvl w:val="-1"/>
          <w:numId w:val="0"/>
        </w:numPr>
        <w:kinsoku/>
        <w:wordWrap/>
        <w:overflowPunct/>
        <w:topLinePunct w:val="0"/>
        <w:autoSpaceDE/>
        <w:autoSpaceDN/>
        <w:bidi w:val="0"/>
        <w:adjustRightInd/>
        <w:snapToGrid/>
        <w:spacing w:beforeLines="0" w:afterLines="0" w:line="360" w:lineRule="auto"/>
        <w:jc w:val="center"/>
        <w:textAlignment w:val="auto"/>
        <w:outlineLvl w:val="0"/>
        <w:rPr>
          <w:rFonts w:hint="eastAsia" w:ascii="宋体" w:hAnsi="宋体" w:eastAsia="宋体" w:cs="宋体"/>
          <w:b/>
          <w:bCs/>
          <w:sz w:val="32"/>
          <w:szCs w:val="32"/>
          <w:highlight w:val="none"/>
          <w:lang w:val="en-US" w:eastAsia="zh-CN"/>
        </w:rPr>
      </w:pPr>
      <w:bookmarkStart w:id="37" w:name="_Toc21136"/>
      <w:bookmarkStart w:id="38" w:name="_Toc14499"/>
      <w:r>
        <w:rPr>
          <w:rFonts w:hint="eastAsia" w:ascii="宋体" w:hAnsi="宋体" w:eastAsia="宋体" w:cs="宋体"/>
          <w:b/>
          <w:bCs/>
          <w:sz w:val="32"/>
          <w:szCs w:val="32"/>
          <w:highlight w:val="none"/>
          <w:lang w:val="en-US" w:eastAsia="zh-CN"/>
        </w:rPr>
        <w:t>第一章 招标公告</w:t>
      </w:r>
      <w:bookmarkEnd w:id="37"/>
      <w:bookmarkEnd w:id="38"/>
    </w:p>
    <w:p w14:paraId="605D81F3">
      <w:pPr>
        <w:keepNext w:val="0"/>
        <w:keepLines w:val="0"/>
        <w:pageBreakBefore w:val="0"/>
        <w:widowControl w:val="0"/>
        <w:kinsoku/>
        <w:overflowPunct/>
        <w:topLinePunct w:val="0"/>
        <w:bidi w:val="0"/>
        <w:adjustRightInd/>
        <w:snapToGrid/>
        <w:spacing w:after="0" w:afterLines="0" w:line="360" w:lineRule="auto"/>
        <w:ind w:left="0" w:leftChars="0" w:firstLine="0" w:firstLineChars="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驻马店市薄山水库除险加固工程（一期）（三次）招标公告</w:t>
      </w:r>
    </w:p>
    <w:p w14:paraId="30B7C5ED">
      <w:pPr>
        <w:keepNext w:val="0"/>
        <w:keepLines w:val="0"/>
        <w:pageBreakBefore w:val="0"/>
        <w:widowControl/>
        <w:kinsoku/>
        <w:wordWrap w:val="0"/>
        <w:overflowPunct/>
        <w:topLinePunct w:val="0"/>
        <w:bidi w:val="0"/>
        <w:snapToGrid/>
        <w:spacing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项目编号：ZMD2026-047</w:t>
      </w:r>
    </w:p>
    <w:p w14:paraId="18D7737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72E6A2D2">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驻马店市薄山水库除险加固工程（一期）（三次）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，现就本项目第四标段：金属结构设备购置标段进行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三次公开招标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2CF42ADA">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3CCE608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101C222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 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r>
        <w:rPr>
          <w:rFonts w:hint="eastAsia" w:ascii="宋体" w:hAnsi="宋体" w:eastAsia="宋体" w:cs="宋体"/>
          <w:b/>
          <w:bCs/>
          <w:color w:val="auto"/>
          <w:kern w:val="0"/>
          <w:sz w:val="21"/>
          <w:szCs w:val="21"/>
          <w:highlight w:val="none"/>
          <w:shd w:val="clear" w:color="auto" w:fill="FFFFFF"/>
          <w:lang w:val="en-US" w:eastAsia="zh-CN" w:bidi="ar"/>
        </w:rPr>
        <w:t>本次招标其中的第四标段：金属结构设备购置标段。</w:t>
      </w:r>
    </w:p>
    <w:p w14:paraId="38BED40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 第四标段：金属结构设备购置标段相关要求</w:t>
      </w:r>
    </w:p>
    <w:p w14:paraId="3D9DF36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2.3.1质量要求：合格，符合国家、行业、地方规定相应的技术标准和规范要求。</w:t>
      </w:r>
    </w:p>
    <w:p w14:paraId="4C42FB1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2.3.2供货期（服务期）：自合同签订之日起至竣工验收通过之日止（供货期按照监理人批准的供货计划实施）。</w:t>
      </w:r>
    </w:p>
    <w:p w14:paraId="190A155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1A41C0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default"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 本项目采用评定分离方式确定中标人。</w:t>
      </w:r>
    </w:p>
    <w:p w14:paraId="56747F1B">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0D89953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3.1第四标段：</w:t>
      </w:r>
      <w:r>
        <w:rPr>
          <w:rFonts w:hint="eastAsia" w:ascii="宋体" w:hAnsi="宋体" w:eastAsia="宋体" w:cs="宋体"/>
          <w:b/>
          <w:bCs/>
          <w:color w:val="auto"/>
          <w:kern w:val="2"/>
          <w:sz w:val="21"/>
          <w:szCs w:val="21"/>
          <w:highlight w:val="none"/>
          <w:lang w:val="en-US" w:eastAsia="zh-CN" w:bidi="ar-SA"/>
        </w:rPr>
        <w:t>金属结构设备购置标段</w:t>
      </w:r>
    </w:p>
    <w:p w14:paraId="79684DA3">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3.1.1投标人须具有独立法人资格，具备有效的营业执照。</w:t>
      </w:r>
    </w:p>
    <w:p w14:paraId="40C1DDE5">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3.1.2投标人须具有有效的水工金属结构制作与安装工程专业承包二级及以上资质或2020年1月1日以来（以合同签订时间为准）具有大型水库、大型水闸弧形闸门制造供货业绩（包含投标人与项目法人直接签订的供货业绩或投标人与水利工程总承包单位签订的设备成套供货业绩）；</w:t>
      </w:r>
    </w:p>
    <w:p w14:paraId="31CEC711">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val="0"/>
          <w:color w:val="000000" w:themeColor="text1"/>
          <w:kern w:val="2"/>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3.1.3</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投标人拟派项目负责人须具有机械类或水利类相关专业高级职称，拟派项目负责人应为本单位人员（提供2025年10月1日以来任意一个月社保缴纳证明）。</w:t>
      </w:r>
    </w:p>
    <w:p w14:paraId="5743489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6D170FD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3.3信誉要求</w:t>
      </w:r>
      <w:r>
        <w:rPr>
          <w:rFonts w:hint="eastAsia" w:ascii="宋体" w:hAnsi="宋体" w:eastAsia="宋体" w:cs="宋体"/>
          <w:color w:val="auto"/>
          <w:kern w:val="0"/>
          <w:sz w:val="21"/>
          <w:szCs w:val="21"/>
          <w:highlight w:val="none"/>
          <w:shd w:val="clear" w:color="auto" w:fill="FFFFFF"/>
          <w:lang w:val="en-US" w:eastAsia="zh-CN" w:bidi="ar"/>
        </w:rPr>
        <w:t>：</w:t>
      </w:r>
    </w:p>
    <w:p w14:paraId="32C1041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3.3.1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3294B62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3.3.2 投标人市场主体被列入“信用中国-严重失信主体名单查询”、“信用河南-失信惩戒对象名单”的均依法限制或禁止其参与本项目投标活动（提供自招标公告发布日之后网页查询截图，查询截图须显示查询时间）。</w:t>
      </w:r>
    </w:p>
    <w:p w14:paraId="3406EEE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3.4其他要求：</w:t>
      </w:r>
    </w:p>
    <w:p w14:paraId="611F47D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3.4.1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单位负责人为同一人或者存在控股、管理关系的不同单位，不得同时参加本项目投标（提供承诺书，格式自拟）。</w:t>
      </w:r>
    </w:p>
    <w:p w14:paraId="357AFEF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3.4.2 本次招标不接受联合体投标，不允许转包和非法分包。</w:t>
      </w:r>
    </w:p>
    <w:p w14:paraId="732BEBE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3CFC25F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2391A47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098405E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037E10D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10月27日8：00时至2026年11月03日17:30时，登录“交易平台网站”（https://ggzy.zhumadian.gov.cn/TPFront/），凭领取的企业身份认证锁（CA密钥）登录系统进行网上免费下载招标文件。投标人未按规定在网上下载招标文件的，其投标将被拒绝。</w:t>
      </w:r>
    </w:p>
    <w:p w14:paraId="1D7E743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5C35320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14F66E3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299E7E7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3467D39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w:t>
      </w:r>
      <w:r>
        <w:rPr>
          <w:rFonts w:hint="eastAsia" w:ascii="宋体" w:hAnsi="宋体" w:eastAsia="宋体" w:cs="宋体"/>
          <w:b w:val="0"/>
          <w:bCs w:val="0"/>
          <w:color w:val="000000" w:themeColor="text1"/>
          <w:kern w:val="0"/>
          <w:sz w:val="21"/>
          <w:szCs w:val="21"/>
          <w:highlight w:val="none"/>
          <w:shd w:val="clear" w:color="auto" w:fill="FFFFFF"/>
          <w:lang w:val="en-US" w:eastAsia="zh-CN" w:bidi="ar"/>
          <w14:textFill>
            <w14:solidFill>
              <w14:schemeClr w14:val="tx1"/>
            </w14:solidFill>
          </w14:textFill>
        </w:rPr>
        <w:t>评委查阅，评标时以电子投标文件信息为准。</w:t>
      </w:r>
    </w:p>
    <w:p w14:paraId="4D3B978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5DE5982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62E9787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11月18日9时00分（北京时间）。加密电子投标文件（*.ZMDTF格式）应在投标截止时间前通过驻马店市公共资源交易电子交易平台（http://ggzy.zhumadian.gov.cn:8820/TPbidder/login.aspx）上传完成。</w:t>
      </w:r>
    </w:p>
    <w:p w14:paraId="1FD5CA7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AAB4AC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7F21DBD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1D110C0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054E482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5D836F5D">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476507B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0891FE9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2866671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1BA53C5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049DB8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56C3145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bookmarkStart w:id="39" w:name="OLE_LINK3"/>
      <w:bookmarkStart w:id="40" w:name="OLE_LINK4"/>
      <w:r>
        <w:rPr>
          <w:rFonts w:hint="eastAsia" w:ascii="宋体" w:hAnsi="宋体" w:eastAsia="宋体" w:cs="宋体"/>
          <w:bCs/>
          <w:kern w:val="0"/>
          <w:sz w:val="21"/>
          <w:szCs w:val="21"/>
          <w:highlight w:val="none"/>
        </w:rPr>
        <w:t>驻马店市薄山水库运行中心</w:t>
      </w:r>
      <w:bookmarkEnd w:id="39"/>
      <w:bookmarkEnd w:id="40"/>
    </w:p>
    <w:p w14:paraId="5B641CA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highlight w:val="none"/>
        </w:rPr>
        <w:t>河南省驻马店市确山县任店镇薄山水库</w:t>
      </w:r>
    </w:p>
    <w:p w14:paraId="558EE8F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highlight w:val="none"/>
        </w:rPr>
        <w:t>袁先生</w:t>
      </w:r>
    </w:p>
    <w:p w14:paraId="7EC862F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highlight w:val="none"/>
        </w:rPr>
        <w:t>0396-2690692</w:t>
      </w:r>
    </w:p>
    <w:p w14:paraId="58E0B98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3627D3D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290AE52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highlight w:val="none"/>
        </w:rPr>
        <w:t>郑州市平安大道博学路正商学府广场A座24层</w:t>
      </w:r>
    </w:p>
    <w:p w14:paraId="08BE67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76E8583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highlight w:val="none"/>
        </w:rPr>
        <w:t>赵</w:t>
      </w:r>
      <w:r>
        <w:rPr>
          <w:rFonts w:hint="eastAsia" w:ascii="宋体" w:hAnsi="宋体" w:eastAsia="宋体" w:cs="宋体"/>
          <w:kern w:val="0"/>
          <w:sz w:val="21"/>
          <w:szCs w:val="21"/>
          <w:highlight w:val="none"/>
          <w:lang w:val="en-US" w:eastAsia="zh-CN"/>
        </w:rPr>
        <w:t>雅静</w:t>
      </w:r>
    </w:p>
    <w:p w14:paraId="78ED14A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78517A2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1B73324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6B77CB4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2B61150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35FA33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5378B17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highlight w:val="none"/>
        </w:rPr>
      </w:pPr>
      <w:r>
        <w:rPr>
          <w:rFonts w:hint="eastAsia" w:ascii="宋体" w:hAnsi="宋体" w:eastAsia="宋体" w:cs="宋体"/>
          <w:color w:val="auto"/>
          <w:kern w:val="0"/>
          <w:sz w:val="21"/>
          <w:szCs w:val="21"/>
          <w:highlight w:val="none"/>
          <w:lang w:val="en-US" w:eastAsia="zh-CN"/>
        </w:rPr>
        <w:t>电    话：0396-2690961</w:t>
      </w:r>
    </w:p>
    <w:p w14:paraId="54AA5E3D">
      <w:pPr>
        <w:widowControl/>
        <w:numPr>
          <w:ilvl w:val="0"/>
          <w:numId w:val="0"/>
        </w:numPr>
        <w:spacing w:beforeLines="0" w:afterLines="0" w:line="240" w:lineRule="auto"/>
        <w:jc w:val="center"/>
        <w:outlineLvl w:val="9"/>
        <w:rPr>
          <w:rFonts w:hint="eastAsia" w:ascii="宋体" w:hAnsi="宋体" w:eastAsia="宋体" w:cs="宋体"/>
          <w:b/>
          <w:bCs/>
          <w:sz w:val="32"/>
          <w:szCs w:val="32"/>
          <w:highlight w:val="none"/>
          <w:lang w:val="en-US" w:eastAsia="zh-CN"/>
        </w:rPr>
      </w:pPr>
    </w:p>
    <w:p w14:paraId="397C3DA8">
      <w:pPr>
        <w:widowControl/>
        <w:spacing w:beforeLines="-2147483648" w:afterLines="-2147483648" w:line="240" w:lineRule="auto"/>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p>
    <w:p w14:paraId="3CD5D1C8">
      <w:pPr>
        <w:widowControl/>
        <w:numPr>
          <w:ilvl w:val="0"/>
          <w:numId w:val="0"/>
        </w:numPr>
        <w:spacing w:beforeLines="0" w:afterLines="0" w:line="360" w:lineRule="auto"/>
        <w:jc w:val="center"/>
        <w:outlineLvl w:val="0"/>
        <w:rPr>
          <w:rFonts w:ascii="Times New Roman" w:hAnsi="Times New Roman" w:eastAsia="宋体" w:cs="Times New Roman"/>
          <w:szCs w:val="22"/>
          <w:highlight w:val="none"/>
        </w:rPr>
      </w:pPr>
      <w:bookmarkStart w:id="41" w:name="_Toc13504"/>
      <w:bookmarkStart w:id="42" w:name="_Toc22237"/>
      <w:r>
        <w:rPr>
          <w:rFonts w:hint="eastAsia" w:ascii="宋体" w:hAnsi="宋体" w:eastAsia="宋体" w:cs="宋体"/>
          <w:b/>
          <w:bCs/>
          <w:sz w:val="32"/>
          <w:szCs w:val="32"/>
          <w:highlight w:val="none"/>
          <w:lang w:val="en-US" w:eastAsia="zh-CN"/>
        </w:rPr>
        <w:t>第二章 投标人须知</w:t>
      </w:r>
      <w:bookmarkEnd w:id="28"/>
      <w:bookmarkEnd w:id="29"/>
      <w:bookmarkEnd w:id="30"/>
      <w:bookmarkEnd w:id="31"/>
      <w:bookmarkEnd w:id="32"/>
      <w:bookmarkEnd w:id="33"/>
      <w:bookmarkEnd w:id="34"/>
      <w:bookmarkEnd w:id="35"/>
      <w:bookmarkEnd w:id="36"/>
      <w:bookmarkEnd w:id="41"/>
      <w:bookmarkEnd w:id="42"/>
      <w:bookmarkStart w:id="43" w:name="_Toc30096"/>
      <w:bookmarkStart w:id="44" w:name="_Toc271870407"/>
      <w:bookmarkStart w:id="45" w:name="_Toc480"/>
      <w:bookmarkStart w:id="46" w:name="_Toc62034398"/>
      <w:bookmarkStart w:id="47" w:name="_Toc350347401"/>
      <w:bookmarkStart w:id="48" w:name="_Toc91344923"/>
      <w:bookmarkStart w:id="49" w:name="_Toc221950008"/>
    </w:p>
    <w:p w14:paraId="23034970">
      <w:pPr>
        <w:widowControl/>
        <w:adjustRightInd w:val="0"/>
        <w:snapToGrid w:val="0"/>
        <w:spacing w:before="0" w:beforeLines="0" w:after="0" w:afterLines="0" w:line="360" w:lineRule="auto"/>
        <w:jc w:val="center"/>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投标人须知前附表</w:t>
      </w:r>
    </w:p>
    <w:bookmarkEnd w:id="43"/>
    <w:bookmarkEnd w:id="44"/>
    <w:bookmarkEnd w:id="45"/>
    <w:bookmarkEnd w:id="46"/>
    <w:bookmarkEnd w:id="47"/>
    <w:bookmarkEnd w:id="48"/>
    <w:bookmarkEnd w:id="49"/>
    <w:tbl>
      <w:tblPr>
        <w:tblStyle w:val="2"/>
        <w:tblW w:w="95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23"/>
        <w:gridCol w:w="2095"/>
        <w:gridCol w:w="6320"/>
      </w:tblGrid>
      <w:tr w14:paraId="414B1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blHeader/>
          <w:jc w:val="center"/>
        </w:trPr>
        <w:tc>
          <w:tcPr>
            <w:tcW w:w="1123" w:type="dxa"/>
            <w:noWrap w:val="0"/>
            <w:vAlign w:val="center"/>
          </w:tcPr>
          <w:p w14:paraId="6C2B13C2">
            <w:pPr>
              <w:widowControl/>
              <w:spacing w:beforeLines="0" w:afterLines="0" w:line="360" w:lineRule="auto"/>
              <w:jc w:val="center"/>
              <w:rPr>
                <w:rFonts w:hint="eastAsia" w:ascii="宋体" w:hAnsi="宋体" w:eastAsia="宋体" w:cs="宋体"/>
                <w:b/>
                <w:szCs w:val="21"/>
                <w:highlight w:val="none"/>
              </w:rPr>
            </w:pPr>
            <w:bookmarkStart w:id="50" w:name="_Toc221950009"/>
            <w:r>
              <w:rPr>
                <w:rFonts w:hint="eastAsia" w:ascii="宋体" w:hAnsi="宋体" w:eastAsia="宋体" w:cs="宋体"/>
                <w:b/>
                <w:szCs w:val="21"/>
                <w:highlight w:val="none"/>
              </w:rPr>
              <w:t>条款号</w:t>
            </w:r>
            <w:bookmarkEnd w:id="50"/>
          </w:p>
        </w:tc>
        <w:tc>
          <w:tcPr>
            <w:tcW w:w="2095" w:type="dxa"/>
            <w:noWrap w:val="0"/>
            <w:vAlign w:val="center"/>
          </w:tcPr>
          <w:p w14:paraId="76F7CBC4">
            <w:pPr>
              <w:widowControl/>
              <w:spacing w:beforeLines="0" w:afterLines="0" w:line="360" w:lineRule="auto"/>
              <w:jc w:val="center"/>
              <w:rPr>
                <w:rFonts w:hint="eastAsia" w:ascii="宋体" w:hAnsi="宋体" w:eastAsia="宋体" w:cs="宋体"/>
                <w:b/>
                <w:szCs w:val="21"/>
                <w:highlight w:val="none"/>
              </w:rPr>
            </w:pPr>
            <w:bookmarkStart w:id="51" w:name="_Toc221950010"/>
            <w:r>
              <w:rPr>
                <w:rFonts w:hint="eastAsia" w:ascii="宋体" w:hAnsi="宋体" w:eastAsia="宋体" w:cs="宋体"/>
                <w:b/>
                <w:szCs w:val="21"/>
                <w:highlight w:val="none"/>
              </w:rPr>
              <w:t>条款名称</w:t>
            </w:r>
            <w:bookmarkEnd w:id="51"/>
          </w:p>
        </w:tc>
        <w:tc>
          <w:tcPr>
            <w:tcW w:w="6320" w:type="dxa"/>
            <w:noWrap w:val="0"/>
            <w:vAlign w:val="center"/>
          </w:tcPr>
          <w:p w14:paraId="4FEA8382">
            <w:pPr>
              <w:widowControl/>
              <w:spacing w:beforeLines="0" w:afterLines="0" w:line="360" w:lineRule="auto"/>
              <w:jc w:val="center"/>
              <w:rPr>
                <w:rFonts w:hint="eastAsia" w:ascii="宋体" w:hAnsi="宋体" w:eastAsia="宋体" w:cs="宋体"/>
                <w:b/>
                <w:szCs w:val="21"/>
                <w:highlight w:val="none"/>
              </w:rPr>
            </w:pPr>
            <w:bookmarkStart w:id="52" w:name="_Toc221950011"/>
            <w:r>
              <w:rPr>
                <w:rFonts w:hint="eastAsia" w:ascii="宋体" w:hAnsi="宋体" w:eastAsia="宋体" w:cs="宋体"/>
                <w:b/>
                <w:szCs w:val="21"/>
                <w:highlight w:val="none"/>
              </w:rPr>
              <w:t>编  列  内  容</w:t>
            </w:r>
            <w:bookmarkEnd w:id="52"/>
          </w:p>
        </w:tc>
      </w:tr>
      <w:tr w14:paraId="01FD8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71" w:hRule="atLeast"/>
          <w:jc w:val="center"/>
        </w:trPr>
        <w:tc>
          <w:tcPr>
            <w:tcW w:w="1123" w:type="dxa"/>
            <w:noWrap w:val="0"/>
            <w:vAlign w:val="center"/>
          </w:tcPr>
          <w:p w14:paraId="16AE515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095" w:type="dxa"/>
            <w:noWrap w:val="0"/>
            <w:vAlign w:val="center"/>
          </w:tcPr>
          <w:p w14:paraId="3C167F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招标人</w:t>
            </w:r>
          </w:p>
        </w:tc>
        <w:tc>
          <w:tcPr>
            <w:tcW w:w="6320" w:type="dxa"/>
            <w:noWrap w:val="0"/>
            <w:vAlign w:val="center"/>
          </w:tcPr>
          <w:p w14:paraId="54A8F0C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 标 人：驻马店市薄山水库运行中心</w:t>
            </w:r>
          </w:p>
          <w:p w14:paraId="2A2E4332">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址：驻马店市确山县境内确山县任店镇薄山水库</w:t>
            </w:r>
          </w:p>
          <w:p w14:paraId="68E26EE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人：袁先生</w:t>
            </w:r>
          </w:p>
          <w:p w14:paraId="6582257E">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    话：0396-2690692</w:t>
            </w:r>
          </w:p>
        </w:tc>
      </w:tr>
      <w:tr w14:paraId="3B14C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123" w:type="dxa"/>
            <w:noWrap w:val="0"/>
            <w:vAlign w:val="center"/>
          </w:tcPr>
          <w:p w14:paraId="7DCFF43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2095" w:type="dxa"/>
            <w:noWrap w:val="0"/>
            <w:vAlign w:val="center"/>
          </w:tcPr>
          <w:p w14:paraId="2DC18BF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w:t>
            </w:r>
          </w:p>
        </w:tc>
        <w:tc>
          <w:tcPr>
            <w:tcW w:w="6320" w:type="dxa"/>
            <w:noWrap w:val="0"/>
            <w:vAlign w:val="center"/>
          </w:tcPr>
          <w:p w14:paraId="20093D4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招标代理机构：正智国际工程管理（河南）有限公司</w:t>
            </w:r>
          </w:p>
          <w:p w14:paraId="75C2246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址：郑州市平安大道博学路正商学府广场A座24层</w:t>
            </w:r>
          </w:p>
          <w:p w14:paraId="7117D54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人：赵雅静</w:t>
            </w:r>
          </w:p>
          <w:p w14:paraId="66EE03D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    话：0371-67222266</w:t>
            </w:r>
          </w:p>
          <w:p w14:paraId="57B18793">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邮    箱：zzgj123@126.com</w:t>
            </w:r>
          </w:p>
        </w:tc>
      </w:tr>
      <w:tr w14:paraId="4826F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1123" w:type="dxa"/>
            <w:noWrap w:val="0"/>
            <w:vAlign w:val="center"/>
          </w:tcPr>
          <w:p w14:paraId="15096D8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2095" w:type="dxa"/>
            <w:noWrap w:val="0"/>
            <w:vAlign w:val="center"/>
          </w:tcPr>
          <w:p w14:paraId="63BABCA6">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项目名称</w:t>
            </w:r>
          </w:p>
        </w:tc>
        <w:tc>
          <w:tcPr>
            <w:tcW w:w="6320" w:type="dxa"/>
            <w:noWrap w:val="0"/>
            <w:vAlign w:val="center"/>
          </w:tcPr>
          <w:p w14:paraId="0F45B01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color w:val="auto"/>
                <w:spacing w:val="-4"/>
                <w:sz w:val="21"/>
                <w:szCs w:val="21"/>
                <w:highlight w:val="none"/>
                <w:lang w:val="en-US" w:eastAsia="zh-CN"/>
              </w:rPr>
              <w:t>驻马店市薄山水库除险加固工程（一期）（三次）</w:t>
            </w:r>
          </w:p>
        </w:tc>
      </w:tr>
      <w:tr w14:paraId="76077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1123" w:type="dxa"/>
            <w:noWrap w:val="0"/>
            <w:vAlign w:val="center"/>
          </w:tcPr>
          <w:p w14:paraId="3420927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2095" w:type="dxa"/>
            <w:noWrap w:val="0"/>
            <w:vAlign w:val="center"/>
          </w:tcPr>
          <w:p w14:paraId="53A0EE9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标段名称</w:t>
            </w:r>
          </w:p>
        </w:tc>
        <w:tc>
          <w:tcPr>
            <w:tcW w:w="6320" w:type="dxa"/>
            <w:noWrap w:val="0"/>
            <w:vAlign w:val="center"/>
          </w:tcPr>
          <w:p w14:paraId="68E6E63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color w:val="auto"/>
                <w:spacing w:val="-4"/>
                <w:sz w:val="21"/>
                <w:szCs w:val="21"/>
                <w:highlight w:val="none"/>
                <w:lang w:val="en-US" w:eastAsia="zh-CN"/>
              </w:rPr>
              <w:t>第四标段：金属结构设备购置标段</w:t>
            </w:r>
          </w:p>
        </w:tc>
      </w:tr>
      <w:tr w14:paraId="4764F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1123" w:type="dxa"/>
            <w:noWrap w:val="0"/>
            <w:vAlign w:val="center"/>
          </w:tcPr>
          <w:p w14:paraId="72EF1D8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2095" w:type="dxa"/>
            <w:noWrap w:val="0"/>
            <w:vAlign w:val="center"/>
          </w:tcPr>
          <w:p w14:paraId="57F9EB6E">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320" w:type="dxa"/>
            <w:noWrap w:val="0"/>
            <w:vAlign w:val="center"/>
          </w:tcPr>
          <w:p w14:paraId="796FA9DA">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财政资金</w:t>
            </w:r>
          </w:p>
        </w:tc>
      </w:tr>
      <w:tr w14:paraId="23D415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123" w:type="dxa"/>
            <w:noWrap w:val="0"/>
            <w:vAlign w:val="center"/>
          </w:tcPr>
          <w:p w14:paraId="249111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2095" w:type="dxa"/>
            <w:noWrap w:val="0"/>
            <w:vAlign w:val="center"/>
          </w:tcPr>
          <w:p w14:paraId="018CAE5F">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320" w:type="dxa"/>
            <w:noWrap w:val="0"/>
            <w:vAlign w:val="center"/>
          </w:tcPr>
          <w:p w14:paraId="236E90EE">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4F08F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2A7D14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2095" w:type="dxa"/>
            <w:noWrap w:val="0"/>
            <w:vAlign w:val="center"/>
          </w:tcPr>
          <w:p w14:paraId="21D92D6A">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320" w:type="dxa"/>
            <w:noWrap w:val="0"/>
            <w:vAlign w:val="center"/>
          </w:tcPr>
          <w:p w14:paraId="0579DCC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tc>
      </w:tr>
      <w:tr w14:paraId="3CB696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123" w:type="dxa"/>
            <w:noWrap w:val="0"/>
            <w:vAlign w:val="center"/>
          </w:tcPr>
          <w:p w14:paraId="21EF818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2095" w:type="dxa"/>
            <w:noWrap w:val="0"/>
            <w:vAlign w:val="center"/>
          </w:tcPr>
          <w:p w14:paraId="7D6E8FF9">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shd w:val="clear" w:color="auto" w:fill="FFFFFF"/>
                <w:lang w:val="en-US" w:eastAsia="zh-CN" w:bidi="ar"/>
              </w:rPr>
              <w:t>供货期（服务期）</w:t>
            </w:r>
          </w:p>
        </w:tc>
        <w:tc>
          <w:tcPr>
            <w:tcW w:w="6320" w:type="dxa"/>
            <w:noWrap w:val="0"/>
            <w:vAlign w:val="center"/>
          </w:tcPr>
          <w:p w14:paraId="1CDC661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自合同签订之日起至竣工验收通过之日止（</w:t>
            </w:r>
            <w:r>
              <w:rPr>
                <w:rFonts w:hint="eastAsia" w:ascii="宋体" w:hAnsi="宋体" w:eastAsia="宋体" w:cs="宋体"/>
                <w:color w:val="auto"/>
                <w:kern w:val="0"/>
                <w:sz w:val="21"/>
                <w:szCs w:val="21"/>
                <w:highlight w:val="none"/>
                <w:shd w:val="clear" w:color="auto" w:fill="FFFFFF"/>
                <w:lang w:val="en-US" w:eastAsia="zh-CN" w:bidi="ar"/>
              </w:rPr>
              <w:t>供货期</w:t>
            </w:r>
            <w:r>
              <w:rPr>
                <w:rFonts w:hint="eastAsia" w:ascii="宋体" w:hAnsi="宋体" w:eastAsia="宋体" w:cs="宋体"/>
                <w:color w:val="auto"/>
                <w:sz w:val="21"/>
                <w:szCs w:val="21"/>
                <w:highlight w:val="none"/>
                <w:lang w:val="en-US" w:eastAsia="zh-CN"/>
              </w:rPr>
              <w:t>按照监理人批准的供货计划实施）</w:t>
            </w:r>
          </w:p>
        </w:tc>
      </w:tr>
      <w:tr w14:paraId="511EB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1123" w:type="dxa"/>
            <w:noWrap w:val="0"/>
            <w:vAlign w:val="center"/>
          </w:tcPr>
          <w:p w14:paraId="0C4B33F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2095" w:type="dxa"/>
            <w:noWrap w:val="0"/>
            <w:vAlign w:val="center"/>
          </w:tcPr>
          <w:p w14:paraId="7264AA2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交货地点</w:t>
            </w:r>
          </w:p>
        </w:tc>
        <w:tc>
          <w:tcPr>
            <w:tcW w:w="6320" w:type="dxa"/>
            <w:noWrap w:val="0"/>
            <w:vAlign w:val="center"/>
          </w:tcPr>
          <w:p w14:paraId="0A2A3561">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业主指定地点（运送至施工现场）</w:t>
            </w:r>
          </w:p>
        </w:tc>
      </w:tr>
      <w:tr w14:paraId="3D0BF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1123" w:type="dxa"/>
            <w:noWrap w:val="0"/>
            <w:vAlign w:val="center"/>
          </w:tcPr>
          <w:p w14:paraId="20DAB5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w:t>
            </w:r>
          </w:p>
        </w:tc>
        <w:tc>
          <w:tcPr>
            <w:tcW w:w="2095" w:type="dxa"/>
            <w:noWrap w:val="0"/>
            <w:vAlign w:val="center"/>
          </w:tcPr>
          <w:p w14:paraId="271013B8">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质量要求</w:t>
            </w:r>
          </w:p>
        </w:tc>
        <w:tc>
          <w:tcPr>
            <w:tcW w:w="6320" w:type="dxa"/>
            <w:noWrap w:val="0"/>
            <w:vAlign w:val="center"/>
          </w:tcPr>
          <w:p w14:paraId="4EBE78F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bidi="ar"/>
              </w:rPr>
              <w:t>合格，符合国家、行业、地方规定相应的技术标准和规范要求</w:t>
            </w:r>
          </w:p>
        </w:tc>
      </w:tr>
      <w:tr w14:paraId="14D46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1123" w:type="dxa"/>
            <w:noWrap w:val="0"/>
            <w:vAlign w:val="center"/>
          </w:tcPr>
          <w:p w14:paraId="16B4669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2095" w:type="dxa"/>
            <w:noWrap w:val="0"/>
            <w:vAlign w:val="center"/>
          </w:tcPr>
          <w:p w14:paraId="64953BC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投标人资质条件、能力、信誉</w:t>
            </w:r>
          </w:p>
        </w:tc>
        <w:tc>
          <w:tcPr>
            <w:tcW w:w="6320" w:type="dxa"/>
            <w:noWrap w:val="0"/>
            <w:vAlign w:val="center"/>
          </w:tcPr>
          <w:p w14:paraId="76B8751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lang w:val="en-US" w:eastAsia="zh-CN"/>
              </w:rPr>
              <w:t>详见招标公告“3、</w:t>
            </w:r>
            <w:r>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
              </w:rPr>
              <w:t>投标人资格要求”</w:t>
            </w:r>
          </w:p>
        </w:tc>
      </w:tr>
      <w:tr w14:paraId="0F5F6D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8B97E6A">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6BA55F3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w:t>
            </w:r>
          </w:p>
        </w:tc>
        <w:tc>
          <w:tcPr>
            <w:tcW w:w="2095" w:type="dxa"/>
            <w:noWrap w:val="0"/>
            <w:vAlign w:val="center"/>
          </w:tcPr>
          <w:p w14:paraId="12F6AD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6320" w:type="dxa"/>
            <w:noWrap w:val="0"/>
            <w:vAlign w:val="center"/>
          </w:tcPr>
          <w:p w14:paraId="69460080">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不接受</w:t>
            </w:r>
          </w:p>
          <w:p w14:paraId="33D9AA7D">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□接受，应满足下列要求：</w:t>
            </w:r>
          </w:p>
        </w:tc>
      </w:tr>
      <w:tr w14:paraId="3ECB9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23" w:type="dxa"/>
            <w:noWrap w:val="0"/>
            <w:vAlign w:val="center"/>
          </w:tcPr>
          <w:p w14:paraId="763B283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1.4.3</w:t>
            </w:r>
          </w:p>
        </w:tc>
        <w:tc>
          <w:tcPr>
            <w:tcW w:w="2095" w:type="dxa"/>
            <w:noWrap w:val="0"/>
            <w:vAlign w:val="center"/>
          </w:tcPr>
          <w:p w14:paraId="2C62F26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投标人不得存在的其他情形</w:t>
            </w:r>
          </w:p>
        </w:tc>
        <w:tc>
          <w:tcPr>
            <w:tcW w:w="6320" w:type="dxa"/>
            <w:noWrap w:val="0"/>
            <w:vAlign w:val="center"/>
          </w:tcPr>
          <w:p w14:paraId="2034472B">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tc>
      </w:tr>
      <w:tr w14:paraId="5B0C9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11A300D5">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290B0C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2095" w:type="dxa"/>
            <w:noWrap w:val="0"/>
            <w:vAlign w:val="center"/>
          </w:tcPr>
          <w:p w14:paraId="0988527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投标预备会</w:t>
            </w:r>
          </w:p>
        </w:tc>
        <w:tc>
          <w:tcPr>
            <w:tcW w:w="6320" w:type="dxa"/>
            <w:noWrap w:val="0"/>
            <w:vAlign w:val="center"/>
          </w:tcPr>
          <w:p w14:paraId="04572398">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不召开</w:t>
            </w:r>
          </w:p>
          <w:p w14:paraId="6B69D73E">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□召开，召开时间：</w:t>
            </w:r>
          </w:p>
          <w:p w14:paraId="584D09ED">
            <w:pPr>
              <w:widowControl w:val="0"/>
              <w:spacing w:beforeLines="0" w:afterLines="0" w:line="360" w:lineRule="auto"/>
              <w:ind w:left="0" w:right="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召开地点：</w:t>
            </w:r>
          </w:p>
        </w:tc>
      </w:tr>
      <w:tr w14:paraId="27B3A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1123" w:type="dxa"/>
            <w:vMerge w:val="restart"/>
            <w:noWrap w:val="0"/>
            <w:vAlign w:val="center"/>
          </w:tcPr>
          <w:p w14:paraId="479E0CFC">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129E9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1.9.2</w:t>
            </w:r>
          </w:p>
        </w:tc>
        <w:tc>
          <w:tcPr>
            <w:tcW w:w="2095" w:type="dxa"/>
            <w:vMerge w:val="restart"/>
            <w:noWrap w:val="0"/>
            <w:vAlign w:val="center"/>
          </w:tcPr>
          <w:p w14:paraId="3D0D485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投标人在投标预备会前提出问题</w:t>
            </w:r>
          </w:p>
        </w:tc>
        <w:tc>
          <w:tcPr>
            <w:tcW w:w="6320" w:type="dxa"/>
            <w:noWrap w:val="0"/>
            <w:vAlign w:val="center"/>
          </w:tcPr>
          <w:p w14:paraId="0FA487BB">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时间：</w:t>
            </w:r>
            <w:r>
              <w:rPr>
                <w:rFonts w:hint="eastAsia" w:ascii="宋体" w:hAnsi="宋体" w:eastAsia="宋体" w:cs="宋体"/>
                <w:kern w:val="0"/>
                <w:sz w:val="21"/>
                <w:szCs w:val="21"/>
                <w:highlight w:val="none"/>
                <w:lang w:val="en-US" w:eastAsia="zh-CN" w:bidi="ar-SA"/>
              </w:rPr>
              <w:t>/</w:t>
            </w:r>
          </w:p>
        </w:tc>
      </w:tr>
      <w:tr w14:paraId="372E9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23DCC64B">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6FBCE9E2">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61686D5A">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形式：</w:t>
            </w:r>
            <w:r>
              <w:rPr>
                <w:rFonts w:hint="eastAsia" w:ascii="宋体" w:hAnsi="宋体" w:eastAsia="宋体" w:cs="宋体"/>
                <w:kern w:val="0"/>
                <w:sz w:val="21"/>
                <w:szCs w:val="21"/>
                <w:highlight w:val="none"/>
                <w:lang w:val="en-US" w:eastAsia="zh-CN" w:bidi="ar-SA"/>
              </w:rPr>
              <w:t>/</w:t>
            </w:r>
          </w:p>
        </w:tc>
      </w:tr>
      <w:tr w14:paraId="080AC0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BFFD56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1.9.3</w:t>
            </w:r>
          </w:p>
        </w:tc>
        <w:tc>
          <w:tcPr>
            <w:tcW w:w="2095" w:type="dxa"/>
            <w:noWrap w:val="0"/>
            <w:vAlign w:val="center"/>
          </w:tcPr>
          <w:p w14:paraId="5281E89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20D7D0DC">
            <w:pPr>
              <w:widowControl/>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通过驻马店市公共资源</w:t>
            </w:r>
            <w:r>
              <w:rPr>
                <w:rFonts w:hint="eastAsia" w:ascii="宋体" w:hAnsi="宋体" w:eastAsia="宋体" w:cs="宋体"/>
                <w:sz w:val="21"/>
                <w:szCs w:val="21"/>
                <w:highlight w:val="none"/>
                <w:lang w:eastAsia="zh-CN"/>
              </w:rPr>
              <w:t>交易平台</w:t>
            </w:r>
            <w:r>
              <w:rPr>
                <w:rFonts w:hint="eastAsia" w:ascii="宋体" w:hAnsi="宋体" w:eastAsia="宋体" w:cs="宋体"/>
                <w:sz w:val="21"/>
                <w:szCs w:val="21"/>
                <w:highlight w:val="none"/>
              </w:rPr>
              <w:t>信息平台发布，投标人须重新下载最新的“答疑文件”，并以此编制投标文件。</w:t>
            </w:r>
          </w:p>
        </w:tc>
      </w:tr>
      <w:tr w14:paraId="135CA7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4" w:hRule="atLeast"/>
          <w:jc w:val="center"/>
        </w:trPr>
        <w:tc>
          <w:tcPr>
            <w:tcW w:w="1123" w:type="dxa"/>
            <w:noWrap w:val="0"/>
            <w:vAlign w:val="center"/>
          </w:tcPr>
          <w:p w14:paraId="43C9CFC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1.10.1</w:t>
            </w:r>
          </w:p>
        </w:tc>
        <w:tc>
          <w:tcPr>
            <w:tcW w:w="2095" w:type="dxa"/>
            <w:noWrap w:val="0"/>
            <w:vAlign w:val="center"/>
          </w:tcPr>
          <w:p w14:paraId="4E4F7F7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分包</w:t>
            </w:r>
          </w:p>
        </w:tc>
        <w:tc>
          <w:tcPr>
            <w:tcW w:w="6320" w:type="dxa"/>
            <w:noWrap w:val="0"/>
            <w:vAlign w:val="center"/>
          </w:tcPr>
          <w:p w14:paraId="4EBDDC2E">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不允许</w:t>
            </w:r>
          </w:p>
          <w:p w14:paraId="13AF88E9">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□允许，分包内容要求：</w:t>
            </w:r>
          </w:p>
        </w:tc>
      </w:tr>
      <w:tr w14:paraId="1F0B0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3AD211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1.11.1</w:t>
            </w:r>
          </w:p>
        </w:tc>
        <w:tc>
          <w:tcPr>
            <w:tcW w:w="2095" w:type="dxa"/>
            <w:noWrap w:val="0"/>
            <w:vAlign w:val="center"/>
          </w:tcPr>
          <w:p w14:paraId="0D85F36F">
            <w:pPr>
              <w:keepNext w:val="0"/>
              <w:keepLines w:val="0"/>
              <w:pageBreakBefore w:val="0"/>
              <w:widowControl w:val="0"/>
              <w:kinsoku/>
              <w:wordWrap/>
              <w:overflowPunct/>
              <w:topLinePunct w:val="0"/>
              <w:bidi w:val="0"/>
              <w:snapToGrid/>
              <w:spacing w:beforeLines="0" w:afterLines="0" w:line="360" w:lineRule="auto"/>
              <w:ind w:left="0" w:leftChars="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实质性要求和条件</w:t>
            </w:r>
          </w:p>
        </w:tc>
        <w:tc>
          <w:tcPr>
            <w:tcW w:w="6320" w:type="dxa"/>
            <w:noWrap w:val="0"/>
            <w:vAlign w:val="center"/>
          </w:tcPr>
          <w:p w14:paraId="11C2C3FD">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招标文件已明确的形式评审标准、资格评审标准、响应性评审标准。</w:t>
            </w:r>
          </w:p>
        </w:tc>
      </w:tr>
      <w:tr w14:paraId="26234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31BA57B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1.11.3</w:t>
            </w:r>
          </w:p>
        </w:tc>
        <w:tc>
          <w:tcPr>
            <w:tcW w:w="2095" w:type="dxa"/>
            <w:noWrap w:val="0"/>
            <w:vAlign w:val="center"/>
          </w:tcPr>
          <w:p w14:paraId="1672F9C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其他可以被接受的技术支持资料</w:t>
            </w:r>
          </w:p>
        </w:tc>
        <w:tc>
          <w:tcPr>
            <w:tcW w:w="6320" w:type="dxa"/>
            <w:noWrap w:val="0"/>
            <w:vAlign w:val="center"/>
          </w:tcPr>
          <w:p w14:paraId="25F81055">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3070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123" w:type="dxa"/>
            <w:noWrap w:val="0"/>
            <w:vAlign w:val="center"/>
          </w:tcPr>
          <w:p w14:paraId="5F2F9B2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1.11.4</w:t>
            </w:r>
          </w:p>
        </w:tc>
        <w:tc>
          <w:tcPr>
            <w:tcW w:w="2095" w:type="dxa"/>
            <w:noWrap w:val="0"/>
            <w:vAlign w:val="center"/>
          </w:tcPr>
          <w:p w14:paraId="4FA259A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偏差</w:t>
            </w:r>
          </w:p>
        </w:tc>
        <w:tc>
          <w:tcPr>
            <w:tcW w:w="6320" w:type="dxa"/>
            <w:noWrap w:val="0"/>
            <w:vAlign w:val="center"/>
          </w:tcPr>
          <w:p w14:paraId="10767DE7">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商务部分不允许偏差，技术部分只接受正偏差。</w:t>
            </w:r>
          </w:p>
        </w:tc>
      </w:tr>
      <w:tr w14:paraId="147CF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ACDD68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2095" w:type="dxa"/>
            <w:noWrap w:val="0"/>
            <w:vAlign w:val="center"/>
          </w:tcPr>
          <w:p w14:paraId="59EADBF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构成招标文件的其他资料</w:t>
            </w:r>
          </w:p>
        </w:tc>
        <w:tc>
          <w:tcPr>
            <w:tcW w:w="6320" w:type="dxa"/>
            <w:noWrap w:val="0"/>
            <w:vAlign w:val="center"/>
          </w:tcPr>
          <w:p w14:paraId="3043034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招标文件补充、澄清、修改、答疑</w:t>
            </w:r>
          </w:p>
        </w:tc>
      </w:tr>
      <w:tr w14:paraId="39176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1123" w:type="dxa"/>
            <w:vMerge w:val="restart"/>
            <w:noWrap w:val="0"/>
            <w:vAlign w:val="center"/>
          </w:tcPr>
          <w:p w14:paraId="7A69215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2.2.1</w:t>
            </w:r>
          </w:p>
        </w:tc>
        <w:tc>
          <w:tcPr>
            <w:tcW w:w="2095" w:type="dxa"/>
            <w:vMerge w:val="restart"/>
            <w:noWrap w:val="0"/>
            <w:vAlign w:val="center"/>
          </w:tcPr>
          <w:p w14:paraId="40CDF6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投标人要求澄清招标文件</w:t>
            </w:r>
          </w:p>
        </w:tc>
        <w:tc>
          <w:tcPr>
            <w:tcW w:w="6320" w:type="dxa"/>
            <w:noWrap w:val="0"/>
            <w:vAlign w:val="center"/>
          </w:tcPr>
          <w:p w14:paraId="333D06A1">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时间：投标截止时间17天前</w:t>
            </w:r>
          </w:p>
        </w:tc>
      </w:tr>
      <w:tr w14:paraId="52F38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66632400">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215B9E7C">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399736CB">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形式：通过驻马店市公共资源</w:t>
            </w:r>
            <w:r>
              <w:rPr>
                <w:rFonts w:hint="eastAsia" w:ascii="宋体" w:hAnsi="宋体" w:eastAsia="宋体" w:cs="宋体"/>
                <w:sz w:val="21"/>
                <w:szCs w:val="21"/>
                <w:highlight w:val="none"/>
                <w:shd w:val="clear" w:color="auto" w:fill="FFFFFF"/>
                <w:lang w:eastAsia="zh-CN"/>
              </w:rPr>
              <w:t>交易平台</w:t>
            </w:r>
            <w:r>
              <w:rPr>
                <w:rFonts w:hint="eastAsia" w:ascii="宋体" w:hAnsi="宋体" w:eastAsia="宋体" w:cs="宋体"/>
                <w:i w:val="0"/>
                <w:iCs w:val="0"/>
                <w:caps w:val="0"/>
                <w:color w:val="000000"/>
                <w:spacing w:val="0"/>
                <w:sz w:val="21"/>
                <w:szCs w:val="21"/>
                <w:highlight w:val="none"/>
                <w:shd w:val="clear" w:fill="FFFFFF"/>
              </w:rPr>
              <w:t>交易平台</w:t>
            </w:r>
            <w:r>
              <w:rPr>
                <w:rFonts w:hint="eastAsia" w:ascii="宋体" w:hAnsi="宋体" w:eastAsia="宋体" w:cs="宋体"/>
                <w:sz w:val="21"/>
                <w:szCs w:val="21"/>
                <w:highlight w:val="none"/>
                <w:shd w:val="clear" w:color="auto" w:fill="FFFFFF"/>
              </w:rPr>
              <w:t>提出</w:t>
            </w:r>
          </w:p>
        </w:tc>
      </w:tr>
      <w:tr w14:paraId="0D94B8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924606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095" w:type="dxa"/>
            <w:noWrap w:val="0"/>
            <w:vAlign w:val="center"/>
          </w:tcPr>
          <w:p w14:paraId="4E0CDED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0F3CA742">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通过驻马店市公共资源交易电子交易平台发布，投标人须重新下载最新的“答疑文件”，并以此编制投标文件。</w:t>
            </w:r>
          </w:p>
        </w:tc>
      </w:tr>
      <w:tr w14:paraId="3888C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14BD81B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2.2.3</w:t>
            </w:r>
          </w:p>
        </w:tc>
        <w:tc>
          <w:tcPr>
            <w:tcW w:w="2095" w:type="dxa"/>
            <w:noWrap w:val="0"/>
            <w:vAlign w:val="center"/>
          </w:tcPr>
          <w:p w14:paraId="0CEF01E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投标人确认收到招标文件澄清</w:t>
            </w:r>
          </w:p>
        </w:tc>
        <w:tc>
          <w:tcPr>
            <w:tcW w:w="6320" w:type="dxa"/>
            <w:noWrap w:val="0"/>
            <w:vAlign w:val="center"/>
          </w:tcPr>
          <w:p w14:paraId="589927A5">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4FEB9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84DE91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2.3.1</w:t>
            </w:r>
          </w:p>
        </w:tc>
        <w:tc>
          <w:tcPr>
            <w:tcW w:w="2095" w:type="dxa"/>
            <w:noWrap w:val="0"/>
            <w:vAlign w:val="center"/>
          </w:tcPr>
          <w:p w14:paraId="76E0AF2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招标文件修改发出的形式</w:t>
            </w:r>
          </w:p>
        </w:tc>
        <w:tc>
          <w:tcPr>
            <w:tcW w:w="6320" w:type="dxa"/>
            <w:noWrap w:val="0"/>
            <w:vAlign w:val="center"/>
          </w:tcPr>
          <w:p w14:paraId="43B0BD19">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通过驻马店市公共资源交易电子交易平台发布，投标人须重新下载最新的“答疑文件”，并以此编制投标文件。</w:t>
            </w:r>
          </w:p>
        </w:tc>
      </w:tr>
      <w:tr w14:paraId="55ECF1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0C0C928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2.3.2</w:t>
            </w:r>
          </w:p>
        </w:tc>
        <w:tc>
          <w:tcPr>
            <w:tcW w:w="2095" w:type="dxa"/>
            <w:noWrap w:val="0"/>
            <w:vAlign w:val="center"/>
          </w:tcPr>
          <w:p w14:paraId="21CB43F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投标人确认收到招标文件修改</w:t>
            </w:r>
          </w:p>
        </w:tc>
        <w:tc>
          <w:tcPr>
            <w:tcW w:w="6320" w:type="dxa"/>
            <w:noWrap w:val="0"/>
            <w:vAlign w:val="center"/>
          </w:tcPr>
          <w:p w14:paraId="6DEBFA61">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2AE28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3B8799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3.1.1</w:t>
            </w:r>
          </w:p>
        </w:tc>
        <w:tc>
          <w:tcPr>
            <w:tcW w:w="2095" w:type="dxa"/>
            <w:noWrap w:val="0"/>
            <w:vAlign w:val="center"/>
          </w:tcPr>
          <w:p w14:paraId="31C911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构成投标文件的其他资料</w:t>
            </w:r>
          </w:p>
        </w:tc>
        <w:tc>
          <w:tcPr>
            <w:tcW w:w="6320" w:type="dxa"/>
            <w:noWrap w:val="0"/>
            <w:vAlign w:val="center"/>
          </w:tcPr>
          <w:p w14:paraId="6C3A668D">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见招标文件正文</w:t>
            </w:r>
          </w:p>
        </w:tc>
      </w:tr>
      <w:tr w14:paraId="21511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EAD08E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2095" w:type="dxa"/>
            <w:noWrap w:val="0"/>
            <w:vAlign w:val="center"/>
          </w:tcPr>
          <w:p w14:paraId="6608373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增值税税金的计算方法</w:t>
            </w:r>
          </w:p>
        </w:tc>
        <w:tc>
          <w:tcPr>
            <w:tcW w:w="6320" w:type="dxa"/>
            <w:noWrap w:val="0"/>
            <w:vAlign w:val="center"/>
          </w:tcPr>
          <w:p w14:paraId="3DD329DE">
            <w:pPr>
              <w:widowControl/>
              <w:spacing w:beforeLines="0" w:afterLines="0" w:line="360" w:lineRule="auto"/>
              <w:jc w:val="both"/>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color w:val="auto"/>
                <w:sz w:val="21"/>
                <w:szCs w:val="21"/>
                <w:highlight w:val="none"/>
              </w:rPr>
              <w:t>见招标文件正文</w:t>
            </w:r>
          </w:p>
        </w:tc>
      </w:tr>
      <w:tr w14:paraId="66C35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23D500D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3.2.4</w:t>
            </w:r>
          </w:p>
        </w:tc>
        <w:tc>
          <w:tcPr>
            <w:tcW w:w="2095" w:type="dxa"/>
            <w:noWrap w:val="0"/>
            <w:vAlign w:val="center"/>
          </w:tcPr>
          <w:p w14:paraId="050F3639">
            <w:pPr>
              <w:widowControl w:val="0"/>
              <w:adjustRightInd w:val="0"/>
              <w:snapToGrid w:val="0"/>
              <w:spacing w:beforeLines="0" w:afterLines="0"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最高限价</w:t>
            </w:r>
          </w:p>
        </w:tc>
        <w:tc>
          <w:tcPr>
            <w:tcW w:w="6320" w:type="dxa"/>
            <w:noWrap w:val="0"/>
            <w:vAlign w:val="center"/>
          </w:tcPr>
          <w:p w14:paraId="41D9DACB">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□无</w:t>
            </w:r>
          </w:p>
          <w:p w14:paraId="24803D23">
            <w:pPr>
              <w:widowControl/>
              <w:spacing w:beforeLines="0" w:afterLines="0" w:line="360" w:lineRule="auto"/>
              <w:ind w:left="0" w:leftChars="0"/>
              <w:jc w:val="both"/>
              <w:rPr>
                <w:rFonts w:hint="default" w:ascii="宋体" w:hAnsi="宋体" w:eastAsia="宋体" w:cs="宋体"/>
                <w:b/>
                <w:bCs/>
                <w:color w:val="FF0000"/>
                <w:sz w:val="21"/>
                <w:szCs w:val="21"/>
                <w:highlight w:val="none"/>
                <w:lang w:val="en-US" w:eastAsia="zh-CN"/>
              </w:rPr>
            </w:pPr>
            <w:r>
              <w:rPr>
                <w:rFonts w:hint="eastAsia" w:ascii="宋体" w:hAnsi="宋体" w:eastAsia="宋体" w:cs="宋体"/>
                <w:b/>
                <w:bCs/>
                <w:sz w:val="21"/>
                <w:szCs w:val="21"/>
                <w:highlight w:val="none"/>
                <w:shd w:val="clear" w:color="auto" w:fill="FFFFFF"/>
              </w:rPr>
              <w:t>☑</w:t>
            </w:r>
            <w:r>
              <w:rPr>
                <w:rFonts w:hint="eastAsia" w:ascii="宋体" w:hAnsi="宋体" w:eastAsia="宋体" w:cs="宋体"/>
                <w:b/>
                <w:bCs/>
                <w:sz w:val="21"/>
                <w:szCs w:val="21"/>
                <w:highlight w:val="none"/>
              </w:rPr>
              <w:t>有，最高投标限价为：</w:t>
            </w:r>
            <w:r>
              <w:rPr>
                <w:rFonts w:hint="eastAsia" w:ascii="宋体" w:hAnsi="宋体" w:eastAsia="宋体" w:cs="宋体"/>
                <w:b/>
                <w:bCs/>
                <w:sz w:val="21"/>
                <w:szCs w:val="21"/>
                <w:highlight w:val="none"/>
                <w:lang w:val="en-US" w:eastAsia="zh-CN"/>
              </w:rPr>
              <w:t>小写：</w:t>
            </w:r>
            <w:r>
              <w:rPr>
                <w:rFonts w:hint="eastAsia" w:ascii="宋体" w:hAnsi="宋体" w:eastAsia="宋体" w:cs="宋体"/>
                <w:b/>
                <w:bCs/>
                <w:sz w:val="21"/>
                <w:szCs w:val="21"/>
                <w:highlight w:val="none"/>
              </w:rPr>
              <w:t>10888496.54</w:t>
            </w:r>
            <w:r>
              <w:rPr>
                <w:rFonts w:hint="eastAsia" w:ascii="宋体" w:hAnsi="宋体" w:eastAsia="宋体" w:cs="宋体"/>
                <w:b/>
                <w:bCs/>
                <w:sz w:val="21"/>
                <w:szCs w:val="21"/>
                <w:highlight w:val="none"/>
                <w:lang w:val="en-US" w:eastAsia="zh-CN"/>
              </w:rPr>
              <w:t>元；大写：壹仟零捌拾捌万捌仟肆佰玖拾陆元伍角肆分</w:t>
            </w:r>
          </w:p>
          <w:p w14:paraId="696E36B0">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投标报价超过最高限价的按无效标处理。</w:t>
            </w:r>
          </w:p>
        </w:tc>
      </w:tr>
      <w:tr w14:paraId="013ED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1123" w:type="dxa"/>
            <w:noWrap w:val="0"/>
            <w:vAlign w:val="center"/>
          </w:tcPr>
          <w:p w14:paraId="449ABE9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3.2.5</w:t>
            </w:r>
          </w:p>
        </w:tc>
        <w:tc>
          <w:tcPr>
            <w:tcW w:w="2095" w:type="dxa"/>
            <w:noWrap w:val="0"/>
            <w:vAlign w:val="center"/>
          </w:tcPr>
          <w:p w14:paraId="6BF597A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投标报价的其</w:t>
            </w:r>
          </w:p>
          <w:p w14:paraId="7342EB7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他要求</w:t>
            </w:r>
          </w:p>
        </w:tc>
        <w:tc>
          <w:tcPr>
            <w:tcW w:w="6320" w:type="dxa"/>
            <w:noWrap w:val="0"/>
            <w:vAlign w:val="center"/>
          </w:tcPr>
          <w:p w14:paraId="7091A9B2">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无</w:t>
            </w:r>
          </w:p>
        </w:tc>
      </w:tr>
      <w:tr w14:paraId="7BA02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09065C9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3.3.1</w:t>
            </w:r>
          </w:p>
        </w:tc>
        <w:tc>
          <w:tcPr>
            <w:tcW w:w="2095" w:type="dxa"/>
            <w:noWrap w:val="0"/>
            <w:vAlign w:val="center"/>
          </w:tcPr>
          <w:p w14:paraId="6A1AF06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320" w:type="dxa"/>
            <w:noWrap w:val="0"/>
            <w:vAlign w:val="center"/>
          </w:tcPr>
          <w:p w14:paraId="6AA2ACE3">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90日历天（从投标截止之日算起）</w:t>
            </w:r>
          </w:p>
        </w:tc>
      </w:tr>
      <w:tr w14:paraId="17D36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5F1B17D1">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3E72A122">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FF9016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3.4.1</w:t>
            </w:r>
          </w:p>
        </w:tc>
        <w:tc>
          <w:tcPr>
            <w:tcW w:w="2095" w:type="dxa"/>
            <w:noWrap w:val="0"/>
            <w:vAlign w:val="center"/>
          </w:tcPr>
          <w:p w14:paraId="01A4E61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320" w:type="dxa"/>
            <w:noWrap w:val="0"/>
            <w:vAlign w:val="center"/>
          </w:tcPr>
          <w:p w14:paraId="73A2A061">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是否要求提交投标保证金</w:t>
            </w:r>
          </w:p>
          <w:p w14:paraId="5151C448">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☑要求</w:t>
            </w:r>
          </w:p>
          <w:p w14:paraId="0A587FF3">
            <w:pPr>
              <w:widowControl w:val="0"/>
              <w:spacing w:beforeLines="0" w:afterLines="0" w:line="360" w:lineRule="auto"/>
              <w:ind w:left="0" w:right="0"/>
              <w:jc w:val="both"/>
              <w:rPr>
                <w:rFonts w:hint="default" w:ascii="宋体" w:hAnsi="宋体" w:eastAsia="宋体" w:cs="宋体"/>
                <w:b/>
                <w:bCs/>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投标保证金的金</w:t>
            </w:r>
            <w:r>
              <w:rPr>
                <w:rFonts w:hint="eastAsia" w:ascii="宋体" w:hAnsi="宋体" w:eastAsia="宋体" w:cs="宋体"/>
                <w:b/>
                <w:bCs/>
                <w:kern w:val="2"/>
                <w:sz w:val="21"/>
                <w:szCs w:val="21"/>
                <w:highlight w:val="none"/>
                <w:shd w:val="clear" w:color="auto" w:fill="auto"/>
                <w:lang w:val="en-US" w:eastAsia="zh-CN" w:bidi="ar-SA"/>
              </w:rPr>
              <w:t>额：人民币壹拾万元整；</w:t>
            </w:r>
          </w:p>
          <w:p w14:paraId="5BC87FAA">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投标保证金提交截止时间：同投标截止时间</w:t>
            </w:r>
          </w:p>
          <w:p w14:paraId="56F539F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投标保证金递交形式：银行转账、电子保函等。</w:t>
            </w:r>
          </w:p>
          <w:p w14:paraId="4F054E1C">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1A2C4101">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人将投标保证金于开标时间前登录交易系统从本公司基本账户一次性足额存至驻马店市公共资源交易平台指定账户,不得以现金提交，逾期到账的投标保证金不予受理。（未从基本账户汇出或未按时到账者视为无效）。如联合体投标，应当以联合体中牵头人的名义提交保证金。</w:t>
            </w:r>
          </w:p>
          <w:p w14:paraId="714C8137">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2、电子投标保函缴纳方式：</w:t>
            </w:r>
          </w:p>
          <w:p w14:paraId="711758DC">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①投标人必须首先确认本企业诚信库内填写的基本账户相关信息真实准确；</w:t>
            </w:r>
          </w:p>
          <w:p w14:paraId="356069BF">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②企业可以在交易平台电子交易系统业务管理“电子保函申请”功能中自主选择电子保函平台、承保机构办理电子保函业务；</w:t>
            </w:r>
          </w:p>
          <w:p w14:paraId="14E01809">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③办理电子投标保函费用必须出自投标人基本账户；</w:t>
            </w:r>
          </w:p>
          <w:p w14:paraId="25813116">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78920B7D">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交易平台技术咨询：0396-2613088</w:t>
            </w:r>
          </w:p>
          <w:p w14:paraId="109573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□不要求</w:t>
            </w:r>
          </w:p>
        </w:tc>
      </w:tr>
      <w:tr w14:paraId="54BB1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23" w:type="dxa"/>
            <w:noWrap w:val="0"/>
            <w:vAlign w:val="center"/>
          </w:tcPr>
          <w:p w14:paraId="70400BA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3.4.4</w:t>
            </w:r>
          </w:p>
        </w:tc>
        <w:tc>
          <w:tcPr>
            <w:tcW w:w="2095" w:type="dxa"/>
            <w:noWrap w:val="0"/>
            <w:vAlign w:val="center"/>
          </w:tcPr>
          <w:p w14:paraId="0D2A802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其他可以不予退还投标保证金的情形</w:t>
            </w:r>
          </w:p>
        </w:tc>
        <w:tc>
          <w:tcPr>
            <w:tcW w:w="6320" w:type="dxa"/>
            <w:noWrap w:val="0"/>
            <w:vAlign w:val="center"/>
          </w:tcPr>
          <w:p w14:paraId="47FA031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有串通投标、弄虚作假、行贿等违法行为的；被查实存在影响中标结果的违法行为的。</w:t>
            </w:r>
          </w:p>
        </w:tc>
      </w:tr>
      <w:tr w14:paraId="3DE53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1123" w:type="dxa"/>
            <w:noWrap w:val="0"/>
            <w:vAlign w:val="center"/>
          </w:tcPr>
          <w:p w14:paraId="7EA6F9E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2095" w:type="dxa"/>
            <w:noWrap w:val="0"/>
            <w:vAlign w:val="center"/>
          </w:tcPr>
          <w:p w14:paraId="550FBB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资格审查资料的特殊要求</w:t>
            </w:r>
          </w:p>
        </w:tc>
        <w:tc>
          <w:tcPr>
            <w:tcW w:w="6320" w:type="dxa"/>
            <w:noWrap w:val="0"/>
            <w:vAlign w:val="center"/>
          </w:tcPr>
          <w:p w14:paraId="4628F64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□无</w:t>
            </w:r>
          </w:p>
          <w:p w14:paraId="00BA0C2C">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有，具体要求：投标人无需递交纸质投标文件及原件，投标企业应在项目开标前，将项目负责人、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信息为准。</w:t>
            </w:r>
          </w:p>
          <w:p w14:paraId="43FB41E0">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（注：各投标企业应如实填报诚信库信息，因交易主体自行填报信息的错误、缺项、虚假而造成的后果由交易主体自行承担。）</w:t>
            </w:r>
          </w:p>
        </w:tc>
      </w:tr>
      <w:tr w14:paraId="400B7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A475E9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3.5.2</w:t>
            </w:r>
          </w:p>
        </w:tc>
        <w:tc>
          <w:tcPr>
            <w:tcW w:w="2095" w:type="dxa"/>
            <w:noWrap w:val="0"/>
            <w:vAlign w:val="center"/>
          </w:tcPr>
          <w:p w14:paraId="3B9DD0DA">
            <w:pPr>
              <w:keepNext w:val="0"/>
              <w:keepLines w:val="0"/>
              <w:pageBreakBefore w:val="0"/>
              <w:widowControl w:val="0"/>
              <w:kinsoku/>
              <w:wordWrap/>
              <w:overflowPunct/>
              <w:topLinePunct w:val="0"/>
              <w:bidi w:val="0"/>
              <w:snapToGrid/>
              <w:spacing w:beforeLines="0" w:afterLines="0" w:line="360" w:lineRule="auto"/>
              <w:ind w:left="0" w:lef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近年财务状况的年份要求</w:t>
            </w:r>
          </w:p>
        </w:tc>
        <w:tc>
          <w:tcPr>
            <w:tcW w:w="6320" w:type="dxa"/>
            <w:noWrap w:val="0"/>
            <w:vAlign w:val="center"/>
          </w:tcPr>
          <w:p w14:paraId="64BA3601">
            <w:pPr>
              <w:keepNext w:val="0"/>
              <w:keepLines w:val="0"/>
              <w:pageBreakBefore w:val="0"/>
              <w:widowControl w:val="0"/>
              <w:kinsoku/>
              <w:wordWrap/>
              <w:overflowPunct/>
              <w:topLinePunct w:val="0"/>
              <w:autoSpaceDE/>
              <w:autoSpaceDN/>
              <w:bidi w:val="0"/>
              <w:adjustRightInd w:val="0"/>
              <w:snapToGrid/>
              <w:spacing w:before="0" w:beforeLines="0" w:afterLines="0" w:line="360" w:lineRule="auto"/>
              <w:ind w:left="0" w:leftChars="0" w:firstLine="0" w:firstLine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493C9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120F2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2095" w:type="dxa"/>
            <w:noWrap w:val="0"/>
            <w:vAlign w:val="top"/>
          </w:tcPr>
          <w:p w14:paraId="3642418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完成的类似项目情况的时间要求</w:t>
            </w:r>
          </w:p>
        </w:tc>
        <w:tc>
          <w:tcPr>
            <w:tcW w:w="6320" w:type="dxa"/>
            <w:noWrap w:val="0"/>
            <w:vAlign w:val="center"/>
          </w:tcPr>
          <w:p w14:paraId="398935B8">
            <w:pPr>
              <w:widowControl w:val="0"/>
              <w:tabs>
                <w:tab w:val="left" w:pos="799"/>
                <w:tab w:val="left" w:pos="1569"/>
                <w:tab w:val="left" w:pos="2340"/>
              </w:tabs>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u w:val="none"/>
                <w:lang w:val="en-US" w:eastAsia="en-US" w:bidi="ar-SA"/>
              </w:rPr>
              <w:t>20</w:t>
            </w:r>
            <w:r>
              <w:rPr>
                <w:rFonts w:hint="eastAsia" w:ascii="宋体" w:hAnsi="宋体" w:eastAsia="宋体" w:cs="宋体"/>
                <w:kern w:val="0"/>
                <w:sz w:val="21"/>
                <w:szCs w:val="21"/>
                <w:highlight w:val="none"/>
                <w:u w:val="none"/>
                <w:lang w:val="en-US" w:eastAsia="zh-CN" w:bidi="ar-SA"/>
              </w:rPr>
              <w:t>20</w:t>
            </w:r>
            <w:r>
              <w:rPr>
                <w:rFonts w:hint="eastAsia" w:ascii="宋体" w:hAnsi="宋体" w:eastAsia="宋体" w:cs="宋体"/>
                <w:kern w:val="0"/>
                <w:sz w:val="21"/>
                <w:szCs w:val="21"/>
                <w:highlight w:val="none"/>
                <w:lang w:val="en-US" w:eastAsia="en-US" w:bidi="ar-SA"/>
              </w:rPr>
              <w:t>年</w:t>
            </w:r>
            <w:r>
              <w:rPr>
                <w:rFonts w:hint="eastAsia" w:ascii="宋体" w:hAnsi="宋体" w:eastAsia="宋体" w:cs="宋体"/>
                <w:kern w:val="0"/>
                <w:sz w:val="21"/>
                <w:szCs w:val="21"/>
                <w:highlight w:val="none"/>
                <w:u w:val="none"/>
                <w:lang w:val="en-US" w:eastAsia="zh-CN" w:bidi="ar-SA"/>
              </w:rPr>
              <w:t>1</w:t>
            </w:r>
            <w:r>
              <w:rPr>
                <w:rFonts w:hint="eastAsia" w:ascii="宋体" w:hAnsi="宋体" w:eastAsia="宋体" w:cs="宋体"/>
                <w:kern w:val="0"/>
                <w:sz w:val="21"/>
                <w:szCs w:val="21"/>
                <w:highlight w:val="none"/>
                <w:lang w:val="en-US" w:eastAsia="en-US" w:bidi="ar-SA"/>
              </w:rPr>
              <w:t>月</w:t>
            </w:r>
            <w:r>
              <w:rPr>
                <w:rFonts w:hint="eastAsia" w:ascii="宋体" w:hAnsi="宋体" w:eastAsia="宋体" w:cs="宋体"/>
                <w:kern w:val="0"/>
                <w:sz w:val="21"/>
                <w:szCs w:val="21"/>
                <w:highlight w:val="none"/>
                <w:u w:val="none"/>
                <w:lang w:val="en-US" w:eastAsia="en-US" w:bidi="ar-SA"/>
              </w:rPr>
              <w:t>1</w:t>
            </w:r>
            <w:r>
              <w:rPr>
                <w:rFonts w:hint="eastAsia" w:ascii="宋体" w:hAnsi="宋体" w:eastAsia="宋体" w:cs="宋体"/>
                <w:kern w:val="0"/>
                <w:sz w:val="21"/>
                <w:szCs w:val="21"/>
                <w:highlight w:val="none"/>
                <w:lang w:val="en-US" w:eastAsia="en-US" w:bidi="ar-SA"/>
              </w:rPr>
              <w:t>日</w:t>
            </w:r>
            <w:r>
              <w:rPr>
                <w:rFonts w:hint="eastAsia" w:ascii="宋体" w:hAnsi="宋体" w:eastAsia="宋体" w:cs="宋体"/>
                <w:kern w:val="0"/>
                <w:sz w:val="21"/>
                <w:szCs w:val="21"/>
                <w:highlight w:val="none"/>
                <w:lang w:val="en-US" w:eastAsia="zh-CN" w:bidi="ar-SA"/>
              </w:rPr>
              <w:t>以来</w:t>
            </w:r>
          </w:p>
        </w:tc>
      </w:tr>
      <w:tr w14:paraId="052D5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1123" w:type="dxa"/>
            <w:noWrap w:val="0"/>
            <w:vAlign w:val="center"/>
          </w:tcPr>
          <w:p w14:paraId="12B845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3.6.1</w:t>
            </w:r>
          </w:p>
        </w:tc>
        <w:tc>
          <w:tcPr>
            <w:tcW w:w="2095" w:type="dxa"/>
            <w:noWrap w:val="0"/>
            <w:vAlign w:val="center"/>
          </w:tcPr>
          <w:p w14:paraId="0B386A1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是否允许递交备选投标方案</w:t>
            </w:r>
          </w:p>
        </w:tc>
        <w:tc>
          <w:tcPr>
            <w:tcW w:w="6320" w:type="dxa"/>
            <w:noWrap w:val="0"/>
            <w:vAlign w:val="center"/>
          </w:tcPr>
          <w:p w14:paraId="489D337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不允许</w:t>
            </w:r>
          </w:p>
          <w:p w14:paraId="729C94F0">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允许</w:t>
            </w:r>
          </w:p>
        </w:tc>
      </w:tr>
      <w:tr w14:paraId="55C09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5E9B0F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3.7.3（1）</w:t>
            </w:r>
          </w:p>
        </w:tc>
        <w:tc>
          <w:tcPr>
            <w:tcW w:w="2095" w:type="dxa"/>
            <w:noWrap w:val="0"/>
            <w:vAlign w:val="center"/>
          </w:tcPr>
          <w:p w14:paraId="0099DF34">
            <w:pPr>
              <w:keepNext w:val="0"/>
              <w:keepLines w:val="0"/>
              <w:pageBreakBefore w:val="0"/>
              <w:widowControl w:val="0"/>
              <w:kinsoku/>
              <w:wordWrap/>
              <w:overflowPunct/>
              <w:topLinePunct w:val="0"/>
              <w:bidi w:val="0"/>
              <w:snapToGrid/>
              <w:spacing w:beforeLines="0" w:afterLines="0" w:line="360" w:lineRule="auto"/>
              <w:ind w:left="0" w:leftChars="0" w:right="0" w:righ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投标文件所附证书证件要求</w:t>
            </w:r>
          </w:p>
        </w:tc>
        <w:tc>
          <w:tcPr>
            <w:tcW w:w="6320" w:type="dxa"/>
            <w:noWrap w:val="0"/>
            <w:vAlign w:val="center"/>
          </w:tcPr>
          <w:p w14:paraId="33F3AE77">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z w:val="21"/>
                <w:szCs w:val="21"/>
                <w:highlight w:val="none"/>
                <w:bdr w:val="single" w:color="auto" w:sz="4" w:space="0"/>
              </w:rPr>
            </w:pPr>
            <w:r>
              <w:rPr>
                <w:rFonts w:hint="eastAsia" w:ascii="宋体" w:hAnsi="宋体" w:eastAsia="宋体" w:cs="宋体"/>
                <w:color w:val="auto"/>
                <w:sz w:val="21"/>
                <w:szCs w:val="21"/>
                <w:highlight w:val="none"/>
              </w:rPr>
              <w:t>投标文件所附证书证件均为原件扫描件</w:t>
            </w:r>
            <w:r>
              <w:rPr>
                <w:rFonts w:hint="eastAsia" w:ascii="宋体" w:hAnsi="宋体" w:eastAsia="宋体" w:cs="宋体"/>
                <w:color w:val="auto"/>
                <w:sz w:val="21"/>
                <w:szCs w:val="21"/>
                <w:highlight w:val="none"/>
                <w:lang w:val="en-US" w:eastAsia="zh-CN"/>
              </w:rPr>
              <w:t>或复印件</w:t>
            </w:r>
            <w:r>
              <w:rPr>
                <w:rFonts w:hint="eastAsia" w:ascii="宋体" w:hAnsi="宋体" w:eastAsia="宋体" w:cs="宋体"/>
                <w:color w:val="auto"/>
                <w:sz w:val="21"/>
                <w:szCs w:val="21"/>
                <w:highlight w:val="none"/>
              </w:rPr>
              <w:t>或照片</w:t>
            </w:r>
          </w:p>
        </w:tc>
      </w:tr>
      <w:tr w14:paraId="0FDAE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263A4C6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3.7.3（2）</w:t>
            </w:r>
          </w:p>
        </w:tc>
        <w:tc>
          <w:tcPr>
            <w:tcW w:w="2095" w:type="dxa"/>
            <w:noWrap w:val="0"/>
            <w:vAlign w:val="center"/>
          </w:tcPr>
          <w:p w14:paraId="4DDA1B3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投标文件签字或盖章要求</w:t>
            </w:r>
          </w:p>
        </w:tc>
        <w:tc>
          <w:tcPr>
            <w:tcW w:w="6320" w:type="dxa"/>
            <w:noWrap w:val="0"/>
            <w:vAlign w:val="center"/>
          </w:tcPr>
          <w:p w14:paraId="039E9E31">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37FEC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1123" w:type="dxa"/>
            <w:noWrap w:val="0"/>
            <w:vAlign w:val="center"/>
          </w:tcPr>
          <w:p w14:paraId="471FA7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4.1.1</w:t>
            </w:r>
          </w:p>
        </w:tc>
        <w:tc>
          <w:tcPr>
            <w:tcW w:w="2095" w:type="dxa"/>
            <w:noWrap w:val="0"/>
            <w:vAlign w:val="center"/>
          </w:tcPr>
          <w:p w14:paraId="043CBA2E">
            <w:pPr>
              <w:keepNext w:val="0"/>
              <w:keepLines w:val="0"/>
              <w:pageBreakBefore w:val="0"/>
              <w:widowControl w:val="0"/>
              <w:kinsoku/>
              <w:wordWrap/>
              <w:overflowPunct/>
              <w:topLinePunct w:val="0"/>
              <w:bidi w:val="0"/>
              <w:snapToGrid/>
              <w:spacing w:beforeLines="0" w:afterLines="0" w:line="360" w:lineRule="auto"/>
              <w:ind w:left="0" w:leftChars="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投标文件加密要求</w:t>
            </w:r>
          </w:p>
        </w:tc>
        <w:tc>
          <w:tcPr>
            <w:tcW w:w="6320" w:type="dxa"/>
            <w:noWrap w:val="0"/>
            <w:vAlign w:val="center"/>
          </w:tcPr>
          <w:p w14:paraId="1A17EAEE">
            <w:pPr>
              <w:keepNext w:val="0"/>
              <w:keepLines w:val="0"/>
              <w:pageBreakBefore w:val="0"/>
              <w:widowControl w:val="0"/>
              <w:kinsoku/>
              <w:wordWrap/>
              <w:overflowPunct/>
              <w:topLinePunct w:val="0"/>
              <w:bidi w:val="0"/>
              <w:snapToGrid/>
              <w:spacing w:beforeLines="0" w:afterLines="0" w:line="360" w:lineRule="auto"/>
              <w:jc w:val="both"/>
              <w:textAlignment w:val="auto"/>
              <w:outlineLvl w:val="9"/>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按照电子招标投标交易平台的要求加密投标文件</w:t>
            </w:r>
          </w:p>
        </w:tc>
      </w:tr>
      <w:tr w14:paraId="09708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0" w:hRule="atLeast"/>
          <w:jc w:val="center"/>
        </w:trPr>
        <w:tc>
          <w:tcPr>
            <w:tcW w:w="1123" w:type="dxa"/>
            <w:noWrap w:val="0"/>
            <w:vAlign w:val="center"/>
          </w:tcPr>
          <w:p w14:paraId="48650ED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2095" w:type="dxa"/>
            <w:noWrap w:val="0"/>
            <w:vAlign w:val="center"/>
          </w:tcPr>
          <w:p w14:paraId="028558D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w:t>
            </w:r>
          </w:p>
        </w:tc>
        <w:tc>
          <w:tcPr>
            <w:tcW w:w="6320" w:type="dxa"/>
            <w:noWrap w:val="0"/>
            <w:vAlign w:val="center"/>
          </w:tcPr>
          <w:p w14:paraId="588C9673">
            <w:pPr>
              <w:widowControl/>
              <w:tabs>
                <w:tab w:val="left" w:pos="1157"/>
              </w:tabs>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2026年11月18日上午9时00分</w:t>
            </w:r>
            <w:r>
              <w:rPr>
                <w:rFonts w:hint="eastAsia" w:ascii="宋体" w:hAnsi="宋体" w:eastAsia="宋体" w:cs="宋体"/>
                <w:b/>
                <w:bCs/>
                <w:spacing w:val="-6"/>
                <w:kern w:val="0"/>
                <w:sz w:val="21"/>
                <w:szCs w:val="21"/>
                <w:highlight w:val="none"/>
              </w:rPr>
              <w:t>（北京时间）</w:t>
            </w:r>
          </w:p>
        </w:tc>
      </w:tr>
      <w:tr w14:paraId="7ED0F5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123" w:type="dxa"/>
            <w:noWrap w:val="0"/>
            <w:vAlign w:val="center"/>
          </w:tcPr>
          <w:p w14:paraId="3B8180A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4.2.2</w:t>
            </w:r>
          </w:p>
        </w:tc>
        <w:tc>
          <w:tcPr>
            <w:tcW w:w="2095" w:type="dxa"/>
            <w:noWrap w:val="0"/>
            <w:vAlign w:val="center"/>
          </w:tcPr>
          <w:p w14:paraId="05E878E7">
            <w:pPr>
              <w:keepNext w:val="0"/>
              <w:keepLines w:val="0"/>
              <w:pageBreakBefore w:val="0"/>
              <w:widowControl w:val="0"/>
              <w:kinsoku/>
              <w:wordWrap/>
              <w:overflowPunct/>
              <w:topLinePunct w:val="0"/>
              <w:bidi w:val="0"/>
              <w:snapToGrid/>
              <w:spacing w:beforeLines="0" w:afterLines="0" w:line="360" w:lineRule="auto"/>
              <w:ind w:left="0" w:leftChars="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递交投标文件地点</w:t>
            </w:r>
          </w:p>
        </w:tc>
        <w:tc>
          <w:tcPr>
            <w:tcW w:w="6320" w:type="dxa"/>
            <w:noWrap w:val="0"/>
            <w:vAlign w:val="center"/>
          </w:tcPr>
          <w:p w14:paraId="536D0F3F">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驻马店市公共资源交易平台系统</w:t>
            </w:r>
          </w:p>
          <w:p w14:paraId="00A3C364">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0DF09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CED74C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4.2.3</w:t>
            </w:r>
          </w:p>
        </w:tc>
        <w:tc>
          <w:tcPr>
            <w:tcW w:w="2095" w:type="dxa"/>
            <w:noWrap w:val="0"/>
            <w:vAlign w:val="center"/>
          </w:tcPr>
          <w:p w14:paraId="5F32991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投标文件是否退还</w:t>
            </w:r>
          </w:p>
        </w:tc>
        <w:tc>
          <w:tcPr>
            <w:tcW w:w="6320" w:type="dxa"/>
            <w:noWrap w:val="0"/>
            <w:vAlign w:val="center"/>
          </w:tcPr>
          <w:p w14:paraId="7A3EC840">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☑否</w:t>
            </w:r>
          </w:p>
          <w:p w14:paraId="57D254E3">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□是，退还时间：</w:t>
            </w:r>
          </w:p>
        </w:tc>
      </w:tr>
      <w:tr w14:paraId="42968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123" w:type="dxa"/>
            <w:noWrap w:val="0"/>
            <w:vAlign w:val="center"/>
          </w:tcPr>
          <w:p w14:paraId="12AF0B2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095" w:type="dxa"/>
            <w:noWrap w:val="0"/>
            <w:vAlign w:val="center"/>
          </w:tcPr>
          <w:p w14:paraId="25E5EEF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开标时间和地点</w:t>
            </w:r>
          </w:p>
        </w:tc>
        <w:tc>
          <w:tcPr>
            <w:tcW w:w="6320" w:type="dxa"/>
            <w:noWrap w:val="0"/>
            <w:vAlign w:val="center"/>
          </w:tcPr>
          <w:p w14:paraId="2DD8C094">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开标时间：2026年11月18</w:t>
            </w:r>
            <w:bookmarkStart w:id="970" w:name="_GoBack"/>
            <w:bookmarkEnd w:id="970"/>
            <w:r>
              <w:rPr>
                <w:rFonts w:hint="eastAsia" w:ascii="宋体" w:hAnsi="宋体" w:eastAsia="宋体" w:cs="宋体"/>
                <w:b/>
                <w:bCs/>
                <w:spacing w:val="-6"/>
                <w:kern w:val="0"/>
                <w:sz w:val="21"/>
                <w:szCs w:val="21"/>
                <w:highlight w:val="none"/>
                <w:lang w:val="en-US" w:eastAsia="zh-CN" w:bidi="ar-SA"/>
              </w:rPr>
              <w:t>日9时00分（北京时间）</w:t>
            </w:r>
          </w:p>
          <w:p w14:paraId="38FF9217">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开标地点：驻马店市公共资源交易平台不见面开标大厅</w:t>
            </w:r>
          </w:p>
          <w:p w14:paraId="30DDCE20">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（电子投标文件必须凭制作投标文件所用的 CA 密钥在30分钟内完成解密）。</w:t>
            </w:r>
          </w:p>
        </w:tc>
      </w:tr>
      <w:tr w14:paraId="08821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4C3C8AF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w:t>
            </w:r>
          </w:p>
        </w:tc>
        <w:tc>
          <w:tcPr>
            <w:tcW w:w="2095" w:type="dxa"/>
            <w:noWrap w:val="0"/>
            <w:vAlign w:val="center"/>
          </w:tcPr>
          <w:p w14:paraId="2FD4B4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开标程序</w:t>
            </w:r>
          </w:p>
        </w:tc>
        <w:tc>
          <w:tcPr>
            <w:tcW w:w="6320" w:type="dxa"/>
            <w:noWrap w:val="0"/>
            <w:vAlign w:val="top"/>
          </w:tcPr>
          <w:p w14:paraId="09EF4694">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left="0" w:left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w:t>
            </w:r>
            <w:r>
              <w:rPr>
                <w:rFonts w:hint="eastAsia" w:ascii="宋体" w:hAnsi="宋体" w:eastAsia="宋体" w:cs="宋体"/>
                <w:b/>
                <w:bCs/>
                <w:kern w:val="0"/>
                <w:sz w:val="21"/>
                <w:szCs w:val="21"/>
                <w:highlight w:val="none"/>
                <w:lang w:val="en-US" w:eastAsia="zh-CN" w:bidi="ar-SA"/>
              </w:rPr>
              <w:t>因投标人原因未能解密、解密失败或解密超时，视为投标人撤销其投标文件，系统内投标文件将被退回</w:t>
            </w:r>
            <w:r>
              <w:rPr>
                <w:rFonts w:hint="eastAsia" w:ascii="宋体" w:hAnsi="宋体" w:eastAsia="宋体" w:cs="宋体"/>
                <w:kern w:val="0"/>
                <w:sz w:val="21"/>
                <w:szCs w:val="21"/>
                <w:highlight w:val="none"/>
                <w:lang w:val="en-US" w:eastAsia="zh-CN" w:bidi="ar-SA"/>
              </w:rPr>
              <w:t>；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D969BBC">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2、在投标截止时间前，各投标人必须在网上开标系统内完成签到，否则其投标按无效标处理，系统内投标文件将被退回。</w:t>
            </w:r>
          </w:p>
        </w:tc>
      </w:tr>
      <w:tr w14:paraId="189B2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703954E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w:t>
            </w:r>
          </w:p>
        </w:tc>
        <w:tc>
          <w:tcPr>
            <w:tcW w:w="2095" w:type="dxa"/>
            <w:noWrap w:val="0"/>
            <w:vAlign w:val="center"/>
          </w:tcPr>
          <w:p w14:paraId="5EF18DA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开标异议</w:t>
            </w:r>
          </w:p>
        </w:tc>
        <w:tc>
          <w:tcPr>
            <w:tcW w:w="6320" w:type="dxa"/>
            <w:noWrap w:val="0"/>
            <w:vAlign w:val="top"/>
          </w:tcPr>
          <w:p w14:paraId="3C52613F">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投标人对开标有异议的，应当在开标环节提出，招标人当场作出答复，并制作记录。</w:t>
            </w:r>
          </w:p>
        </w:tc>
      </w:tr>
      <w:tr w14:paraId="17D23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0D6583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095" w:type="dxa"/>
            <w:noWrap w:val="0"/>
            <w:vAlign w:val="center"/>
          </w:tcPr>
          <w:p w14:paraId="48544F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评标委员会的组建</w:t>
            </w:r>
          </w:p>
        </w:tc>
        <w:tc>
          <w:tcPr>
            <w:tcW w:w="6320" w:type="dxa"/>
            <w:noWrap w:val="0"/>
            <w:vAlign w:val="center"/>
          </w:tcPr>
          <w:p w14:paraId="40C63C61">
            <w:pPr>
              <w:widowControl/>
              <w:autoSpaceDE/>
              <w:autoSpaceDN/>
              <w:adjustRightInd w:val="0"/>
              <w:spacing w:beforeLines="0" w:afterLines="0" w:line="360" w:lineRule="auto"/>
              <w:ind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kern w:val="0"/>
                <w:sz w:val="21"/>
                <w:szCs w:val="21"/>
                <w:highlight w:val="none"/>
              </w:rPr>
              <w:t>人组成；</w:t>
            </w:r>
          </w:p>
          <w:p w14:paraId="18A7AAE1">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5C1E70F5">
            <w:pPr>
              <w:widowControl/>
              <w:wordWrap w:val="0"/>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人（招标人代表应当从招标人本单位、本级系统内正式工作人员或河南省综合评标专家库本行业专家中产生。）</w:t>
            </w:r>
          </w:p>
          <w:p w14:paraId="4452DDDB">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4 </w:t>
            </w:r>
            <w:r>
              <w:rPr>
                <w:rFonts w:hint="eastAsia" w:ascii="宋体" w:hAnsi="宋体" w:eastAsia="宋体" w:cs="宋体"/>
                <w:color w:val="auto"/>
                <w:sz w:val="21"/>
                <w:szCs w:val="21"/>
                <w:highlight w:val="none"/>
              </w:rPr>
              <w:t>人；</w:t>
            </w:r>
          </w:p>
          <w:p w14:paraId="08DDA4E5">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24EE04DE">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2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02C96D9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tc>
      </w:tr>
      <w:tr w14:paraId="67CC2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A7571D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6.3.2</w:t>
            </w:r>
          </w:p>
        </w:tc>
        <w:tc>
          <w:tcPr>
            <w:tcW w:w="2095" w:type="dxa"/>
            <w:noWrap w:val="0"/>
            <w:vAlign w:val="center"/>
          </w:tcPr>
          <w:p w14:paraId="333DB29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评标委员会推荐中标候选人的人数</w:t>
            </w:r>
          </w:p>
        </w:tc>
        <w:tc>
          <w:tcPr>
            <w:tcW w:w="6320" w:type="dxa"/>
            <w:noWrap w:val="0"/>
            <w:vAlign w:val="center"/>
          </w:tcPr>
          <w:p w14:paraId="1F5F9ECF">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推荐中标候选人：</w:t>
            </w:r>
          </w:p>
          <w:p w14:paraId="6F01BC9E">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评标委员会对进入详细评审阶段的有效投标人按照招标文件要求进行评审，并按得分由高到低顺序推荐中标候选人。</w:t>
            </w:r>
          </w:p>
          <w:p w14:paraId="68103002">
            <w:pPr>
              <w:keepNext w:val="0"/>
              <w:keepLines w:val="0"/>
              <w:widowControl/>
              <w:numPr>
                <w:ilvl w:val="0"/>
                <w:numId w:val="0"/>
              </w:numPr>
              <w:suppressLineNumbers w:val="0"/>
              <w:spacing w:before="0" w:beforeLines="0" w:beforeAutospacing="0" w:after="0" w:afterLines="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（1）当有效投标人数量为3至10家（含10家）时，全部推荐为中标候选人；</w:t>
            </w:r>
          </w:p>
          <w:p w14:paraId="60DCD4E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（2）当有效投标人数量大于10家时，推荐前10名为中标候选人。10名内末位总得分并列的同时推荐为中标候选人。</w:t>
            </w:r>
          </w:p>
        </w:tc>
      </w:tr>
      <w:tr w14:paraId="44EA8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1E677B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7.1</w:t>
            </w:r>
          </w:p>
        </w:tc>
        <w:tc>
          <w:tcPr>
            <w:tcW w:w="2095" w:type="dxa"/>
            <w:noWrap w:val="0"/>
            <w:vAlign w:val="top"/>
          </w:tcPr>
          <w:p w14:paraId="26777F00">
            <w:pPr>
              <w:keepNext w:val="0"/>
              <w:keepLines w:val="0"/>
              <w:pageBreakBefore w:val="0"/>
              <w:widowControl w:val="0"/>
              <w:kinsoku/>
              <w:wordWrap/>
              <w:overflowPunct/>
              <w:topLinePunct w:val="0"/>
              <w:bidi w:val="0"/>
              <w:snapToGrid/>
              <w:spacing w:beforeLines="0" w:afterLines="0" w:line="360" w:lineRule="auto"/>
              <w:ind w:left="0" w:lef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中标候选人公示媒介及期限</w:t>
            </w:r>
          </w:p>
        </w:tc>
        <w:tc>
          <w:tcPr>
            <w:tcW w:w="6320" w:type="dxa"/>
            <w:noWrap w:val="0"/>
            <w:vAlign w:val="top"/>
          </w:tcPr>
          <w:p w14:paraId="217918C5">
            <w:pPr>
              <w:keepNext w:val="0"/>
              <w:keepLines w:val="0"/>
              <w:pageBreakBefore w:val="0"/>
              <w:widowControl w:val="0"/>
              <w:kinsoku/>
              <w:wordWrap/>
              <w:overflowPunct/>
              <w:topLinePunct w:val="0"/>
              <w:bidi w:val="0"/>
              <w:snapToGrid/>
              <w:spacing w:beforeLines="0" w:afterLines="0" w:line="360" w:lineRule="auto"/>
              <w:textAlignment w:val="auto"/>
              <w:outlineLvl w:val="9"/>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公示媒介：同</w:t>
            </w:r>
            <w:r>
              <w:rPr>
                <w:rFonts w:hint="eastAsia" w:ascii="宋体" w:hAnsi="宋体" w:eastAsia="宋体" w:cs="宋体"/>
                <w:color w:val="auto"/>
                <w:kern w:val="0"/>
                <w:sz w:val="21"/>
                <w:szCs w:val="21"/>
                <w:highlight w:val="none"/>
                <w:lang w:val="en-US" w:eastAsia="zh-CN" w:bidi="ar-SA"/>
              </w:rPr>
              <w:t>招标</w:t>
            </w:r>
            <w:r>
              <w:rPr>
                <w:rFonts w:hint="eastAsia" w:ascii="宋体" w:hAnsi="宋体" w:eastAsia="宋体" w:cs="宋体"/>
                <w:color w:val="auto"/>
                <w:kern w:val="0"/>
                <w:sz w:val="21"/>
                <w:szCs w:val="21"/>
                <w:highlight w:val="none"/>
                <w:lang w:val="en-US" w:eastAsia="en-US" w:bidi="ar-SA"/>
              </w:rPr>
              <w:t>公告发布媒介</w:t>
            </w:r>
          </w:p>
          <w:p w14:paraId="6B99CB2A">
            <w:pPr>
              <w:keepNext w:val="0"/>
              <w:keepLines w:val="0"/>
              <w:pageBreakBefore w:val="0"/>
              <w:widowControl w:val="0"/>
              <w:kinsoku/>
              <w:wordWrap/>
              <w:overflowPunct/>
              <w:topLinePunct w:val="0"/>
              <w:bidi w:val="0"/>
              <w:snapToGrid/>
              <w:spacing w:beforeLines="0" w:afterLines="0" w:line="360" w:lineRule="auto"/>
              <w:textAlignment w:val="auto"/>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公示期限：不少于3日</w:t>
            </w:r>
          </w:p>
        </w:tc>
      </w:tr>
      <w:tr w14:paraId="39CDF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0051FD2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7.4</w:t>
            </w:r>
          </w:p>
        </w:tc>
        <w:tc>
          <w:tcPr>
            <w:tcW w:w="2095" w:type="dxa"/>
            <w:noWrap w:val="0"/>
            <w:vAlign w:val="center"/>
          </w:tcPr>
          <w:p w14:paraId="6B44900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是否授权评标委员会确定中标人</w:t>
            </w:r>
          </w:p>
        </w:tc>
        <w:tc>
          <w:tcPr>
            <w:tcW w:w="6320" w:type="dxa"/>
            <w:noWrap w:val="0"/>
            <w:vAlign w:val="center"/>
          </w:tcPr>
          <w:p w14:paraId="7F44A2B9">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是</w:t>
            </w:r>
          </w:p>
          <w:p w14:paraId="1B68C635">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否</w:t>
            </w:r>
          </w:p>
        </w:tc>
      </w:tr>
      <w:tr w14:paraId="22B49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123" w:type="dxa"/>
            <w:noWrap w:val="0"/>
            <w:vAlign w:val="center"/>
          </w:tcPr>
          <w:p w14:paraId="01208DB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7.6.1</w:t>
            </w:r>
          </w:p>
        </w:tc>
        <w:tc>
          <w:tcPr>
            <w:tcW w:w="2095" w:type="dxa"/>
            <w:noWrap w:val="0"/>
            <w:vAlign w:val="center"/>
          </w:tcPr>
          <w:p w14:paraId="3D24617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320" w:type="dxa"/>
            <w:noWrap w:val="0"/>
            <w:vAlign w:val="center"/>
          </w:tcPr>
          <w:p w14:paraId="6CE97982">
            <w:pPr>
              <w:widowControl w:val="0"/>
              <w:adjustRightInd w:val="0"/>
              <w:snapToGrid w:val="0"/>
              <w:spacing w:beforeLines="0" w:afterLines="0" w:line="360" w:lineRule="auto"/>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是否要求中标人提交履约保证金：</w:t>
            </w:r>
          </w:p>
          <w:p w14:paraId="6565453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☑要求，履约保证金的形式：现金转账或保函</w:t>
            </w:r>
          </w:p>
          <w:p w14:paraId="72899F73">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履约保证金金额：中标价的8%</w:t>
            </w:r>
          </w:p>
          <w:p w14:paraId="5C39E114">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p>
          <w:p w14:paraId="58BF2C3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不要求</w:t>
            </w:r>
          </w:p>
        </w:tc>
      </w:tr>
      <w:tr w14:paraId="1A2096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1123" w:type="dxa"/>
            <w:noWrap w:val="0"/>
            <w:vAlign w:val="center"/>
          </w:tcPr>
          <w:p w14:paraId="702702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2095" w:type="dxa"/>
            <w:noWrap w:val="0"/>
            <w:vAlign w:val="center"/>
          </w:tcPr>
          <w:p w14:paraId="775FA7F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是否采用电子招标投标</w:t>
            </w:r>
          </w:p>
        </w:tc>
        <w:tc>
          <w:tcPr>
            <w:tcW w:w="6320" w:type="dxa"/>
            <w:noWrap w:val="0"/>
            <w:vAlign w:val="center"/>
          </w:tcPr>
          <w:p w14:paraId="42D2F30A">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□否</w:t>
            </w:r>
          </w:p>
          <w:p w14:paraId="5A01BD04">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是，具体要求：投标截止时间前在</w:t>
            </w:r>
            <w:r>
              <w:rPr>
                <w:rFonts w:hint="eastAsia" w:ascii="宋体" w:hAnsi="宋体" w:eastAsia="宋体" w:cs="宋体"/>
                <w:spacing w:val="-6"/>
                <w:kern w:val="0"/>
                <w:sz w:val="21"/>
                <w:szCs w:val="21"/>
                <w:highlight w:val="none"/>
                <w:lang w:val="en-US" w:eastAsia="en-US" w:bidi="ar-SA"/>
              </w:rPr>
              <w:t>驻马店市公共资源</w:t>
            </w:r>
            <w:r>
              <w:rPr>
                <w:rFonts w:hint="eastAsia" w:ascii="宋体" w:hAnsi="宋体" w:eastAsia="宋体" w:cs="宋体"/>
                <w:spacing w:val="-6"/>
                <w:kern w:val="0"/>
                <w:sz w:val="21"/>
                <w:szCs w:val="21"/>
                <w:highlight w:val="none"/>
                <w:lang w:val="en-US" w:eastAsia="zh-CN" w:bidi="ar-SA"/>
              </w:rPr>
              <w:t>交易平台</w:t>
            </w:r>
            <w:r>
              <w:rPr>
                <w:rFonts w:hint="eastAsia" w:ascii="宋体" w:hAnsi="宋体" w:eastAsia="宋体" w:cs="宋体"/>
                <w:kern w:val="0"/>
                <w:sz w:val="21"/>
                <w:szCs w:val="21"/>
                <w:highlight w:val="none"/>
                <w:lang w:val="en-US" w:eastAsia="zh-CN" w:bidi="ar-SA"/>
              </w:rPr>
              <w:t>交易系统中上传加密电子投标文件。</w:t>
            </w:r>
          </w:p>
        </w:tc>
      </w:tr>
      <w:tr w14:paraId="33B1F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1123" w:type="dxa"/>
            <w:noWrap w:val="0"/>
            <w:vAlign w:val="center"/>
          </w:tcPr>
          <w:p w14:paraId="51EA86B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w:t>
            </w:r>
          </w:p>
        </w:tc>
        <w:tc>
          <w:tcPr>
            <w:tcW w:w="8415" w:type="dxa"/>
            <w:gridSpan w:val="2"/>
            <w:noWrap w:val="0"/>
            <w:vAlign w:val="center"/>
          </w:tcPr>
          <w:p w14:paraId="2F5E08D9">
            <w:pPr>
              <w:widowControl w:val="0"/>
              <w:adjustRightInd w:val="0"/>
              <w:snapToGrid w:val="0"/>
              <w:spacing w:beforeLines="0" w:afterLines="0" w:line="360" w:lineRule="auto"/>
              <w:ind w:left="0" w:lef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14:paraId="59E7D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6DC856A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w:t>
            </w:r>
          </w:p>
        </w:tc>
        <w:tc>
          <w:tcPr>
            <w:tcW w:w="2095" w:type="dxa"/>
            <w:tcBorders>
              <w:right w:val="single" w:color="auto" w:sz="4" w:space="0"/>
            </w:tcBorders>
            <w:noWrap w:val="0"/>
            <w:vAlign w:val="center"/>
          </w:tcPr>
          <w:p w14:paraId="35477C8F">
            <w:pPr>
              <w:widowControl/>
              <w:wordWrap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Cs w:val="21"/>
                <w:highlight w:val="none"/>
              </w:rPr>
              <w:t>类似项目</w:t>
            </w:r>
          </w:p>
        </w:tc>
        <w:tc>
          <w:tcPr>
            <w:tcW w:w="6320" w:type="dxa"/>
            <w:tcBorders>
              <w:left w:val="single" w:color="auto" w:sz="4" w:space="0"/>
            </w:tcBorders>
            <w:noWrap w:val="0"/>
            <w:vAlign w:val="center"/>
          </w:tcPr>
          <w:p w14:paraId="114450BE">
            <w:pPr>
              <w:widowControl/>
              <w:wordWrap w:val="0"/>
              <w:adjustRightInd w:val="0"/>
              <w:snapToGrid w:val="0"/>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color w:val="auto"/>
                <w:szCs w:val="21"/>
                <w:highlight w:val="none"/>
              </w:rPr>
              <w:t>类似项目是指：</w:t>
            </w: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大型水库、大型水闸弧形闸门制造供货业绩</w:t>
            </w:r>
          </w:p>
        </w:tc>
      </w:tr>
      <w:tr w14:paraId="07E41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23" w:type="dxa"/>
            <w:noWrap w:val="0"/>
            <w:vAlign w:val="center"/>
          </w:tcPr>
          <w:p w14:paraId="37BC7C8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10.2</w:t>
            </w:r>
          </w:p>
        </w:tc>
        <w:tc>
          <w:tcPr>
            <w:tcW w:w="2095" w:type="dxa"/>
            <w:tcBorders>
              <w:right w:val="single" w:color="auto" w:sz="4" w:space="0"/>
            </w:tcBorders>
            <w:noWrap w:val="0"/>
            <w:vAlign w:val="center"/>
          </w:tcPr>
          <w:p w14:paraId="06773AB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原件</w:t>
            </w:r>
          </w:p>
        </w:tc>
        <w:tc>
          <w:tcPr>
            <w:tcW w:w="6320" w:type="dxa"/>
            <w:tcBorders>
              <w:left w:val="single" w:color="auto" w:sz="4" w:space="0"/>
            </w:tcBorders>
            <w:noWrap w:val="0"/>
            <w:vAlign w:val="center"/>
          </w:tcPr>
          <w:p w14:paraId="0C3CC225">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投标人无需到达现场提交原件资料。</w:t>
            </w:r>
            <w:r>
              <w:rPr>
                <w:rFonts w:hint="eastAsia" w:ascii="宋体" w:hAnsi="宋体" w:eastAsia="宋体" w:cs="宋体"/>
                <w:b/>
                <w:bCs/>
                <w:i w:val="0"/>
                <w:iCs w:val="0"/>
                <w:color w:val="auto"/>
                <w:kern w:val="0"/>
                <w:sz w:val="21"/>
                <w:szCs w:val="21"/>
                <w:highlight w:val="none"/>
                <w:lang w:val="en-US" w:eastAsia="zh-CN" w:bidi="ar-SA"/>
              </w:rPr>
              <w:t>投标人编制的“其他内容”应附有相关证明材料扫描件或复印件。投标人自行对此次投标提供的所有资料和证明文件等材料的真实性负责，若弄虚作假被查实，承担相应法律责任，按规定接受相关处罚，如中标，中标结果无效。</w:t>
            </w:r>
          </w:p>
        </w:tc>
      </w:tr>
      <w:tr w14:paraId="569FC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1123" w:type="dxa"/>
            <w:noWrap w:val="0"/>
            <w:vAlign w:val="center"/>
          </w:tcPr>
          <w:p w14:paraId="498A08C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10.3</w:t>
            </w:r>
          </w:p>
        </w:tc>
        <w:tc>
          <w:tcPr>
            <w:tcW w:w="2095" w:type="dxa"/>
            <w:noWrap w:val="0"/>
            <w:vAlign w:val="center"/>
          </w:tcPr>
          <w:p w14:paraId="2A7297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远程开标事项说明</w:t>
            </w:r>
          </w:p>
        </w:tc>
        <w:tc>
          <w:tcPr>
            <w:tcW w:w="6320" w:type="dxa"/>
            <w:noWrap w:val="0"/>
            <w:vAlign w:val="center"/>
          </w:tcPr>
          <w:p w14:paraId="7DE3B318">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（1）本项目采用电子化进行招标。投标人应当在投标文件递交截止时间前，在线准时参加开标活动并进行文件解密、答疑澄清等。</w:t>
            </w:r>
          </w:p>
          <w:p w14:paraId="2F0F7F93">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78B6CC7C">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4E10EE0C">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（4）本项目在驻马店市公共资源交易平台实施网上招投标，具体操作流程请登录驻马店市公共资源交易平台网站电子交易平台查看。</w:t>
            </w:r>
          </w:p>
          <w:p w14:paraId="0FA5D52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616EA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123" w:type="dxa"/>
            <w:noWrap w:val="0"/>
            <w:vAlign w:val="center"/>
          </w:tcPr>
          <w:p w14:paraId="7B57510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10.4</w:t>
            </w:r>
          </w:p>
        </w:tc>
        <w:tc>
          <w:tcPr>
            <w:tcW w:w="2095" w:type="dxa"/>
            <w:noWrap w:val="0"/>
            <w:vAlign w:val="center"/>
          </w:tcPr>
          <w:p w14:paraId="1359F0D0">
            <w:pPr>
              <w:widowControl w:val="0"/>
              <w:adjustRightInd w:val="0"/>
              <w:snapToGrid w:val="0"/>
              <w:spacing w:beforeLines="0" w:afterLines="0" w:line="360" w:lineRule="auto"/>
              <w:jc w:val="center"/>
              <w:rPr>
                <w:rFonts w:hint="eastAsia" w:ascii="宋体" w:hAnsi="宋体" w:eastAsia="宋体" w:cs="宋体"/>
                <w:sz w:val="21"/>
                <w:szCs w:val="21"/>
                <w:highlight w:val="none"/>
              </w:rPr>
            </w:pPr>
            <w:bookmarkStart w:id="53" w:name="_Toc39765646"/>
            <w:bookmarkStart w:id="54" w:name="_Toc508610402"/>
            <w:bookmarkStart w:id="55" w:name="_Toc33294143"/>
            <w:bookmarkStart w:id="56" w:name="_Toc26267032"/>
            <w:bookmarkStart w:id="57" w:name="_Toc26253872"/>
            <w:bookmarkStart w:id="58" w:name="_Toc3273434"/>
            <w:r>
              <w:rPr>
                <w:rFonts w:hint="eastAsia" w:ascii="宋体" w:hAnsi="宋体" w:eastAsia="宋体" w:cs="宋体"/>
                <w:sz w:val="21"/>
                <w:szCs w:val="21"/>
                <w:highlight w:val="none"/>
              </w:rPr>
              <w:t>招标代理服务费</w:t>
            </w:r>
            <w:bookmarkEnd w:id="53"/>
            <w:bookmarkEnd w:id="54"/>
            <w:bookmarkEnd w:id="55"/>
            <w:bookmarkEnd w:id="56"/>
            <w:bookmarkEnd w:id="57"/>
            <w:bookmarkEnd w:id="58"/>
          </w:p>
        </w:tc>
        <w:tc>
          <w:tcPr>
            <w:tcW w:w="6320" w:type="dxa"/>
            <w:noWrap w:val="0"/>
            <w:vAlign w:val="center"/>
          </w:tcPr>
          <w:p w14:paraId="1A0E7197">
            <w:pPr>
              <w:widowControl w:val="0"/>
              <w:autoSpaceDE/>
              <w:autoSpaceDN/>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按照合同约定执行。</w:t>
            </w:r>
          </w:p>
        </w:tc>
      </w:tr>
      <w:tr w14:paraId="7903F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1EBF7A2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10.5</w:t>
            </w:r>
          </w:p>
        </w:tc>
        <w:tc>
          <w:tcPr>
            <w:tcW w:w="2095" w:type="dxa"/>
            <w:noWrap w:val="0"/>
            <w:vAlign w:val="center"/>
          </w:tcPr>
          <w:p w14:paraId="5042302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投标保证金退还事项说明</w:t>
            </w:r>
          </w:p>
        </w:tc>
        <w:tc>
          <w:tcPr>
            <w:tcW w:w="6320" w:type="dxa"/>
            <w:noWrap w:val="0"/>
            <w:vAlign w:val="center"/>
          </w:tcPr>
          <w:p w14:paraId="662AFEE1">
            <w:pPr>
              <w:widowControl w:val="0"/>
              <w:autoSpaceDE/>
              <w:autoSpaceDN/>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投标保证金退还事项说明详见驻马店市公共资源交易平台的相关规定。</w:t>
            </w:r>
          </w:p>
        </w:tc>
      </w:tr>
      <w:tr w14:paraId="638F4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1A436D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10.6</w:t>
            </w:r>
          </w:p>
        </w:tc>
        <w:tc>
          <w:tcPr>
            <w:tcW w:w="2095" w:type="dxa"/>
            <w:noWrap w:val="0"/>
            <w:vAlign w:val="center"/>
          </w:tcPr>
          <w:p w14:paraId="7852F31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评定分离规定</w:t>
            </w:r>
          </w:p>
        </w:tc>
        <w:tc>
          <w:tcPr>
            <w:tcW w:w="6320" w:type="dxa"/>
            <w:noWrap w:val="0"/>
            <w:vAlign w:val="center"/>
          </w:tcPr>
          <w:p w14:paraId="12DBFF8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790B266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34C24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22D24EB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10.7</w:t>
            </w:r>
          </w:p>
        </w:tc>
        <w:tc>
          <w:tcPr>
            <w:tcW w:w="2095" w:type="dxa"/>
            <w:noWrap w:val="0"/>
            <w:vAlign w:val="center"/>
          </w:tcPr>
          <w:p w14:paraId="29C59779">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中标后须提交的投标文件</w:t>
            </w:r>
          </w:p>
        </w:tc>
        <w:tc>
          <w:tcPr>
            <w:tcW w:w="6320" w:type="dxa"/>
            <w:noWrap w:val="0"/>
            <w:vAlign w:val="center"/>
          </w:tcPr>
          <w:p w14:paraId="21A063C0">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份数及形式以招标人实际通知为准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w:t>
            </w:r>
          </w:p>
        </w:tc>
      </w:tr>
      <w:tr w14:paraId="46633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54713FF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10.8</w:t>
            </w:r>
          </w:p>
        </w:tc>
        <w:tc>
          <w:tcPr>
            <w:tcW w:w="2095" w:type="dxa"/>
            <w:noWrap w:val="0"/>
            <w:vAlign w:val="center"/>
          </w:tcPr>
          <w:p w14:paraId="1CAFE1B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p>
        </w:tc>
        <w:tc>
          <w:tcPr>
            <w:tcW w:w="6320" w:type="dxa"/>
            <w:noWrap w:val="0"/>
            <w:vAlign w:val="center"/>
          </w:tcPr>
          <w:p w14:paraId="03A4FB6D">
            <w:pPr>
              <w:keepNext w:val="0"/>
              <w:keepLines w:val="0"/>
              <w:pageBreakBefore w:val="0"/>
              <w:widowControl w:val="0"/>
              <w:kinsoku/>
              <w:wordWrap/>
              <w:overflowPunct/>
              <w:topLinePunct w:val="0"/>
              <w:autoSpaceDE/>
              <w:autoSpaceDN/>
              <w:bidi w:val="0"/>
              <w:adjustRightInd w:val="0"/>
              <w:snapToGrid w:val="0"/>
              <w:spacing w:beforeLines="0" w:afterLines="0" w:line="360" w:lineRule="auto"/>
              <w:ind w:left="0" w:leftChars="0" w:hanging="120"/>
              <w:jc w:val="both"/>
              <w:textAlignment w:val="auto"/>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遵照驻马店市公共资源交易平台规定。</w:t>
            </w:r>
          </w:p>
        </w:tc>
      </w:tr>
      <w:tr w14:paraId="24BA1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2040BC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10.9</w:t>
            </w:r>
          </w:p>
        </w:tc>
        <w:tc>
          <w:tcPr>
            <w:tcW w:w="2095" w:type="dxa"/>
            <w:noWrap w:val="0"/>
            <w:vAlign w:val="center"/>
          </w:tcPr>
          <w:p w14:paraId="0D725450">
            <w:pPr>
              <w:widowControl w:val="0"/>
              <w:autoSpaceDE/>
              <w:autoSpaceDN/>
              <w:adjustRightInd w:val="0"/>
              <w:spacing w:beforeLines="0" w:afterLines="0" w:line="360" w:lineRule="auto"/>
              <w:ind w:left="0" w:hanging="120"/>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特别说明</w:t>
            </w:r>
          </w:p>
        </w:tc>
        <w:tc>
          <w:tcPr>
            <w:tcW w:w="6320" w:type="dxa"/>
            <w:noWrap w:val="0"/>
            <w:vAlign w:val="center"/>
          </w:tcPr>
          <w:p w14:paraId="6010779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676DDDD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2.网页查询</w:t>
            </w:r>
            <w:r>
              <w:rPr>
                <w:rFonts w:hint="eastAsia" w:ascii="宋体" w:hAnsi="宋体" w:eastAsia="宋体" w:cs="宋体"/>
                <w:color w:val="auto"/>
                <w:kern w:val="0"/>
                <w:sz w:val="21"/>
                <w:szCs w:val="21"/>
                <w:highlight w:val="none"/>
                <w:lang w:val="en-US" w:eastAsia="zh-CN" w:bidi="ar-SA"/>
              </w:rPr>
              <w:t>如遇网址或者查询菜单（搜索栏）、功能、内容等有调整或变化，可以提供调整或变化后的查询证明材料。</w:t>
            </w:r>
          </w:p>
          <w:p w14:paraId="0028020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3.本投标</w:t>
            </w:r>
            <w:r>
              <w:rPr>
                <w:rFonts w:hint="eastAsia" w:ascii="宋体" w:hAnsi="宋体" w:eastAsia="宋体" w:cs="宋体"/>
                <w:b/>
                <w:bCs/>
                <w:color w:val="auto"/>
                <w:kern w:val="0"/>
                <w:sz w:val="21"/>
                <w:szCs w:val="21"/>
                <w:highlight w:val="none"/>
                <w:lang w:val="en-US" w:eastAsia="zh-CN" w:bidi="ar-SA"/>
              </w:rPr>
              <w:t>须知前附表是对投标人须知正文的具体补充和修改，如有不一致的，均以本表为准。</w:t>
            </w:r>
          </w:p>
        </w:tc>
      </w:tr>
      <w:tr w14:paraId="2D075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42322D98">
            <w:pPr>
              <w:spacing w:line="360" w:lineRule="auto"/>
              <w:jc w:val="center"/>
              <w:rPr>
                <w:rFonts w:hint="default" w:ascii="宋体" w:hAnsi="宋体" w:eastAsia="宋体" w:cs="宋体"/>
                <w:b/>
                <w:bCs/>
                <w:color w:val="auto"/>
                <w:sz w:val="21"/>
                <w:szCs w:val="21"/>
                <w:highlight w:val="none"/>
                <w:lang w:val="en-US" w:eastAsia="zh-CN"/>
              </w:rPr>
            </w:pPr>
            <w:bookmarkStart w:id="59" w:name="_Toc221950083"/>
            <w:bookmarkStart w:id="60" w:name="_Toc168475644"/>
            <w:bookmarkStart w:id="61" w:name="_Toc168476047"/>
            <w:bookmarkStart w:id="62" w:name="_Toc144974497"/>
            <w:r>
              <w:rPr>
                <w:rFonts w:hint="eastAsia" w:ascii="宋体" w:hAnsi="宋体" w:eastAsia="宋体" w:cs="宋体"/>
                <w:b/>
                <w:bCs/>
                <w:color w:val="auto"/>
                <w:sz w:val="21"/>
                <w:szCs w:val="21"/>
                <w:highlight w:val="none"/>
                <w:lang w:val="en-US" w:eastAsia="zh-CN"/>
              </w:rPr>
              <w:t>10.10</w:t>
            </w:r>
          </w:p>
        </w:tc>
        <w:tc>
          <w:tcPr>
            <w:tcW w:w="2095" w:type="dxa"/>
            <w:noWrap w:val="0"/>
            <w:vAlign w:val="center"/>
          </w:tcPr>
          <w:p w14:paraId="23485DF8">
            <w:pPr>
              <w:spacing w:line="312" w:lineRule="auto"/>
              <w:jc w:val="center"/>
              <w:rPr>
                <w:rFonts w:hint="eastAsia" w:ascii="宋体" w:hAnsi="宋体" w:eastAsia="宋体" w:cs="宋体"/>
                <w:b/>
                <w:bCs/>
                <w:color w:val="auto"/>
                <w:kern w:val="0"/>
                <w:sz w:val="21"/>
                <w:szCs w:val="21"/>
                <w:highlight w:val="none"/>
                <w:lang w:val="en-US" w:eastAsia="zh-CN" w:bidi="ar-SA"/>
              </w:rPr>
            </w:pPr>
            <w:r>
              <w:rPr>
                <w:rFonts w:hint="default" w:ascii="Times New Roman" w:hAnsi="Times New Roman" w:cs="Times New Roman"/>
                <w:color w:val="auto"/>
                <w:szCs w:val="21"/>
                <w:highlight w:val="none"/>
              </w:rPr>
              <w:t>远程异地评标</w:t>
            </w:r>
          </w:p>
        </w:tc>
        <w:tc>
          <w:tcPr>
            <w:tcW w:w="6320" w:type="dxa"/>
            <w:noWrap w:val="0"/>
            <w:vAlign w:val="center"/>
          </w:tcPr>
          <w:p w14:paraId="3CD0B3A9">
            <w:pPr>
              <w:spacing w:line="312"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□否</w:t>
            </w:r>
          </w:p>
          <w:p w14:paraId="52A144F5">
            <w:pPr>
              <w:spacing w:line="312" w:lineRule="auto"/>
              <w:rPr>
                <w:rFonts w:hint="eastAsia" w:ascii="宋体" w:hAnsi="宋体" w:eastAsia="宋体" w:cs="宋体"/>
                <w:b/>
                <w:bCs/>
                <w:color w:val="auto"/>
                <w:kern w:val="2"/>
                <w:sz w:val="21"/>
                <w:szCs w:val="21"/>
                <w:highlight w:val="none"/>
                <w:lang w:val="en-US" w:eastAsia="zh-CN" w:bidi="ar-SA"/>
              </w:rPr>
            </w:pP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是，具体要求：</w:t>
            </w:r>
            <w:r>
              <w:rPr>
                <w:rFonts w:hint="default"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w:t>
            </w:r>
            <w:r>
              <w:rPr>
                <w:rFonts w:hint="default" w:ascii="Times New Roman" w:hAnsi="Times New Roman" w:cs="Times New Roman"/>
                <w:color w:val="auto"/>
                <w:szCs w:val="21"/>
                <w:highlight w:val="none"/>
                <w:u w:val="single"/>
              </w:rPr>
              <w:t xml:space="preserve">   </w:t>
            </w:r>
          </w:p>
        </w:tc>
      </w:tr>
    </w:tbl>
    <w:p w14:paraId="5B9F528F">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r>
        <w:rPr>
          <w:rFonts w:hint="eastAsia" w:ascii="宋体" w:hAnsi="宋体" w:eastAsia="宋体" w:cs="宋体"/>
          <w:b/>
          <w:sz w:val="21"/>
          <w:szCs w:val="21"/>
          <w:highlight w:val="none"/>
        </w:rPr>
        <w:br w:type="page"/>
      </w:r>
      <w:bookmarkEnd w:id="59"/>
      <w:bookmarkEnd w:id="60"/>
      <w:bookmarkEnd w:id="61"/>
      <w:bookmarkEnd w:id="62"/>
      <w:bookmarkStart w:id="63" w:name="_Toc24120"/>
      <w:bookmarkStart w:id="64" w:name="_Toc9479"/>
      <w:bookmarkStart w:id="65" w:name="_Toc13576"/>
      <w:bookmarkStart w:id="66" w:name="_Toc9583"/>
      <w:bookmarkStart w:id="67" w:name="_Toc14675"/>
      <w:bookmarkStart w:id="68" w:name="_Toc62034399"/>
      <w:bookmarkStart w:id="69" w:name="_Toc19012"/>
      <w:bookmarkStart w:id="70" w:name="_Toc221950256"/>
      <w:bookmarkStart w:id="71" w:name="_Toc168475696"/>
      <w:bookmarkStart w:id="72" w:name="_Toc144974548"/>
      <w:bookmarkStart w:id="73" w:name="_Toc168476099"/>
      <w:r>
        <w:rPr>
          <w:rFonts w:hint="eastAsia" w:ascii="宋体" w:hAnsi="宋体" w:eastAsia="宋体" w:cs="宋体"/>
          <w:b/>
          <w:color w:val="auto"/>
          <w:sz w:val="21"/>
          <w:szCs w:val="21"/>
          <w:highlight w:val="none"/>
        </w:rPr>
        <w:t>1.总则</w:t>
      </w:r>
      <w:bookmarkEnd w:id="63"/>
      <w:bookmarkEnd w:id="64"/>
      <w:bookmarkEnd w:id="65"/>
      <w:bookmarkEnd w:id="66"/>
      <w:bookmarkEnd w:id="67"/>
      <w:bookmarkEnd w:id="68"/>
      <w:bookmarkEnd w:id="69"/>
    </w:p>
    <w:p w14:paraId="5169DA5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74" w:name="_bookmark21"/>
      <w:bookmarkEnd w:id="74"/>
      <w:bookmarkStart w:id="75" w:name="_Toc62034400"/>
      <w:bookmarkStart w:id="76" w:name="_Toc54550683"/>
      <w:r>
        <w:rPr>
          <w:rFonts w:hint="eastAsia" w:ascii="宋体" w:hAnsi="宋体" w:eastAsia="宋体" w:cs="宋体"/>
          <w:b/>
          <w:bCs/>
          <w:color w:val="auto"/>
          <w:sz w:val="21"/>
          <w:szCs w:val="21"/>
          <w:highlight w:val="none"/>
        </w:rPr>
        <w:t>1.1 招标项目概况</w:t>
      </w:r>
      <w:bookmarkEnd w:id="75"/>
      <w:bookmarkEnd w:id="76"/>
    </w:p>
    <w:p w14:paraId="13ED53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根据《中华人民共和国招标投标法》、《中华人民共和国招标投标法实施条例》等有关法律、法规和规章的规定，本招标项目已具备招标条件，现对</w:t>
      </w:r>
      <w:r>
        <w:rPr>
          <w:rFonts w:hint="eastAsia" w:ascii="宋体" w:hAnsi="宋体" w:eastAsia="宋体" w:cs="宋体"/>
          <w:color w:val="auto"/>
          <w:sz w:val="21"/>
          <w:szCs w:val="21"/>
          <w:highlight w:val="none"/>
          <w:lang w:eastAsia="zh-CN"/>
        </w:rPr>
        <w:t>设备</w:t>
      </w:r>
      <w:r>
        <w:rPr>
          <w:rFonts w:hint="eastAsia" w:ascii="宋体" w:hAnsi="宋体" w:eastAsia="宋体" w:cs="宋体"/>
          <w:color w:val="auto"/>
          <w:sz w:val="21"/>
          <w:szCs w:val="21"/>
          <w:highlight w:val="none"/>
        </w:rPr>
        <w:t>采购进行招标。</w:t>
      </w:r>
    </w:p>
    <w:p w14:paraId="0550F0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1250FC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1FDA29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项目名称：见投标人须知前附表。</w:t>
      </w:r>
    </w:p>
    <w:p w14:paraId="66E6EFA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rPr>
        <w:t>名称：见投标人须知前附表。</w:t>
      </w:r>
    </w:p>
    <w:p w14:paraId="31D2C20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77" w:name="_bookmark22"/>
      <w:bookmarkEnd w:id="77"/>
      <w:bookmarkStart w:id="78" w:name="_Toc54550684"/>
      <w:bookmarkStart w:id="79" w:name="_Toc62034401"/>
      <w:r>
        <w:rPr>
          <w:rFonts w:hint="eastAsia" w:ascii="宋体" w:hAnsi="宋体" w:eastAsia="宋体" w:cs="宋体"/>
          <w:b/>
          <w:bCs/>
          <w:color w:val="auto"/>
          <w:sz w:val="21"/>
          <w:szCs w:val="21"/>
          <w:highlight w:val="none"/>
        </w:rPr>
        <w:t>1.2 招标项目的资金来源和落实情况</w:t>
      </w:r>
      <w:bookmarkEnd w:id="78"/>
      <w:bookmarkEnd w:id="79"/>
    </w:p>
    <w:p w14:paraId="36CFC33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资金来源及比例：见投标人须知前附表。</w:t>
      </w:r>
    </w:p>
    <w:p w14:paraId="240E6F1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16D7864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lang w:val="en-US" w:eastAsia="zh-CN"/>
        </w:rPr>
      </w:pPr>
      <w:bookmarkStart w:id="80" w:name="_bookmark23"/>
      <w:bookmarkEnd w:id="80"/>
      <w:bookmarkStart w:id="81" w:name="_Toc62034402"/>
      <w:bookmarkStart w:id="82" w:name="_Toc54550685"/>
      <w:r>
        <w:rPr>
          <w:rFonts w:hint="eastAsia" w:ascii="宋体" w:hAnsi="宋体" w:eastAsia="宋体" w:cs="宋体"/>
          <w:b/>
          <w:bCs/>
          <w:color w:val="auto"/>
          <w:sz w:val="21"/>
          <w:szCs w:val="21"/>
          <w:highlight w:val="none"/>
        </w:rPr>
        <w:t>1.3 招标范围、供货期（服务期）、交货地点和</w:t>
      </w:r>
      <w:bookmarkEnd w:id="81"/>
      <w:bookmarkEnd w:id="82"/>
      <w:r>
        <w:rPr>
          <w:rFonts w:hint="eastAsia" w:ascii="宋体" w:hAnsi="宋体" w:eastAsia="宋体" w:cs="宋体"/>
          <w:b/>
          <w:bCs/>
          <w:color w:val="auto"/>
          <w:sz w:val="21"/>
          <w:szCs w:val="21"/>
          <w:highlight w:val="none"/>
          <w:lang w:val="en-US" w:eastAsia="zh-CN"/>
        </w:rPr>
        <w:t>质量要求</w:t>
      </w:r>
    </w:p>
    <w:p w14:paraId="1955283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2D50D70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供货期（服务期）：见投标人须知前附表。</w:t>
      </w:r>
    </w:p>
    <w:p w14:paraId="1C89CB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交货地点：见投标人须知前附表。</w:t>
      </w:r>
    </w:p>
    <w:p w14:paraId="5EE0999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：见投标人须知前附表。</w:t>
      </w:r>
    </w:p>
    <w:p w14:paraId="5F2FB07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3" w:name="_bookmark24"/>
      <w:bookmarkEnd w:id="83"/>
      <w:bookmarkStart w:id="84" w:name="_Toc62034403"/>
      <w:bookmarkStart w:id="85" w:name="_Toc54550686"/>
      <w:r>
        <w:rPr>
          <w:rFonts w:hint="eastAsia" w:ascii="宋体" w:hAnsi="宋体" w:eastAsia="宋体" w:cs="宋体"/>
          <w:b/>
          <w:bCs/>
          <w:color w:val="auto"/>
          <w:sz w:val="21"/>
          <w:szCs w:val="21"/>
          <w:highlight w:val="none"/>
        </w:rPr>
        <w:t>1.4 投标人资格要求</w:t>
      </w:r>
      <w:bookmarkEnd w:id="84"/>
      <w:bookmarkEnd w:id="85"/>
    </w:p>
    <w:p w14:paraId="4EE8336F">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1.4.1 </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应具备承担本项目的资质条件、能力和信誉。本标段的资格要求如下：</w:t>
      </w:r>
    </w:p>
    <w:p w14:paraId="42F3F632">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（1）资质条件：见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31289ACD">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（2）财务要求：见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18B7240">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（3）业绩要求：见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F3013A3">
      <w:pPr>
        <w:widowControl/>
        <w:autoSpaceDE/>
        <w:autoSpaceDN/>
        <w:adjustRightInd w:val="0"/>
        <w:spacing w:beforeLines="0" w:afterLines="0" w:line="360" w:lineRule="auto"/>
        <w:ind w:firstLine="420" w:firstLineChars="200"/>
        <w:jc w:val="left"/>
        <w:rPr>
          <w:rFonts w:hint="eastAsia" w:ascii="宋体" w:hAnsi="宋体" w:eastAsia="宋体" w:cs="宋体"/>
          <w:bCs/>
          <w:color w:val="FF0000"/>
          <w:sz w:val="21"/>
          <w:szCs w:val="21"/>
          <w:highlight w:val="none"/>
          <w:lang w:val="zh-CN"/>
        </w:rPr>
      </w:pPr>
      <w:r>
        <w:rPr>
          <w:rFonts w:hint="eastAsia" w:ascii="宋体" w:hAnsi="宋体" w:eastAsia="宋体" w:cs="宋体"/>
          <w:bCs/>
          <w:color w:val="auto"/>
          <w:sz w:val="21"/>
          <w:szCs w:val="21"/>
          <w:highlight w:val="none"/>
          <w:lang w:val="zh-CN"/>
        </w:rPr>
        <w:t>（4）信誉条件：见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w:t>
      </w:r>
      <w:r>
        <w:rPr>
          <w:rFonts w:hint="eastAsia" w:ascii="宋体" w:hAnsi="宋体" w:eastAsia="宋体" w:cs="宋体"/>
          <w:bCs/>
          <w:color w:val="000000" w:themeColor="text1"/>
          <w:sz w:val="21"/>
          <w:szCs w:val="21"/>
          <w:highlight w:val="none"/>
          <w:lang w:val="zh-CN"/>
          <w14:textFill>
            <w14:solidFill>
              <w14:schemeClr w14:val="tx1"/>
            </w14:solidFill>
          </w14:textFill>
        </w:rPr>
        <w:t>前附表；</w:t>
      </w:r>
    </w:p>
    <w:p w14:paraId="72883FD6">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（5）</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zh-CN"/>
        </w:rPr>
        <w:t>负责人资格：见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2D79D67">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（6）其他要求：见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DA065E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投标人须知前附表规定接受联合体投标的，联合体除应符合本章第1.4.1项和投标人须知前附表的要求外，还应遵守以下规定：</w:t>
      </w:r>
    </w:p>
    <w:p w14:paraId="640308B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（1）联合体各方应按招标文件提供的格式签订联合体协议书，明确联合体牵头人和各方权利义务，并承诺就中标项目向招标人承担连带责任；</w:t>
      </w:r>
    </w:p>
    <w:p w14:paraId="014D45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3398103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（3）联合体各方不得再以自己名义单独或参加其他联合体在本招标项目中投标，否则各相关投标均无效。</w:t>
      </w:r>
    </w:p>
    <w:p w14:paraId="402804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574456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（1）与招标人存在利害关系且可能影响招标公正性；</w:t>
      </w:r>
    </w:p>
    <w:p w14:paraId="598A907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（2）与本招标项目的其他投标人为同一个单位负责人；</w:t>
      </w:r>
    </w:p>
    <w:p w14:paraId="4B1076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4385282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）为本招标项目提供过设计、编制技术规范和其他文件的咨询服务；</w:t>
      </w:r>
    </w:p>
    <w:p w14:paraId="57420D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）为本工程项目的相关监理人，或者与本工程项目的相关监理人存在隶属关系或者其他利害关系；</w:t>
      </w:r>
    </w:p>
    <w:p w14:paraId="01AA2D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）为本招标项目的代建人；</w:t>
      </w:r>
    </w:p>
    <w:p w14:paraId="1A90506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）为本招标项目的招标代理机构；</w:t>
      </w:r>
    </w:p>
    <w:p w14:paraId="7C58F21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）与本招标项目的监理人或代建人或招标代理机构同为一个法定代表人；</w:t>
      </w:r>
    </w:p>
    <w:p w14:paraId="29E1E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）与本招标项目的监理人或代建人或招标代理机构存在控股或参股关系；</w:t>
      </w:r>
    </w:p>
    <w:p w14:paraId="5C40CD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）被依法暂停或者取消投标资格；</w:t>
      </w:r>
    </w:p>
    <w:p w14:paraId="27D9E6A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）被责令停产停业、暂扣或者吊销许可证、暂扣或者吊销执照；</w:t>
      </w:r>
    </w:p>
    <w:p w14:paraId="7FD8F2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）进入清算程序，或被宣告破产，或其他丧失履约能力的情形；</w:t>
      </w:r>
    </w:p>
    <w:p w14:paraId="0C9474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）在最近三年内发生重大产品质量问题（以相关行业主管部门的行政处罚决定或司法机关出具的有关法律文书为准）；</w:t>
      </w:r>
    </w:p>
    <w:p w14:paraId="590B155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）被工商行政管理机关</w:t>
      </w:r>
      <w:r>
        <w:rPr>
          <w:rFonts w:hint="eastAsia" w:ascii="宋体" w:hAnsi="宋体" w:eastAsia="宋体" w:cs="宋体"/>
          <w:color w:val="auto"/>
          <w:sz w:val="21"/>
          <w:szCs w:val="21"/>
          <w:highlight w:val="none"/>
          <w:lang w:eastAsia="zh-CN"/>
        </w:rPr>
        <w:t>在国家企业信用信息公示系统</w:t>
      </w:r>
      <w:r>
        <w:rPr>
          <w:rFonts w:hint="eastAsia" w:ascii="宋体" w:hAnsi="宋体" w:eastAsia="宋体" w:cs="宋体"/>
          <w:color w:val="auto"/>
          <w:sz w:val="21"/>
          <w:szCs w:val="21"/>
          <w:highlight w:val="none"/>
        </w:rPr>
        <w:t>中列入严重违法失信企业名单；</w:t>
      </w:r>
    </w:p>
    <w:p w14:paraId="758557D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）被最高人民法院在“信用中国”网站（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"http://www.creditchina.gov.cn/" \h</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）或各级信用信息共享平台中列入失信被执行人名单；</w:t>
      </w:r>
    </w:p>
    <w:p w14:paraId="0F9DA1A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）单位负责人为同一人或者存在控股、管理关系的不同单位，不得参加同一标段投标或者未划分标段的同一招标项目投标。</w:t>
      </w:r>
    </w:p>
    <w:p w14:paraId="4BA4B64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）法律法规或投标人须知前附表规定的其他情形。</w:t>
      </w:r>
    </w:p>
    <w:p w14:paraId="5ACC1B9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6" w:name="_Toc54550687"/>
      <w:bookmarkStart w:id="87" w:name="_Toc62034404"/>
      <w:r>
        <w:rPr>
          <w:rFonts w:hint="eastAsia" w:ascii="宋体" w:hAnsi="宋体" w:eastAsia="宋体" w:cs="宋体"/>
          <w:b/>
          <w:bCs/>
          <w:color w:val="auto"/>
          <w:sz w:val="21"/>
          <w:szCs w:val="21"/>
          <w:highlight w:val="none"/>
        </w:rPr>
        <w:t>1.5 费用承担</w:t>
      </w:r>
      <w:bookmarkEnd w:id="86"/>
      <w:bookmarkEnd w:id="87"/>
    </w:p>
    <w:p w14:paraId="6DEAD7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625931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8" w:name="_bookmark26"/>
      <w:bookmarkEnd w:id="88"/>
      <w:bookmarkStart w:id="89" w:name="_Toc54550688"/>
      <w:bookmarkStart w:id="90" w:name="_Toc62034405"/>
      <w:r>
        <w:rPr>
          <w:rFonts w:hint="eastAsia" w:ascii="宋体" w:hAnsi="宋体" w:eastAsia="宋体" w:cs="宋体"/>
          <w:b/>
          <w:bCs/>
          <w:color w:val="auto"/>
          <w:sz w:val="21"/>
          <w:szCs w:val="21"/>
          <w:highlight w:val="none"/>
        </w:rPr>
        <w:t>1.6 保密</w:t>
      </w:r>
      <w:bookmarkEnd w:id="89"/>
      <w:bookmarkEnd w:id="90"/>
    </w:p>
    <w:p w14:paraId="34C25FE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65C85ED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1" w:name="_bookmark27"/>
      <w:bookmarkEnd w:id="91"/>
      <w:bookmarkStart w:id="92" w:name="_Toc62034406"/>
      <w:bookmarkStart w:id="93" w:name="_Toc54550689"/>
      <w:r>
        <w:rPr>
          <w:rFonts w:hint="eastAsia" w:ascii="宋体" w:hAnsi="宋体" w:eastAsia="宋体" w:cs="宋体"/>
          <w:b/>
          <w:bCs/>
          <w:color w:val="auto"/>
          <w:sz w:val="21"/>
          <w:szCs w:val="21"/>
          <w:highlight w:val="none"/>
        </w:rPr>
        <w:t>1.7 语言文字</w:t>
      </w:r>
      <w:bookmarkEnd w:id="92"/>
      <w:bookmarkEnd w:id="93"/>
    </w:p>
    <w:p w14:paraId="058E43C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w:t>
      </w:r>
    </w:p>
    <w:p w14:paraId="7F922A9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4" w:name="_bookmark28"/>
      <w:bookmarkEnd w:id="94"/>
      <w:bookmarkStart w:id="95" w:name="_Toc62034407"/>
      <w:bookmarkStart w:id="96" w:name="_Toc54550690"/>
      <w:r>
        <w:rPr>
          <w:rFonts w:hint="eastAsia" w:ascii="宋体" w:hAnsi="宋体" w:eastAsia="宋体" w:cs="宋体"/>
          <w:b/>
          <w:bCs/>
          <w:color w:val="auto"/>
          <w:sz w:val="21"/>
          <w:szCs w:val="21"/>
          <w:highlight w:val="none"/>
        </w:rPr>
        <w:t>1.8 计量单位</w:t>
      </w:r>
      <w:bookmarkEnd w:id="95"/>
      <w:bookmarkEnd w:id="96"/>
    </w:p>
    <w:p w14:paraId="456ADE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C5D2699">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7" w:name="_bookmark29"/>
      <w:bookmarkEnd w:id="97"/>
      <w:bookmarkStart w:id="98" w:name="_Toc54550691"/>
      <w:bookmarkStart w:id="99" w:name="_Toc62034408"/>
      <w:r>
        <w:rPr>
          <w:rFonts w:hint="eastAsia" w:ascii="宋体" w:hAnsi="宋体" w:eastAsia="宋体" w:cs="宋体"/>
          <w:b/>
          <w:bCs/>
          <w:color w:val="auto"/>
          <w:sz w:val="21"/>
          <w:szCs w:val="21"/>
          <w:highlight w:val="none"/>
        </w:rPr>
        <w:t>1.9 投标预备会</w:t>
      </w:r>
      <w:bookmarkEnd w:id="98"/>
      <w:bookmarkEnd w:id="99"/>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550EF74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投标人须知前附表规定召开投标预备会的，招标人按投标人须知前附表规定的时间和地点召开投标预备会，澄清投标人提出的问题。</w:t>
      </w:r>
    </w:p>
    <w:p w14:paraId="7EBCD74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投标人应按投标人须知前附表规定的时间和形式将提出的问题送达招标人，以便招标人在会议期间澄清。</w:t>
      </w:r>
    </w:p>
    <w:p w14:paraId="6218E8F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投标预备会后，招标人将对投标人所提问题的澄清，以投标人须知前附表规定的形式通知所有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招标文件的投标人。该澄清内容为招标文件的组成部分。</w:t>
      </w:r>
    </w:p>
    <w:p w14:paraId="2FF0DCB8">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00" w:name="_bookmark30"/>
      <w:bookmarkEnd w:id="100"/>
      <w:bookmarkStart w:id="101" w:name="_Toc62034409"/>
      <w:bookmarkStart w:id="102" w:name="_Toc54550692"/>
      <w:r>
        <w:rPr>
          <w:rFonts w:hint="eastAsia" w:ascii="宋体" w:hAnsi="宋体" w:eastAsia="宋体" w:cs="宋体"/>
          <w:b/>
          <w:bCs/>
          <w:color w:val="auto"/>
          <w:sz w:val="21"/>
          <w:szCs w:val="21"/>
          <w:highlight w:val="none"/>
        </w:rPr>
        <w:t>1.10 分包</w:t>
      </w:r>
      <w:bookmarkEnd w:id="101"/>
      <w:bookmarkEnd w:id="102"/>
    </w:p>
    <w:p w14:paraId="0C2D2D5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投标人拟在中标后将中标项目的非主体设备进行分包的，应符合投标人须知前附表规定的分包内容、分包金额和资质要求等限制性条件，除投标人须知前附表规定的非主体设备外，其他工作不得分包。</w:t>
      </w:r>
    </w:p>
    <w:p w14:paraId="5DF639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中标人不得向他人转让中标项目，接受分包的人不得再次分包。中标人应当就分包项目向招标人负责，接受分包的人就分包项目承担连带责任。</w:t>
      </w:r>
    </w:p>
    <w:p w14:paraId="418CC14A">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03" w:name="_bookmark31"/>
      <w:bookmarkEnd w:id="103"/>
      <w:bookmarkStart w:id="104" w:name="_Toc62034410"/>
      <w:bookmarkStart w:id="105" w:name="_Toc54550693"/>
      <w:r>
        <w:rPr>
          <w:rFonts w:hint="eastAsia" w:ascii="宋体" w:hAnsi="宋体" w:eastAsia="宋体" w:cs="宋体"/>
          <w:b/>
          <w:bCs/>
          <w:color w:val="auto"/>
          <w:sz w:val="21"/>
          <w:szCs w:val="21"/>
          <w:highlight w:val="none"/>
        </w:rPr>
        <w:t>1.11 响应和偏差</w:t>
      </w:r>
      <w:bookmarkEnd w:id="104"/>
      <w:bookmarkEnd w:id="105"/>
    </w:p>
    <w:p w14:paraId="5DC69A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投标文件应当对招标文件的实质性要求和条件作出满足性或更有利于招标人的响应，否则，投标人的投标将被否决。实质性要求和条件见投标人须知前附表。</w:t>
      </w:r>
    </w:p>
    <w:p w14:paraId="056AA7F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投标人应根据招标文件的要求提供投标设备技术性能指标的详细描述、技术支持资料及技术服务和质量保证期服务计划等内容以对招标文件作出响应。</w:t>
      </w:r>
    </w:p>
    <w:p w14:paraId="27AB58A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789755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投标人须知前附表规定了可以偏差的范围和最高偏差项数的，偏差应当符合投标人须知前附表规定的偏差范围和最高项数，超出偏差范围和最高偏差项数的投标将被否决。</w:t>
      </w:r>
    </w:p>
    <w:p w14:paraId="6294BE7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投标文件对招标文件的全部偏差，均应在投标文件的技术偏差表中列明，除列明的内容外，视为投标人响应招标文件的全部要求。</w:t>
      </w:r>
    </w:p>
    <w:p w14:paraId="7CDA7C18">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06" w:name="_bookmark32"/>
      <w:bookmarkEnd w:id="106"/>
      <w:bookmarkStart w:id="107" w:name="_Toc8769"/>
      <w:bookmarkStart w:id="108" w:name="_Toc20201"/>
      <w:bookmarkStart w:id="109" w:name="_Toc19164"/>
      <w:bookmarkStart w:id="110" w:name="_Toc62034411"/>
      <w:bookmarkStart w:id="111" w:name="_Toc1595"/>
      <w:bookmarkStart w:id="112" w:name="_Toc24173"/>
      <w:bookmarkStart w:id="113" w:name="_Toc17206"/>
      <w:r>
        <w:rPr>
          <w:rFonts w:hint="eastAsia" w:ascii="宋体" w:hAnsi="宋体" w:eastAsia="宋体" w:cs="宋体"/>
          <w:b/>
          <w:color w:val="auto"/>
          <w:sz w:val="21"/>
          <w:szCs w:val="21"/>
          <w:highlight w:val="none"/>
        </w:rPr>
        <w:t>2.招标文件</w:t>
      </w:r>
      <w:bookmarkEnd w:id="107"/>
      <w:bookmarkEnd w:id="108"/>
      <w:bookmarkEnd w:id="109"/>
      <w:bookmarkEnd w:id="110"/>
      <w:bookmarkEnd w:id="111"/>
      <w:bookmarkEnd w:id="112"/>
      <w:bookmarkEnd w:id="113"/>
    </w:p>
    <w:p w14:paraId="3E3EE6E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14" w:name="_bookmark33"/>
      <w:bookmarkEnd w:id="114"/>
      <w:bookmarkStart w:id="115" w:name="_Toc54550695"/>
      <w:bookmarkStart w:id="116" w:name="_Toc62034412"/>
      <w:r>
        <w:rPr>
          <w:rFonts w:hint="eastAsia" w:ascii="宋体" w:hAnsi="宋体" w:eastAsia="宋体" w:cs="宋体"/>
          <w:b/>
          <w:bCs/>
          <w:color w:val="auto"/>
          <w:sz w:val="21"/>
          <w:szCs w:val="21"/>
          <w:highlight w:val="none"/>
        </w:rPr>
        <w:t>2.1 招标文件的组成</w:t>
      </w:r>
      <w:bookmarkEnd w:id="115"/>
      <w:bookmarkEnd w:id="116"/>
    </w:p>
    <w:p w14:paraId="782D61A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CE4CE2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3178C5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E988C2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eastAsia="zh-CN"/>
        </w:rPr>
        <w:t>及定标办法</w:t>
      </w:r>
      <w:r>
        <w:rPr>
          <w:rFonts w:hint="eastAsia" w:ascii="宋体" w:hAnsi="宋体" w:eastAsia="宋体" w:cs="宋体"/>
          <w:color w:val="auto"/>
          <w:sz w:val="21"/>
          <w:szCs w:val="21"/>
          <w:highlight w:val="none"/>
        </w:rPr>
        <w:t>；</w:t>
      </w:r>
    </w:p>
    <w:p w14:paraId="4C93CF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770C75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（5）供货要求；</w:t>
      </w:r>
    </w:p>
    <w:p w14:paraId="3BA913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65FBF3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w:t>
      </w:r>
    </w:p>
    <w:p w14:paraId="1129F9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 1.9款、第 2.2款和第 2.3款对招标文件所作的澄清、修改，构成招标文件的组成部分。</w:t>
      </w:r>
    </w:p>
    <w:p w14:paraId="676961B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17" w:name="_bookmark34"/>
      <w:bookmarkEnd w:id="117"/>
      <w:bookmarkStart w:id="118" w:name="_Toc54550696"/>
      <w:bookmarkStart w:id="119" w:name="_Toc62034413"/>
      <w:r>
        <w:rPr>
          <w:rFonts w:hint="eastAsia" w:ascii="宋体" w:hAnsi="宋体" w:eastAsia="宋体" w:cs="宋体"/>
          <w:b/>
          <w:bCs/>
          <w:color w:val="auto"/>
          <w:sz w:val="21"/>
          <w:szCs w:val="21"/>
          <w:highlight w:val="none"/>
        </w:rPr>
        <w:t>2.2 招标文件的澄清</w:t>
      </w:r>
      <w:bookmarkEnd w:id="118"/>
      <w:bookmarkEnd w:id="119"/>
    </w:p>
    <w:p w14:paraId="3D4A140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98A28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招标文件的澄清以投标人须知前附表规定的形式发给所有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招标文件的投标人，但不指明澄清问题的来源。澄清发出的时间距本章第4.2.1项规定的投标截止时间不足15日的，并且澄清内容可能影响投标文件编制的，将相应延长投标截止时间。</w:t>
      </w:r>
    </w:p>
    <w:p w14:paraId="0A4275D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投标人在收到澄清后，应按投标人须知前附表规定的时间和形式通知招标人，确认已收到该澄清。</w:t>
      </w:r>
    </w:p>
    <w:p w14:paraId="76F4C2E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除非招标人认为确有必要答复，否则，招标人有权拒绝回复投标人在本章第2.2.1项规定的时间后的任何澄清要求。</w:t>
      </w:r>
    </w:p>
    <w:p w14:paraId="48A676B8">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20" w:name="_bookmark35"/>
      <w:bookmarkEnd w:id="120"/>
      <w:bookmarkStart w:id="121" w:name="_Toc54550697"/>
      <w:bookmarkStart w:id="122" w:name="_Toc62034414"/>
      <w:r>
        <w:rPr>
          <w:rFonts w:hint="eastAsia" w:ascii="宋体" w:hAnsi="宋体" w:eastAsia="宋体" w:cs="宋体"/>
          <w:b/>
          <w:bCs/>
          <w:color w:val="auto"/>
          <w:sz w:val="21"/>
          <w:szCs w:val="21"/>
          <w:highlight w:val="none"/>
        </w:rPr>
        <w:t>2.3 招标文件的修改</w:t>
      </w:r>
      <w:bookmarkEnd w:id="121"/>
      <w:bookmarkEnd w:id="122"/>
    </w:p>
    <w:p w14:paraId="6DA6EB1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招标文件的投标人。修改招标文件的时间距本章第4.2.1项规定的投标截止时间不足15 日的，并且修改内容可能影响投标文件编制的，将相应延长投标截止时间。</w:t>
      </w:r>
    </w:p>
    <w:p w14:paraId="2E8AFC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投标人收到修改内容后，应按投标人须知前附表规定的时间和形式通知招标人，确认已收到该修改。</w:t>
      </w:r>
    </w:p>
    <w:p w14:paraId="4D2F819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23" w:name="_bookmark36"/>
      <w:bookmarkEnd w:id="123"/>
      <w:bookmarkStart w:id="124" w:name="_Toc62034415"/>
      <w:bookmarkStart w:id="125" w:name="_Toc54550698"/>
      <w:r>
        <w:rPr>
          <w:rFonts w:hint="eastAsia" w:ascii="宋体" w:hAnsi="宋体" w:eastAsia="宋体" w:cs="宋体"/>
          <w:b/>
          <w:bCs/>
          <w:color w:val="auto"/>
          <w:sz w:val="21"/>
          <w:szCs w:val="21"/>
          <w:highlight w:val="none"/>
        </w:rPr>
        <w:t>2.4 招标文件的异议</w:t>
      </w:r>
      <w:bookmarkEnd w:id="124"/>
      <w:bookmarkEnd w:id="125"/>
    </w:p>
    <w:p w14:paraId="0892474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32AADFC3">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26" w:name="_bookmark37"/>
      <w:bookmarkEnd w:id="126"/>
      <w:bookmarkStart w:id="127" w:name="_Toc16106"/>
      <w:bookmarkStart w:id="128" w:name="_Toc54550699"/>
      <w:bookmarkStart w:id="129" w:name="_Toc9074"/>
      <w:bookmarkStart w:id="130" w:name="_Toc62034416"/>
      <w:bookmarkStart w:id="131" w:name="_Toc30993"/>
      <w:bookmarkStart w:id="132" w:name="_Toc20216"/>
      <w:bookmarkStart w:id="133" w:name="_Toc8263"/>
      <w:bookmarkStart w:id="134" w:name="_Toc8409"/>
      <w:r>
        <w:rPr>
          <w:rFonts w:hint="eastAsia" w:ascii="宋体" w:hAnsi="宋体" w:eastAsia="宋体" w:cs="宋体"/>
          <w:b/>
          <w:color w:val="auto"/>
          <w:sz w:val="21"/>
          <w:szCs w:val="21"/>
          <w:highlight w:val="none"/>
        </w:rPr>
        <w:t>3.投标文件</w:t>
      </w:r>
      <w:bookmarkEnd w:id="127"/>
      <w:bookmarkEnd w:id="128"/>
      <w:bookmarkEnd w:id="129"/>
      <w:bookmarkEnd w:id="130"/>
      <w:bookmarkEnd w:id="131"/>
      <w:bookmarkEnd w:id="132"/>
      <w:bookmarkEnd w:id="133"/>
      <w:bookmarkEnd w:id="134"/>
    </w:p>
    <w:p w14:paraId="1CAD56E0">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35" w:name="_bookmark38"/>
      <w:bookmarkEnd w:id="135"/>
      <w:bookmarkStart w:id="136" w:name="_Toc54550700"/>
      <w:bookmarkStart w:id="137" w:name="_Toc62034417"/>
      <w:r>
        <w:rPr>
          <w:rFonts w:hint="eastAsia" w:ascii="宋体" w:hAnsi="宋体" w:eastAsia="宋体" w:cs="宋体"/>
          <w:b/>
          <w:bCs/>
          <w:color w:val="auto"/>
          <w:sz w:val="21"/>
          <w:szCs w:val="21"/>
          <w:highlight w:val="none"/>
        </w:rPr>
        <w:t>3.1 投标文件的组成</w:t>
      </w:r>
      <w:bookmarkEnd w:id="136"/>
      <w:bookmarkEnd w:id="137"/>
    </w:p>
    <w:p w14:paraId="1F7A933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7F9172E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7DAECD9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（2）法定代表人（单位负责人）身份证明或授权委托书；</w:t>
      </w:r>
    </w:p>
    <w:p w14:paraId="1A6F953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r>
        <w:rPr>
          <w:rFonts w:hint="eastAsia" w:ascii="宋体" w:hAnsi="宋体" w:eastAsia="宋体" w:cs="宋体"/>
          <w:color w:val="auto"/>
          <w:sz w:val="21"/>
          <w:szCs w:val="21"/>
          <w:highlight w:val="none"/>
          <w:lang w:val="en-US" w:eastAsia="zh-CN"/>
        </w:rPr>
        <w:t>交纳证明</w:t>
      </w:r>
      <w:r>
        <w:rPr>
          <w:rFonts w:hint="eastAsia" w:ascii="宋体" w:hAnsi="宋体" w:eastAsia="宋体" w:cs="宋体"/>
          <w:color w:val="auto"/>
          <w:sz w:val="21"/>
          <w:szCs w:val="21"/>
          <w:highlight w:val="none"/>
        </w:rPr>
        <w:t>；</w:t>
      </w:r>
    </w:p>
    <w:p w14:paraId="220E53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（4）技术偏差表；</w:t>
      </w:r>
    </w:p>
    <w:p w14:paraId="439EDB2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（5）分项报价表；</w:t>
      </w:r>
    </w:p>
    <w:p w14:paraId="0374388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资格审查资料</w:t>
      </w:r>
      <w:r>
        <w:rPr>
          <w:rFonts w:hint="eastAsia" w:ascii="宋体" w:hAnsi="宋体" w:eastAsia="宋体" w:cs="宋体"/>
          <w:color w:val="auto"/>
          <w:sz w:val="21"/>
          <w:szCs w:val="21"/>
          <w:highlight w:val="none"/>
        </w:rPr>
        <w:t>；</w:t>
      </w:r>
    </w:p>
    <w:p w14:paraId="04A7B4B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（7）技术资料；</w:t>
      </w:r>
    </w:p>
    <w:p w14:paraId="651C216C">
      <w:pPr>
        <w:widowControl w:val="0"/>
        <w:adjustRightInd w:val="0"/>
        <w:snapToGrid w:val="0"/>
        <w:spacing w:beforeLines="0" w:afterLines="0" w:line="360" w:lineRule="auto"/>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）惩罚记录查询信息</w:t>
      </w:r>
      <w:r>
        <w:rPr>
          <w:rFonts w:hint="eastAsia" w:ascii="宋体" w:hAnsi="宋体" w:eastAsia="宋体" w:cs="宋体"/>
          <w:color w:val="auto"/>
          <w:sz w:val="21"/>
          <w:szCs w:val="21"/>
          <w:highlight w:val="none"/>
          <w:lang w:val="en-US" w:eastAsia="zh-CN"/>
        </w:rPr>
        <w:t>；</w:t>
      </w:r>
    </w:p>
    <w:p w14:paraId="3E0D76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）投标人须知前附表规定的其他资料。</w:t>
      </w:r>
    </w:p>
    <w:p w14:paraId="643E47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19EE633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投标人须知前附表规定不接受联合体投标的，或投标人没有组成联合体的，投标文件不包括联合体协议书。</w:t>
      </w:r>
    </w:p>
    <w:p w14:paraId="5F868B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投标人须知前附表未要求提交投标保证金的，投标文件不包括本章第3.1.1（3）目所指的投标保证金。</w:t>
      </w:r>
    </w:p>
    <w:p w14:paraId="08D727C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38" w:name="_bookmark39"/>
      <w:bookmarkEnd w:id="138"/>
      <w:bookmarkStart w:id="139" w:name="_Toc54550701"/>
      <w:bookmarkStart w:id="140" w:name="_Toc62034418"/>
      <w:r>
        <w:rPr>
          <w:rFonts w:hint="eastAsia" w:ascii="宋体" w:hAnsi="宋体" w:eastAsia="宋体" w:cs="宋体"/>
          <w:b/>
          <w:bCs/>
          <w:color w:val="auto"/>
          <w:sz w:val="21"/>
          <w:szCs w:val="21"/>
          <w:highlight w:val="none"/>
        </w:rPr>
        <w:t>3.2 投标报价</w:t>
      </w:r>
      <w:bookmarkEnd w:id="139"/>
      <w:bookmarkEnd w:id="140"/>
    </w:p>
    <w:p w14:paraId="5FC729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14:paraId="1B5A879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投标人应充分了解该项目的总体情况以及影响投标报价的其他要素。</w:t>
      </w:r>
    </w:p>
    <w:p w14:paraId="5295D73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 “分项报价表”中的相应报价。此修改须符合本章第 4.3款的有关要求。</w:t>
      </w:r>
    </w:p>
    <w:p w14:paraId="246DDC9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招标人设有最高投标限价的，投标人的投标报价不得超过最高投标限价，最高投标限价在投标人须知前附表中载明。</w:t>
      </w:r>
    </w:p>
    <w:p w14:paraId="502C3E0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投标报价的其他要求见投标人须知前附表。</w:t>
      </w:r>
    </w:p>
    <w:p w14:paraId="662BD2D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1" w:name="_bookmark40"/>
      <w:bookmarkEnd w:id="141"/>
      <w:bookmarkStart w:id="142" w:name="_Toc62034419"/>
      <w:bookmarkStart w:id="143" w:name="_Toc54550702"/>
      <w:r>
        <w:rPr>
          <w:rFonts w:hint="eastAsia" w:ascii="宋体" w:hAnsi="宋体" w:eastAsia="宋体" w:cs="宋体"/>
          <w:b/>
          <w:bCs/>
          <w:color w:val="auto"/>
          <w:sz w:val="21"/>
          <w:szCs w:val="21"/>
          <w:highlight w:val="none"/>
        </w:rPr>
        <w:t>3.3 投标有效期</w:t>
      </w:r>
      <w:bookmarkEnd w:id="142"/>
      <w:bookmarkEnd w:id="143"/>
    </w:p>
    <w:p w14:paraId="49B1834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投标有效期</w:t>
      </w:r>
      <w:r>
        <w:rPr>
          <w:rFonts w:hint="eastAsia" w:ascii="宋体" w:hAnsi="宋体" w:eastAsia="宋体" w:cs="宋体"/>
          <w:color w:val="auto"/>
          <w:sz w:val="21"/>
          <w:szCs w:val="21"/>
          <w:highlight w:val="none"/>
          <w:lang w:val="en-US" w:eastAsia="zh-CN"/>
        </w:rPr>
        <w:t>见投标人前附表</w:t>
      </w:r>
      <w:r>
        <w:rPr>
          <w:rFonts w:hint="eastAsia" w:ascii="宋体" w:hAnsi="宋体" w:eastAsia="宋体" w:cs="宋体"/>
          <w:color w:val="auto"/>
          <w:sz w:val="21"/>
          <w:szCs w:val="21"/>
          <w:highlight w:val="none"/>
        </w:rPr>
        <w:t>。</w:t>
      </w:r>
    </w:p>
    <w:p w14:paraId="6C6CA78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59A422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0C4C35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4" w:name="_bookmark41"/>
      <w:bookmarkEnd w:id="144"/>
      <w:bookmarkStart w:id="145" w:name="_Toc54550703"/>
      <w:bookmarkStart w:id="146" w:name="_Toc62034420"/>
      <w:r>
        <w:rPr>
          <w:rFonts w:hint="eastAsia" w:ascii="宋体" w:hAnsi="宋体" w:eastAsia="宋体" w:cs="宋体"/>
          <w:b/>
          <w:bCs/>
          <w:color w:val="auto"/>
          <w:sz w:val="21"/>
          <w:szCs w:val="21"/>
          <w:highlight w:val="none"/>
        </w:rPr>
        <w:t>3.4 投标保证金</w:t>
      </w:r>
      <w:bookmarkEnd w:id="145"/>
      <w:bookmarkEnd w:id="146"/>
    </w:p>
    <w:p w14:paraId="022B172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284BC4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投标人不按本章第3.4.1项要求提交投标保证金的，评标委员会将否决其投标。</w:t>
      </w:r>
    </w:p>
    <w:p w14:paraId="01E981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sz w:val="21"/>
          <w:szCs w:val="21"/>
          <w:highlight w:val="none"/>
          <w:lang w:val="en-US" w:eastAsia="zh-CN"/>
        </w:rPr>
        <w:t>依照驻马店市公共资源交易平台退还投标保证金流程</w:t>
      </w:r>
      <w:r>
        <w:rPr>
          <w:rFonts w:hint="eastAsia" w:ascii="宋体" w:hAnsi="宋体" w:eastAsia="宋体" w:cs="宋体"/>
          <w:sz w:val="21"/>
          <w:szCs w:val="21"/>
          <w:highlight w:val="none"/>
        </w:rPr>
        <w:t>退还向未中标的投标人和中标人退还投标保证金。</w:t>
      </w:r>
    </w:p>
    <w:p w14:paraId="0D03C7C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1B82974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4D3B7A6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（2）中标人在收到中标通知书后，无正当理由不与招标人订立合同，在签订合同时向招标人提出附加条件，或者不按照招标文件要求提交履约保证金；</w:t>
      </w:r>
    </w:p>
    <w:p w14:paraId="0B1BD48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（3）发生投标人须知前附表规定的其他可以不予退还投标保证金的情形。</w:t>
      </w:r>
    </w:p>
    <w:p w14:paraId="0001AAE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7" w:name="_bookmark42"/>
      <w:bookmarkEnd w:id="147"/>
      <w:bookmarkStart w:id="148" w:name="_Toc62034421"/>
      <w:bookmarkStart w:id="149" w:name="_Toc54550704"/>
      <w:r>
        <w:rPr>
          <w:rFonts w:hint="eastAsia" w:ascii="宋体" w:hAnsi="宋体" w:eastAsia="宋体" w:cs="宋体"/>
          <w:b/>
          <w:bCs/>
          <w:color w:val="auto"/>
          <w:sz w:val="21"/>
          <w:szCs w:val="21"/>
          <w:highlight w:val="none"/>
        </w:rPr>
        <w:t>3.5 资格审查资料</w:t>
      </w:r>
      <w:bookmarkEnd w:id="148"/>
      <w:bookmarkEnd w:id="149"/>
    </w:p>
    <w:p w14:paraId="79959580">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bookmarkStart w:id="150" w:name="_bookmark44"/>
      <w:bookmarkEnd w:id="150"/>
      <w:bookmarkStart w:id="151" w:name="_bookmark43"/>
      <w:bookmarkEnd w:id="151"/>
      <w:bookmarkStart w:id="152" w:name="_Toc62034422"/>
      <w:bookmarkStart w:id="153" w:name="_Toc54550705"/>
      <w:r>
        <w:rPr>
          <w:rFonts w:hint="eastAsia" w:ascii="宋体" w:hAnsi="宋体" w:eastAsia="宋体" w:cs="宋体"/>
          <w:b w:val="0"/>
          <w:bCs w:val="0"/>
          <w:color w:val="auto"/>
          <w:kern w:val="2"/>
          <w:sz w:val="21"/>
          <w:szCs w:val="21"/>
          <w:highlight w:val="none"/>
          <w:lang w:val="en-US" w:eastAsia="zh-CN" w:bidi="ar-SA"/>
        </w:rPr>
        <w:t>本项目采用资格后审，投标人在编制投标文件时，应按投标须知前附表1.4.1款规定提供资格审查资料，以证明其满足本章第1.4款规定的资质、业绩、信誉等要求。</w:t>
      </w:r>
    </w:p>
    <w:p w14:paraId="55FCF7D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3.6 备选投标方案</w:t>
      </w:r>
      <w:bookmarkEnd w:id="152"/>
      <w:bookmarkEnd w:id="153"/>
    </w:p>
    <w:p w14:paraId="659FD8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 除投标人须知前附表规定允许外，投标人不得递交备选投标方案，否则其投标将被否决。</w:t>
      </w:r>
    </w:p>
    <w:p w14:paraId="4282AFE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124425F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投标人提供两个或两个以上投标报价，或者在投标文件中提供一个报价，但同时提供两个或两个以上供货方案的，视为提供备选方案。</w:t>
      </w:r>
    </w:p>
    <w:p w14:paraId="1BB1162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54" w:name="_bookmark45"/>
      <w:bookmarkEnd w:id="154"/>
      <w:bookmarkStart w:id="155" w:name="_Toc62034423"/>
      <w:bookmarkStart w:id="156" w:name="_Toc54550706"/>
      <w:r>
        <w:rPr>
          <w:rFonts w:hint="eastAsia" w:ascii="宋体" w:hAnsi="宋体" w:eastAsia="宋体" w:cs="宋体"/>
          <w:b/>
          <w:bCs/>
          <w:color w:val="auto"/>
          <w:sz w:val="21"/>
          <w:szCs w:val="21"/>
          <w:highlight w:val="none"/>
        </w:rPr>
        <w:t>3.7 投标文件的编制</w:t>
      </w:r>
      <w:bookmarkEnd w:id="155"/>
      <w:bookmarkEnd w:id="156"/>
    </w:p>
    <w:p w14:paraId="0E69463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11F055D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投标文件应当对招标文件有关供货期（服务期）、投标有效期、供货要求、招标范围等实质性内容作出响应。投标文件在满足招标文件实质性要求的基础上，可以提出比招标文件要求更有利于招标人的承诺。</w:t>
      </w:r>
    </w:p>
    <w:p w14:paraId="5896AC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68904E17">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57" w:name="_bookmark46"/>
      <w:bookmarkEnd w:id="157"/>
      <w:bookmarkStart w:id="158" w:name="_Toc6729"/>
      <w:bookmarkStart w:id="159" w:name="_Toc62034424"/>
      <w:bookmarkStart w:id="160" w:name="_Toc32088"/>
      <w:bookmarkStart w:id="161" w:name="_Toc3969"/>
      <w:bookmarkStart w:id="162" w:name="_Toc30040"/>
      <w:bookmarkStart w:id="163" w:name="_Toc13277"/>
      <w:bookmarkStart w:id="164" w:name="_Toc16768"/>
      <w:r>
        <w:rPr>
          <w:rFonts w:hint="eastAsia" w:ascii="宋体" w:hAnsi="宋体" w:eastAsia="宋体" w:cs="宋体"/>
          <w:b/>
          <w:color w:val="auto"/>
          <w:sz w:val="21"/>
          <w:szCs w:val="21"/>
          <w:highlight w:val="none"/>
        </w:rPr>
        <w:t>4.投标</w:t>
      </w:r>
      <w:bookmarkEnd w:id="158"/>
      <w:bookmarkEnd w:id="159"/>
      <w:bookmarkEnd w:id="160"/>
      <w:bookmarkEnd w:id="161"/>
      <w:bookmarkEnd w:id="162"/>
      <w:bookmarkEnd w:id="163"/>
      <w:bookmarkEnd w:id="164"/>
    </w:p>
    <w:p w14:paraId="4A5657C1">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lang w:eastAsia="zh-CN"/>
        </w:rPr>
      </w:pPr>
      <w:bookmarkStart w:id="165" w:name="_bookmark47"/>
      <w:bookmarkEnd w:id="165"/>
      <w:bookmarkStart w:id="166" w:name="_Toc62034425"/>
      <w:bookmarkStart w:id="167" w:name="_Toc54550708"/>
      <w:r>
        <w:rPr>
          <w:rFonts w:hint="eastAsia" w:ascii="宋体" w:hAnsi="宋体" w:eastAsia="宋体" w:cs="宋体"/>
          <w:b/>
          <w:bCs/>
          <w:color w:val="auto"/>
          <w:sz w:val="21"/>
          <w:szCs w:val="21"/>
          <w:highlight w:val="none"/>
        </w:rPr>
        <w:t>4.1 投标文件的</w:t>
      </w:r>
      <w:bookmarkEnd w:id="166"/>
      <w:bookmarkEnd w:id="167"/>
      <w:r>
        <w:rPr>
          <w:rFonts w:hint="eastAsia" w:ascii="宋体" w:hAnsi="宋体" w:eastAsia="宋体" w:cs="宋体"/>
          <w:b/>
          <w:bCs/>
          <w:color w:val="auto"/>
          <w:sz w:val="21"/>
          <w:szCs w:val="21"/>
          <w:highlight w:val="none"/>
          <w:lang w:val="en-US" w:eastAsia="zh-CN"/>
        </w:rPr>
        <w:t>加密</w:t>
      </w:r>
    </w:p>
    <w:p w14:paraId="211605C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4.1.1投标人应当按照招标文件和电子招标投标交易平台的要求加密投标文件，具体要求见投标人须知前附表。</w:t>
      </w:r>
    </w:p>
    <w:p w14:paraId="1AAA4F1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68" w:name="_bookmark48"/>
      <w:bookmarkEnd w:id="168"/>
      <w:bookmarkStart w:id="169" w:name="_Toc62034426"/>
      <w:bookmarkStart w:id="170" w:name="_Toc54550709"/>
      <w:r>
        <w:rPr>
          <w:rFonts w:hint="eastAsia" w:ascii="宋体" w:hAnsi="宋体" w:eastAsia="宋体" w:cs="宋体"/>
          <w:b/>
          <w:bCs/>
          <w:color w:val="auto"/>
          <w:sz w:val="21"/>
          <w:szCs w:val="21"/>
          <w:highlight w:val="none"/>
        </w:rPr>
        <w:t>4.2 投标文件的递交</w:t>
      </w:r>
      <w:bookmarkEnd w:id="169"/>
      <w:bookmarkEnd w:id="170"/>
    </w:p>
    <w:p w14:paraId="5E4888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71" w:name="_Toc62034427"/>
      <w:bookmarkStart w:id="172" w:name="_Toc54550710"/>
      <w:r>
        <w:rPr>
          <w:rFonts w:hint="eastAsia" w:ascii="宋体" w:hAnsi="宋体" w:eastAsia="宋体" w:cs="宋体"/>
          <w:color w:val="auto"/>
          <w:sz w:val="21"/>
          <w:szCs w:val="21"/>
          <w:highlight w:val="none"/>
        </w:rPr>
        <w:t>4.2.1 投标人加密电子投标文件应在投标截止时间前上传。</w:t>
      </w:r>
    </w:p>
    <w:p w14:paraId="13BD0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投标人递交投标文件的地点：见投标人须知前附表。</w:t>
      </w:r>
    </w:p>
    <w:p w14:paraId="40BDFB3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7FD7C8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投标人完成电子投标文件上传后，电子招标投标交易平台即时向投标人发出递交回执通知。递交时间以递交回执通知载明的传输完成时间为准。</w:t>
      </w:r>
    </w:p>
    <w:p w14:paraId="4BD4ED49">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4.2.5 逾期</w:t>
      </w:r>
      <w:r>
        <w:rPr>
          <w:rFonts w:hint="eastAsia" w:ascii="宋体" w:hAnsi="宋体" w:eastAsia="宋体" w:cs="宋体"/>
          <w:b w:val="0"/>
          <w:bCs w:val="0"/>
          <w:color w:val="auto"/>
          <w:sz w:val="21"/>
          <w:szCs w:val="21"/>
          <w:highlight w:val="none"/>
          <w:lang w:val="en-US" w:eastAsia="zh-CN"/>
        </w:rPr>
        <w:t>上传</w:t>
      </w:r>
      <w:r>
        <w:rPr>
          <w:rFonts w:hint="eastAsia" w:ascii="宋体" w:hAnsi="宋体" w:eastAsia="宋体" w:cs="宋体"/>
          <w:b w:val="0"/>
          <w:bCs w:val="0"/>
          <w:color w:val="auto"/>
          <w:sz w:val="21"/>
          <w:szCs w:val="21"/>
          <w:highlight w:val="none"/>
        </w:rPr>
        <w:t>的投标文件，电子招标投标交易平台将予以拒收。</w:t>
      </w:r>
    </w:p>
    <w:p w14:paraId="2D30A1CC">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投标文件的修改与撤回</w:t>
      </w:r>
      <w:bookmarkEnd w:id="171"/>
      <w:bookmarkEnd w:id="172"/>
    </w:p>
    <w:p w14:paraId="27C4401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73" w:name="_bookmark50"/>
      <w:bookmarkEnd w:id="173"/>
      <w:bookmarkStart w:id="174" w:name="_Toc4544"/>
      <w:bookmarkStart w:id="175" w:name="_Toc62034428"/>
      <w:bookmarkStart w:id="176" w:name="_Toc12470"/>
      <w:bookmarkStart w:id="177" w:name="_Toc27753"/>
      <w:bookmarkStart w:id="178" w:name="_Toc21261"/>
      <w:r>
        <w:rPr>
          <w:rFonts w:hint="eastAsia" w:ascii="宋体" w:hAnsi="宋体" w:eastAsia="宋体" w:cs="宋体"/>
          <w:color w:val="auto"/>
          <w:sz w:val="21"/>
          <w:szCs w:val="21"/>
          <w:highlight w:val="none"/>
        </w:rPr>
        <w:t>4.3.1 在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264FC1E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0356900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07413939">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79" w:name="_Toc24409"/>
      <w:bookmarkStart w:id="180" w:name="_Toc17369"/>
      <w:r>
        <w:rPr>
          <w:rFonts w:hint="eastAsia" w:ascii="宋体" w:hAnsi="宋体" w:eastAsia="宋体" w:cs="宋体"/>
          <w:b/>
          <w:color w:val="auto"/>
          <w:sz w:val="21"/>
          <w:szCs w:val="21"/>
          <w:highlight w:val="none"/>
        </w:rPr>
        <w:t>5.开标</w:t>
      </w:r>
      <w:bookmarkEnd w:id="174"/>
      <w:bookmarkEnd w:id="175"/>
      <w:bookmarkEnd w:id="176"/>
      <w:bookmarkEnd w:id="177"/>
      <w:bookmarkEnd w:id="178"/>
      <w:bookmarkEnd w:id="179"/>
      <w:bookmarkEnd w:id="180"/>
    </w:p>
    <w:p w14:paraId="44D9713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81" w:name="_bookmark51"/>
      <w:bookmarkEnd w:id="181"/>
      <w:bookmarkStart w:id="182" w:name="_Toc54550712"/>
      <w:bookmarkStart w:id="183" w:name="_Toc62034429"/>
      <w:r>
        <w:rPr>
          <w:rFonts w:hint="eastAsia" w:ascii="宋体" w:hAnsi="宋体" w:eastAsia="宋体" w:cs="宋体"/>
          <w:b/>
          <w:bCs/>
          <w:color w:val="auto"/>
          <w:sz w:val="21"/>
          <w:szCs w:val="21"/>
          <w:highlight w:val="none"/>
        </w:rPr>
        <w:t>5.1 开标时间和地点</w:t>
      </w:r>
      <w:bookmarkEnd w:id="182"/>
      <w:bookmarkEnd w:id="183"/>
    </w:p>
    <w:p w14:paraId="64F27EC4">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bookmarkStart w:id="184" w:name="_bookmark52"/>
      <w:bookmarkEnd w:id="184"/>
      <w:bookmarkStart w:id="185" w:name="_bookmark53"/>
      <w:bookmarkEnd w:id="185"/>
      <w:bookmarkStart w:id="186" w:name="_Toc62034430"/>
      <w:bookmarkStart w:id="187" w:name="_Toc54550713"/>
      <w:r>
        <w:rPr>
          <w:rFonts w:hint="eastAsia" w:ascii="宋体" w:hAnsi="宋体" w:eastAsia="宋体" w:cs="宋体"/>
          <w:b w:val="0"/>
          <w:bCs w:val="0"/>
          <w:color w:val="auto"/>
          <w:sz w:val="21"/>
          <w:szCs w:val="21"/>
          <w:highlight w:val="none"/>
        </w:rPr>
        <w:t>招标人在投标截止时间(开标时间)，通过电子招标投标交易平台公开开标，所有投标人的法</w:t>
      </w:r>
    </w:p>
    <w:p w14:paraId="50727493">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定代表人(单位负责人)或其委托代理人应当准时参加。</w:t>
      </w:r>
    </w:p>
    <w:p w14:paraId="313E74D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bookmarkEnd w:id="186"/>
      <w:bookmarkEnd w:id="187"/>
    </w:p>
    <w:p w14:paraId="3D23AC2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88" w:name="_bookmark55"/>
      <w:bookmarkEnd w:id="188"/>
      <w:bookmarkStart w:id="189" w:name="_bookmark54"/>
      <w:bookmarkEnd w:id="189"/>
      <w:bookmarkStart w:id="190" w:name="_Toc8459"/>
      <w:bookmarkStart w:id="191" w:name="_Toc14685"/>
      <w:bookmarkStart w:id="192" w:name="_Toc2166"/>
      <w:bookmarkStart w:id="193" w:name="_Toc9179"/>
      <w:bookmarkStart w:id="194" w:name="_Toc16624"/>
      <w:bookmarkStart w:id="195" w:name="_Toc22344"/>
      <w:bookmarkStart w:id="196" w:name="_Toc62034432"/>
      <w:r>
        <w:rPr>
          <w:rFonts w:hint="eastAsia" w:ascii="宋体" w:hAnsi="宋体" w:eastAsia="宋体" w:cs="宋体"/>
          <w:color w:val="auto"/>
          <w:sz w:val="21"/>
          <w:szCs w:val="21"/>
          <w:highlight w:val="none"/>
        </w:rPr>
        <w:t>见投标人须知前附表。</w:t>
      </w:r>
    </w:p>
    <w:p w14:paraId="02846461">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开标异议</w:t>
      </w:r>
    </w:p>
    <w:p w14:paraId="1A5AB9A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投标人对开标有异议的，应当在开标环节提出，招标人当场作出答复，并制作记录。</w:t>
      </w:r>
    </w:p>
    <w:p w14:paraId="27169C79">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6.评标</w:t>
      </w:r>
      <w:bookmarkEnd w:id="190"/>
      <w:bookmarkEnd w:id="191"/>
      <w:bookmarkEnd w:id="192"/>
      <w:bookmarkEnd w:id="193"/>
      <w:bookmarkEnd w:id="194"/>
      <w:bookmarkEnd w:id="195"/>
      <w:bookmarkEnd w:id="196"/>
    </w:p>
    <w:p w14:paraId="3C1CBC2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97" w:name="_bookmark56"/>
      <w:bookmarkEnd w:id="197"/>
      <w:bookmarkStart w:id="198" w:name="_Toc54550716"/>
      <w:bookmarkStart w:id="199" w:name="_Toc62034433"/>
      <w:r>
        <w:rPr>
          <w:rFonts w:hint="eastAsia" w:ascii="宋体" w:hAnsi="宋体" w:eastAsia="宋体" w:cs="宋体"/>
          <w:b/>
          <w:bCs/>
          <w:color w:val="auto"/>
          <w:sz w:val="21"/>
          <w:szCs w:val="21"/>
          <w:highlight w:val="none"/>
        </w:rPr>
        <w:t>6.1 评标委员会</w:t>
      </w:r>
      <w:bookmarkEnd w:id="198"/>
      <w:bookmarkEnd w:id="199"/>
    </w:p>
    <w:p w14:paraId="6BB775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评标由招标人依法组建的评标委员会负责。评标委员会由有关技术、经济等方面的专家组成。评标委员会成员人数以及技术、经济等方面专家的确定方式见投标人须知前附表。</w:t>
      </w:r>
    </w:p>
    <w:p w14:paraId="44B5C7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204D2B1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（1）投标人或投标人主要负责人的近亲属；</w:t>
      </w:r>
    </w:p>
    <w:p w14:paraId="08E1665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18C12CC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5E2F7D1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75103A6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（5）与投标人有其他利害关系。</w:t>
      </w:r>
    </w:p>
    <w:p w14:paraId="7151EAD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7458C25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00" w:name="_bookmark57"/>
      <w:bookmarkEnd w:id="200"/>
      <w:bookmarkStart w:id="201" w:name="_Toc54550717"/>
      <w:bookmarkStart w:id="202" w:name="_Toc62034434"/>
      <w:r>
        <w:rPr>
          <w:rFonts w:hint="eastAsia" w:ascii="宋体" w:hAnsi="宋体" w:eastAsia="宋体" w:cs="宋体"/>
          <w:b/>
          <w:bCs/>
          <w:color w:val="auto"/>
          <w:sz w:val="21"/>
          <w:szCs w:val="21"/>
          <w:highlight w:val="none"/>
        </w:rPr>
        <w:t>6.2 评标原则</w:t>
      </w:r>
      <w:bookmarkEnd w:id="201"/>
      <w:bookmarkEnd w:id="202"/>
    </w:p>
    <w:p w14:paraId="279FA86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0DFDD78E">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03" w:name="_Toc62034435"/>
      <w:bookmarkStart w:id="204" w:name="_Toc54550718"/>
      <w:r>
        <w:rPr>
          <w:rFonts w:hint="eastAsia" w:ascii="宋体" w:hAnsi="宋体" w:eastAsia="宋体" w:cs="宋体"/>
          <w:b/>
          <w:bCs/>
          <w:color w:val="auto"/>
          <w:sz w:val="21"/>
          <w:szCs w:val="21"/>
          <w:highlight w:val="none"/>
        </w:rPr>
        <w:t>6.3 评标</w:t>
      </w:r>
      <w:bookmarkEnd w:id="203"/>
      <w:bookmarkEnd w:id="204"/>
    </w:p>
    <w:p w14:paraId="3A3EED6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评标委员会按照第三章“评标办法及定标办法”规定的方法、评审因素、标准和程序对投标文件进行评审。第三章“评标办法及定标办法”没有规定的方法、评审因素和标准，不作为评标依据。</w:t>
      </w:r>
    </w:p>
    <w:p w14:paraId="5678D70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评标完成后，评标委员会应当向招标人提交书面评标报告和中标候选人名单。评标委员会推荐中标候选人的人数见投标人须知前附表。</w:t>
      </w:r>
    </w:p>
    <w:p w14:paraId="17B276DC">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205" w:name="_bookmark59"/>
      <w:bookmarkEnd w:id="205"/>
      <w:bookmarkStart w:id="206" w:name="_Toc9976"/>
      <w:bookmarkStart w:id="207" w:name="_Toc15649"/>
      <w:bookmarkStart w:id="208" w:name="_Toc13538"/>
      <w:bookmarkStart w:id="209" w:name="_Toc4798"/>
      <w:bookmarkStart w:id="210" w:name="_Toc21577"/>
      <w:bookmarkStart w:id="211" w:name="_Toc62034436"/>
      <w:bookmarkStart w:id="212" w:name="_Toc17255"/>
      <w:r>
        <w:rPr>
          <w:rFonts w:hint="eastAsia" w:ascii="宋体" w:hAnsi="宋体" w:eastAsia="宋体" w:cs="宋体"/>
          <w:b/>
          <w:color w:val="auto"/>
          <w:sz w:val="21"/>
          <w:szCs w:val="21"/>
          <w:highlight w:val="none"/>
        </w:rPr>
        <w:t>7.合同授予</w:t>
      </w:r>
      <w:bookmarkEnd w:id="206"/>
      <w:bookmarkEnd w:id="207"/>
      <w:bookmarkEnd w:id="208"/>
      <w:bookmarkEnd w:id="209"/>
      <w:bookmarkEnd w:id="210"/>
      <w:bookmarkEnd w:id="211"/>
      <w:bookmarkEnd w:id="212"/>
    </w:p>
    <w:p w14:paraId="1F375BF6">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3" w:name="_bookmark60"/>
      <w:bookmarkEnd w:id="213"/>
      <w:bookmarkStart w:id="214" w:name="_Toc54550720"/>
      <w:bookmarkStart w:id="215" w:name="_Toc62034437"/>
      <w:r>
        <w:rPr>
          <w:rFonts w:hint="eastAsia" w:ascii="宋体" w:hAnsi="宋体" w:eastAsia="宋体" w:cs="宋体"/>
          <w:b/>
          <w:bCs/>
          <w:color w:val="auto"/>
          <w:sz w:val="21"/>
          <w:szCs w:val="21"/>
          <w:highlight w:val="none"/>
        </w:rPr>
        <w:t>7.1 中标候选人公示</w:t>
      </w:r>
      <w:bookmarkEnd w:id="214"/>
      <w:bookmarkEnd w:id="215"/>
    </w:p>
    <w:p w14:paraId="388648F2">
      <w:pPr>
        <w:keepNext w:val="0"/>
        <w:keepLines w:val="0"/>
        <w:pageBreakBefore w:val="0"/>
        <w:widowControl/>
        <w:kinsoku/>
        <w:wordWrap/>
        <w:overflowPunct/>
        <w:topLinePunct w:val="0"/>
        <w:autoSpaceDE/>
        <w:autoSpaceDN/>
        <w:bidi w:val="0"/>
        <w:spacing w:beforeLines="0" w:afterLines="0" w:line="360" w:lineRule="auto"/>
        <w:ind w:firstLine="420" w:firstLineChars="200"/>
        <w:jc w:val="left"/>
        <w:textAlignment w:val="auto"/>
        <w:rPr>
          <w:rFonts w:hint="eastAsia" w:ascii="宋体" w:hAnsi="宋体" w:eastAsia="宋体" w:cs="宋体"/>
          <w:sz w:val="21"/>
          <w:szCs w:val="21"/>
          <w:highlight w:val="none"/>
        </w:rPr>
      </w:pPr>
      <w:bookmarkStart w:id="216" w:name="_bookmark61"/>
      <w:bookmarkEnd w:id="216"/>
      <w:r>
        <w:rPr>
          <w:rFonts w:hint="eastAsia" w:ascii="宋体" w:hAnsi="宋体" w:eastAsia="宋体" w:cs="宋体"/>
          <w:sz w:val="21"/>
          <w:szCs w:val="21"/>
          <w:highlight w:val="none"/>
        </w:rPr>
        <w:t>招标人在收到评标报告之日起3日内，按照投标人须知前附表规定的公示媒介和期限公示中标候选人，公示期不得少于3天。</w:t>
      </w:r>
    </w:p>
    <w:p w14:paraId="6C864B51">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7" w:name="_Toc54550721"/>
      <w:bookmarkStart w:id="218" w:name="_Toc62034438"/>
      <w:r>
        <w:rPr>
          <w:rFonts w:hint="eastAsia" w:ascii="宋体" w:hAnsi="宋体" w:eastAsia="宋体" w:cs="宋体"/>
          <w:b/>
          <w:bCs/>
          <w:color w:val="auto"/>
          <w:sz w:val="21"/>
          <w:szCs w:val="21"/>
          <w:highlight w:val="none"/>
        </w:rPr>
        <w:t>7.2 评标结果异议</w:t>
      </w:r>
      <w:bookmarkEnd w:id="217"/>
      <w:bookmarkEnd w:id="218"/>
    </w:p>
    <w:p w14:paraId="0884AD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投标人或者其他利害关系人对评标结果有异议的，应当在中标候选人公示期间提出。招标人将在收到异议之日起3日内作出答复；作出答复前，将暂停招标投标活动。</w:t>
      </w:r>
    </w:p>
    <w:p w14:paraId="4F4C4807">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9" w:name="_bookmark62"/>
      <w:bookmarkEnd w:id="219"/>
      <w:bookmarkStart w:id="220" w:name="_Toc54550722"/>
      <w:bookmarkStart w:id="221" w:name="_Toc62034439"/>
      <w:r>
        <w:rPr>
          <w:rFonts w:hint="eastAsia" w:ascii="宋体" w:hAnsi="宋体" w:eastAsia="宋体" w:cs="宋体"/>
          <w:b/>
          <w:bCs/>
          <w:color w:val="auto"/>
          <w:sz w:val="21"/>
          <w:szCs w:val="21"/>
          <w:highlight w:val="none"/>
        </w:rPr>
        <w:t>7.3 中标候选人履约能力审查</w:t>
      </w:r>
      <w:bookmarkEnd w:id="220"/>
      <w:bookmarkEnd w:id="221"/>
    </w:p>
    <w:p w14:paraId="3E9300DC">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E89C98E">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2" w:name="_bookmark63"/>
      <w:bookmarkEnd w:id="222"/>
      <w:bookmarkStart w:id="223" w:name="_Toc54550724"/>
      <w:bookmarkStart w:id="224" w:name="_Toc62034441"/>
      <w:r>
        <w:rPr>
          <w:rFonts w:hint="eastAsia" w:ascii="宋体" w:hAnsi="宋体" w:eastAsia="宋体" w:cs="宋体"/>
          <w:b/>
          <w:bCs/>
          <w:color w:val="auto"/>
          <w:sz w:val="21"/>
          <w:szCs w:val="21"/>
          <w:highlight w:val="none"/>
        </w:rPr>
        <w:t>7.4 定标方式</w:t>
      </w:r>
    </w:p>
    <w:p w14:paraId="58E774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按照投标人须知前附表的规定，采用评定分离方式确定中标人。具体定标办法详见第三章“评标办法和定标办法”。</w:t>
      </w:r>
    </w:p>
    <w:p w14:paraId="1730080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中标通知</w:t>
      </w:r>
      <w:bookmarkEnd w:id="223"/>
      <w:bookmarkEnd w:id="224"/>
    </w:p>
    <w:p w14:paraId="2FAD9FF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w:t>
      </w:r>
    </w:p>
    <w:p w14:paraId="54D275C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5" w:name="_bookmark65"/>
      <w:bookmarkEnd w:id="225"/>
      <w:bookmarkStart w:id="226" w:name="_Toc62034442"/>
      <w:bookmarkStart w:id="227" w:name="_Toc54550725"/>
      <w:r>
        <w:rPr>
          <w:rFonts w:hint="eastAsia" w:ascii="宋体" w:hAnsi="宋体" w:eastAsia="宋体" w:cs="宋体"/>
          <w:b/>
          <w:bCs/>
          <w:color w:val="auto"/>
          <w:sz w:val="21"/>
          <w:szCs w:val="21"/>
          <w:highlight w:val="none"/>
        </w:rPr>
        <w:t>7.6 履约保证金</w:t>
      </w:r>
      <w:bookmarkEnd w:id="226"/>
      <w:bookmarkEnd w:id="227"/>
    </w:p>
    <w:p w14:paraId="721DFF8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%。联合体中标的，其履约保证金以联合体各方或者联合体中牵头人的名义提交。</w:t>
      </w:r>
    </w:p>
    <w:p w14:paraId="71A7B69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7.6.2 中标人不能按本章第7.6.1项要求提交履约保证金的，视为放弃中标，其投标保证金不予退还，给招标人造成的损失超过投标保证金数额的，中标人还应当对超过部分予以赔偿。</w:t>
      </w:r>
    </w:p>
    <w:p w14:paraId="6774DC9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8" w:name="_bookmark66"/>
      <w:bookmarkEnd w:id="228"/>
      <w:bookmarkStart w:id="229" w:name="_Toc54550726"/>
      <w:bookmarkStart w:id="230" w:name="_Toc62034443"/>
      <w:r>
        <w:rPr>
          <w:rFonts w:hint="eastAsia" w:ascii="宋体" w:hAnsi="宋体" w:eastAsia="宋体" w:cs="宋体"/>
          <w:b/>
          <w:bCs/>
          <w:color w:val="auto"/>
          <w:sz w:val="21"/>
          <w:szCs w:val="21"/>
          <w:highlight w:val="none"/>
        </w:rPr>
        <w:t>7.7 签订合同</w:t>
      </w:r>
      <w:bookmarkEnd w:id="229"/>
      <w:bookmarkEnd w:id="230"/>
    </w:p>
    <w:p w14:paraId="61B784F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 招标人和中标人应当自中标通知书发出之日起7天内，投标人需在投标文件中针对上述要求做出承诺。根据招标文件和中标人的投标文件订立书面合同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无正当理由拒签合同的，招标人取消其中标资格，其投标保证金不予退还;给招标人造成的损失超过投标保证金数额的，中标人还应当对超过部分予以赔偿。</w:t>
      </w:r>
    </w:p>
    <w:p w14:paraId="0F2181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7.7.2 发出中标通知书后，招标人无正当理由拒签合同，或者在签订合同时向中标人提出附加条件的，招标人向中标人退还投标保证金；给中标人造成损失的，还应当赔偿损失。</w:t>
      </w:r>
    </w:p>
    <w:p w14:paraId="13F4081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7.7.3 联合体中标的，联合体各方应当共同与招标人签订合同，就中标项目向招标人承担连带责任。</w:t>
      </w:r>
    </w:p>
    <w:p w14:paraId="2BD6333B">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bookmarkStart w:id="231" w:name="_bookmark67"/>
      <w:bookmarkEnd w:id="231"/>
      <w:bookmarkStart w:id="232" w:name="_Toc222029488"/>
      <w:bookmarkStart w:id="233" w:name="_Toc12419"/>
      <w:bookmarkStart w:id="234" w:name="_Toc168476089"/>
      <w:bookmarkStart w:id="235" w:name="_Toc221950220"/>
      <w:bookmarkStart w:id="236" w:name="_Toc222030990"/>
      <w:bookmarkStart w:id="237" w:name="_Toc168475686"/>
      <w:bookmarkStart w:id="238" w:name="_Toc17270"/>
      <w:bookmarkStart w:id="239" w:name="_Toc28472"/>
      <w:bookmarkStart w:id="240" w:name="_Toc144974539"/>
      <w:bookmarkStart w:id="241" w:name="_Toc222032657"/>
      <w:bookmarkStart w:id="242" w:name="_Toc5056"/>
      <w:bookmarkStart w:id="243" w:name="_Toc222033839"/>
      <w:bookmarkStart w:id="244" w:name="_Toc229305348"/>
      <w:bookmarkStart w:id="245" w:name="_Toc24065"/>
      <w:bookmarkStart w:id="246" w:name="_Toc32645"/>
      <w:bookmarkStart w:id="247" w:name="_Toc25095"/>
      <w:r>
        <w:rPr>
          <w:rFonts w:hint="eastAsia" w:ascii="宋体" w:hAnsi="宋体" w:eastAsia="宋体" w:cs="宋体"/>
          <w:b/>
          <w:bCs/>
          <w:color w:val="auto"/>
          <w:kern w:val="0"/>
          <w:sz w:val="21"/>
          <w:szCs w:val="21"/>
          <w:highlight w:val="none"/>
          <w:lang w:val="en-US" w:eastAsia="zh-CN" w:bidi="ar-SA"/>
        </w:rPr>
        <w:t>8. 重新招标或经批准不招标</w:t>
      </w:r>
      <w:bookmarkEnd w:id="232"/>
      <w:bookmarkEnd w:id="233"/>
      <w:bookmarkEnd w:id="234"/>
      <w:bookmarkEnd w:id="235"/>
      <w:bookmarkEnd w:id="236"/>
      <w:bookmarkEnd w:id="237"/>
      <w:bookmarkEnd w:id="238"/>
      <w:bookmarkEnd w:id="239"/>
      <w:bookmarkEnd w:id="240"/>
      <w:bookmarkEnd w:id="241"/>
      <w:bookmarkEnd w:id="242"/>
      <w:bookmarkEnd w:id="243"/>
      <w:bookmarkEnd w:id="244"/>
    </w:p>
    <w:p w14:paraId="284E777E">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8" w:name="_Toc221950225"/>
      <w:r>
        <w:rPr>
          <w:rFonts w:hint="eastAsia" w:ascii="宋体" w:hAnsi="宋体" w:eastAsia="宋体" w:cs="宋体"/>
          <w:b/>
          <w:bCs/>
          <w:color w:val="auto"/>
          <w:sz w:val="21"/>
          <w:szCs w:val="21"/>
          <w:highlight w:val="none"/>
        </w:rPr>
        <w:t>8.1 重新招标</w:t>
      </w:r>
    </w:p>
    <w:p w14:paraId="71CF463A">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7CF680E7">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60832B79">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7E77B97D">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002D981F">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1A6122AB">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304B3474">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2C39D123">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393FD56D">
      <w:pPr>
        <w:widowControl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bookmarkEnd w:id="248"/>
    </w:p>
    <w:p w14:paraId="14EF4D01">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9.纪律和监督</w:t>
      </w:r>
      <w:bookmarkEnd w:id="245"/>
      <w:bookmarkEnd w:id="246"/>
      <w:bookmarkEnd w:id="247"/>
    </w:p>
    <w:p w14:paraId="10178AC5">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9" w:name="_bookmark69"/>
      <w:bookmarkEnd w:id="249"/>
      <w:bookmarkStart w:id="250" w:name="_Toc19314"/>
      <w:bookmarkStart w:id="251" w:name="_Toc13447"/>
      <w:bookmarkStart w:id="252" w:name="_Toc34814248"/>
      <w:bookmarkStart w:id="253" w:name="_Toc11949"/>
      <w:bookmarkStart w:id="254" w:name="_Toc33277308"/>
      <w:bookmarkStart w:id="255" w:name="_Toc24847"/>
      <w:bookmarkStart w:id="256" w:name="_Toc3273482"/>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.1 对招标人的纪律要求</w:t>
      </w:r>
      <w:bookmarkEnd w:id="250"/>
      <w:bookmarkEnd w:id="251"/>
      <w:bookmarkEnd w:id="252"/>
      <w:bookmarkEnd w:id="253"/>
      <w:bookmarkEnd w:id="254"/>
      <w:bookmarkEnd w:id="255"/>
      <w:bookmarkEnd w:id="256"/>
    </w:p>
    <w:p w14:paraId="37341F42">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招标人不得泄露招标投标活动中应当保密的情况和资料，不得与投标人串通损害国家利益、社会公共利益或者他人合法权益。</w:t>
      </w:r>
    </w:p>
    <w:p w14:paraId="3D77C017">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57" w:name="_bookmark70"/>
      <w:bookmarkEnd w:id="257"/>
      <w:bookmarkStart w:id="258" w:name="_Toc32216"/>
      <w:bookmarkStart w:id="259" w:name="_Toc9197"/>
      <w:bookmarkStart w:id="260" w:name="_Toc33277309"/>
      <w:bookmarkStart w:id="261" w:name="_Toc10372"/>
      <w:bookmarkStart w:id="262" w:name="_Toc13314"/>
      <w:bookmarkStart w:id="263" w:name="_Toc3273483"/>
      <w:bookmarkStart w:id="264" w:name="_Toc24328"/>
      <w:bookmarkStart w:id="265" w:name="_Toc34814249"/>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.2 对投标人的纪律要求</w:t>
      </w:r>
      <w:bookmarkEnd w:id="258"/>
      <w:bookmarkEnd w:id="259"/>
      <w:bookmarkEnd w:id="260"/>
      <w:bookmarkEnd w:id="261"/>
      <w:bookmarkEnd w:id="262"/>
      <w:bookmarkEnd w:id="263"/>
      <w:bookmarkEnd w:id="264"/>
      <w:bookmarkEnd w:id="265"/>
    </w:p>
    <w:p w14:paraId="0ED54DEC">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4954D6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66" w:name="_bookmark71"/>
      <w:bookmarkEnd w:id="266"/>
      <w:bookmarkStart w:id="267" w:name="_Toc33277310"/>
      <w:bookmarkStart w:id="268" w:name="_Toc20882"/>
      <w:bookmarkStart w:id="269" w:name="_Toc31437"/>
      <w:bookmarkStart w:id="270" w:name="_Toc1795"/>
      <w:bookmarkStart w:id="271" w:name="_Toc3273484"/>
      <w:bookmarkStart w:id="272" w:name="_Toc2636"/>
      <w:bookmarkStart w:id="273" w:name="_Toc34814250"/>
      <w:bookmarkStart w:id="274" w:name="_Toc283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.3 对评标委员会成员的纪律要求</w:t>
      </w:r>
      <w:bookmarkEnd w:id="267"/>
      <w:bookmarkEnd w:id="268"/>
      <w:bookmarkEnd w:id="269"/>
      <w:bookmarkEnd w:id="270"/>
      <w:bookmarkEnd w:id="271"/>
      <w:bookmarkEnd w:id="272"/>
      <w:bookmarkEnd w:id="273"/>
      <w:bookmarkEnd w:id="274"/>
    </w:p>
    <w:p w14:paraId="40C34E9A">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”没有规定的评审因素和标准进行评标。</w:t>
      </w:r>
    </w:p>
    <w:p w14:paraId="55D0E548">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75" w:name="_bookmark72"/>
      <w:bookmarkEnd w:id="275"/>
      <w:bookmarkStart w:id="276" w:name="_Toc34814251"/>
      <w:bookmarkStart w:id="277" w:name="_Toc33277311"/>
      <w:bookmarkStart w:id="278" w:name="_Toc3275"/>
      <w:bookmarkStart w:id="279" w:name="_Toc20563"/>
      <w:bookmarkStart w:id="280" w:name="_Toc20132"/>
      <w:bookmarkStart w:id="281" w:name="_Toc9418"/>
      <w:bookmarkStart w:id="282" w:name="_Toc19798"/>
      <w:bookmarkStart w:id="283" w:name="_Toc3273485"/>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.4 对与评标活动有关的工作人员的纪律要求</w:t>
      </w:r>
      <w:bookmarkEnd w:id="276"/>
      <w:bookmarkEnd w:id="277"/>
      <w:bookmarkEnd w:id="278"/>
      <w:bookmarkEnd w:id="279"/>
      <w:bookmarkEnd w:id="280"/>
      <w:bookmarkEnd w:id="281"/>
      <w:bookmarkEnd w:id="282"/>
      <w:bookmarkEnd w:id="283"/>
    </w:p>
    <w:p w14:paraId="3B3E457C">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B0A5798">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84" w:name="_bookmark73"/>
      <w:bookmarkEnd w:id="284"/>
      <w:bookmarkStart w:id="285" w:name="_Toc4906"/>
      <w:bookmarkStart w:id="286" w:name="_Toc3620"/>
      <w:bookmarkStart w:id="287" w:name="_Toc34814252"/>
      <w:bookmarkStart w:id="288" w:name="_Toc25146"/>
      <w:bookmarkStart w:id="289" w:name="_Toc12967"/>
      <w:bookmarkStart w:id="290" w:name="_Toc3273486"/>
      <w:bookmarkStart w:id="291" w:name="_Toc33277312"/>
      <w:bookmarkStart w:id="292" w:name="_Toc22526"/>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.5 投诉</w:t>
      </w:r>
      <w:bookmarkEnd w:id="285"/>
      <w:bookmarkEnd w:id="286"/>
      <w:bookmarkEnd w:id="287"/>
      <w:bookmarkEnd w:id="288"/>
      <w:bookmarkEnd w:id="289"/>
      <w:bookmarkEnd w:id="290"/>
      <w:bookmarkEnd w:id="291"/>
      <w:bookmarkEnd w:id="292"/>
    </w:p>
    <w:p w14:paraId="692A669F">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潜</w:t>
      </w:r>
      <w:r>
        <w:rPr>
          <w:rFonts w:hint="eastAsia" w:ascii="宋体" w:hAnsi="宋体" w:eastAsia="宋体" w:cs="宋体"/>
          <w:color w:val="auto"/>
          <w:sz w:val="21"/>
          <w:szCs w:val="21"/>
          <w:highlight w:val="none"/>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3AC59166">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bookmarkStart w:id="293" w:name="_bookmark75"/>
      <w:bookmarkEnd w:id="293"/>
      <w:bookmarkStart w:id="294" w:name="_bookmark74"/>
      <w:bookmarkEnd w:id="294"/>
      <w:bookmarkStart w:id="295" w:name="_Toc14105"/>
      <w:bookmarkStart w:id="296" w:name="_Toc10280"/>
      <w:bookmarkStart w:id="297" w:name="_Toc10244"/>
      <w:r>
        <w:rPr>
          <w:rFonts w:hint="eastAsia" w:ascii="宋体" w:hAnsi="宋体" w:eastAsia="宋体" w:cs="宋体"/>
          <w:b/>
          <w:bCs/>
          <w:color w:val="auto"/>
          <w:kern w:val="0"/>
          <w:sz w:val="21"/>
          <w:szCs w:val="21"/>
          <w:highlight w:val="none"/>
          <w:lang w:val="en-US" w:eastAsia="zh-CN" w:bidi="ar-SA"/>
        </w:rPr>
        <w:t>10.需要补充的其他内容</w:t>
      </w:r>
      <w:bookmarkEnd w:id="295"/>
      <w:bookmarkEnd w:id="296"/>
      <w:bookmarkEnd w:id="297"/>
    </w:p>
    <w:p w14:paraId="6C32DA84">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需要补充的其他内容：见投标人须知前附表。</w:t>
      </w:r>
    </w:p>
    <w:p w14:paraId="69295B9A">
      <w:pPr>
        <w:widowControl w:val="0"/>
        <w:adjustRightInd w:val="0"/>
        <w:snapToGrid w:val="0"/>
        <w:spacing w:beforeLines="0" w:afterLines="0" w:line="240" w:lineRule="auto"/>
        <w:ind w:firstLine="0" w:firstLineChars="0"/>
        <w:jc w:val="both"/>
        <w:rPr>
          <w:rFonts w:hint="eastAsia" w:ascii="宋体" w:hAnsi="宋体" w:eastAsia="宋体" w:cs="宋体"/>
          <w:sz w:val="21"/>
          <w:szCs w:val="21"/>
          <w:highlight w:val="none"/>
        </w:rPr>
      </w:pPr>
    </w:p>
    <w:p w14:paraId="05F7668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53E19B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169B9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45CE75D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48FC4C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52EECD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CCCD7D5">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E5494F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F492D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E5A4422">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bookmarkEnd w:id="70"/>
    <w:p w14:paraId="2106503D">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bookmarkStart w:id="298" w:name="_Toc54550739"/>
      <w:bookmarkStart w:id="299" w:name="_Toc62034456"/>
      <w:r>
        <w:rPr>
          <w:rFonts w:hint="eastAsia" w:ascii="宋体" w:hAnsi="宋体" w:eastAsia="宋体" w:cs="宋体"/>
          <w:sz w:val="24"/>
          <w:szCs w:val="24"/>
          <w:highlight w:val="none"/>
        </w:rPr>
        <w:br w:type="page"/>
      </w:r>
      <w:bookmarkStart w:id="300" w:name="_Toc21570"/>
      <w:bookmarkStart w:id="301" w:name="_Toc24514"/>
      <w:r>
        <w:rPr>
          <w:rFonts w:hint="eastAsia" w:ascii="宋体" w:hAnsi="宋体" w:eastAsia="宋体" w:cs="宋体"/>
          <w:b/>
          <w:bCs/>
          <w:sz w:val="32"/>
          <w:szCs w:val="32"/>
          <w:highlight w:val="none"/>
          <w:lang w:val="en-US" w:eastAsia="zh-CN"/>
        </w:rPr>
        <w:t>第三章 评标办法及定标办法</w:t>
      </w:r>
      <w:bookmarkEnd w:id="300"/>
      <w:bookmarkEnd w:id="301"/>
    </w:p>
    <w:bookmarkEnd w:id="71"/>
    <w:bookmarkEnd w:id="72"/>
    <w:bookmarkEnd w:id="73"/>
    <w:bookmarkEnd w:id="298"/>
    <w:bookmarkEnd w:id="299"/>
    <w:p w14:paraId="321832E9">
      <w:pPr>
        <w:widowControl/>
        <w:adjustRightInd w:val="0"/>
        <w:snapToGrid w:val="0"/>
        <w:spacing w:before="0" w:after="0" w:line="240" w:lineRule="auto"/>
        <w:jc w:val="center"/>
        <w:outlineLvl w:val="1"/>
        <w:rPr>
          <w:rFonts w:hint="eastAsia" w:ascii="宋体" w:hAnsi="宋体" w:eastAsia="宋体" w:cs="宋体"/>
          <w:b/>
          <w:bCs/>
          <w:sz w:val="24"/>
          <w:szCs w:val="24"/>
          <w:highlight w:val="none"/>
        </w:rPr>
      </w:pPr>
      <w:bookmarkStart w:id="302" w:name="_Toc91344935"/>
      <w:bookmarkStart w:id="303" w:name="_Toc24763"/>
      <w:bookmarkStart w:id="304" w:name="_Toc332378860"/>
      <w:bookmarkStart w:id="305" w:name="_Toc28311"/>
      <w:bookmarkStart w:id="306" w:name="_Toc62034460"/>
      <w:bookmarkStart w:id="307" w:name="_Toc270859674"/>
      <w:r>
        <w:rPr>
          <w:rFonts w:hint="eastAsia" w:ascii="宋体" w:hAnsi="宋体" w:eastAsia="宋体" w:cs="宋体"/>
          <w:b/>
          <w:bCs/>
          <w:sz w:val="24"/>
          <w:szCs w:val="24"/>
          <w:highlight w:val="none"/>
        </w:rPr>
        <w:t>评标办法前附表</w:t>
      </w:r>
    </w:p>
    <w:bookmarkEnd w:id="302"/>
    <w:bookmarkEnd w:id="303"/>
    <w:bookmarkEnd w:id="304"/>
    <w:bookmarkEnd w:id="305"/>
    <w:bookmarkEnd w:id="306"/>
    <w:bookmarkEnd w:id="307"/>
    <w:tbl>
      <w:tblPr>
        <w:tblStyle w:val="2"/>
        <w:tblW w:w="9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8"/>
        <w:gridCol w:w="96"/>
        <w:gridCol w:w="1131"/>
        <w:gridCol w:w="1689"/>
        <w:gridCol w:w="5658"/>
      </w:tblGrid>
      <w:tr w14:paraId="62218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exact"/>
          <w:jc w:val="center"/>
        </w:trPr>
        <w:tc>
          <w:tcPr>
            <w:tcW w:w="1955" w:type="dxa"/>
            <w:gridSpan w:val="3"/>
            <w:noWrap w:val="0"/>
            <w:vAlign w:val="center"/>
          </w:tcPr>
          <w:p w14:paraId="78A991A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2AF34F0F">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评审因素</w:t>
            </w:r>
          </w:p>
        </w:tc>
        <w:tc>
          <w:tcPr>
            <w:tcW w:w="5658" w:type="dxa"/>
            <w:noWrap w:val="0"/>
            <w:vAlign w:val="center"/>
          </w:tcPr>
          <w:p w14:paraId="12E50F81">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评审标准</w:t>
            </w:r>
          </w:p>
        </w:tc>
      </w:tr>
      <w:tr w14:paraId="02C7B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jc w:val="center"/>
        </w:trPr>
        <w:tc>
          <w:tcPr>
            <w:tcW w:w="824" w:type="dxa"/>
            <w:gridSpan w:val="2"/>
            <w:vMerge w:val="restart"/>
            <w:noWrap w:val="0"/>
            <w:vAlign w:val="center"/>
          </w:tcPr>
          <w:p w14:paraId="3AE5B7C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2.1.1</w:t>
            </w:r>
          </w:p>
        </w:tc>
        <w:tc>
          <w:tcPr>
            <w:tcW w:w="1131" w:type="dxa"/>
            <w:vMerge w:val="restart"/>
            <w:noWrap w:val="0"/>
            <w:vAlign w:val="center"/>
          </w:tcPr>
          <w:p w14:paraId="37505A77">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形式评审</w:t>
            </w:r>
          </w:p>
          <w:p w14:paraId="02E598C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标准</w:t>
            </w:r>
          </w:p>
        </w:tc>
        <w:tc>
          <w:tcPr>
            <w:tcW w:w="1689" w:type="dxa"/>
            <w:noWrap w:val="0"/>
            <w:vAlign w:val="center"/>
          </w:tcPr>
          <w:p w14:paraId="4066818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投标人名称</w:t>
            </w:r>
          </w:p>
        </w:tc>
        <w:tc>
          <w:tcPr>
            <w:tcW w:w="5658" w:type="dxa"/>
            <w:noWrap w:val="0"/>
            <w:vAlign w:val="center"/>
          </w:tcPr>
          <w:p w14:paraId="090FE9A8">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与营业执照一致</w:t>
            </w:r>
          </w:p>
        </w:tc>
      </w:tr>
      <w:tr w14:paraId="36428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exact"/>
          <w:jc w:val="center"/>
        </w:trPr>
        <w:tc>
          <w:tcPr>
            <w:tcW w:w="824" w:type="dxa"/>
            <w:gridSpan w:val="2"/>
            <w:vMerge w:val="continue"/>
            <w:noWrap w:val="0"/>
            <w:vAlign w:val="center"/>
          </w:tcPr>
          <w:p w14:paraId="33995CA6">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3B03ECC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4A2F3ED">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投标文件</w:t>
            </w:r>
            <w:r>
              <w:rPr>
                <w:rFonts w:hint="eastAsia" w:ascii="宋体" w:hAnsi="宋体" w:eastAsia="宋体" w:cs="宋体"/>
                <w:color w:val="auto"/>
                <w:kern w:val="2"/>
                <w:sz w:val="21"/>
                <w:szCs w:val="21"/>
                <w:highlight w:val="none"/>
                <w:lang w:val="en-US" w:eastAsia="zh-CN" w:bidi="ar-SA"/>
              </w:rPr>
              <w:t>签字盖章要求</w:t>
            </w:r>
          </w:p>
        </w:tc>
        <w:tc>
          <w:tcPr>
            <w:tcW w:w="5658" w:type="dxa"/>
            <w:noWrap w:val="0"/>
            <w:vAlign w:val="center"/>
          </w:tcPr>
          <w:p w14:paraId="73494F16">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按招标文件格式要求</w:t>
            </w:r>
          </w:p>
        </w:tc>
      </w:tr>
      <w:tr w14:paraId="7D1AD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exact"/>
          <w:jc w:val="center"/>
        </w:trPr>
        <w:tc>
          <w:tcPr>
            <w:tcW w:w="824" w:type="dxa"/>
            <w:gridSpan w:val="2"/>
            <w:vMerge w:val="continue"/>
            <w:noWrap w:val="0"/>
            <w:vAlign w:val="center"/>
          </w:tcPr>
          <w:p w14:paraId="161E4B4A">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729F296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06E098D9">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投标文件格式及签字盖章</w:t>
            </w:r>
          </w:p>
        </w:tc>
        <w:tc>
          <w:tcPr>
            <w:tcW w:w="5658" w:type="dxa"/>
            <w:noWrap w:val="0"/>
            <w:vAlign w:val="center"/>
          </w:tcPr>
          <w:p w14:paraId="7D770BB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符合第六章“投标文件格式”的要求及招标文件有关要求</w:t>
            </w:r>
          </w:p>
        </w:tc>
      </w:tr>
      <w:tr w14:paraId="03D24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exact"/>
          <w:jc w:val="center"/>
        </w:trPr>
        <w:tc>
          <w:tcPr>
            <w:tcW w:w="824" w:type="dxa"/>
            <w:gridSpan w:val="2"/>
            <w:vMerge w:val="continue"/>
            <w:noWrap w:val="0"/>
            <w:vAlign w:val="center"/>
          </w:tcPr>
          <w:p w14:paraId="41801F2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3B2DA52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5C076A1E">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120" w:leftChars="0" w:right="0" w:rightChars="0" w:hanging="12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报价唯一</w:t>
            </w:r>
          </w:p>
        </w:tc>
        <w:tc>
          <w:tcPr>
            <w:tcW w:w="5658" w:type="dxa"/>
            <w:noWrap w:val="0"/>
            <w:vAlign w:val="center"/>
          </w:tcPr>
          <w:p w14:paraId="03BF71FF">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只能有一个有效报价</w:t>
            </w:r>
          </w:p>
        </w:tc>
      </w:tr>
      <w:tr w14:paraId="7F555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restart"/>
            <w:noWrap w:val="0"/>
            <w:vAlign w:val="center"/>
          </w:tcPr>
          <w:p w14:paraId="2D2E2E96">
            <w:pPr>
              <w:widowControl/>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2.1.2</w:t>
            </w:r>
          </w:p>
        </w:tc>
        <w:tc>
          <w:tcPr>
            <w:tcW w:w="1131" w:type="dxa"/>
            <w:vMerge w:val="restart"/>
            <w:noWrap w:val="0"/>
            <w:vAlign w:val="center"/>
          </w:tcPr>
          <w:p w14:paraId="01326D8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资格评审</w:t>
            </w:r>
          </w:p>
          <w:p w14:paraId="73F39031">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标准</w:t>
            </w:r>
          </w:p>
        </w:tc>
        <w:tc>
          <w:tcPr>
            <w:tcW w:w="1689" w:type="dxa"/>
            <w:tcBorders>
              <w:right w:val="single" w:color="auto" w:sz="4" w:space="0"/>
            </w:tcBorders>
            <w:noWrap w:val="0"/>
            <w:vAlign w:val="center"/>
          </w:tcPr>
          <w:p w14:paraId="6BA1C6D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营业执照</w:t>
            </w:r>
          </w:p>
        </w:tc>
        <w:tc>
          <w:tcPr>
            <w:tcW w:w="5658" w:type="dxa"/>
            <w:tcBorders>
              <w:left w:val="single" w:color="auto" w:sz="4" w:space="0"/>
            </w:tcBorders>
            <w:noWrap w:val="0"/>
            <w:vAlign w:val="center"/>
          </w:tcPr>
          <w:p w14:paraId="156C5AF2">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具备有效的营业执照</w:t>
            </w:r>
          </w:p>
        </w:tc>
      </w:tr>
      <w:tr w14:paraId="0E440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continue"/>
            <w:noWrap w:val="0"/>
            <w:vAlign w:val="center"/>
          </w:tcPr>
          <w:p w14:paraId="51C75D50">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147CA38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p>
        </w:tc>
        <w:tc>
          <w:tcPr>
            <w:tcW w:w="1689" w:type="dxa"/>
            <w:tcBorders>
              <w:right w:val="single" w:color="auto" w:sz="4" w:space="0"/>
            </w:tcBorders>
            <w:noWrap w:val="0"/>
            <w:vAlign w:val="center"/>
          </w:tcPr>
          <w:p w14:paraId="524706FE">
            <w:pPr>
              <w:widowControl/>
              <w:adjustRightInd w:val="0"/>
              <w:snapToGrid w:val="0"/>
              <w:spacing w:beforeLines="0" w:afterLines="0" w:line="360"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资质或业绩要求</w:t>
            </w:r>
          </w:p>
        </w:tc>
        <w:tc>
          <w:tcPr>
            <w:tcW w:w="5658" w:type="dxa"/>
            <w:tcBorders>
              <w:left w:val="single" w:color="auto" w:sz="4" w:space="0"/>
            </w:tcBorders>
            <w:noWrap w:val="0"/>
            <w:vAlign w:val="center"/>
          </w:tcPr>
          <w:p w14:paraId="173723C4">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634E4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continue"/>
            <w:noWrap w:val="0"/>
            <w:vAlign w:val="center"/>
          </w:tcPr>
          <w:p w14:paraId="5D707320">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52CB7A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p>
        </w:tc>
        <w:tc>
          <w:tcPr>
            <w:tcW w:w="1689" w:type="dxa"/>
            <w:tcBorders>
              <w:right w:val="single" w:color="auto" w:sz="4" w:space="0"/>
            </w:tcBorders>
            <w:noWrap w:val="0"/>
            <w:vAlign w:val="center"/>
          </w:tcPr>
          <w:p w14:paraId="0B4AAD7B">
            <w:pPr>
              <w:widowControl w:val="0"/>
              <w:wordWrap/>
              <w:autoSpaceDE/>
              <w:autoSpaceDN/>
              <w:adjustRightInd w:val="0"/>
              <w:spacing w:beforeLines="0" w:afterLines="0" w:line="360" w:lineRule="auto"/>
              <w:ind w:firstLine="0" w:firstLineChars="0"/>
              <w:jc w:val="center"/>
              <w:rPr>
                <w:rFonts w:hint="eastAsia" w:ascii="宋体" w:hAnsi="宋体" w:eastAsia="宋体" w:cs="宋体"/>
                <w:szCs w:val="21"/>
                <w:highlight w:val="none"/>
              </w:rPr>
            </w:pPr>
            <w:r>
              <w:rPr>
                <w:rFonts w:hint="eastAsia" w:ascii="宋体" w:hAnsi="宋体" w:eastAsia="宋体" w:cs="宋体"/>
                <w:color w:val="auto"/>
                <w:kern w:val="0"/>
                <w:sz w:val="21"/>
                <w:szCs w:val="21"/>
                <w:highlight w:val="none"/>
                <w:lang w:val="en-US" w:eastAsia="zh-CN" w:bidi="ar-SA"/>
              </w:rPr>
              <w:t>项目负责人</w:t>
            </w:r>
          </w:p>
        </w:tc>
        <w:tc>
          <w:tcPr>
            <w:tcW w:w="5658" w:type="dxa"/>
            <w:tcBorders>
              <w:left w:val="single" w:color="auto" w:sz="4" w:space="0"/>
            </w:tcBorders>
            <w:noWrap w:val="0"/>
            <w:vAlign w:val="center"/>
          </w:tcPr>
          <w:p w14:paraId="62D396CD">
            <w:pPr>
              <w:widowControl/>
              <w:wordWrap/>
              <w:spacing w:beforeLines="0" w:afterLines="0" w:line="360" w:lineRule="auto"/>
              <w:jc w:val="both"/>
              <w:rPr>
                <w:rFonts w:hint="eastAsia" w:ascii="宋体" w:hAnsi="宋体" w:eastAsia="宋体" w:cs="宋体"/>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67282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706F58E5">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49E55078">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53C0F2AF">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财务要求</w:t>
            </w:r>
          </w:p>
        </w:tc>
        <w:tc>
          <w:tcPr>
            <w:tcW w:w="5658" w:type="dxa"/>
            <w:tcBorders>
              <w:left w:val="single" w:color="auto" w:sz="4" w:space="0"/>
            </w:tcBorders>
            <w:noWrap w:val="0"/>
            <w:vAlign w:val="center"/>
          </w:tcPr>
          <w:p w14:paraId="3D822419">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2C060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exact"/>
          <w:jc w:val="center"/>
        </w:trPr>
        <w:tc>
          <w:tcPr>
            <w:tcW w:w="824" w:type="dxa"/>
            <w:gridSpan w:val="2"/>
            <w:vMerge w:val="continue"/>
            <w:noWrap w:val="0"/>
            <w:vAlign w:val="center"/>
          </w:tcPr>
          <w:p w14:paraId="29E5EEC5">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23EF2B54">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38E77FC8">
            <w:pPr>
              <w:widowControl/>
              <w:adjustRightInd w:val="0"/>
              <w:snapToGrid w:val="0"/>
              <w:spacing w:beforeLines="0" w:afterLines="0"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信誉要求</w:t>
            </w:r>
          </w:p>
        </w:tc>
        <w:tc>
          <w:tcPr>
            <w:tcW w:w="5658" w:type="dxa"/>
            <w:tcBorders>
              <w:left w:val="single" w:color="auto" w:sz="4" w:space="0"/>
            </w:tcBorders>
            <w:noWrap w:val="0"/>
            <w:vAlign w:val="center"/>
          </w:tcPr>
          <w:p w14:paraId="5657FC06">
            <w:pPr>
              <w:widowControl/>
              <w:adjustRightInd w:val="0"/>
              <w:snapToGrid w:val="0"/>
              <w:spacing w:beforeLines="0" w:afterLines="0" w:line="360" w:lineRule="auto"/>
              <w:ind w:left="0" w:leftChars="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符合第二章“投标人须知”第1.4.1项规定</w:t>
            </w:r>
          </w:p>
        </w:tc>
      </w:tr>
      <w:tr w14:paraId="4D3D5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jc w:val="center"/>
        </w:trPr>
        <w:tc>
          <w:tcPr>
            <w:tcW w:w="824" w:type="dxa"/>
            <w:gridSpan w:val="2"/>
            <w:vMerge w:val="continue"/>
            <w:noWrap w:val="0"/>
            <w:vAlign w:val="center"/>
          </w:tcPr>
          <w:p w14:paraId="76C5ECF2">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7C7D0EB">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558B7F2A">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5658" w:type="dxa"/>
            <w:tcBorders>
              <w:left w:val="single" w:color="auto" w:sz="4" w:space="0"/>
            </w:tcBorders>
            <w:noWrap w:val="0"/>
            <w:vAlign w:val="center"/>
          </w:tcPr>
          <w:p w14:paraId="17BF131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92F0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5" w:hRule="exact"/>
          <w:jc w:val="center"/>
        </w:trPr>
        <w:tc>
          <w:tcPr>
            <w:tcW w:w="824" w:type="dxa"/>
            <w:gridSpan w:val="2"/>
            <w:vMerge w:val="continue"/>
            <w:noWrap w:val="0"/>
            <w:vAlign w:val="center"/>
          </w:tcPr>
          <w:p w14:paraId="55F3B324">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F5FB1BC">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7347" w:type="dxa"/>
            <w:gridSpan w:val="2"/>
            <w:noWrap w:val="0"/>
            <w:vAlign w:val="center"/>
          </w:tcPr>
          <w:p w14:paraId="7FA6B5F7">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jc w:val="left"/>
              <w:textAlignment w:val="auto"/>
              <w:rPr>
                <w:rFonts w:hint="eastAsia" w:ascii="宋体" w:hAnsi="宋体" w:eastAsia="宋体" w:cs="宋体"/>
                <w:color w:val="FF0000"/>
                <w:kern w:val="2"/>
                <w:sz w:val="21"/>
                <w:szCs w:val="21"/>
                <w:highlight w:val="none"/>
                <w:lang w:eastAsia="zh-CN"/>
              </w:rPr>
            </w:pPr>
            <w:r>
              <w:rPr>
                <w:rFonts w:hint="eastAsia" w:ascii="宋体" w:hAnsi="宋体" w:eastAsia="宋体" w:cs="宋体"/>
                <w:color w:val="auto"/>
                <w:kern w:val="2"/>
                <w:sz w:val="21"/>
                <w:szCs w:val="21"/>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w:t>
            </w:r>
            <w:r>
              <w:rPr>
                <w:rFonts w:hint="eastAsia" w:ascii="宋体" w:hAnsi="宋体" w:eastAsia="宋体" w:cs="宋体"/>
                <w:color w:val="000000" w:themeColor="text1"/>
                <w:kern w:val="2"/>
                <w:sz w:val="21"/>
                <w:szCs w:val="21"/>
                <w:highlight w:val="none"/>
                <w14:textFill>
                  <w14:solidFill>
                    <w14:schemeClr w14:val="tx1"/>
                  </w14:solidFill>
                </w14:textFill>
              </w:rPr>
              <w:t>，评标时以电子响应文件信息为准</w:t>
            </w:r>
            <w:r>
              <w:rPr>
                <w:rFonts w:hint="eastAsia" w:ascii="宋体" w:hAnsi="宋体" w:eastAsia="宋体" w:cs="宋体"/>
                <w:color w:val="000000" w:themeColor="text1"/>
                <w:kern w:val="2"/>
                <w:sz w:val="21"/>
                <w:szCs w:val="21"/>
                <w:highlight w:val="none"/>
                <w:lang w:eastAsia="zh-CN"/>
                <w14:textFill>
                  <w14:solidFill>
                    <w14:schemeClr w14:val="tx1"/>
                  </w14:solidFill>
                </w14:textFill>
              </w:rPr>
              <w:t>。</w:t>
            </w:r>
          </w:p>
          <w:p w14:paraId="4ACD9CAE">
            <w:pPr>
              <w:widowControl/>
              <w:numPr>
                <w:ilvl w:val="0"/>
                <w:numId w:val="1"/>
              </w:numPr>
              <w:adjustRightInd w:val="0"/>
              <w:snapToGrid w:val="0"/>
              <w:spacing w:beforeLines="0" w:afterLines="0" w:line="360" w:lineRule="auto"/>
              <w:ind w:left="0" w:leftChars="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各投标企业应如实填报诚信库信息，因交易主体自行填报信息的错误、缺项、虚假而造成的后果由交易主体自行承担。</w:t>
            </w:r>
          </w:p>
        </w:tc>
      </w:tr>
      <w:tr w14:paraId="5EDB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824" w:type="dxa"/>
            <w:gridSpan w:val="2"/>
            <w:vMerge w:val="restart"/>
            <w:noWrap w:val="0"/>
            <w:vAlign w:val="center"/>
          </w:tcPr>
          <w:p w14:paraId="2BBAC73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2.1.3</w:t>
            </w:r>
          </w:p>
        </w:tc>
        <w:tc>
          <w:tcPr>
            <w:tcW w:w="1131" w:type="dxa"/>
            <w:vMerge w:val="restart"/>
            <w:noWrap w:val="0"/>
            <w:vAlign w:val="center"/>
          </w:tcPr>
          <w:p w14:paraId="0EC5506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响应性评审标准</w:t>
            </w:r>
          </w:p>
        </w:tc>
        <w:tc>
          <w:tcPr>
            <w:tcW w:w="1689" w:type="dxa"/>
            <w:tcBorders>
              <w:right w:val="single" w:color="auto" w:sz="4" w:space="0"/>
            </w:tcBorders>
            <w:noWrap w:val="0"/>
            <w:vAlign w:val="center"/>
          </w:tcPr>
          <w:p w14:paraId="7E9943D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lang w:eastAsia="en-US"/>
              </w:rPr>
              <w:t>报价</w:t>
            </w:r>
          </w:p>
        </w:tc>
        <w:tc>
          <w:tcPr>
            <w:tcW w:w="5658" w:type="dxa"/>
            <w:tcBorders>
              <w:left w:val="single" w:color="auto" w:sz="4" w:space="0"/>
            </w:tcBorders>
            <w:noWrap w:val="0"/>
            <w:vAlign w:val="center"/>
          </w:tcPr>
          <w:p w14:paraId="694B7BB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spacing w:val="0"/>
                <w:kern w:val="0"/>
                <w:sz w:val="21"/>
                <w:szCs w:val="18"/>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第</w:t>
            </w:r>
            <w:r>
              <w:rPr>
                <w:rFonts w:hint="eastAsia" w:ascii="宋体" w:hAnsi="宋体" w:eastAsia="宋体" w:cs="宋体"/>
                <w:spacing w:val="0"/>
                <w:kern w:val="0"/>
                <w:sz w:val="21"/>
                <w:szCs w:val="18"/>
                <w:highlight w:val="none"/>
                <w:lang w:val="en-US" w:eastAsia="zh-CN"/>
              </w:rPr>
              <w:t xml:space="preserve"> </w:t>
            </w:r>
            <w:r>
              <w:rPr>
                <w:rFonts w:hint="eastAsia" w:ascii="宋体" w:hAnsi="宋体" w:eastAsia="宋体" w:cs="宋体"/>
                <w:spacing w:val="0"/>
                <w:kern w:val="0"/>
                <w:sz w:val="21"/>
                <w:szCs w:val="18"/>
                <w:highlight w:val="none"/>
              </w:rPr>
              <w:t>3.2</w:t>
            </w:r>
            <w:r>
              <w:rPr>
                <w:rFonts w:hint="eastAsia" w:ascii="宋体" w:hAnsi="宋体" w:eastAsia="宋体" w:cs="宋体"/>
                <w:spacing w:val="0"/>
                <w:kern w:val="0"/>
                <w:sz w:val="21"/>
                <w:szCs w:val="18"/>
                <w:highlight w:val="none"/>
                <w:lang w:val="en-US" w:eastAsia="zh-CN"/>
              </w:rPr>
              <w:t xml:space="preserve">.4 </w:t>
            </w:r>
            <w:r>
              <w:rPr>
                <w:rFonts w:hint="eastAsia" w:ascii="宋体" w:hAnsi="宋体" w:eastAsia="宋体" w:cs="宋体"/>
                <w:spacing w:val="0"/>
                <w:kern w:val="0"/>
                <w:sz w:val="21"/>
                <w:szCs w:val="18"/>
                <w:highlight w:val="none"/>
              </w:rPr>
              <w:t>款规定</w:t>
            </w:r>
          </w:p>
        </w:tc>
      </w:tr>
      <w:tr w14:paraId="611E7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824" w:type="dxa"/>
            <w:gridSpan w:val="2"/>
            <w:vMerge w:val="continue"/>
            <w:noWrap w:val="0"/>
            <w:vAlign w:val="top"/>
          </w:tcPr>
          <w:p w14:paraId="455A6AF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11F10E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E4DE2D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投标内容</w:t>
            </w:r>
          </w:p>
        </w:tc>
        <w:tc>
          <w:tcPr>
            <w:tcW w:w="5658" w:type="dxa"/>
            <w:noWrap w:val="0"/>
            <w:vAlign w:val="center"/>
          </w:tcPr>
          <w:p w14:paraId="775EC5CA">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1.3.1 项规定</w:t>
            </w:r>
          </w:p>
        </w:tc>
      </w:tr>
      <w:tr w14:paraId="308BE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4" w:type="dxa"/>
            <w:gridSpan w:val="2"/>
            <w:vMerge w:val="continue"/>
            <w:noWrap w:val="0"/>
            <w:vAlign w:val="top"/>
          </w:tcPr>
          <w:p w14:paraId="4D734EC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274EC0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B577D6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供货期（服务期）</w:t>
            </w:r>
          </w:p>
        </w:tc>
        <w:tc>
          <w:tcPr>
            <w:tcW w:w="5658" w:type="dxa"/>
            <w:noWrap w:val="0"/>
            <w:vAlign w:val="center"/>
          </w:tcPr>
          <w:p w14:paraId="68380295">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1.3.2 项规定</w:t>
            </w:r>
          </w:p>
        </w:tc>
      </w:tr>
      <w:tr w14:paraId="390D6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824" w:type="dxa"/>
            <w:gridSpan w:val="2"/>
            <w:vMerge w:val="continue"/>
            <w:noWrap w:val="0"/>
            <w:vAlign w:val="top"/>
          </w:tcPr>
          <w:p w14:paraId="599828F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F7C2F3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75D1CE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交货地点</w:t>
            </w:r>
          </w:p>
        </w:tc>
        <w:tc>
          <w:tcPr>
            <w:tcW w:w="5658" w:type="dxa"/>
            <w:noWrap w:val="0"/>
            <w:vAlign w:val="center"/>
          </w:tcPr>
          <w:p w14:paraId="60BC9742">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1.3.3 项规定</w:t>
            </w:r>
          </w:p>
        </w:tc>
      </w:tr>
      <w:tr w14:paraId="7A81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72AEF63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3FD4CF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5A0414F">
            <w:pPr>
              <w:widowControl w:val="0"/>
              <w:adjustRightInd w:val="0"/>
              <w:snapToGrid w:val="0"/>
              <w:spacing w:beforeLines="0" w:afterLines="0" w:line="360" w:lineRule="auto"/>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质量要求</w:t>
            </w:r>
          </w:p>
        </w:tc>
        <w:tc>
          <w:tcPr>
            <w:tcW w:w="5658" w:type="dxa"/>
            <w:noWrap w:val="0"/>
            <w:vAlign w:val="center"/>
          </w:tcPr>
          <w:p w14:paraId="17578C02">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1.3.4 项规定</w:t>
            </w:r>
          </w:p>
        </w:tc>
      </w:tr>
      <w:tr w14:paraId="55DB6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24" w:type="dxa"/>
            <w:gridSpan w:val="2"/>
            <w:vMerge w:val="continue"/>
            <w:noWrap w:val="0"/>
            <w:vAlign w:val="top"/>
          </w:tcPr>
          <w:p w14:paraId="6717D71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3EC4A8A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DF3F65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投标有效期</w:t>
            </w:r>
          </w:p>
        </w:tc>
        <w:tc>
          <w:tcPr>
            <w:tcW w:w="5658" w:type="dxa"/>
            <w:noWrap w:val="0"/>
            <w:vAlign w:val="center"/>
          </w:tcPr>
          <w:p w14:paraId="10F6AAAF">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3.3.1 项规定</w:t>
            </w:r>
          </w:p>
        </w:tc>
      </w:tr>
      <w:tr w14:paraId="3E79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34680FA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5123A44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4D48FA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投标保证金</w:t>
            </w:r>
          </w:p>
        </w:tc>
        <w:tc>
          <w:tcPr>
            <w:tcW w:w="5658" w:type="dxa"/>
            <w:noWrap w:val="0"/>
            <w:vAlign w:val="center"/>
          </w:tcPr>
          <w:p w14:paraId="6193FED6">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3.4.1 项规定</w:t>
            </w:r>
          </w:p>
        </w:tc>
      </w:tr>
      <w:tr w14:paraId="058AC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24" w:type="dxa"/>
            <w:gridSpan w:val="2"/>
            <w:vMerge w:val="continue"/>
            <w:noWrap w:val="0"/>
            <w:vAlign w:val="top"/>
          </w:tcPr>
          <w:p w14:paraId="03D077D1">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2C13785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D26171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权利义务</w:t>
            </w:r>
          </w:p>
        </w:tc>
        <w:tc>
          <w:tcPr>
            <w:tcW w:w="5658" w:type="dxa"/>
            <w:noWrap w:val="0"/>
            <w:vAlign w:val="center"/>
          </w:tcPr>
          <w:p w14:paraId="7D00ABEA">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符合第四章“合同条款及格式”中的实质性要求和条件</w:t>
            </w:r>
          </w:p>
        </w:tc>
      </w:tr>
      <w:tr w14:paraId="5C084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3347217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608BE1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995D7E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其他响应性要求</w:t>
            </w:r>
          </w:p>
        </w:tc>
        <w:tc>
          <w:tcPr>
            <w:tcW w:w="5658" w:type="dxa"/>
            <w:noWrap w:val="0"/>
            <w:vAlign w:val="center"/>
          </w:tcPr>
          <w:p w14:paraId="2F8B614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符合招标文件规定</w:t>
            </w:r>
          </w:p>
        </w:tc>
      </w:tr>
      <w:tr w14:paraId="022AD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exact"/>
          <w:jc w:val="center"/>
        </w:trPr>
        <w:tc>
          <w:tcPr>
            <w:tcW w:w="1955" w:type="dxa"/>
            <w:gridSpan w:val="3"/>
            <w:noWrap w:val="0"/>
            <w:vAlign w:val="center"/>
          </w:tcPr>
          <w:p w14:paraId="74884A6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22A1E5B">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条款内容</w:t>
            </w:r>
          </w:p>
        </w:tc>
        <w:tc>
          <w:tcPr>
            <w:tcW w:w="5658" w:type="dxa"/>
            <w:noWrap w:val="0"/>
            <w:vAlign w:val="center"/>
          </w:tcPr>
          <w:p w14:paraId="2B7A5FE8">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编列内容</w:t>
            </w:r>
          </w:p>
        </w:tc>
      </w:tr>
      <w:tr w14:paraId="2DB25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exact"/>
          <w:jc w:val="center"/>
        </w:trPr>
        <w:tc>
          <w:tcPr>
            <w:tcW w:w="1955" w:type="dxa"/>
            <w:gridSpan w:val="3"/>
            <w:noWrap w:val="0"/>
            <w:vAlign w:val="top"/>
          </w:tcPr>
          <w:p w14:paraId="17727F3C">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75B12C7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2.2.1</w:t>
            </w:r>
          </w:p>
        </w:tc>
        <w:tc>
          <w:tcPr>
            <w:tcW w:w="1689" w:type="dxa"/>
            <w:noWrap w:val="0"/>
            <w:vAlign w:val="center"/>
          </w:tcPr>
          <w:p w14:paraId="69DD69F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分值构成</w:t>
            </w:r>
          </w:p>
          <w:p w14:paraId="0FF6D645">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(总分</w:t>
            </w:r>
            <w:r>
              <w:rPr>
                <w:rFonts w:hint="eastAsia" w:ascii="宋体" w:hAnsi="宋体" w:eastAsia="宋体" w:cs="宋体"/>
                <w:spacing w:val="-51"/>
                <w:kern w:val="0"/>
                <w:szCs w:val="21"/>
                <w:highlight w:val="none"/>
                <w:lang w:eastAsia="en-US"/>
              </w:rPr>
              <w:t xml:space="preserve"> </w:t>
            </w:r>
            <w:r>
              <w:rPr>
                <w:rFonts w:hint="eastAsia" w:ascii="宋体" w:hAnsi="宋体" w:eastAsia="宋体" w:cs="宋体"/>
                <w:kern w:val="0"/>
                <w:szCs w:val="21"/>
                <w:highlight w:val="none"/>
                <w:lang w:eastAsia="en-US"/>
              </w:rPr>
              <w:t>100 分)</w:t>
            </w:r>
          </w:p>
        </w:tc>
        <w:tc>
          <w:tcPr>
            <w:tcW w:w="5658" w:type="dxa"/>
            <w:noWrap w:val="0"/>
            <w:vAlign w:val="center"/>
          </w:tcPr>
          <w:p w14:paraId="162BCA7A">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经济标（投标</w:t>
            </w:r>
            <w:r>
              <w:rPr>
                <w:rFonts w:hint="eastAsia" w:ascii="宋体" w:hAnsi="宋体" w:eastAsia="宋体" w:cs="宋体"/>
                <w:b/>
                <w:bCs/>
                <w:color w:val="auto"/>
                <w:spacing w:val="0"/>
                <w:position w:val="0"/>
                <w:szCs w:val="21"/>
                <w:highlight w:val="none"/>
                <w:lang w:val="en-US" w:eastAsia="zh-CN"/>
              </w:rPr>
              <w:t>总</w:t>
            </w:r>
            <w:r>
              <w:rPr>
                <w:rFonts w:hint="eastAsia" w:ascii="宋体" w:hAnsi="宋体" w:eastAsia="宋体" w:cs="宋体"/>
                <w:b/>
                <w:bCs/>
                <w:kern w:val="0"/>
                <w:szCs w:val="21"/>
                <w:highlight w:val="none"/>
              </w:rPr>
              <w:t>报价）：</w:t>
            </w:r>
            <w:r>
              <w:rPr>
                <w:rFonts w:hint="eastAsia" w:ascii="宋体" w:hAnsi="宋体" w:eastAsia="宋体" w:cs="宋体"/>
                <w:b/>
                <w:bCs/>
                <w:kern w:val="0"/>
                <w:szCs w:val="21"/>
                <w:highlight w:val="none"/>
                <w:lang w:val="en-US" w:eastAsia="zh-CN"/>
              </w:rPr>
              <w:t>40</w:t>
            </w:r>
            <w:r>
              <w:rPr>
                <w:rFonts w:hint="eastAsia" w:ascii="宋体" w:hAnsi="宋体" w:eastAsia="宋体" w:cs="宋体"/>
                <w:b/>
                <w:bCs/>
                <w:kern w:val="0"/>
                <w:szCs w:val="21"/>
                <w:highlight w:val="none"/>
              </w:rPr>
              <w:t>分</w:t>
            </w:r>
          </w:p>
          <w:p w14:paraId="67AD4C63">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技术标（技术部分）：4</w:t>
            </w:r>
            <w:r>
              <w:rPr>
                <w:rFonts w:hint="eastAsia" w:ascii="宋体" w:hAnsi="宋体" w:eastAsia="宋体" w:cs="宋体"/>
                <w:b/>
                <w:bCs/>
                <w:kern w:val="0"/>
                <w:szCs w:val="21"/>
                <w:highlight w:val="none"/>
                <w:lang w:val="en-US" w:eastAsia="zh-CN"/>
              </w:rPr>
              <w:t>0</w:t>
            </w:r>
            <w:r>
              <w:rPr>
                <w:rFonts w:hint="eastAsia" w:ascii="宋体" w:hAnsi="宋体" w:eastAsia="宋体" w:cs="宋体"/>
                <w:b/>
                <w:bCs/>
                <w:kern w:val="0"/>
                <w:szCs w:val="21"/>
                <w:highlight w:val="none"/>
              </w:rPr>
              <w:t>分</w:t>
            </w:r>
          </w:p>
          <w:p w14:paraId="4141DCAE">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综合标（商务部分）：20分</w:t>
            </w:r>
          </w:p>
          <w:p w14:paraId="06DAC8C5">
            <w:pPr>
              <w:widowControl w:val="0"/>
              <w:tabs>
                <w:tab w:val="left" w:pos="2309"/>
              </w:tabs>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其他评分因素：0分</w:t>
            </w:r>
          </w:p>
        </w:tc>
      </w:tr>
      <w:tr w14:paraId="30901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5" w:hRule="exact"/>
          <w:jc w:val="center"/>
        </w:trPr>
        <w:tc>
          <w:tcPr>
            <w:tcW w:w="1955" w:type="dxa"/>
            <w:gridSpan w:val="3"/>
            <w:noWrap w:val="0"/>
            <w:vAlign w:val="center"/>
          </w:tcPr>
          <w:p w14:paraId="0ECA484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2.2.2</w:t>
            </w:r>
          </w:p>
        </w:tc>
        <w:tc>
          <w:tcPr>
            <w:tcW w:w="1689" w:type="dxa"/>
            <w:noWrap w:val="0"/>
            <w:vAlign w:val="center"/>
          </w:tcPr>
          <w:p w14:paraId="57E732E6">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评标基准价计算方法</w:t>
            </w:r>
          </w:p>
        </w:tc>
        <w:tc>
          <w:tcPr>
            <w:tcW w:w="5658" w:type="dxa"/>
            <w:noWrap w:val="0"/>
            <w:vAlign w:val="center"/>
          </w:tcPr>
          <w:p w14:paraId="32FCB2AC">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评标基准价计算方法：</w:t>
            </w:r>
            <w:r>
              <w:rPr>
                <w:rFonts w:hint="eastAsia" w:ascii="宋体" w:hAnsi="宋体" w:eastAsia="宋体" w:cs="宋体"/>
                <w:color w:val="auto"/>
                <w:spacing w:val="0"/>
                <w:kern w:val="2"/>
                <w:position w:val="0"/>
                <w:sz w:val="21"/>
                <w:szCs w:val="21"/>
                <w:highlight w:val="none"/>
                <w:lang w:eastAsia="zh-CN"/>
              </w:rPr>
              <w:t>C=</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lang w:eastAsia="zh-CN"/>
              </w:rPr>
              <w:t>%×A+</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lang w:eastAsia="zh-CN"/>
              </w:rPr>
              <w:t>%×B</w:t>
            </w:r>
            <w:r>
              <w:rPr>
                <w:rFonts w:hint="eastAsia" w:ascii="宋体" w:hAnsi="宋体" w:eastAsia="宋体" w:cs="宋体"/>
                <w:szCs w:val="21"/>
                <w:highlight w:val="none"/>
              </w:rPr>
              <w:t>；</w:t>
            </w:r>
          </w:p>
          <w:p w14:paraId="35B7D5E0">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①A=最高投标限价；B=有效投标报价的算术平均值；C=评标基准价。</w:t>
            </w:r>
          </w:p>
          <w:p w14:paraId="5A584EF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26D4B16F">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③当所有投标人的投标报价均不在最高投标限价95%（含95%）-100%（含100%）之间时，评标基准价C=最高投标限价×95%。</w:t>
            </w:r>
          </w:p>
        </w:tc>
      </w:tr>
      <w:tr w14:paraId="7237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exact"/>
          <w:jc w:val="center"/>
        </w:trPr>
        <w:tc>
          <w:tcPr>
            <w:tcW w:w="1955" w:type="dxa"/>
            <w:gridSpan w:val="3"/>
            <w:noWrap w:val="0"/>
            <w:vAlign w:val="center"/>
          </w:tcPr>
          <w:p w14:paraId="67F0552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2.2.3</w:t>
            </w:r>
          </w:p>
        </w:tc>
        <w:tc>
          <w:tcPr>
            <w:tcW w:w="1689" w:type="dxa"/>
            <w:noWrap w:val="0"/>
            <w:vAlign w:val="center"/>
          </w:tcPr>
          <w:p w14:paraId="64020126">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投标报价的偏差率计算公式</w:t>
            </w:r>
          </w:p>
        </w:tc>
        <w:tc>
          <w:tcPr>
            <w:tcW w:w="5658" w:type="dxa"/>
            <w:noWrap w:val="0"/>
            <w:vAlign w:val="center"/>
          </w:tcPr>
          <w:p w14:paraId="67E5BCB4">
            <w:pPr>
              <w:widowControl/>
              <w:adjustRightInd w:val="0"/>
              <w:snapToGrid w:val="0"/>
              <w:spacing w:beforeLines="0" w:afterLines="0" w:line="360" w:lineRule="auto"/>
              <w:ind w:left="0" w:leftChars="0"/>
              <w:jc w:val="both"/>
              <w:rPr>
                <w:rFonts w:hint="eastAsia" w:ascii="宋体" w:hAnsi="宋体" w:eastAsia="宋体" w:cs="宋体"/>
                <w:spacing w:val="-6"/>
                <w:szCs w:val="21"/>
                <w:highlight w:val="none"/>
              </w:rPr>
            </w:pPr>
            <w:r>
              <w:rPr>
                <w:rFonts w:hint="eastAsia" w:ascii="宋体" w:hAnsi="宋体" w:eastAsia="宋体" w:cs="宋体"/>
                <w:spacing w:val="-6"/>
                <w:szCs w:val="21"/>
                <w:highlight w:val="none"/>
              </w:rPr>
              <w:t>偏差率=100%×（投标人报价-评标基准价）/评标基准价</w:t>
            </w:r>
          </w:p>
        </w:tc>
      </w:tr>
      <w:tr w14:paraId="33A67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exact"/>
          <w:jc w:val="center"/>
        </w:trPr>
        <w:tc>
          <w:tcPr>
            <w:tcW w:w="1955" w:type="dxa"/>
            <w:gridSpan w:val="3"/>
            <w:noWrap w:val="0"/>
            <w:vAlign w:val="center"/>
          </w:tcPr>
          <w:p w14:paraId="5E19BB5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E916C73">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评分因素</w:t>
            </w:r>
          </w:p>
        </w:tc>
        <w:tc>
          <w:tcPr>
            <w:tcW w:w="5658" w:type="dxa"/>
            <w:noWrap w:val="0"/>
            <w:vAlign w:val="center"/>
          </w:tcPr>
          <w:p w14:paraId="40201CFF">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评分标准</w:t>
            </w:r>
          </w:p>
        </w:tc>
      </w:tr>
      <w:tr w14:paraId="1B54D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4" w:hRule="exact"/>
          <w:jc w:val="center"/>
        </w:trPr>
        <w:tc>
          <w:tcPr>
            <w:tcW w:w="728" w:type="dxa"/>
            <w:tcBorders>
              <w:right w:val="single" w:color="auto" w:sz="4" w:space="0"/>
            </w:tcBorders>
            <w:noWrap w:val="0"/>
            <w:vAlign w:val="center"/>
          </w:tcPr>
          <w:p w14:paraId="0957DB1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5241A5E4">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en-US"/>
              </w:rPr>
              <w:t>）</w:t>
            </w:r>
          </w:p>
        </w:tc>
        <w:tc>
          <w:tcPr>
            <w:tcW w:w="1227" w:type="dxa"/>
            <w:gridSpan w:val="2"/>
            <w:tcBorders>
              <w:left w:val="single" w:color="auto" w:sz="4" w:space="0"/>
            </w:tcBorders>
            <w:noWrap w:val="0"/>
            <w:vAlign w:val="center"/>
          </w:tcPr>
          <w:p w14:paraId="0C1F32E9">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A</w:t>
            </w:r>
          </w:p>
          <w:p w14:paraId="7F55CF03">
            <w:pPr>
              <w:widowControl w:val="0"/>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报价）评分标准（</w:t>
            </w:r>
            <w:r>
              <w:rPr>
                <w:rFonts w:hint="eastAsia" w:ascii="宋体" w:hAnsi="宋体" w:eastAsia="宋体" w:cs="宋体"/>
                <w:szCs w:val="21"/>
                <w:highlight w:val="none"/>
                <w:lang w:val="en-US" w:eastAsia="zh-CN"/>
              </w:rPr>
              <w:t>40</w:t>
            </w:r>
            <w:r>
              <w:rPr>
                <w:rFonts w:hint="eastAsia" w:ascii="宋体" w:hAnsi="宋体" w:eastAsia="宋体" w:cs="宋体"/>
                <w:szCs w:val="21"/>
                <w:highlight w:val="none"/>
              </w:rPr>
              <w:t>分）</w:t>
            </w:r>
          </w:p>
        </w:tc>
        <w:tc>
          <w:tcPr>
            <w:tcW w:w="1689" w:type="dxa"/>
            <w:noWrap w:val="0"/>
            <w:vAlign w:val="center"/>
          </w:tcPr>
          <w:p w14:paraId="57A52863">
            <w:pPr>
              <w:widowControl/>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w:t>
            </w:r>
          </w:p>
        </w:tc>
        <w:tc>
          <w:tcPr>
            <w:tcW w:w="5658" w:type="dxa"/>
            <w:noWrap w:val="0"/>
            <w:vAlign w:val="center"/>
          </w:tcPr>
          <w:p w14:paraId="5C6C29AB">
            <w:pPr>
              <w:widowControl w:val="0"/>
              <w:spacing w:beforeLines="0" w:afterLines="0" w:line="360" w:lineRule="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1.当投标报价＞C，每高于评标基准价1%在基本分（30分）基础上扣1分，扣完为止。（不足1%的按相应比例进行折算）</w:t>
            </w:r>
          </w:p>
          <w:p w14:paraId="58C4E9DE">
            <w:pPr>
              <w:widowControl w:val="0"/>
              <w:spacing w:beforeLines="0" w:afterLines="0" w:line="360" w:lineRule="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2.当投标报价=C，得基本分30分。</w:t>
            </w:r>
          </w:p>
          <w:p w14:paraId="4441F3AB">
            <w:pPr>
              <w:widowControl/>
              <w:autoSpaceDE/>
              <w:autoSpaceDN/>
              <w:adjustRightInd w:val="0"/>
              <w:spacing w:beforeLines="0" w:afterLines="0" w:line="360" w:lineRule="auto"/>
              <w:jc w:val="left"/>
              <w:rPr>
                <w:rFonts w:hint="eastAsia" w:ascii="宋体" w:hAnsi="宋体" w:eastAsia="宋体" w:cs="宋体"/>
                <w:b/>
                <w:kern w:val="0"/>
                <w:szCs w:val="21"/>
                <w:highlight w:val="none"/>
                <w:lang w:eastAsia="en-US"/>
              </w:rPr>
            </w:pPr>
            <w:r>
              <w:rPr>
                <w:rFonts w:hint="eastAsia" w:ascii="宋体" w:hAnsi="宋体" w:eastAsia="宋体" w:cs="宋体"/>
                <w:color w:val="auto"/>
                <w:sz w:val="21"/>
                <w:szCs w:val="21"/>
                <w:highlight w:val="none"/>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02FC3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exact"/>
          <w:jc w:val="center"/>
        </w:trPr>
        <w:tc>
          <w:tcPr>
            <w:tcW w:w="728" w:type="dxa"/>
            <w:vMerge w:val="restart"/>
            <w:tcBorders>
              <w:right w:val="single" w:color="auto" w:sz="4" w:space="0"/>
            </w:tcBorders>
            <w:noWrap w:val="0"/>
            <w:vAlign w:val="center"/>
          </w:tcPr>
          <w:p w14:paraId="52049621">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2.2.4（2）</w:t>
            </w:r>
          </w:p>
        </w:tc>
        <w:tc>
          <w:tcPr>
            <w:tcW w:w="1227" w:type="dxa"/>
            <w:gridSpan w:val="2"/>
            <w:vMerge w:val="restart"/>
            <w:tcBorders>
              <w:left w:val="single" w:color="auto" w:sz="4" w:space="0"/>
            </w:tcBorders>
            <w:noWrap w:val="0"/>
            <w:vAlign w:val="center"/>
          </w:tcPr>
          <w:p w14:paraId="6BD967A9">
            <w:pPr>
              <w:widowControl w:val="0"/>
              <w:adjustRightInd w:val="0"/>
              <w:snapToGrid w:val="0"/>
              <w:spacing w:beforeLines="0" w:afterLines="0"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B</w:t>
            </w:r>
          </w:p>
          <w:p w14:paraId="2BA20A3C">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技术标（技术部分）评分标准</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tc>
        <w:tc>
          <w:tcPr>
            <w:tcW w:w="1689" w:type="dxa"/>
            <w:noWrap w:val="0"/>
            <w:vAlign w:val="center"/>
          </w:tcPr>
          <w:p w14:paraId="370521ED">
            <w:pPr>
              <w:widowControl/>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供货组织及运输保障方案</w:t>
            </w:r>
          </w:p>
          <w:p w14:paraId="760F57F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（5分）</w:t>
            </w:r>
          </w:p>
        </w:tc>
        <w:tc>
          <w:tcPr>
            <w:tcW w:w="5658" w:type="dxa"/>
            <w:noWrap w:val="0"/>
            <w:vAlign w:val="center"/>
          </w:tcPr>
          <w:p w14:paraId="4560CDF6">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 w:val="21"/>
                <w:szCs w:val="21"/>
                <w:highlight w:val="none"/>
                <w:lang w:val="en-US" w:eastAsia="zh-CN"/>
              </w:rPr>
              <w:t>设备排产计划、货源保障、仓储防护、运输方案、到货时序安排、供货延误应急措施。</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r w14:paraId="3C617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exact"/>
          <w:jc w:val="center"/>
        </w:trPr>
        <w:tc>
          <w:tcPr>
            <w:tcW w:w="728" w:type="dxa"/>
            <w:vMerge w:val="continue"/>
            <w:tcBorders>
              <w:right w:val="single" w:color="auto" w:sz="4" w:space="0"/>
            </w:tcBorders>
            <w:noWrap w:val="0"/>
            <w:vAlign w:val="center"/>
          </w:tcPr>
          <w:p w14:paraId="188D2D1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C58820B">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392CC9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技术部分的响应性、符合性及完整性（5分）</w:t>
            </w:r>
          </w:p>
        </w:tc>
        <w:tc>
          <w:tcPr>
            <w:tcW w:w="5658" w:type="dxa"/>
            <w:noWrap w:val="0"/>
            <w:vAlign w:val="center"/>
          </w:tcPr>
          <w:p w14:paraId="336DC011">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Cs w:val="21"/>
                <w:highlight w:val="none"/>
              </w:rPr>
              <w:t>评价各投标人设备技术方案响应性、符合性、完整性，包括但不限于整体结构设计的合理性、加工工艺、技术的先进性、布置尺寸以及匹配监造措施等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综合评审，</w:t>
            </w:r>
            <w:r>
              <w:rPr>
                <w:rFonts w:hint="eastAsia" w:ascii="宋体" w:hAnsi="宋体" w:eastAsia="宋体" w:cs="宋体"/>
                <w:szCs w:val="21"/>
                <w:highlight w:val="none"/>
              </w:rPr>
              <w:t>横向比较，评委在0～5分范围内赋分。</w:t>
            </w:r>
          </w:p>
        </w:tc>
      </w:tr>
      <w:tr w14:paraId="30610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exact"/>
          <w:jc w:val="center"/>
        </w:trPr>
        <w:tc>
          <w:tcPr>
            <w:tcW w:w="728" w:type="dxa"/>
            <w:vMerge w:val="continue"/>
            <w:tcBorders>
              <w:right w:val="single" w:color="auto" w:sz="4" w:space="0"/>
            </w:tcBorders>
            <w:noWrap w:val="0"/>
            <w:vAlign w:val="center"/>
          </w:tcPr>
          <w:p w14:paraId="025326DE">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0CAB156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FEF9F6E">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设备的技术特性</w:t>
            </w:r>
          </w:p>
          <w:p w14:paraId="5E204BE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72097AF1">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Cs w:val="21"/>
                <w:highlight w:val="none"/>
              </w:rPr>
              <w:t>对投标人设备</w:t>
            </w:r>
            <w:r>
              <w:rPr>
                <w:rFonts w:hint="eastAsia" w:ascii="宋体" w:hAnsi="宋体" w:eastAsia="宋体" w:cs="宋体"/>
                <w:spacing w:val="-4"/>
                <w:kern w:val="28"/>
                <w:szCs w:val="21"/>
                <w:highlight w:val="none"/>
              </w:rPr>
              <w:t>的性能技术参数进行评审，</w:t>
            </w:r>
            <w:r>
              <w:rPr>
                <w:rFonts w:hint="eastAsia" w:ascii="宋体" w:hAnsi="宋体" w:eastAsia="宋体" w:cs="宋体"/>
                <w:szCs w:val="21"/>
                <w:highlight w:val="none"/>
              </w:rPr>
              <w:t>综合评审，横向比较，评委在0～5分范围内赋分。</w:t>
            </w:r>
          </w:p>
        </w:tc>
      </w:tr>
      <w:tr w14:paraId="3B976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exact"/>
          <w:jc w:val="center"/>
        </w:trPr>
        <w:tc>
          <w:tcPr>
            <w:tcW w:w="728" w:type="dxa"/>
            <w:vMerge w:val="continue"/>
            <w:tcBorders>
              <w:right w:val="single" w:color="auto" w:sz="4" w:space="0"/>
            </w:tcBorders>
            <w:noWrap w:val="0"/>
            <w:vAlign w:val="center"/>
          </w:tcPr>
          <w:p w14:paraId="7F5749F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A7EBD7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5860C70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生产工艺（5分）</w:t>
            </w:r>
          </w:p>
        </w:tc>
        <w:tc>
          <w:tcPr>
            <w:tcW w:w="5658" w:type="dxa"/>
            <w:noWrap w:val="0"/>
            <w:vAlign w:val="center"/>
          </w:tcPr>
          <w:p w14:paraId="79F9FF82">
            <w:pPr>
              <w:widowControl/>
              <w:autoSpaceDE/>
              <w:autoSpaceDN/>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对生产工艺的先进性、合理性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79826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exact"/>
          <w:jc w:val="center"/>
        </w:trPr>
        <w:tc>
          <w:tcPr>
            <w:tcW w:w="728" w:type="dxa"/>
            <w:vMerge w:val="continue"/>
            <w:tcBorders>
              <w:right w:val="single" w:color="auto" w:sz="4" w:space="0"/>
            </w:tcBorders>
            <w:noWrap w:val="0"/>
            <w:vAlign w:val="center"/>
          </w:tcPr>
          <w:p w14:paraId="75F475F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EAC1922">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B1EC718">
            <w:pPr>
              <w:widowControl/>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质量保证体系及质量保证措施</w:t>
            </w:r>
          </w:p>
          <w:p w14:paraId="1EB9881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（5分）</w:t>
            </w:r>
          </w:p>
        </w:tc>
        <w:tc>
          <w:tcPr>
            <w:tcW w:w="5658" w:type="dxa"/>
            <w:noWrap w:val="0"/>
            <w:vAlign w:val="center"/>
          </w:tcPr>
          <w:p w14:paraId="2D9A2160">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 w:val="21"/>
                <w:szCs w:val="21"/>
                <w:highlight w:val="none"/>
              </w:rPr>
              <w:t>对质量保证体系是否健全、保证措施是否合理可行并具有针对性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综合评审，横向比较，评委在0～5分范围内赋分。</w:t>
            </w:r>
          </w:p>
        </w:tc>
      </w:tr>
      <w:tr w14:paraId="2D602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exact"/>
          <w:jc w:val="center"/>
        </w:trPr>
        <w:tc>
          <w:tcPr>
            <w:tcW w:w="728" w:type="dxa"/>
            <w:vMerge w:val="continue"/>
            <w:tcBorders>
              <w:right w:val="single" w:color="auto" w:sz="4" w:space="0"/>
            </w:tcBorders>
            <w:noWrap w:val="0"/>
            <w:vAlign w:val="center"/>
          </w:tcPr>
          <w:p w14:paraId="2E3C667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05E1EFF2">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45A8AB4F">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highlight w:val="none"/>
                <w:lang w:val="en-US" w:eastAsia="zh-CN"/>
              </w:rPr>
              <w:t>安全生产保证体系及措施（5分）</w:t>
            </w:r>
          </w:p>
        </w:tc>
        <w:tc>
          <w:tcPr>
            <w:tcW w:w="5658" w:type="dxa"/>
            <w:noWrap w:val="0"/>
            <w:vAlign w:val="center"/>
          </w:tcPr>
          <w:p w14:paraId="16715401">
            <w:pPr>
              <w:widowControl/>
              <w:spacing w:beforeLines="0" w:afterLines="0"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对安全生产保证体系是否健全、保证措施是否合理可行并具有针对性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综合评审，横向比较，评委在0～5分范围内赋分。</w:t>
            </w:r>
          </w:p>
          <w:p w14:paraId="3685A144">
            <w:pPr>
              <w:widowControl/>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z w:val="21"/>
                <w:szCs w:val="21"/>
                <w:highlight w:val="none"/>
              </w:rPr>
              <w:t>综合评审，横向比较，评委在0～5分范围内赋分。</w:t>
            </w:r>
          </w:p>
        </w:tc>
      </w:tr>
      <w:tr w14:paraId="557A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exact"/>
          <w:jc w:val="center"/>
        </w:trPr>
        <w:tc>
          <w:tcPr>
            <w:tcW w:w="728" w:type="dxa"/>
            <w:vMerge w:val="continue"/>
            <w:tcBorders>
              <w:right w:val="single" w:color="auto" w:sz="4" w:space="0"/>
            </w:tcBorders>
            <w:noWrap w:val="0"/>
            <w:vAlign w:val="center"/>
          </w:tcPr>
          <w:p w14:paraId="541FA8B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73C52C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2B302D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highlight w:val="none"/>
              </w:rPr>
              <w:t>设备采购、制造方案（5分）</w:t>
            </w:r>
          </w:p>
        </w:tc>
        <w:tc>
          <w:tcPr>
            <w:tcW w:w="5658" w:type="dxa"/>
            <w:noWrap w:val="0"/>
            <w:vAlign w:val="center"/>
          </w:tcPr>
          <w:p w14:paraId="18A47D0D">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 w:val="21"/>
                <w:szCs w:val="21"/>
                <w:highlight w:val="none"/>
              </w:rPr>
              <w:t>对设备采购、制造方案，综合评审，横向比较，评委在0～5分范围内赋分。</w:t>
            </w:r>
          </w:p>
        </w:tc>
      </w:tr>
      <w:tr w14:paraId="28F4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exact"/>
          <w:jc w:val="center"/>
        </w:trPr>
        <w:tc>
          <w:tcPr>
            <w:tcW w:w="728" w:type="dxa"/>
            <w:vMerge w:val="continue"/>
            <w:tcBorders>
              <w:right w:val="single" w:color="auto" w:sz="4" w:space="0"/>
            </w:tcBorders>
            <w:noWrap w:val="0"/>
            <w:vAlign w:val="center"/>
          </w:tcPr>
          <w:p w14:paraId="7BE2DC0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52EB3A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EA7C8F1">
            <w:pPr>
              <w:widowControl/>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技术服务方案</w:t>
            </w:r>
          </w:p>
          <w:p w14:paraId="1927671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1FAF4611">
            <w:pPr>
              <w:widowControl/>
              <w:autoSpaceDE/>
              <w:autoSpaceDN/>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lang w:val="en-US" w:eastAsia="zh-CN"/>
              </w:rPr>
              <w:t>技术服务方案及保障措施，至少包含现场安装指导、现场设备调试、人员培训、故障维修等招标范围内包含的技术服务</w:t>
            </w:r>
            <w:r>
              <w:rPr>
                <w:rFonts w:hint="eastAsia" w:ascii="宋体" w:hAnsi="宋体" w:eastAsia="宋体" w:cs="宋体"/>
                <w:kern w:val="28"/>
                <w:szCs w:val="21"/>
                <w:highlight w:val="none"/>
                <w:lang w:eastAsia="zh-CN"/>
              </w:rPr>
              <w:t>，综合评审，横向比较，评委在0～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lang w:eastAsia="zh-CN"/>
              </w:rPr>
              <w:t>分范围内赋分。</w:t>
            </w:r>
          </w:p>
        </w:tc>
      </w:tr>
      <w:tr w14:paraId="1882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6" w:hRule="exact"/>
          <w:jc w:val="center"/>
        </w:trPr>
        <w:tc>
          <w:tcPr>
            <w:tcW w:w="728" w:type="dxa"/>
            <w:vMerge w:val="restart"/>
            <w:noWrap w:val="0"/>
            <w:vAlign w:val="center"/>
          </w:tcPr>
          <w:p w14:paraId="2104F44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42E62BF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3</w:t>
            </w:r>
            <w:r>
              <w:rPr>
                <w:rFonts w:hint="eastAsia" w:ascii="宋体" w:hAnsi="宋体" w:eastAsia="宋体" w:cs="宋体"/>
                <w:kern w:val="0"/>
                <w:szCs w:val="21"/>
                <w:highlight w:val="none"/>
                <w:lang w:eastAsia="en-US"/>
              </w:rPr>
              <w:t>）</w:t>
            </w:r>
          </w:p>
        </w:tc>
        <w:tc>
          <w:tcPr>
            <w:tcW w:w="1227" w:type="dxa"/>
            <w:gridSpan w:val="2"/>
            <w:vMerge w:val="restart"/>
            <w:noWrap w:val="0"/>
            <w:vAlign w:val="center"/>
          </w:tcPr>
          <w:p w14:paraId="39147842">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C</w:t>
            </w:r>
          </w:p>
          <w:p w14:paraId="5837D6C5">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综合标（商务部分）评分标准(20分)</w:t>
            </w:r>
          </w:p>
          <w:p w14:paraId="344FBA5C">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8EA1EC6">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投标人类似项目业绩（6分）</w:t>
            </w:r>
          </w:p>
        </w:tc>
        <w:tc>
          <w:tcPr>
            <w:tcW w:w="5658" w:type="dxa"/>
            <w:noWrap w:val="0"/>
            <w:vAlign w:val="top"/>
          </w:tcPr>
          <w:p w14:paraId="19920B6C">
            <w:pPr>
              <w:widowControl/>
              <w:spacing w:beforeLines="0" w:afterLines="0" w:line="360" w:lineRule="auto"/>
              <w:jc w:val="left"/>
              <w:rPr>
                <w:rFonts w:hint="eastAsia" w:ascii="宋体" w:hAnsi="宋体" w:eastAsia="宋体" w:cs="宋体"/>
                <w:b w:val="0"/>
                <w:bCs w:val="0"/>
                <w:kern w:val="11"/>
                <w:szCs w:val="21"/>
                <w:highlight w:val="none"/>
              </w:rPr>
            </w:pPr>
            <w:r>
              <w:rPr>
                <w:rFonts w:hint="eastAsia" w:ascii="宋体" w:hAnsi="宋体" w:eastAsia="宋体" w:cs="宋体"/>
                <w:b w:val="0"/>
                <w:bCs w:val="0"/>
                <w:kern w:val="11"/>
                <w:szCs w:val="21"/>
                <w:highlight w:val="none"/>
              </w:rPr>
              <w:t>202</w:t>
            </w:r>
            <w:r>
              <w:rPr>
                <w:rFonts w:hint="eastAsia" w:ascii="宋体" w:hAnsi="宋体" w:eastAsia="宋体" w:cs="宋体"/>
                <w:b w:val="0"/>
                <w:bCs w:val="0"/>
                <w:kern w:val="11"/>
                <w:szCs w:val="21"/>
                <w:highlight w:val="none"/>
                <w:lang w:val="en-US" w:eastAsia="zh-CN"/>
              </w:rPr>
              <w:t>0</w:t>
            </w:r>
            <w:r>
              <w:rPr>
                <w:rFonts w:hint="eastAsia" w:ascii="宋体" w:hAnsi="宋体" w:eastAsia="宋体" w:cs="宋体"/>
                <w:b w:val="0"/>
                <w:bCs w:val="0"/>
                <w:kern w:val="11"/>
                <w:szCs w:val="21"/>
                <w:highlight w:val="none"/>
              </w:rPr>
              <w:t>年</w:t>
            </w:r>
            <w:r>
              <w:rPr>
                <w:rFonts w:hint="eastAsia" w:ascii="宋体" w:hAnsi="宋体" w:eastAsia="宋体" w:cs="宋体"/>
                <w:b w:val="0"/>
                <w:bCs w:val="0"/>
                <w:kern w:val="11"/>
                <w:szCs w:val="21"/>
                <w:highlight w:val="none"/>
                <w:lang w:val="en-US" w:eastAsia="zh-CN"/>
              </w:rPr>
              <w:t>1</w:t>
            </w:r>
            <w:r>
              <w:rPr>
                <w:rFonts w:hint="eastAsia" w:ascii="宋体" w:hAnsi="宋体" w:eastAsia="宋体" w:cs="宋体"/>
                <w:b w:val="0"/>
                <w:bCs w:val="0"/>
                <w:kern w:val="11"/>
                <w:szCs w:val="21"/>
                <w:highlight w:val="none"/>
              </w:rPr>
              <w:t>月1日</w:t>
            </w:r>
            <w:r>
              <w:rPr>
                <w:rFonts w:hint="eastAsia" w:ascii="宋体" w:hAnsi="宋体" w:eastAsia="宋体" w:cs="宋体"/>
                <w:b w:val="0"/>
                <w:bCs w:val="0"/>
                <w:kern w:val="11"/>
                <w:szCs w:val="21"/>
                <w:highlight w:val="none"/>
                <w:lang w:val="en-US" w:eastAsia="zh-CN"/>
              </w:rPr>
              <w:t>以来</w:t>
            </w:r>
            <w:r>
              <w:rPr>
                <w:rFonts w:hint="eastAsia" w:ascii="宋体" w:hAnsi="宋体" w:eastAsia="宋体" w:cs="宋体"/>
                <w:b w:val="0"/>
                <w:bCs w:val="0"/>
                <w:kern w:val="11"/>
                <w:szCs w:val="21"/>
                <w:highlight w:val="none"/>
              </w:rPr>
              <w:t>（以合同签订时间为准）有类似项目业绩；每提供1项业绩的得2分，最多得6分。</w:t>
            </w:r>
          </w:p>
          <w:p w14:paraId="52C2C8DA">
            <w:pPr>
              <w:widowControl/>
              <w:spacing w:beforeLines="0" w:afterLines="0" w:line="360" w:lineRule="auto"/>
              <w:jc w:val="left"/>
              <w:rPr>
                <w:rFonts w:hint="eastAsia" w:ascii="宋体" w:hAnsi="宋体" w:eastAsia="宋体" w:cs="宋体"/>
                <w:b/>
                <w:bCs/>
                <w:kern w:val="11"/>
                <w:szCs w:val="21"/>
                <w:highlight w:val="none"/>
              </w:rPr>
            </w:pPr>
            <w:r>
              <w:rPr>
                <w:rFonts w:hint="eastAsia" w:ascii="宋体" w:hAnsi="宋体" w:eastAsia="宋体" w:cs="宋体"/>
                <w:b/>
                <w:bCs/>
                <w:kern w:val="11"/>
                <w:szCs w:val="21"/>
                <w:highlight w:val="none"/>
              </w:rPr>
              <w:t>注：提供合同文件</w:t>
            </w:r>
            <w:r>
              <w:rPr>
                <w:rFonts w:hint="eastAsia" w:ascii="宋体" w:hAnsi="宋体" w:eastAsia="宋体" w:cs="宋体"/>
                <w:b/>
                <w:bCs/>
                <w:kern w:val="11"/>
                <w:szCs w:val="21"/>
                <w:highlight w:val="none"/>
                <w:lang w:val="en-US" w:eastAsia="zh-CN"/>
              </w:rPr>
              <w:t>复印件或扫描件</w:t>
            </w:r>
            <w:r>
              <w:rPr>
                <w:rFonts w:hint="eastAsia" w:ascii="宋体" w:hAnsi="宋体" w:eastAsia="宋体" w:cs="宋体"/>
                <w:b/>
                <w:bCs/>
                <w:kern w:val="11"/>
                <w:szCs w:val="21"/>
                <w:highlight w:val="none"/>
              </w:rPr>
              <w:t>，对应合同项下任意一张不限金额的发票</w:t>
            </w:r>
            <w:r>
              <w:rPr>
                <w:rFonts w:hint="eastAsia" w:ascii="宋体" w:hAnsi="宋体" w:eastAsia="宋体" w:cs="宋体"/>
                <w:b/>
                <w:bCs/>
                <w:kern w:val="11"/>
                <w:szCs w:val="21"/>
                <w:highlight w:val="none"/>
                <w:lang w:eastAsia="zh-CN"/>
              </w:rPr>
              <w:t>，</w:t>
            </w:r>
            <w:r>
              <w:rPr>
                <w:rFonts w:hint="eastAsia" w:ascii="宋体" w:hAnsi="宋体" w:eastAsia="宋体" w:cs="宋体"/>
                <w:b/>
                <w:bCs/>
                <w:kern w:val="11"/>
                <w:szCs w:val="21"/>
                <w:highlight w:val="none"/>
              </w:rPr>
              <w:t>未提供的不得分。</w:t>
            </w:r>
          </w:p>
          <w:p w14:paraId="6858B29E">
            <w:pPr>
              <w:widowControl/>
              <w:spacing w:beforeLines="0" w:afterLines="0" w:line="360" w:lineRule="auto"/>
              <w:jc w:val="left"/>
              <w:rPr>
                <w:rFonts w:hint="eastAsia" w:ascii="宋体" w:hAnsi="宋体" w:eastAsia="宋体" w:cs="宋体"/>
                <w:b/>
                <w:bCs/>
                <w:kern w:val="11"/>
                <w:szCs w:val="21"/>
                <w:highlight w:val="none"/>
                <w:lang w:val="en-US" w:eastAsia="zh-CN"/>
              </w:rPr>
            </w:pPr>
            <w:r>
              <w:rPr>
                <w:rFonts w:hint="eastAsia" w:ascii="宋体" w:hAnsi="宋体" w:eastAsia="宋体" w:cs="宋体"/>
                <w:b/>
                <w:bCs/>
                <w:kern w:val="11"/>
                <w:szCs w:val="21"/>
                <w:highlight w:val="none"/>
                <w:lang w:val="en-US" w:eastAsia="zh-CN"/>
              </w:rPr>
              <w:t>（如有资格项业绩与评分项业绩可重复提供）</w:t>
            </w:r>
          </w:p>
        </w:tc>
      </w:tr>
      <w:tr w14:paraId="4E203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6" w:hRule="atLeast"/>
          <w:jc w:val="center"/>
        </w:trPr>
        <w:tc>
          <w:tcPr>
            <w:tcW w:w="728" w:type="dxa"/>
            <w:vMerge w:val="continue"/>
            <w:noWrap w:val="0"/>
            <w:vAlign w:val="center"/>
          </w:tcPr>
          <w:p w14:paraId="0FBECE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5A7760DF">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07B1B9E">
            <w:pPr>
              <w:widowControl/>
              <w:adjustRightInd w:val="0"/>
              <w:snapToGrid w:val="0"/>
              <w:spacing w:beforeLines="0" w:afterLines="0" w:line="360" w:lineRule="auto"/>
              <w:jc w:val="center"/>
              <w:rPr>
                <w:rFonts w:hint="eastAsia" w:ascii="宋体" w:hAnsi="宋体" w:eastAsia="宋体" w:cs="宋体"/>
                <w:sz w:val="21"/>
                <w:szCs w:val="21"/>
                <w:highlight w:val="none"/>
                <w:lang w:eastAsia="zh-CN"/>
              </w:rPr>
            </w:pPr>
            <w:r>
              <w:rPr>
                <w:rFonts w:hint="eastAsia" w:ascii="Times New Roman" w:hAnsi="Times New Roman" w:eastAsia="宋体" w:cs="Times New Roman"/>
                <w:szCs w:val="21"/>
                <w:highlight w:val="none"/>
              </w:rPr>
              <w:t>项目负责人资历</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分）</w:t>
            </w:r>
          </w:p>
        </w:tc>
        <w:tc>
          <w:tcPr>
            <w:tcW w:w="5658" w:type="dxa"/>
            <w:noWrap w:val="0"/>
            <w:vAlign w:val="center"/>
          </w:tcPr>
          <w:p w14:paraId="4041F4B6">
            <w:pPr>
              <w:widowControl/>
              <w:adjustRightInd w:val="0"/>
              <w:snapToGrid w:val="0"/>
              <w:spacing w:beforeLines="0" w:afterLines="0" w:line="360" w:lineRule="auto"/>
              <w:ind w:left="84" w:leftChars="40"/>
              <w:jc w:val="both"/>
              <w:rPr>
                <w:rFonts w:hint="eastAsia" w:ascii="宋体" w:hAnsi="宋体" w:eastAsia="宋体" w:cs="宋体"/>
                <w:kern w:val="11"/>
                <w:sz w:val="21"/>
                <w:szCs w:val="21"/>
                <w:highlight w:val="none"/>
                <w:lang w:eastAsia="zh-CN"/>
              </w:rPr>
            </w:pPr>
            <w:r>
              <w:rPr>
                <w:rFonts w:hint="eastAsia" w:ascii="宋体" w:hAnsi="宋体" w:eastAsia="宋体" w:cs="宋体"/>
                <w:kern w:val="11"/>
                <w:sz w:val="21"/>
                <w:szCs w:val="21"/>
                <w:highlight w:val="none"/>
                <w:lang w:val="en-US" w:eastAsia="zh-CN"/>
              </w:rPr>
              <w:t>项目负责人</w:t>
            </w:r>
            <w:r>
              <w:rPr>
                <w:rFonts w:hint="eastAsia" w:ascii="宋体" w:hAnsi="宋体" w:eastAsia="宋体" w:cs="宋体"/>
                <w:kern w:val="11"/>
                <w:sz w:val="21"/>
                <w:szCs w:val="21"/>
                <w:highlight w:val="none"/>
                <w:lang w:eastAsia="zh-CN"/>
              </w:rPr>
              <w:t>具有</w:t>
            </w:r>
            <w:r>
              <w:rPr>
                <w:rFonts w:hint="eastAsia" w:ascii="宋体" w:hAnsi="宋体" w:eastAsia="宋体" w:cs="宋体"/>
                <w:color w:val="000000"/>
                <w:kern w:val="11"/>
                <w:sz w:val="21"/>
                <w:szCs w:val="21"/>
                <w:highlight w:val="none"/>
                <w:lang w:val="en-US" w:eastAsia="zh-CN" w:bidi="ar-SA"/>
              </w:rPr>
              <w:t>类似项目</w:t>
            </w:r>
            <w:r>
              <w:rPr>
                <w:rFonts w:hint="eastAsia" w:ascii="宋体" w:hAnsi="宋体" w:eastAsia="宋体" w:cs="宋体"/>
                <w:bCs w:val="0"/>
                <w:color w:val="auto"/>
                <w:kern w:val="11"/>
                <w:sz w:val="21"/>
                <w:szCs w:val="21"/>
                <w:highlight w:val="none"/>
                <w:lang w:val="en-US" w:eastAsia="zh-CN" w:bidi="ar-SA"/>
              </w:rPr>
              <w:t>业绩</w:t>
            </w:r>
            <w:r>
              <w:rPr>
                <w:rFonts w:hint="eastAsia" w:ascii="宋体" w:hAnsi="宋体" w:eastAsia="宋体" w:cs="宋体"/>
                <w:kern w:val="11"/>
                <w:sz w:val="21"/>
                <w:szCs w:val="21"/>
                <w:highlight w:val="none"/>
                <w:lang w:eastAsia="zh-CN"/>
              </w:rPr>
              <w:t>（担任过项目负责人或技术负责人），每有1项得</w:t>
            </w:r>
            <w:r>
              <w:rPr>
                <w:rFonts w:hint="eastAsia" w:ascii="宋体" w:hAnsi="宋体" w:eastAsia="宋体" w:cs="宋体"/>
                <w:kern w:val="11"/>
                <w:sz w:val="21"/>
                <w:szCs w:val="21"/>
                <w:highlight w:val="none"/>
                <w:lang w:val="en-US" w:eastAsia="zh-CN"/>
              </w:rPr>
              <w:t>2</w:t>
            </w:r>
            <w:r>
              <w:rPr>
                <w:rFonts w:hint="eastAsia" w:ascii="宋体" w:hAnsi="宋体" w:eastAsia="宋体" w:cs="宋体"/>
                <w:kern w:val="11"/>
                <w:sz w:val="21"/>
                <w:szCs w:val="21"/>
                <w:highlight w:val="none"/>
                <w:lang w:eastAsia="zh-CN"/>
              </w:rPr>
              <w:t>分，最多得</w:t>
            </w:r>
            <w:r>
              <w:rPr>
                <w:rFonts w:hint="eastAsia" w:ascii="宋体" w:hAnsi="宋体" w:eastAsia="宋体" w:cs="宋体"/>
                <w:kern w:val="11"/>
                <w:sz w:val="21"/>
                <w:szCs w:val="21"/>
                <w:highlight w:val="none"/>
                <w:lang w:val="en-US" w:eastAsia="zh-CN"/>
              </w:rPr>
              <w:t>4</w:t>
            </w:r>
            <w:r>
              <w:rPr>
                <w:rFonts w:hint="eastAsia" w:ascii="宋体" w:hAnsi="宋体" w:eastAsia="宋体" w:cs="宋体"/>
                <w:kern w:val="11"/>
                <w:sz w:val="21"/>
                <w:szCs w:val="21"/>
                <w:highlight w:val="none"/>
                <w:lang w:eastAsia="zh-CN"/>
              </w:rPr>
              <w:t>分。</w:t>
            </w:r>
          </w:p>
          <w:p w14:paraId="33E976D2">
            <w:pPr>
              <w:widowControl w:val="0"/>
              <w:adjustRightInd w:val="0"/>
              <w:snapToGrid w:val="0"/>
              <w:spacing w:beforeLines="0" w:afterLines="0" w:line="360" w:lineRule="auto"/>
              <w:ind w:left="84" w:leftChars="4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注：提供合同文件（</w:t>
            </w:r>
            <w:r>
              <w:rPr>
                <w:rFonts w:hint="eastAsia" w:ascii="宋体" w:hAnsi="宋体" w:eastAsia="宋体" w:cs="宋体"/>
                <w:b/>
                <w:bCs/>
                <w:kern w:val="11"/>
                <w:sz w:val="21"/>
                <w:szCs w:val="21"/>
                <w:highlight w:val="none"/>
                <w:lang w:val="en-US" w:eastAsia="zh-CN" w:bidi="ar-SA"/>
              </w:rPr>
              <w:t>复印件或扫描件</w:t>
            </w:r>
            <w:r>
              <w:rPr>
                <w:rFonts w:hint="eastAsia" w:ascii="宋体" w:hAnsi="宋体" w:eastAsia="宋体" w:cs="宋体"/>
                <w:b/>
                <w:bCs/>
                <w:kern w:val="0"/>
                <w:sz w:val="21"/>
                <w:szCs w:val="21"/>
                <w:highlight w:val="none"/>
                <w:lang w:val="en-US" w:eastAsia="zh-CN" w:bidi="ar-SA"/>
              </w:rPr>
              <w:t>）和验收证明，如上述材料不能体现项目负责人任职情况，须提供项目业主单位出具的书面证明材料，未提供的不得分</w:t>
            </w:r>
            <w:r>
              <w:rPr>
                <w:rFonts w:hint="eastAsia" w:ascii="宋体" w:hAnsi="宋体" w:eastAsia="宋体" w:cs="宋体"/>
                <w:kern w:val="0"/>
                <w:sz w:val="21"/>
                <w:szCs w:val="21"/>
                <w:highlight w:val="none"/>
                <w:lang w:val="en-US" w:eastAsia="zh-CN" w:bidi="ar-SA"/>
              </w:rPr>
              <w:t>。</w:t>
            </w:r>
          </w:p>
          <w:p w14:paraId="4D67BD97">
            <w:pPr>
              <w:widowControl w:val="0"/>
              <w:adjustRightInd w:val="0"/>
              <w:snapToGrid w:val="0"/>
              <w:spacing w:beforeLines="0" w:afterLines="0" w:line="360" w:lineRule="auto"/>
              <w:ind w:left="84" w:leftChars="40"/>
              <w:jc w:val="both"/>
              <w:rPr>
                <w:rFonts w:hint="eastAsia" w:ascii="宋体" w:hAnsi="宋体" w:eastAsia="宋体" w:cs="宋体"/>
                <w:kern w:val="0"/>
                <w:sz w:val="21"/>
                <w:szCs w:val="21"/>
                <w:highlight w:val="none"/>
                <w:lang w:val="zh-CN" w:eastAsia="en-US" w:bidi="ar-SA"/>
              </w:rPr>
            </w:pPr>
            <w:r>
              <w:rPr>
                <w:rFonts w:hint="eastAsia" w:ascii="宋体" w:hAnsi="宋体" w:eastAsia="宋体" w:cs="宋体"/>
                <w:b/>
                <w:bCs/>
                <w:kern w:val="11"/>
                <w:szCs w:val="21"/>
                <w:highlight w:val="none"/>
                <w:lang w:val="en-US" w:eastAsia="zh-CN"/>
              </w:rPr>
              <w:t>（项目负责人业绩与企业业绩可重复提供）</w:t>
            </w:r>
          </w:p>
        </w:tc>
      </w:tr>
      <w:tr w14:paraId="19183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728" w:type="dxa"/>
            <w:vMerge w:val="continue"/>
            <w:noWrap w:val="0"/>
            <w:vAlign w:val="center"/>
          </w:tcPr>
          <w:p w14:paraId="449917D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2FCC03F">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DAD8E01">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体系认证</w:t>
            </w:r>
          </w:p>
          <w:p w14:paraId="40411C8C">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（3分）</w:t>
            </w:r>
          </w:p>
        </w:tc>
        <w:tc>
          <w:tcPr>
            <w:tcW w:w="5658" w:type="dxa"/>
            <w:noWrap w:val="0"/>
            <w:vAlign w:val="center"/>
          </w:tcPr>
          <w:p w14:paraId="6A4CCCFE">
            <w:pPr>
              <w:widowControl/>
              <w:adjustRightInd w:val="0"/>
              <w:snapToGrid w:val="0"/>
              <w:spacing w:beforeLines="0" w:afterLines="0" w:line="360" w:lineRule="auto"/>
              <w:ind w:left="0" w:leftChars="0"/>
              <w:jc w:val="both"/>
              <w:rPr>
                <w:rFonts w:hint="eastAsia" w:ascii="宋体" w:hAnsi="宋体" w:eastAsia="宋体" w:cs="宋体"/>
                <w:color w:val="FF0000"/>
                <w:szCs w:val="21"/>
                <w:highlight w:val="none"/>
                <w:lang w:val="zh-CN"/>
              </w:rPr>
            </w:pPr>
            <w:r>
              <w:rPr>
                <w:rFonts w:hint="eastAsia" w:ascii="宋体" w:hAnsi="宋体" w:eastAsia="宋体" w:cs="宋体"/>
                <w:kern w:val="0"/>
                <w:szCs w:val="21"/>
                <w:highlight w:val="none"/>
              </w:rPr>
              <w:t>具有质量管理体系认证证书、环境管理体系认证证书、职业健康安全管理体系认证证书且在有效期内的，每项得1分</w:t>
            </w:r>
            <w:r>
              <w:rPr>
                <w:rFonts w:hint="eastAsia" w:ascii="宋体" w:hAnsi="宋体" w:eastAsia="宋体" w:cs="宋体"/>
                <w:kern w:val="11"/>
                <w:szCs w:val="21"/>
                <w:highlight w:val="none"/>
              </w:rPr>
              <w:t>，最多得3分。</w:t>
            </w:r>
          </w:p>
        </w:tc>
      </w:tr>
      <w:tr w14:paraId="32D91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jc w:val="center"/>
        </w:trPr>
        <w:tc>
          <w:tcPr>
            <w:tcW w:w="728" w:type="dxa"/>
            <w:vMerge w:val="continue"/>
            <w:noWrap w:val="0"/>
            <w:vAlign w:val="center"/>
          </w:tcPr>
          <w:p w14:paraId="16B85D7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3375A6C4">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048CE9F">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信用等级</w:t>
            </w:r>
          </w:p>
          <w:p w14:paraId="223D9719">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bCs/>
                <w:color w:val="auto"/>
                <w:kern w:val="0"/>
                <w:sz w:val="21"/>
                <w:szCs w:val="21"/>
                <w:highlight w:val="none"/>
                <w:lang w:val="en-US" w:eastAsia="zh-CN" w:bidi="ar-SA"/>
              </w:rPr>
              <w:t>（3分）</w:t>
            </w:r>
          </w:p>
        </w:tc>
        <w:tc>
          <w:tcPr>
            <w:tcW w:w="5658" w:type="dxa"/>
            <w:noWrap w:val="0"/>
            <w:vAlign w:val="center"/>
          </w:tcPr>
          <w:p w14:paraId="598D5BB2">
            <w:pPr>
              <w:widowControl/>
              <w:wordWrap/>
              <w:spacing w:beforeLines="0" w:afterLines="0" w:line="360" w:lineRule="auto"/>
              <w:jc w:val="left"/>
              <w:rPr>
                <w:rFonts w:hint="eastAsia" w:ascii="宋体" w:hAnsi="宋体" w:eastAsia="宋体" w:cs="宋体"/>
                <w:color w:val="auto"/>
                <w:spacing w:val="1"/>
                <w:kern w:val="0"/>
                <w:sz w:val="21"/>
                <w:szCs w:val="21"/>
                <w:highlight w:val="none"/>
              </w:rPr>
            </w:pPr>
            <w:r>
              <w:rPr>
                <w:rFonts w:hint="eastAsia" w:ascii="宋体" w:hAnsi="宋体" w:eastAsia="宋体" w:cs="宋体"/>
                <w:color w:val="auto"/>
                <w:spacing w:val="1"/>
                <w:kern w:val="0"/>
                <w:sz w:val="21"/>
                <w:szCs w:val="21"/>
                <w:highlight w:val="none"/>
                <w:lang w:val="en-US" w:eastAsia="zh-CN"/>
              </w:rPr>
              <w:t>投标人提供</w:t>
            </w:r>
            <w:r>
              <w:rPr>
                <w:rFonts w:hint="eastAsia" w:ascii="宋体" w:hAnsi="宋体" w:eastAsia="宋体" w:cs="宋体"/>
                <w:color w:val="auto"/>
                <w:spacing w:val="1"/>
                <w:kern w:val="0"/>
                <w:sz w:val="21"/>
                <w:szCs w:val="21"/>
                <w:highlight w:val="none"/>
              </w:rPr>
              <w:t>水利部备案的信用评价机构评定的且在有效期内AAA等级得</w:t>
            </w:r>
            <w:r>
              <w:rPr>
                <w:rFonts w:hint="eastAsia" w:ascii="宋体" w:hAnsi="宋体" w:eastAsia="宋体" w:cs="宋体"/>
                <w:color w:val="auto"/>
                <w:spacing w:val="1"/>
                <w:kern w:val="0"/>
                <w:sz w:val="21"/>
                <w:szCs w:val="21"/>
                <w:highlight w:val="none"/>
                <w:lang w:val="en-US" w:eastAsia="zh-CN"/>
              </w:rPr>
              <w:t>3</w:t>
            </w:r>
            <w:r>
              <w:rPr>
                <w:rFonts w:hint="eastAsia" w:ascii="宋体" w:hAnsi="宋体" w:eastAsia="宋体" w:cs="宋体"/>
                <w:color w:val="auto"/>
                <w:spacing w:val="1"/>
                <w:kern w:val="0"/>
                <w:sz w:val="21"/>
                <w:szCs w:val="21"/>
                <w:highlight w:val="none"/>
              </w:rPr>
              <w:t>分，AA等级得</w:t>
            </w:r>
            <w:r>
              <w:rPr>
                <w:rFonts w:hint="eastAsia" w:ascii="宋体" w:hAnsi="宋体" w:eastAsia="宋体" w:cs="宋体"/>
                <w:color w:val="auto"/>
                <w:spacing w:val="1"/>
                <w:kern w:val="0"/>
                <w:sz w:val="21"/>
                <w:szCs w:val="21"/>
                <w:highlight w:val="none"/>
                <w:lang w:val="en-US" w:eastAsia="zh-CN"/>
              </w:rPr>
              <w:t>2</w:t>
            </w:r>
            <w:r>
              <w:rPr>
                <w:rFonts w:hint="eastAsia" w:ascii="宋体" w:hAnsi="宋体" w:eastAsia="宋体" w:cs="宋体"/>
                <w:color w:val="auto"/>
                <w:spacing w:val="1"/>
                <w:kern w:val="0"/>
                <w:sz w:val="21"/>
                <w:szCs w:val="21"/>
                <w:highlight w:val="none"/>
              </w:rPr>
              <w:t>分，A等级得</w:t>
            </w:r>
            <w:r>
              <w:rPr>
                <w:rFonts w:hint="eastAsia" w:ascii="宋体" w:hAnsi="宋体" w:eastAsia="宋体" w:cs="宋体"/>
                <w:color w:val="auto"/>
                <w:spacing w:val="1"/>
                <w:kern w:val="0"/>
                <w:sz w:val="21"/>
                <w:szCs w:val="21"/>
                <w:highlight w:val="none"/>
                <w:lang w:val="en-US" w:eastAsia="zh-CN"/>
              </w:rPr>
              <w:t>1</w:t>
            </w:r>
            <w:r>
              <w:rPr>
                <w:rFonts w:hint="eastAsia" w:ascii="宋体" w:hAnsi="宋体" w:eastAsia="宋体" w:cs="宋体"/>
                <w:color w:val="auto"/>
                <w:spacing w:val="1"/>
                <w:kern w:val="0"/>
                <w:sz w:val="21"/>
                <w:szCs w:val="21"/>
                <w:highlight w:val="none"/>
              </w:rPr>
              <w:t>分。</w:t>
            </w:r>
          </w:p>
          <w:p w14:paraId="4B96316B">
            <w:pPr>
              <w:widowControl/>
              <w:wordWrap/>
              <w:spacing w:beforeLines="0" w:afterLines="0" w:line="360" w:lineRule="auto"/>
              <w:jc w:val="left"/>
              <w:rPr>
                <w:rFonts w:hint="eastAsia" w:ascii="宋体" w:hAnsi="宋体" w:eastAsia="宋体" w:cs="宋体"/>
                <w:kern w:val="0"/>
                <w:szCs w:val="21"/>
                <w:highlight w:val="none"/>
              </w:rPr>
            </w:pPr>
            <w:r>
              <w:rPr>
                <w:rFonts w:hint="eastAsia" w:ascii="宋体" w:hAnsi="宋体" w:eastAsia="宋体" w:cs="宋体"/>
                <w:color w:val="auto"/>
                <w:spacing w:val="1"/>
                <w:kern w:val="0"/>
                <w:sz w:val="21"/>
                <w:szCs w:val="21"/>
                <w:highlight w:val="none"/>
              </w:rPr>
              <w:t>注:投标文件应提供信用评价证书原件的扫描件或复印件、全国水利建设市场监管平台信用评价网页查询证明材料，否则不得分。两者不一致时，以全国水利建设市场监管平台信用评价网页查询公示的为准。</w:t>
            </w:r>
          </w:p>
        </w:tc>
      </w:tr>
      <w:tr w14:paraId="560FD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28" w:type="dxa"/>
            <w:vMerge w:val="continue"/>
            <w:noWrap w:val="0"/>
            <w:vAlign w:val="center"/>
          </w:tcPr>
          <w:p w14:paraId="32FB462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5CDC9DE">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F757B85">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技术服务体系、承诺及培训</w:t>
            </w:r>
          </w:p>
          <w:p w14:paraId="0E7C6BAB">
            <w:pPr>
              <w:widowControl/>
              <w:adjustRightInd w:val="0"/>
              <w:snapToGrid w:val="0"/>
              <w:spacing w:beforeLines="0" w:afterLines="0" w:line="360" w:lineRule="auto"/>
              <w:jc w:val="center"/>
              <w:rPr>
                <w:rFonts w:hint="eastAsia" w:ascii="宋体" w:hAnsi="宋体" w:eastAsia="宋体" w:cs="宋体"/>
                <w:sz w:val="21"/>
                <w:szCs w:val="21"/>
                <w:highlight w:val="none"/>
                <w:lang w:eastAsia="zh-CN"/>
              </w:rPr>
            </w:pPr>
            <w:r>
              <w:rPr>
                <w:rFonts w:hint="eastAsia" w:ascii="宋体" w:hAnsi="宋体" w:eastAsia="宋体" w:cs="宋体"/>
                <w:bCs/>
                <w:color w:val="auto"/>
                <w:kern w:val="0"/>
                <w:sz w:val="21"/>
                <w:szCs w:val="21"/>
                <w:highlight w:val="none"/>
                <w:lang w:val="en-US" w:eastAsia="zh-CN" w:bidi="ar-SA"/>
              </w:rPr>
              <w:t>（4分）</w:t>
            </w:r>
          </w:p>
        </w:tc>
        <w:tc>
          <w:tcPr>
            <w:tcW w:w="5658" w:type="dxa"/>
            <w:noWrap w:val="0"/>
            <w:vAlign w:val="center"/>
          </w:tcPr>
          <w:p w14:paraId="1349EBB0">
            <w:pPr>
              <w:widowControl/>
              <w:wordWrap/>
              <w:spacing w:beforeLines="0" w:afterLines="0" w:line="360" w:lineRule="auto"/>
              <w:jc w:val="left"/>
              <w:rPr>
                <w:rFonts w:hint="eastAsia" w:ascii="宋体" w:hAnsi="宋体" w:eastAsia="宋体" w:cs="宋体"/>
                <w:szCs w:val="21"/>
                <w:highlight w:val="none"/>
              </w:rPr>
            </w:pPr>
            <w:r>
              <w:rPr>
                <w:rFonts w:hint="eastAsia" w:ascii="宋体" w:hAnsi="宋体" w:eastAsia="宋体" w:cs="宋体"/>
                <w:color w:val="auto"/>
                <w:spacing w:val="1"/>
                <w:kern w:val="0"/>
                <w:sz w:val="21"/>
                <w:szCs w:val="21"/>
                <w:highlight w:val="none"/>
                <w:lang w:eastAsia="zh-CN"/>
              </w:rPr>
              <w:t>对投标人产品技术服务、承诺及培训综合评审，横向比较，评委在0～</w:t>
            </w:r>
            <w:r>
              <w:rPr>
                <w:rFonts w:hint="eastAsia" w:ascii="宋体" w:hAnsi="宋体" w:eastAsia="宋体" w:cs="宋体"/>
                <w:color w:val="auto"/>
                <w:spacing w:val="1"/>
                <w:kern w:val="0"/>
                <w:sz w:val="21"/>
                <w:szCs w:val="21"/>
                <w:highlight w:val="none"/>
                <w:lang w:val="en-US" w:eastAsia="zh-CN"/>
              </w:rPr>
              <w:t>4</w:t>
            </w:r>
            <w:r>
              <w:rPr>
                <w:rFonts w:hint="eastAsia" w:ascii="宋体" w:hAnsi="宋体" w:eastAsia="宋体" w:cs="宋体"/>
                <w:color w:val="auto"/>
                <w:spacing w:val="1"/>
                <w:kern w:val="0"/>
                <w:sz w:val="21"/>
                <w:szCs w:val="21"/>
                <w:highlight w:val="none"/>
                <w:lang w:eastAsia="zh-CN"/>
              </w:rPr>
              <w:t>分范围内赋分。</w:t>
            </w:r>
          </w:p>
        </w:tc>
      </w:tr>
      <w:tr w14:paraId="1C25F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28" w:type="dxa"/>
            <w:noWrap w:val="0"/>
            <w:vAlign w:val="center"/>
          </w:tcPr>
          <w:p w14:paraId="46EDE53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bookmarkStart w:id="308" w:name="_Toc62034461"/>
            <w:r>
              <w:rPr>
                <w:rFonts w:hint="eastAsia" w:ascii="宋体" w:hAnsi="宋体" w:eastAsia="宋体" w:cs="宋体"/>
                <w:kern w:val="0"/>
                <w:szCs w:val="21"/>
                <w:highlight w:val="none"/>
                <w:lang w:eastAsia="en-US"/>
              </w:rPr>
              <w:t>2.2.4</w:t>
            </w:r>
          </w:p>
          <w:p w14:paraId="3FB4F9E0">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lang w:eastAsia="en-US"/>
              </w:rPr>
              <w:t>）</w:t>
            </w:r>
          </w:p>
        </w:tc>
        <w:tc>
          <w:tcPr>
            <w:tcW w:w="1227" w:type="dxa"/>
            <w:gridSpan w:val="2"/>
            <w:noWrap w:val="0"/>
            <w:vAlign w:val="center"/>
          </w:tcPr>
          <w:p w14:paraId="460FED4D">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D</w:t>
            </w:r>
          </w:p>
          <w:p w14:paraId="6C1136ED">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其他因素</w:t>
            </w:r>
            <w:r>
              <w:rPr>
                <w:rFonts w:hint="eastAsia" w:ascii="宋体" w:hAnsi="宋体" w:eastAsia="宋体" w:cs="宋体"/>
                <w:bCs/>
                <w:color w:val="auto"/>
                <w:kern w:val="0"/>
                <w:sz w:val="21"/>
                <w:szCs w:val="21"/>
                <w:highlight w:val="none"/>
                <w:lang w:val="en-US" w:eastAsia="zh-CN" w:bidi="ar-SA"/>
              </w:rPr>
              <w:t>评分标准</w:t>
            </w:r>
          </w:p>
        </w:tc>
        <w:tc>
          <w:tcPr>
            <w:tcW w:w="1689" w:type="dxa"/>
            <w:noWrap w:val="0"/>
            <w:vAlign w:val="center"/>
          </w:tcPr>
          <w:p w14:paraId="1392F282">
            <w:pPr>
              <w:widowControl/>
              <w:adjustRightInd w:val="0"/>
              <w:snapToGrid w:val="0"/>
              <w:spacing w:beforeLines="0" w:afterLines="0" w:line="360" w:lineRule="auto"/>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不良行为记录</w:t>
            </w:r>
          </w:p>
        </w:tc>
        <w:tc>
          <w:tcPr>
            <w:tcW w:w="5658" w:type="dxa"/>
            <w:noWrap w:val="0"/>
            <w:vAlign w:val="center"/>
          </w:tcPr>
          <w:p w14:paraId="3F809C62">
            <w:pPr>
              <w:widowControl/>
              <w:wordWrap/>
              <w:spacing w:beforeLines="0" w:afterLines="0" w:line="360" w:lineRule="auto"/>
              <w:jc w:val="left"/>
              <w:rPr>
                <w:rFonts w:hint="eastAsia" w:ascii="宋体" w:hAnsi="宋体" w:eastAsia="宋体" w:cs="宋体"/>
                <w:color w:val="auto"/>
                <w:spacing w:val="1"/>
                <w:kern w:val="0"/>
                <w:sz w:val="21"/>
                <w:szCs w:val="21"/>
                <w:highlight w:val="none"/>
                <w:lang w:eastAsia="zh-CN"/>
              </w:rPr>
            </w:pPr>
            <w:r>
              <w:rPr>
                <w:rFonts w:hint="eastAsia" w:ascii="宋体" w:hAnsi="宋体" w:eastAsia="宋体" w:cs="宋体"/>
                <w:color w:val="auto"/>
                <w:spacing w:val="1"/>
                <w:kern w:val="0"/>
                <w:sz w:val="21"/>
                <w:szCs w:val="21"/>
                <w:highlight w:val="none"/>
                <w:lang w:eastAsia="zh-CN"/>
              </w:rPr>
              <w:t>不良行为记录在水利建设市场监管平台上公告且在处罚期限内的，一次扣3分。附有水利建设市场监管平台项目信息网页截图证明材料。罚分不设上限。</w:t>
            </w:r>
          </w:p>
        </w:tc>
      </w:tr>
    </w:tbl>
    <w:p w14:paraId="78E328EE">
      <w:pPr>
        <w:keepNext w:val="0"/>
        <w:keepLines w:val="0"/>
        <w:pageBreakBefore w:val="0"/>
        <w:widowControl w:val="0"/>
        <w:numPr>
          <w:ilvl w:val="0"/>
          <w:numId w:val="0"/>
        </w:numPr>
        <w:kinsoku/>
        <w:wordWrap/>
        <w:overflowPunct/>
        <w:topLinePunct w:val="0"/>
        <w:autoSpaceDE/>
        <w:autoSpaceDN/>
        <w:bidi w:val="0"/>
        <w:adjustRightInd w:val="0"/>
        <w:snapToGrid/>
        <w:spacing w:beforeLines="0" w:afterLines="0" w:line="360" w:lineRule="auto"/>
        <w:ind w:left="0" w:leftChars="0" w:firstLine="480" w:firstLineChars="20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4"/>
          <w:szCs w:val="21"/>
          <w:highlight w:val="none"/>
          <w:lang w:val="en-US" w:eastAsia="zh-CN" w:bidi="ar-SA"/>
        </w:rPr>
        <w:br w:type="page"/>
      </w:r>
      <w:bookmarkEnd w:id="308"/>
      <w:bookmarkStart w:id="309" w:name="_Toc271870438"/>
      <w:bookmarkStart w:id="310" w:name="_Toc332378864"/>
      <w:bookmarkStart w:id="311" w:name="_Toc401150145"/>
      <w:bookmarkStart w:id="312" w:name="_Toc451444533"/>
      <w:bookmarkStart w:id="313" w:name="_Toc451443943"/>
    </w:p>
    <w:bookmarkEnd w:id="309"/>
    <w:bookmarkEnd w:id="310"/>
    <w:bookmarkEnd w:id="311"/>
    <w:bookmarkEnd w:id="312"/>
    <w:bookmarkEnd w:id="313"/>
    <w:p w14:paraId="3FF60C48">
      <w:pPr>
        <w:keepNext w:val="0"/>
        <w:keepLines w:val="0"/>
        <w:pageBreakBefore w:val="0"/>
        <w:widowControl/>
        <w:kinsoku/>
        <w:wordWrap w:val="0"/>
        <w:overflowPunct/>
        <w:topLinePunct w:val="0"/>
        <w:bidi w:val="0"/>
        <w:spacing w:beforeLines="0" w:afterLines="0" w:line="360" w:lineRule="auto"/>
        <w:ind w:firstLine="0" w:firstLineChars="0"/>
        <w:jc w:val="center"/>
        <w:textAlignment w:val="auto"/>
        <w:outlineLvl w:val="1"/>
        <w:rPr>
          <w:rFonts w:hint="default" w:ascii="宋体" w:hAnsi="宋体" w:eastAsia="宋体" w:cs="宋体"/>
          <w:szCs w:val="21"/>
          <w:highlight w:val="none"/>
          <w:lang w:val="en-US" w:eastAsia="zh-CN"/>
        </w:rPr>
      </w:pPr>
      <w:bookmarkStart w:id="314" w:name="_Toc91344939"/>
      <w:bookmarkStart w:id="315" w:name="_Toc144974577"/>
      <w:bookmarkStart w:id="316" w:name="_Toc221950660"/>
      <w:bookmarkStart w:id="317" w:name="_Toc222032669"/>
      <w:bookmarkStart w:id="318" w:name="_Toc62034469"/>
      <w:bookmarkStart w:id="319" w:name="_Toc222033851"/>
      <w:bookmarkStart w:id="320" w:name="_Toc222029500"/>
      <w:bookmarkStart w:id="321" w:name="_Toc229305360"/>
      <w:bookmarkStart w:id="322" w:name="_Toc222031002"/>
      <w:bookmarkStart w:id="323" w:name="_Toc168476127"/>
      <w:bookmarkStart w:id="324" w:name="_Toc168475724"/>
      <w:r>
        <w:rPr>
          <w:rFonts w:hint="eastAsia" w:ascii="宋体" w:hAnsi="宋体" w:eastAsia="宋体" w:cs="宋体"/>
          <w:b/>
          <w:bCs/>
          <w:sz w:val="21"/>
          <w:szCs w:val="21"/>
          <w:highlight w:val="none"/>
          <w:lang w:val="en-US" w:eastAsia="zh-CN"/>
        </w:rPr>
        <w:t>一、评标办法</w:t>
      </w:r>
    </w:p>
    <w:p w14:paraId="214AC731">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评标方法</w:t>
      </w:r>
    </w:p>
    <w:p w14:paraId="53CC36B5">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本次评标采用综合评估法评审。评标委员会对满足招标文件确定的评审标准和方法，客观、公正地对投标文件进行评审和比较，并按照最终得分由高到低顺序推荐中标候选人。</w:t>
      </w:r>
    </w:p>
    <w:p w14:paraId="226BA912">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评标标准</w:t>
      </w:r>
    </w:p>
    <w:p w14:paraId="778EE5F7">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2.1初步评审标准</w:t>
      </w:r>
    </w:p>
    <w:p w14:paraId="19E95814">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2.1.1形式评审标准：见评标办法前附表；</w:t>
      </w:r>
    </w:p>
    <w:p w14:paraId="35885CBF">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2.1.2资格评审标准：见评标办法前附表；</w:t>
      </w:r>
    </w:p>
    <w:p w14:paraId="307CA4A4">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2.1.3响应性评审标准：见评标办法前附表。</w:t>
      </w:r>
    </w:p>
    <w:p w14:paraId="2678C1E5">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2.2详细评审标准</w:t>
      </w:r>
    </w:p>
    <w:p w14:paraId="21EF75F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技术部分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474E85FD">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）投标报价</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554DE04B">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）综合部分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37FF40DD">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2"/>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3.评标程序</w:t>
      </w:r>
    </w:p>
    <w:p w14:paraId="0D5CFC6A">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3.1初步评审</w:t>
      </w:r>
    </w:p>
    <w:p w14:paraId="2B12B59E">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3.1.1评标委员会依据本章第2.1款规定的标准对投标文件进行初步评审。有一项不符合评审标准的，评标委员会应当否决其投标。</w:t>
      </w:r>
    </w:p>
    <w:p w14:paraId="29C13600">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3.1.2投标人有以下情形之一的，评标委员会应当否决其投标：</w:t>
      </w:r>
    </w:p>
    <w:p w14:paraId="75789A06">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（1）第二章“投标人须知”第1.4.3项规定的任何一种情形的；</w:t>
      </w:r>
    </w:p>
    <w:p w14:paraId="4D6A2B47">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（2）串通投标或弄虚作假或有其他违法行为的；</w:t>
      </w:r>
    </w:p>
    <w:p w14:paraId="375E8A4C">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（3）不按评标委员会要求澄清、说明或补正的。</w:t>
      </w:r>
    </w:p>
    <w:p w14:paraId="69A82C53">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7D1CF12F">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（1）投标文件中的大写金额与小写金额不一致的，以大写金额为准；</w:t>
      </w:r>
    </w:p>
    <w:p w14:paraId="199CA504">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（2）总价金额与依据单价计算出的结果不一致的，以单价金额为准修正总价，但单价金额小数点有明显错误的除外。</w:t>
      </w:r>
    </w:p>
    <w:p w14:paraId="1EE87FE6">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3.2详细评审</w:t>
      </w:r>
    </w:p>
    <w:p w14:paraId="29828CE3">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lang w:eastAsia="zh-CN"/>
        </w:rPr>
      </w:pPr>
      <w:r>
        <w:rPr>
          <w:rFonts w:hint="eastAsia" w:ascii="宋体" w:hAnsi="宋体" w:eastAsia="宋体" w:cs="宋体"/>
          <w:color w:val="auto"/>
          <w:spacing w:val="0"/>
          <w:kern w:val="0"/>
          <w:position w:val="0"/>
          <w:sz w:val="21"/>
          <w:szCs w:val="21"/>
          <w:highlight w:val="none"/>
        </w:rPr>
        <w:t>3.2.1</w:t>
      </w:r>
      <w:r>
        <w:rPr>
          <w:rFonts w:hint="eastAsia" w:ascii="宋体" w:hAnsi="宋体" w:eastAsia="宋体" w:cs="宋体"/>
          <w:color w:val="auto"/>
          <w:sz w:val="21"/>
          <w:szCs w:val="21"/>
          <w:highlight w:val="none"/>
          <w:lang w:val="en-US" w:eastAsia="zh-CN"/>
        </w:rPr>
        <w:t>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（1）按本章第2.2.4（1）目规定的评审因素和分值对投标报价计算出得分A；</w:t>
      </w:r>
    </w:p>
    <w:p w14:paraId="0642C069">
      <w:pPr>
        <w:widowControl/>
        <w:spacing w:beforeLines="0" w:afterLines="0" w:line="360" w:lineRule="auto"/>
        <w:ind w:firstLine="420" w:firstLineChars="200"/>
        <w:jc w:val="lef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（2）按本章第2.2.4（2）目规定的评审因素和分值对技术标计算出得分B；</w:t>
      </w:r>
    </w:p>
    <w:p w14:paraId="66CE2625">
      <w:pPr>
        <w:widowControl/>
        <w:spacing w:beforeLines="0" w:afterLines="0" w:line="360" w:lineRule="auto"/>
        <w:ind w:firstLine="420" w:firstLineChars="200"/>
        <w:jc w:val="lef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（3）按本章第2.2.4（3）目规定的评审因素和分值对综合标计算出得分C；</w:t>
      </w:r>
    </w:p>
    <w:p w14:paraId="3658B073">
      <w:pPr>
        <w:widowControl/>
        <w:spacing w:beforeLines="0" w:afterLines="0" w:line="360" w:lineRule="auto"/>
        <w:ind w:firstLine="420" w:firstLineChars="200"/>
        <w:jc w:val="left"/>
        <w:rPr>
          <w:rFonts w:hint="eastAsia" w:ascii="宋体" w:hAnsi="宋体" w:eastAsia="宋体" w:cs="宋体"/>
          <w:szCs w:val="22"/>
          <w:highlight w:val="none"/>
        </w:rPr>
      </w:pPr>
      <w:r>
        <w:rPr>
          <w:rFonts w:hint="eastAsia" w:ascii="宋体" w:hAnsi="宋体" w:eastAsia="宋体" w:cs="宋体"/>
          <w:szCs w:val="22"/>
          <w:highlight w:val="none"/>
        </w:rPr>
        <w:t>3.2.2</w:t>
      </w:r>
      <w:r>
        <w:rPr>
          <w:rFonts w:hint="eastAsia" w:ascii="宋体" w:hAnsi="宋体" w:eastAsia="宋体" w:cs="宋体"/>
          <w:szCs w:val="22"/>
          <w:highlight w:val="none"/>
          <w:lang w:eastAsia="zh-CN"/>
        </w:rPr>
        <w:t xml:space="preserve"> </w:t>
      </w:r>
      <w:r>
        <w:rPr>
          <w:rFonts w:hint="eastAsia" w:ascii="宋体" w:hAnsi="宋体" w:eastAsia="宋体" w:cs="宋体"/>
          <w:szCs w:val="22"/>
          <w:highlight w:val="none"/>
        </w:rPr>
        <w:t>评分分值计算保留小数点后两位，小数点后第三位“四舍五入”。</w:t>
      </w:r>
    </w:p>
    <w:p w14:paraId="50EA5EF6">
      <w:pPr>
        <w:widowControl/>
        <w:spacing w:beforeLines="0" w:afterLines="0" w:line="360" w:lineRule="auto"/>
        <w:ind w:firstLine="420" w:firstLineChars="200"/>
        <w:jc w:val="left"/>
        <w:rPr>
          <w:rFonts w:hint="eastAsia" w:ascii="宋体" w:hAnsi="宋体" w:eastAsia="宋体" w:cs="宋体"/>
          <w:color w:val="auto"/>
          <w:spacing w:val="0"/>
          <w:kern w:val="0"/>
          <w:position w:val="0"/>
          <w:sz w:val="21"/>
          <w:szCs w:val="21"/>
          <w:highlight w:val="none"/>
          <w:lang w:eastAsia="zh-CN"/>
        </w:rPr>
      </w:pPr>
      <w:r>
        <w:rPr>
          <w:rFonts w:hint="eastAsia" w:ascii="宋体" w:hAnsi="宋体" w:eastAsia="宋体" w:cs="宋体"/>
          <w:szCs w:val="22"/>
          <w:highlight w:val="none"/>
        </w:rPr>
        <w:t>3.2.3</w:t>
      </w:r>
      <w:r>
        <w:rPr>
          <w:rFonts w:hint="eastAsia" w:ascii="宋体" w:hAnsi="宋体" w:eastAsia="宋体" w:cs="宋体"/>
          <w:szCs w:val="22"/>
          <w:highlight w:val="none"/>
          <w:lang w:eastAsia="zh-CN"/>
        </w:rPr>
        <w:t xml:space="preserve"> </w:t>
      </w:r>
      <w:r>
        <w:rPr>
          <w:rFonts w:hint="eastAsia" w:ascii="宋体" w:hAnsi="宋体" w:eastAsia="宋体" w:cs="宋体"/>
          <w:szCs w:val="22"/>
          <w:highlight w:val="none"/>
        </w:rPr>
        <w:t>投标人得分=A+B+C</w:t>
      </w:r>
      <w:r>
        <w:rPr>
          <w:rFonts w:hint="eastAsia" w:ascii="宋体" w:hAnsi="宋体" w:eastAsia="宋体" w:cs="宋体"/>
          <w:szCs w:val="22"/>
          <w:highlight w:val="none"/>
          <w:lang w:eastAsia="zh-CN"/>
        </w:rPr>
        <w:t>-</w:t>
      </w:r>
      <w:r>
        <w:rPr>
          <w:rFonts w:hint="eastAsia" w:ascii="宋体" w:hAnsi="宋体" w:eastAsia="宋体" w:cs="宋体"/>
          <w:szCs w:val="22"/>
          <w:highlight w:val="none"/>
          <w:lang w:val="en-US" w:eastAsia="zh-CN"/>
        </w:rPr>
        <w:t>D</w:t>
      </w:r>
      <w:r>
        <w:rPr>
          <w:rFonts w:hint="eastAsia" w:ascii="宋体" w:hAnsi="宋体" w:eastAsia="宋体" w:cs="宋体"/>
          <w:szCs w:val="22"/>
          <w:highlight w:val="none"/>
        </w:rPr>
        <w:t>。</w:t>
      </w:r>
    </w:p>
    <w:p w14:paraId="7A2CC787">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3.2.</w:t>
      </w:r>
      <w:r>
        <w:rPr>
          <w:rFonts w:hint="eastAsia" w:ascii="宋体" w:hAnsi="宋体" w:eastAsia="宋体" w:cs="宋体"/>
          <w:color w:val="auto"/>
          <w:spacing w:val="0"/>
          <w:kern w:val="0"/>
          <w:position w:val="0"/>
          <w:sz w:val="21"/>
          <w:szCs w:val="21"/>
          <w:highlight w:val="none"/>
          <w:lang w:val="en-US" w:eastAsia="zh-CN"/>
        </w:rPr>
        <w:t xml:space="preserve">4 </w:t>
      </w:r>
      <w:r>
        <w:rPr>
          <w:rFonts w:hint="eastAsia" w:ascii="宋体" w:hAnsi="宋体" w:eastAsia="宋体" w:cs="宋体"/>
          <w:color w:val="auto"/>
          <w:spacing w:val="0"/>
          <w:kern w:val="0"/>
          <w:position w:val="0"/>
          <w:sz w:val="21"/>
          <w:szCs w:val="21"/>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67BE4F59">
      <w:pPr>
        <w:keepNext w:val="0"/>
        <w:keepLines w:val="0"/>
        <w:pageBreakBefore w:val="0"/>
        <w:widowControl w:val="0"/>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3.3投标文件的澄清和补正</w:t>
      </w:r>
    </w:p>
    <w:p w14:paraId="2B1C32CF">
      <w:pPr>
        <w:keepNext w:val="0"/>
        <w:keepLines w:val="0"/>
        <w:pageBreakBefore w:val="0"/>
        <w:widowControl w:val="0"/>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3507FC55">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3.3.2澄清、说明和补正不得改变投标文件的实质性内容。投标人的书面澄清、说明和补正属于投标文件的组成部分。</w:t>
      </w:r>
    </w:p>
    <w:p w14:paraId="0D85498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3.3.3评标委员会对投标人提交的澄清、说明或补正有疑问的，可以要求投标人进一步澄清、说明或补正，直至满足评标委员会的要求。</w:t>
      </w:r>
    </w:p>
    <w:p w14:paraId="68F32C81">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3.4书面决议</w:t>
      </w:r>
    </w:p>
    <w:p w14:paraId="5674767E">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3.4.1评标委员会评审时，出现下列情形之一的，应当由评标委员会全体成员表决，并形成书面决议：</w:t>
      </w:r>
    </w:p>
    <w:p w14:paraId="2747639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（一）评标委员会否决投标人投标；</w:t>
      </w:r>
    </w:p>
    <w:p w14:paraId="1E0CD7A2">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（二）电子开评标系统对不同投标人的电子投标文件做出雷同性提示或预警；</w:t>
      </w:r>
    </w:p>
    <w:p w14:paraId="58308F2B">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（三）评标委员会修正投标文件的错误，但招标文件不允许修正的除外；</w:t>
      </w:r>
    </w:p>
    <w:p w14:paraId="11FC442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（四）对招标文件中所载事项争议内容的释疑，但释疑不得改变招标文件的实质性内容。</w:t>
      </w:r>
    </w:p>
    <w:p w14:paraId="6C16A82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2E94130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3.4.2评标委员会进行表决的，应当按照下列程序进行：</w:t>
      </w:r>
    </w:p>
    <w:p w14:paraId="160FB761">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（一）评标委员会成员分别陈述意见；</w:t>
      </w:r>
    </w:p>
    <w:p w14:paraId="7D34C28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（二）集体讨论；</w:t>
      </w:r>
    </w:p>
    <w:p w14:paraId="43804BA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（三）评标委员会成员按照记名投票的方式进行表决，不得弃权；</w:t>
      </w:r>
    </w:p>
    <w:p w14:paraId="4B95192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（四）按照少数服从多数原则形成最终决议。</w:t>
      </w:r>
    </w:p>
    <w:p w14:paraId="23ED923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评标委员会成员的个人意见以及评标委员会最终决议，应当如实记入评标报告。决议不得违反</w:t>
      </w:r>
      <w:r>
        <w:rPr>
          <w:rFonts w:hint="eastAsia" w:ascii="宋体" w:hAnsi="宋体" w:eastAsia="宋体" w:cs="宋体"/>
          <w:color w:val="auto"/>
          <w:spacing w:val="0"/>
          <w:kern w:val="0"/>
          <w:position w:val="0"/>
          <w:sz w:val="21"/>
          <w:szCs w:val="21"/>
          <w:highlight w:val="none"/>
          <w:lang w:eastAsia="zh-CN"/>
        </w:rPr>
        <w:t>法律法规</w:t>
      </w:r>
      <w:r>
        <w:rPr>
          <w:rFonts w:hint="eastAsia" w:ascii="宋体" w:hAnsi="宋体" w:eastAsia="宋体" w:cs="宋体"/>
          <w:color w:val="auto"/>
          <w:spacing w:val="0"/>
          <w:kern w:val="0"/>
          <w:position w:val="0"/>
          <w:sz w:val="21"/>
          <w:szCs w:val="21"/>
          <w:highlight w:val="none"/>
        </w:rPr>
        <w:t>、规章以及招标文件的规定。</w:t>
      </w:r>
    </w:p>
    <w:p w14:paraId="2725853A">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3.5评标结果</w:t>
      </w:r>
    </w:p>
    <w:p w14:paraId="688062C9">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3.5.1评标完成后，评标委员会应当出具书面评标报告，推荐</w:t>
      </w:r>
      <w:r>
        <w:rPr>
          <w:rFonts w:hint="eastAsia" w:ascii="宋体" w:hAnsi="宋体" w:eastAsia="宋体" w:cs="宋体"/>
          <w:color w:val="auto"/>
          <w:spacing w:val="0"/>
          <w:kern w:val="0"/>
          <w:position w:val="0"/>
          <w:sz w:val="21"/>
          <w:szCs w:val="21"/>
          <w:highlight w:val="none"/>
          <w:lang w:eastAsia="zh-CN"/>
        </w:rPr>
        <w:t>中标候选人</w:t>
      </w:r>
      <w:r>
        <w:rPr>
          <w:rFonts w:hint="eastAsia" w:ascii="宋体" w:hAnsi="宋体" w:eastAsia="宋体" w:cs="宋体"/>
          <w:color w:val="auto"/>
          <w:spacing w:val="0"/>
          <w:kern w:val="0"/>
          <w:position w:val="0"/>
          <w:sz w:val="21"/>
          <w:szCs w:val="21"/>
          <w:highlight w:val="none"/>
        </w:rPr>
        <w:t>。</w:t>
      </w:r>
    </w:p>
    <w:p w14:paraId="5974D155">
      <w:pPr>
        <w:keepNext w:val="0"/>
        <w:keepLines w:val="0"/>
        <w:pageBreakBefore w:val="0"/>
        <w:widowControl w:val="0"/>
        <w:kinsoku/>
        <w:wordWrap w:val="0"/>
        <w:overflowPunct/>
        <w:topLinePunct w:val="0"/>
        <w:autoSpaceDE/>
        <w:autoSpaceDN/>
        <w:bidi w:val="0"/>
        <w:adjustRightInd/>
        <w:snapToGrid/>
        <w:spacing w:beforeLines="0" w:afterLines="0" w:line="360" w:lineRule="auto"/>
        <w:ind w:right="0" w:rightChars="0"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color w:val="auto"/>
          <w:spacing w:val="0"/>
          <w:kern w:val="0"/>
          <w:position w:val="0"/>
          <w:sz w:val="21"/>
          <w:szCs w:val="21"/>
          <w:highlight w:val="none"/>
          <w:lang w:val="en-US" w:eastAsia="zh-CN" w:bidi="ar-SA"/>
        </w:rPr>
        <w:t>3.5.2评标委员会完成评标后，应当向招标人提交书面评标报告。</w:t>
      </w:r>
      <w:r>
        <w:rPr>
          <w:rFonts w:hint="eastAsia" w:ascii="宋体" w:hAnsi="宋体" w:eastAsia="宋体" w:cs="宋体"/>
          <w:b/>
          <w:color w:val="auto"/>
          <w:sz w:val="21"/>
          <w:szCs w:val="21"/>
          <w:highlight w:val="none"/>
        </w:rPr>
        <w:br w:type="page"/>
      </w:r>
    </w:p>
    <w:p w14:paraId="754D50BA">
      <w:pPr>
        <w:widowControl/>
        <w:adjustRightInd w:val="0"/>
        <w:snapToGrid w:val="0"/>
        <w:spacing w:before="0" w:beforeLines="0" w:after="0" w:afterLines="0" w:line="360" w:lineRule="auto"/>
        <w:ind w:firstLine="0" w:firstLineChars="0"/>
        <w:jc w:val="center"/>
        <w:outlineLvl w:val="1"/>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定标办法（核查随机法）</w:t>
      </w:r>
    </w:p>
    <w:p w14:paraId="2748C75F">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25" w:name="_Toc23030"/>
      <w:bookmarkStart w:id="326" w:name="_Toc4957"/>
      <w:bookmarkStart w:id="327" w:name="_Toc16679"/>
      <w:bookmarkStart w:id="328" w:name="_Toc849"/>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325"/>
      <w:bookmarkEnd w:id="326"/>
      <w:bookmarkEnd w:id="327"/>
      <w:bookmarkEnd w:id="328"/>
    </w:p>
    <w:p w14:paraId="5BA72A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bookmarkStart w:id="329" w:name="OLE_LINK41"/>
      <w:r>
        <w:rPr>
          <w:rFonts w:hint="eastAsia" w:ascii="宋体" w:hAnsi="宋体" w:eastAsia="宋体" w:cs="宋体"/>
          <w:color w:val="auto"/>
          <w:sz w:val="21"/>
          <w:szCs w:val="21"/>
          <w:highlight w:val="none"/>
        </w:rPr>
        <w:t>本次定标办法的制定依据下列文件进行：</w:t>
      </w:r>
    </w:p>
    <w:p w14:paraId="22B5ACE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42FE254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60FCEFA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0448B6C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58674D4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D4B3F1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7CBD904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7BE69D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329"/>
    <w:p w14:paraId="445426C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30" w:name="_Toc25258"/>
      <w:bookmarkStart w:id="331" w:name="_Toc9674"/>
      <w:bookmarkStart w:id="332" w:name="_Toc28603"/>
      <w:bookmarkStart w:id="333" w:name="_Toc29090"/>
      <w:bookmarkStart w:id="334" w:name="_Toc22184"/>
      <w:bookmarkStart w:id="335" w:name="_Toc14808"/>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330"/>
      <w:bookmarkEnd w:id="331"/>
      <w:bookmarkEnd w:id="332"/>
      <w:bookmarkEnd w:id="333"/>
      <w:bookmarkEnd w:id="334"/>
      <w:bookmarkEnd w:id="335"/>
    </w:p>
    <w:p w14:paraId="0924E52F">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2A7273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336" w:name="_Toc31048"/>
    </w:p>
    <w:p w14:paraId="7858019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37" w:name="_Toc25602"/>
      <w:bookmarkStart w:id="338" w:name="_Toc7704"/>
      <w:bookmarkStart w:id="339" w:name="_Toc16772"/>
      <w:bookmarkStart w:id="340" w:name="_Toc24063"/>
      <w:bookmarkStart w:id="341" w:name="_Toc16613"/>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336"/>
      <w:bookmarkEnd w:id="337"/>
      <w:bookmarkEnd w:id="338"/>
      <w:bookmarkEnd w:id="339"/>
      <w:bookmarkEnd w:id="340"/>
      <w:bookmarkEnd w:id="341"/>
    </w:p>
    <w:p w14:paraId="76E08E22">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bookmarkStart w:id="342" w:name="OLE_LINK43"/>
      <w:r>
        <w:rPr>
          <w:rFonts w:hint="eastAsia" w:ascii="宋体" w:hAnsi="宋体" w:eastAsia="宋体" w:cs="宋体"/>
          <w:b w:val="0"/>
          <w:bCs w:val="0"/>
          <w:color w:val="auto"/>
          <w:sz w:val="21"/>
          <w:szCs w:val="21"/>
          <w:highlight w:val="none"/>
        </w:rPr>
        <w:t>本项目定标方法采用核查随机法进行定标。</w:t>
      </w:r>
    </w:p>
    <w:p w14:paraId="3744633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342"/>
    <w:p w14:paraId="092DCC8D">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43" w:name="_Toc31431"/>
      <w:bookmarkStart w:id="344" w:name="_Toc12956"/>
      <w:bookmarkStart w:id="345" w:name="_Toc25938"/>
      <w:bookmarkStart w:id="346" w:name="_Toc23309"/>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343"/>
      <w:bookmarkEnd w:id="344"/>
      <w:bookmarkEnd w:id="345"/>
      <w:bookmarkEnd w:id="346"/>
    </w:p>
    <w:p w14:paraId="1A745BD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6B914C2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436485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7CF8B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06679F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5A6C6DB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6D3D766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47" w:name="_Toc27202"/>
      <w:bookmarkStart w:id="348" w:name="_Toc25727"/>
      <w:bookmarkStart w:id="349" w:name="_Toc2644"/>
      <w:bookmarkStart w:id="350" w:name="_Toc9111"/>
      <w:bookmarkStart w:id="351" w:name="_Toc26714"/>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347"/>
      <w:bookmarkEnd w:id="348"/>
      <w:bookmarkEnd w:id="349"/>
      <w:bookmarkEnd w:id="350"/>
      <w:bookmarkEnd w:id="351"/>
    </w:p>
    <w:p w14:paraId="6514F60B">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EB441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④单位负责人为同一人或者存在控股、管理关系的不同单位，不得同时参加本项目投标（提供“国家企业信用信息公示系统”中完整的报告）。</w:t>
      </w:r>
    </w:p>
    <w:p w14:paraId="6B791ADA">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（2）营业执照、资质证书、安全生产许可证；</w:t>
      </w:r>
    </w:p>
    <w:p w14:paraId="55C9EBF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项目负责人证书；</w:t>
      </w:r>
    </w:p>
    <w:p w14:paraId="3442917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（4）相关人员社保证明；</w:t>
      </w:r>
    </w:p>
    <w:p w14:paraId="1665698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（5）财务状况；</w:t>
      </w:r>
    </w:p>
    <w:p w14:paraId="65AC489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（6）业绩；</w:t>
      </w:r>
    </w:p>
    <w:p w14:paraId="0A9E6E2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0E901F1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5B9038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140B8777">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bookmarkStart w:id="352" w:name="_Toc18790"/>
      <w:bookmarkStart w:id="353" w:name="_Toc23939"/>
      <w:bookmarkStart w:id="354" w:name="_Toc18959"/>
      <w:bookmarkStart w:id="355" w:name="_Toc18001"/>
      <w:bookmarkStart w:id="356" w:name="_Toc5648"/>
      <w:bookmarkStart w:id="357" w:name="_Toc11203"/>
    </w:p>
    <w:p w14:paraId="3503A966">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352"/>
      <w:bookmarkEnd w:id="353"/>
      <w:bookmarkEnd w:id="354"/>
      <w:bookmarkEnd w:id="355"/>
      <w:bookmarkEnd w:id="356"/>
      <w:bookmarkEnd w:id="357"/>
      <w:r>
        <w:rPr>
          <w:rFonts w:hint="eastAsia" w:ascii="宋体" w:hAnsi="宋体" w:eastAsia="宋体" w:cs="宋体"/>
          <w:b/>
          <w:bCs/>
          <w:color w:val="auto"/>
          <w:sz w:val="21"/>
          <w:szCs w:val="21"/>
          <w:highlight w:val="none"/>
          <w:lang w:val="en-US" w:eastAsia="zh-CN"/>
        </w:rPr>
        <w:t>会议</w:t>
      </w:r>
    </w:p>
    <w:p w14:paraId="3662300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定标委员会将通过</w:t>
      </w:r>
      <w:r>
        <w:rPr>
          <w:rFonts w:hint="eastAsia" w:ascii="宋体" w:hAnsi="宋体" w:eastAsia="宋体" w:cs="宋体"/>
          <w:b/>
          <w:bCs/>
          <w:color w:val="auto"/>
          <w:kern w:val="0"/>
          <w:sz w:val="21"/>
          <w:szCs w:val="21"/>
          <w:highlight w:val="none"/>
          <w:lang w:val="en-US" w:eastAsia="zh-CN" w:bidi="ar-SA"/>
        </w:rPr>
        <w:t>核查随机法</w:t>
      </w:r>
      <w:r>
        <w:rPr>
          <w:rFonts w:hint="eastAsia" w:ascii="宋体" w:hAnsi="宋体" w:eastAsia="宋体" w:cs="宋体"/>
          <w:color w:val="auto"/>
          <w:kern w:val="0"/>
          <w:sz w:val="21"/>
          <w:szCs w:val="21"/>
          <w:highlight w:val="none"/>
          <w:lang w:val="en-US" w:eastAsia="zh-CN" w:bidi="ar-SA"/>
        </w:rPr>
        <w:t>进行定标。</w:t>
      </w:r>
    </w:p>
    <w:p w14:paraId="4A40356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2E3C76E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会议按以下程序进行:</w:t>
      </w:r>
    </w:p>
    <w:p w14:paraId="3ED956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1、在定标现场放置标注为“1”、“2”的2组自然数代码球。</w:t>
      </w:r>
    </w:p>
    <w:p w14:paraId="5FE07C8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54B9B48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534DCC8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24A3FA96">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Times New Roman"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358" w:name="_Toc23497"/>
      <w:bookmarkStart w:id="359" w:name="_Toc14587"/>
      <w:bookmarkStart w:id="360" w:name="_Toc11373"/>
      <w:bookmarkStart w:id="361" w:name="_Toc16424"/>
      <w:bookmarkStart w:id="362" w:name="_Toc23431"/>
      <w:bookmarkStart w:id="363" w:name="_Toc9183"/>
      <w:bookmarkStart w:id="364" w:name="_Toc23427"/>
      <w:bookmarkStart w:id="365" w:name="_Toc27971"/>
      <w:bookmarkStart w:id="366" w:name="_Toc21472"/>
    </w:p>
    <w:p w14:paraId="3687E3E9">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358"/>
      <w:bookmarkEnd w:id="359"/>
      <w:bookmarkEnd w:id="360"/>
      <w:bookmarkEnd w:id="361"/>
      <w:bookmarkEnd w:id="362"/>
    </w:p>
    <w:p w14:paraId="53A5CB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定标委员会将按照招标文件中明确的定标原则、方法和程序，在中标候选人中确定中标人，并形成书面定标报告。</w:t>
      </w:r>
    </w:p>
    <w:p w14:paraId="209BE0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定标报告应当包括定标时间、定标地点、定标委员会成员名单、定标原则、定标方法、择优因素、定标程序及定标结果等内容。</w:t>
      </w:r>
    </w:p>
    <w:p w14:paraId="46C81D3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w:t>
      </w:r>
      <w:r>
        <w:rPr>
          <w:rFonts w:hint="eastAsia" w:ascii="宋体" w:hAnsi="宋体" w:eastAsia="宋体" w:cs="宋体"/>
          <w:color w:val="auto"/>
          <w:sz w:val="21"/>
          <w:szCs w:val="21"/>
          <w:highlight w:val="none"/>
          <w:lang w:val="en-US" w:eastAsia="zh-CN"/>
        </w:rPr>
        <w:t>供货期（服务期）</w:t>
      </w:r>
      <w:r>
        <w:rPr>
          <w:rFonts w:hint="eastAsia" w:ascii="宋体" w:hAnsi="宋体" w:eastAsia="宋体" w:cs="宋体"/>
          <w:color w:val="auto"/>
          <w:sz w:val="21"/>
          <w:szCs w:val="21"/>
          <w:highlight w:val="none"/>
        </w:rPr>
        <w:t>、资格条件、项目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bookmarkStart w:id="367" w:name="_Toc15980"/>
      <w:bookmarkStart w:id="368" w:name="_Toc4409"/>
      <w:bookmarkStart w:id="369" w:name="_Toc9685"/>
    </w:p>
    <w:p w14:paraId="4B21D7B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363"/>
      <w:bookmarkEnd w:id="364"/>
      <w:bookmarkEnd w:id="365"/>
      <w:bookmarkEnd w:id="366"/>
      <w:bookmarkEnd w:id="367"/>
      <w:bookmarkEnd w:id="368"/>
      <w:bookmarkEnd w:id="369"/>
    </w:p>
    <w:p w14:paraId="6A1AD2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（1）确定的中标人经公示后无异议，可以发放《中标通知书》。</w:t>
      </w:r>
    </w:p>
    <w:p w14:paraId="5CC6400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054C3DA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6D4C6C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755E236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72156F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19BDF860">
      <w:pPr>
        <w:widowControl/>
        <w:numPr>
          <w:ilvl w:val="0"/>
          <w:numId w:val="0"/>
        </w:numPr>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(三)招标文件规定的其他情形。</w:t>
      </w:r>
      <w:bookmarkStart w:id="370" w:name="_Toc19849"/>
      <w:bookmarkStart w:id="371" w:name="_Toc760"/>
    </w:p>
    <w:p w14:paraId="2F58A609">
      <w:pPr>
        <w:widowControl/>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p>
    <w:p w14:paraId="7527F36A">
      <w:pPr>
        <w:widowControl/>
        <w:numPr>
          <w:ilvl w:val="0"/>
          <w:numId w:val="0"/>
        </w:numPr>
        <w:spacing w:beforeLines="0" w:afterLines="0" w:line="360" w:lineRule="auto"/>
        <w:jc w:val="center"/>
        <w:outlineLvl w:val="0"/>
        <w:rPr>
          <w:rFonts w:hint="eastAsia" w:ascii="宋体" w:hAnsi="宋体" w:eastAsia="宋体" w:cs="宋体"/>
          <w:sz w:val="44"/>
          <w:szCs w:val="44"/>
          <w:highlight w:val="none"/>
        </w:rPr>
      </w:pPr>
      <w:r>
        <w:rPr>
          <w:rFonts w:hint="eastAsia" w:ascii="宋体" w:hAnsi="宋体" w:eastAsia="宋体" w:cs="宋体"/>
          <w:b/>
          <w:bCs/>
          <w:sz w:val="32"/>
          <w:szCs w:val="32"/>
          <w:highlight w:val="none"/>
          <w:lang w:val="en-US" w:eastAsia="zh-CN"/>
        </w:rPr>
        <w:t>第四章 合同条款及格式</w:t>
      </w:r>
      <w:bookmarkEnd w:id="370"/>
      <w:bookmarkEnd w:id="371"/>
    </w:p>
    <w:bookmarkEnd w:id="314"/>
    <w:bookmarkEnd w:id="315"/>
    <w:bookmarkEnd w:id="316"/>
    <w:bookmarkEnd w:id="317"/>
    <w:bookmarkEnd w:id="318"/>
    <w:bookmarkEnd w:id="319"/>
    <w:bookmarkEnd w:id="320"/>
    <w:bookmarkEnd w:id="321"/>
    <w:bookmarkEnd w:id="322"/>
    <w:bookmarkEnd w:id="323"/>
    <w:bookmarkEnd w:id="324"/>
    <w:p w14:paraId="1D6D4685">
      <w:pPr>
        <w:widowControl/>
        <w:adjustRightInd w:val="0"/>
        <w:snapToGrid w:val="0"/>
        <w:spacing w:before="0" w:beforeLines="0" w:after="0" w:line="360" w:lineRule="auto"/>
        <w:ind w:firstLine="482" w:firstLineChars="200"/>
        <w:jc w:val="center"/>
        <w:outlineLvl w:val="9"/>
        <w:rPr>
          <w:rFonts w:hint="eastAsia" w:ascii="宋体" w:hAnsi="宋体" w:eastAsia="宋体" w:cs="宋体"/>
          <w:b/>
          <w:sz w:val="24"/>
          <w:szCs w:val="24"/>
          <w:highlight w:val="none"/>
        </w:rPr>
      </w:pPr>
      <w:bookmarkStart w:id="372" w:name="_Toc20372"/>
      <w:bookmarkStart w:id="373" w:name="_Toc6207"/>
      <w:bookmarkStart w:id="374" w:name="_Toc62034470"/>
      <w:bookmarkStart w:id="375" w:name="_Toc27565"/>
      <w:bookmarkStart w:id="376" w:name="_Toc91344940"/>
      <w:r>
        <w:rPr>
          <w:rFonts w:hint="eastAsia" w:ascii="宋体" w:hAnsi="宋体" w:eastAsia="宋体" w:cs="宋体"/>
          <w:b/>
          <w:sz w:val="24"/>
          <w:szCs w:val="24"/>
          <w:highlight w:val="none"/>
        </w:rPr>
        <w:t>第一节</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通用合同条款</w:t>
      </w:r>
    </w:p>
    <w:bookmarkEnd w:id="372"/>
    <w:bookmarkEnd w:id="373"/>
    <w:bookmarkEnd w:id="374"/>
    <w:bookmarkEnd w:id="375"/>
    <w:bookmarkEnd w:id="376"/>
    <w:p w14:paraId="29D5984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377" w:name="_Toc91344941"/>
      <w:bookmarkStart w:id="378" w:name="_Toc27479"/>
      <w:bookmarkStart w:id="379" w:name="_Toc54550753"/>
      <w:bookmarkStart w:id="380" w:name="_Toc19115"/>
      <w:bookmarkStart w:id="381" w:name="_Toc4130"/>
      <w:bookmarkStart w:id="382" w:name="_Toc62034471"/>
      <w:bookmarkStart w:id="383" w:name="_Toc19376"/>
      <w:bookmarkStart w:id="384" w:name="_Toc534572285"/>
      <w:r>
        <w:rPr>
          <w:rFonts w:hint="eastAsia" w:ascii="宋体" w:hAnsi="宋体" w:eastAsia="宋体" w:cs="宋体"/>
          <w:b/>
          <w:bCs/>
          <w:kern w:val="0"/>
          <w:sz w:val="21"/>
          <w:szCs w:val="21"/>
          <w:highlight w:val="none"/>
          <w:lang w:val="en-US" w:eastAsia="zh-CN" w:bidi="ar-SA"/>
        </w:rPr>
        <w:t>1.一般约定</w:t>
      </w:r>
      <w:bookmarkEnd w:id="377"/>
      <w:bookmarkEnd w:id="378"/>
      <w:bookmarkEnd w:id="379"/>
      <w:bookmarkEnd w:id="380"/>
      <w:bookmarkEnd w:id="381"/>
      <w:bookmarkEnd w:id="382"/>
      <w:bookmarkEnd w:id="383"/>
      <w:bookmarkEnd w:id="384"/>
    </w:p>
    <w:p w14:paraId="2F29954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85" w:name="_bookmark106"/>
      <w:bookmarkEnd w:id="385"/>
      <w:bookmarkStart w:id="386" w:name="_Toc21344"/>
      <w:bookmarkStart w:id="387" w:name="_Toc9071"/>
      <w:bookmarkStart w:id="388" w:name="_Toc27377"/>
      <w:bookmarkStart w:id="389" w:name="_Toc12116"/>
      <w:r>
        <w:rPr>
          <w:rFonts w:hint="eastAsia" w:ascii="宋体" w:hAnsi="宋体" w:eastAsia="宋体" w:cs="宋体"/>
          <w:kern w:val="0"/>
          <w:sz w:val="21"/>
          <w:szCs w:val="21"/>
          <w:highlight w:val="none"/>
          <w:lang w:val="en-US" w:eastAsia="zh-CN" w:bidi="ar-SA"/>
        </w:rPr>
        <w:t>1.1  词语定义</w:t>
      </w:r>
      <w:bookmarkEnd w:id="386"/>
      <w:bookmarkEnd w:id="387"/>
      <w:bookmarkEnd w:id="388"/>
      <w:bookmarkEnd w:id="389"/>
    </w:p>
    <w:p w14:paraId="694D0E0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除专用合同条款另有约定外，合同中的下列词语应具有本款所赋予的含义。</w:t>
      </w:r>
    </w:p>
    <w:p w14:paraId="7C3D645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  合同</w:t>
      </w:r>
    </w:p>
    <w:p w14:paraId="1331D0F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合同文件（或称合同）：指合同协议书、中标通知书、投标函、商务和技术偏差表、专用合同条款、通用合同条款、供货要求、分项报价表、中标设备技术性能指标的详细描述、 技术服务和质保期服务计划，以及其他构成合同组成部分的文件。</w:t>
      </w:r>
    </w:p>
    <w:p w14:paraId="17B22F5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1.1.1.2 合同协议书：指买方和卖方共同签署的合同协议书。</w:t>
      </w:r>
    </w:p>
    <w:p w14:paraId="2D712B1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 中标通知书：指买方通知卖方中标的函件。</w:t>
      </w:r>
    </w:p>
    <w:p w14:paraId="0BAD765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1.1.1.4 投标函：指由卖方填写并签署的，名为“投标函”的函件。</w:t>
      </w:r>
    </w:p>
    <w:p w14:paraId="300D9E8E">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1.1.1.5 商务和技术偏差表：指卖方投标文件中的商务和技术偏差表。</w:t>
      </w:r>
    </w:p>
    <w:p w14:paraId="109D781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1.1.1.6 供货要求：指合同文件中名为“供货要求”的文件。</w:t>
      </w:r>
    </w:p>
    <w:p w14:paraId="6EDDD68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1.1.1.7 中标设备技术性能指标的详细描述：指卖方投标文件中的投标设备技术性能指标的详细描述。</w:t>
      </w:r>
    </w:p>
    <w:p w14:paraId="3F1D384F">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1.1.1.8 技术服务和质保期服务计划：指卖方投标文件中的技术服务和质保期服务计划。</w:t>
      </w:r>
    </w:p>
    <w:p w14:paraId="7A541DC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1.1.1.9 分项报价表：指卖方投标文件中的分项报价表。</w:t>
      </w:r>
    </w:p>
    <w:p w14:paraId="1ADE3E3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1.1.1.10 其他合同文件：指经合同双方当事人确认构成合同文件的其他文件。</w:t>
      </w:r>
    </w:p>
    <w:p w14:paraId="262BE9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1.1.2  合同当事人</w:t>
      </w:r>
    </w:p>
    <w:p w14:paraId="42F0C50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1.1.2.1 合同当事人：指买方和（或）卖方。</w:t>
      </w:r>
    </w:p>
    <w:p w14:paraId="47980DE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1.1.2.2 买方：指与卖方签订合同协议书，购买合同设备和技术服务和质保期服务的当事人，及其合法继承人。</w:t>
      </w:r>
    </w:p>
    <w:p w14:paraId="40374FB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1.1.2.3 卖方：指与买方签订合同协议书，提供合同设备和技术服务和质保期服务的当事人，及其合法继承人。</w:t>
      </w:r>
    </w:p>
    <w:p w14:paraId="104C245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1.1.3  合同价格</w:t>
      </w:r>
    </w:p>
    <w:p w14:paraId="52181B1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1.1.3.1 签约合同价：是签订合同时合同协议书中写明的合同总金额。</w:t>
      </w:r>
    </w:p>
    <w:p w14:paraId="3CA4E92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1.1.3.2 合同价格：指卖方按合同约定履行了全部合同义务后，买方应付给卖方的金额。</w:t>
      </w:r>
    </w:p>
    <w:p w14:paraId="136714C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合同设备：指卖方按合同约定应向买方提供的设备、装置、备品、备件、易损易耗件、配套使用的软件或其他辅助电子应用程序及技术资料，或其中任何一部分。</w:t>
      </w:r>
    </w:p>
    <w:p w14:paraId="7397CAE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技术资料：指各种纸质及电子载体的与合同设备的设计、检验、安装、调试、考核、操作、维修以及保养等有关的技术指标、规格、图纸和说明文件。</w:t>
      </w:r>
    </w:p>
    <w:p w14:paraId="67D0093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安装：指对合同设备进行的组装、连接以及根据需要将合同设备固定在施工场地内一定的位置上，使其就位并与相关设备、工程实现连接。</w:t>
      </w:r>
    </w:p>
    <w:p w14:paraId="265E0992">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调试：指在合同设备安装完成后，对合同设备所进行的调校和测试。</w:t>
      </w:r>
    </w:p>
    <w:p w14:paraId="27D5926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考核：指在合同设备调试完成后，对合同设备进行的用于确定其是否达到合同约定的 技术性能考核指标的考核。</w:t>
      </w:r>
    </w:p>
    <w:p w14:paraId="276A49F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验收：指合同设备通过考核达到合同约定的技术性能考核指标后，买方作出接受合同设备的确认。</w:t>
      </w:r>
    </w:p>
    <w:p w14:paraId="38465A12">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1.1.10</w:t>
      </w:r>
      <w:r>
        <w:rPr>
          <w:rFonts w:hint="eastAsia" w:ascii="宋体" w:hAnsi="宋体" w:eastAsia="宋体" w:cs="宋体"/>
          <w:spacing w:val="-6"/>
          <w:kern w:val="2"/>
          <w:sz w:val="21"/>
          <w:szCs w:val="21"/>
          <w:highlight w:val="none"/>
          <w:lang w:val="en-US" w:eastAsia="zh-CN" w:bidi="ar-SA"/>
        </w:rPr>
        <w:t xml:space="preserve"> 技术服务：指卖方按合同约定，在合同设备验收前，向买方提供的安装、调试服务，或者在由买方负责的安装、调试、考核中对买方进行的技术指导、协助、监督和培训等。</w:t>
      </w:r>
    </w:p>
    <w:p w14:paraId="2D37C5A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质量保证期：指合同设备验收后，卖方按合同约定保证合同设备适当、稳定运行，并负责消除合同设备故障的期限。</w:t>
      </w:r>
    </w:p>
    <w:p w14:paraId="376FEF0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1.1.12 </w:t>
      </w:r>
      <w:r>
        <w:rPr>
          <w:rFonts w:hint="eastAsia" w:ascii="宋体" w:hAnsi="宋体" w:eastAsia="宋体" w:cs="宋体"/>
          <w:spacing w:val="-7"/>
          <w:kern w:val="2"/>
          <w:sz w:val="21"/>
          <w:szCs w:val="21"/>
          <w:highlight w:val="none"/>
          <w:lang w:val="en-US" w:eastAsia="zh-CN" w:bidi="ar-SA"/>
        </w:rPr>
        <w:t>质保期服务：指在质量保证期内，卖方向买方提供的合同设备维护服务、咨询服务、</w:t>
      </w:r>
      <w:r>
        <w:rPr>
          <w:rFonts w:hint="eastAsia" w:ascii="宋体" w:hAnsi="宋体" w:eastAsia="宋体" w:cs="宋体"/>
          <w:kern w:val="2"/>
          <w:sz w:val="21"/>
          <w:szCs w:val="21"/>
          <w:highlight w:val="none"/>
          <w:lang w:val="en-US" w:eastAsia="zh-CN" w:bidi="ar-SA"/>
        </w:rPr>
        <w:t>技术指导、协助以及对出现故障的合同设备进行修理或更换的服务。</w:t>
      </w:r>
    </w:p>
    <w:p w14:paraId="4D3EC6A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1.1.13  工程</w:t>
      </w:r>
    </w:p>
    <w:p w14:paraId="52205DE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工程：指在专用合同条款中指明的，调试运行合同设备的工程。</w:t>
      </w:r>
    </w:p>
    <w:p w14:paraId="72E09240">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 xml:space="preserve">2 </w:t>
      </w:r>
      <w:r>
        <w:rPr>
          <w:rFonts w:hint="eastAsia" w:ascii="宋体" w:hAnsi="宋体" w:eastAsia="宋体" w:cs="宋体"/>
          <w:spacing w:val="-3"/>
          <w:kern w:val="2"/>
          <w:sz w:val="21"/>
          <w:szCs w:val="21"/>
          <w:highlight w:val="none"/>
          <w:lang w:val="en-US" w:eastAsia="zh-CN" w:bidi="ar-SA"/>
        </w:rPr>
        <w:t>施</w:t>
      </w:r>
      <w:r>
        <w:rPr>
          <w:rFonts w:hint="eastAsia" w:ascii="宋体" w:hAnsi="宋体" w:eastAsia="宋体" w:cs="宋体"/>
          <w:kern w:val="2"/>
          <w:sz w:val="21"/>
          <w:szCs w:val="21"/>
          <w:highlight w:val="none"/>
          <w:lang w:val="en-US" w:eastAsia="zh-CN" w:bidi="ar-SA"/>
        </w:rPr>
        <w:t>工</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kern w:val="2"/>
          <w:sz w:val="21"/>
          <w:szCs w:val="21"/>
          <w:highlight w:val="none"/>
          <w:lang w:val="en-US" w:eastAsia="zh-CN" w:bidi="ar-SA"/>
        </w:rPr>
        <w:t>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或</w:t>
      </w:r>
      <w:r>
        <w:rPr>
          <w:rFonts w:hint="eastAsia" w:ascii="宋体" w:hAnsi="宋体" w:eastAsia="宋体" w:cs="宋体"/>
          <w:spacing w:val="-3"/>
          <w:kern w:val="2"/>
          <w:sz w:val="21"/>
          <w:szCs w:val="21"/>
          <w:highlight w:val="none"/>
          <w:lang w:val="en-US" w:eastAsia="zh-CN" w:bidi="ar-SA"/>
        </w:rPr>
        <w:t>称</w:t>
      </w:r>
      <w:r>
        <w:rPr>
          <w:rFonts w:hint="eastAsia" w:ascii="宋体" w:hAnsi="宋体" w:eastAsia="宋体" w:cs="宋体"/>
          <w:kern w:val="2"/>
          <w:sz w:val="21"/>
          <w:szCs w:val="21"/>
          <w:highlight w:val="none"/>
          <w:lang w:val="en-US" w:eastAsia="zh-CN" w:bidi="ar-SA"/>
        </w:rPr>
        <w:t>工地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施</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现</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spacing w:val="-106"/>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专用</w:t>
      </w:r>
      <w:r>
        <w:rPr>
          <w:rFonts w:hint="eastAsia" w:ascii="宋体" w:hAnsi="宋体" w:eastAsia="宋体" w:cs="宋体"/>
          <w:kern w:val="2"/>
          <w:sz w:val="21"/>
          <w:szCs w:val="21"/>
          <w:highlight w:val="none"/>
          <w:lang w:val="en-US" w:eastAsia="zh-CN" w:bidi="ar-SA"/>
        </w:rPr>
        <w:t>合同</w:t>
      </w:r>
      <w:r>
        <w:rPr>
          <w:rFonts w:hint="eastAsia" w:ascii="宋体" w:hAnsi="宋体" w:eastAsia="宋体" w:cs="宋体"/>
          <w:spacing w:val="-3"/>
          <w:kern w:val="2"/>
          <w:sz w:val="21"/>
          <w:szCs w:val="21"/>
          <w:highlight w:val="none"/>
          <w:lang w:val="en-US" w:eastAsia="zh-CN" w:bidi="ar-SA"/>
        </w:rPr>
        <w:t>条</w:t>
      </w:r>
      <w:r>
        <w:rPr>
          <w:rFonts w:hint="eastAsia" w:ascii="宋体" w:hAnsi="宋体" w:eastAsia="宋体" w:cs="宋体"/>
          <w:kern w:val="2"/>
          <w:sz w:val="21"/>
          <w:szCs w:val="21"/>
          <w:highlight w:val="none"/>
          <w:lang w:val="en-US" w:eastAsia="zh-CN" w:bidi="ar-SA"/>
        </w:rPr>
        <w:t>款</w:t>
      </w:r>
      <w:r>
        <w:rPr>
          <w:rFonts w:hint="eastAsia" w:ascii="宋体" w:hAnsi="宋体" w:eastAsia="宋体" w:cs="宋体"/>
          <w:spacing w:val="-3"/>
          <w:kern w:val="2"/>
          <w:sz w:val="21"/>
          <w:szCs w:val="21"/>
          <w:highlight w:val="none"/>
          <w:lang w:val="en-US" w:eastAsia="zh-CN" w:bidi="ar-SA"/>
        </w:rPr>
        <w:t>中</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程</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在场</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w:t>
      </w:r>
    </w:p>
    <w:p w14:paraId="234943DE">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1.1.14 天（或称日）</w:t>
      </w:r>
      <w:r>
        <w:rPr>
          <w:rFonts w:hint="eastAsia" w:ascii="宋体" w:hAnsi="宋体" w:eastAsia="宋体" w:cs="宋体"/>
          <w:kern w:val="2"/>
          <w:sz w:val="21"/>
          <w:szCs w:val="21"/>
          <w:highlight w:val="none"/>
          <w:lang w:val="en-US" w:eastAsia="zh-CN" w:bidi="ar-SA"/>
        </w:rPr>
        <w:t>：除</w:t>
      </w:r>
      <w:r>
        <w:rPr>
          <w:rFonts w:hint="eastAsia" w:ascii="宋体" w:hAnsi="宋体" w:eastAsia="宋体" w:cs="宋体"/>
          <w:spacing w:val="-3"/>
          <w:kern w:val="2"/>
          <w:sz w:val="21"/>
          <w:szCs w:val="21"/>
          <w:highlight w:val="none"/>
          <w:lang w:val="en-US" w:eastAsia="zh-CN" w:bidi="ar-SA"/>
        </w:rPr>
        <w:t>特</w:t>
      </w:r>
      <w:r>
        <w:rPr>
          <w:rFonts w:hint="eastAsia" w:ascii="宋体" w:hAnsi="宋体" w:eastAsia="宋体" w:cs="宋体"/>
          <w:kern w:val="2"/>
          <w:sz w:val="21"/>
          <w:szCs w:val="21"/>
          <w:highlight w:val="none"/>
          <w:lang w:val="en-US" w:eastAsia="zh-CN" w:bidi="ar-SA"/>
        </w:rPr>
        <w:t>别指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外</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日</w:t>
      </w:r>
      <w:r>
        <w:rPr>
          <w:rFonts w:hint="eastAsia" w:ascii="宋体" w:hAnsi="宋体" w:eastAsia="宋体" w:cs="宋体"/>
          <w:kern w:val="2"/>
          <w:sz w:val="21"/>
          <w:szCs w:val="21"/>
          <w:highlight w:val="none"/>
          <w:lang w:val="en-US" w:eastAsia="zh-CN" w:bidi="ar-SA"/>
        </w:rPr>
        <w:t>历天</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合</w:t>
      </w:r>
      <w:r>
        <w:rPr>
          <w:rFonts w:hint="eastAsia" w:ascii="宋体" w:hAnsi="宋体" w:eastAsia="宋体" w:cs="宋体"/>
          <w:spacing w:val="-3"/>
          <w:kern w:val="2"/>
          <w:sz w:val="21"/>
          <w:szCs w:val="21"/>
          <w:highlight w:val="none"/>
          <w:lang w:val="en-US" w:eastAsia="zh-CN" w:bidi="ar-SA"/>
        </w:rPr>
        <w:t>同</w:t>
      </w:r>
      <w:r>
        <w:rPr>
          <w:rFonts w:hint="eastAsia" w:ascii="宋体" w:hAnsi="宋体" w:eastAsia="宋体" w:cs="宋体"/>
          <w:kern w:val="2"/>
          <w:sz w:val="21"/>
          <w:szCs w:val="21"/>
          <w:highlight w:val="none"/>
          <w:lang w:val="en-US" w:eastAsia="zh-CN" w:bidi="ar-SA"/>
        </w:rPr>
        <w:t>中按</w:t>
      </w:r>
      <w:r>
        <w:rPr>
          <w:rFonts w:hint="eastAsia" w:ascii="宋体" w:hAnsi="宋体" w:eastAsia="宋体" w:cs="宋体"/>
          <w:spacing w:val="-3"/>
          <w:kern w:val="2"/>
          <w:sz w:val="21"/>
          <w:szCs w:val="21"/>
          <w:highlight w:val="none"/>
          <w:lang w:val="en-US" w:eastAsia="zh-CN" w:bidi="ar-SA"/>
        </w:rPr>
        <w:t>天</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算</w:t>
      </w:r>
      <w:r>
        <w:rPr>
          <w:rFonts w:hint="eastAsia" w:ascii="宋体" w:hAnsi="宋体" w:eastAsia="宋体" w:cs="宋体"/>
          <w:kern w:val="2"/>
          <w:sz w:val="21"/>
          <w:szCs w:val="21"/>
          <w:highlight w:val="none"/>
          <w:lang w:val="en-US" w:eastAsia="zh-CN" w:bidi="ar-SA"/>
        </w:rPr>
        <w:t>时</w:t>
      </w:r>
      <w:r>
        <w:rPr>
          <w:rFonts w:hint="eastAsia" w:ascii="宋体" w:hAnsi="宋体" w:eastAsia="宋体" w:cs="宋体"/>
          <w:spacing w:val="-3"/>
          <w:kern w:val="2"/>
          <w:sz w:val="21"/>
          <w:szCs w:val="21"/>
          <w:highlight w:val="none"/>
          <w:lang w:val="en-US" w:eastAsia="zh-CN" w:bidi="ar-SA"/>
        </w:rPr>
        <w:t>间</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开</w:t>
      </w:r>
      <w:r>
        <w:rPr>
          <w:rFonts w:hint="eastAsia" w:ascii="宋体" w:hAnsi="宋体" w:eastAsia="宋体" w:cs="宋体"/>
          <w:spacing w:val="-3"/>
          <w:kern w:val="2"/>
          <w:sz w:val="21"/>
          <w:szCs w:val="21"/>
          <w:highlight w:val="none"/>
          <w:lang w:val="en-US" w:eastAsia="zh-CN" w:bidi="ar-SA"/>
        </w:rPr>
        <w:t>始</w:t>
      </w:r>
      <w:r>
        <w:rPr>
          <w:rFonts w:hint="eastAsia" w:ascii="宋体" w:hAnsi="宋体" w:eastAsia="宋体" w:cs="宋体"/>
          <w:kern w:val="2"/>
          <w:sz w:val="21"/>
          <w:szCs w:val="21"/>
          <w:highlight w:val="none"/>
          <w:lang w:val="en-US" w:eastAsia="zh-CN" w:bidi="ar-SA"/>
        </w:rPr>
        <w:t>当天</w:t>
      </w:r>
      <w:r>
        <w:rPr>
          <w:rFonts w:hint="eastAsia" w:ascii="宋体" w:hAnsi="宋体" w:eastAsia="宋体" w:cs="宋体"/>
          <w:spacing w:val="-3"/>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入</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1"/>
          <w:kern w:val="2"/>
          <w:sz w:val="21"/>
          <w:szCs w:val="21"/>
          <w:highlight w:val="none"/>
          <w:lang w:val="en-US" w:eastAsia="zh-CN" w:bidi="ar-SA"/>
        </w:rPr>
        <w:t>从次日开始计算。合同约定的期间的最后一天是星期日或者其他法定休假日的，以休假日的次</w:t>
      </w:r>
      <w:r>
        <w:rPr>
          <w:rFonts w:hint="eastAsia" w:ascii="宋体" w:hAnsi="宋体" w:eastAsia="宋体" w:cs="宋体"/>
          <w:kern w:val="2"/>
          <w:sz w:val="21"/>
          <w:szCs w:val="21"/>
          <w:highlight w:val="none"/>
          <w:lang w:val="en-US" w:eastAsia="zh-CN" w:bidi="ar-SA"/>
        </w:rPr>
        <w:t>日为期间的最后一天。</w:t>
      </w:r>
    </w:p>
    <w:p w14:paraId="3375C0E9">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 xml:space="preserve">1.1.15 </w:t>
      </w:r>
      <w:r>
        <w:rPr>
          <w:rFonts w:hint="eastAsia" w:ascii="宋体" w:hAnsi="宋体" w:eastAsia="宋体" w:cs="宋体"/>
          <w:b/>
          <w:bCs/>
          <w:spacing w:val="-7"/>
          <w:kern w:val="2"/>
          <w:sz w:val="21"/>
          <w:szCs w:val="21"/>
          <w:highlight w:val="none"/>
          <w:lang w:val="en-US" w:eastAsia="zh-CN" w:bidi="ar-SA"/>
        </w:rPr>
        <w:t>月</w:t>
      </w:r>
      <w:r>
        <w:rPr>
          <w:rFonts w:hint="eastAsia" w:ascii="宋体" w:hAnsi="宋体" w:eastAsia="宋体" w:cs="宋体"/>
          <w:spacing w:val="-7"/>
          <w:kern w:val="2"/>
          <w:sz w:val="21"/>
          <w:szCs w:val="21"/>
          <w:highlight w:val="none"/>
          <w:lang w:val="en-US" w:eastAsia="zh-CN" w:bidi="ar-SA"/>
        </w:rPr>
        <w:t>：按照公历月计算。合同中按月计算时间的，开始当天不计入，从次日开始计算。</w:t>
      </w:r>
      <w:r>
        <w:rPr>
          <w:rFonts w:hint="eastAsia" w:ascii="宋体" w:hAnsi="宋体" w:eastAsia="宋体" w:cs="宋体"/>
          <w:spacing w:val="-1"/>
          <w:kern w:val="2"/>
          <w:sz w:val="21"/>
          <w:szCs w:val="21"/>
          <w:highlight w:val="none"/>
          <w:lang w:val="en-US" w:eastAsia="zh-CN" w:bidi="ar-SA"/>
        </w:rPr>
        <w:t>合同约定的期间的最后一天是星期日或者其他法定休假日的，以休假日的次日为期间的最后一</w:t>
      </w:r>
      <w:r>
        <w:rPr>
          <w:rFonts w:hint="eastAsia" w:ascii="宋体" w:hAnsi="宋体" w:eastAsia="宋体" w:cs="宋体"/>
          <w:kern w:val="2"/>
          <w:sz w:val="21"/>
          <w:szCs w:val="21"/>
          <w:highlight w:val="none"/>
          <w:lang w:val="en-US" w:eastAsia="zh-CN" w:bidi="ar-SA"/>
        </w:rPr>
        <w:t>天。</w:t>
      </w:r>
    </w:p>
    <w:p w14:paraId="17228F81">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1.1.16 书面形式</w:t>
      </w:r>
      <w:r>
        <w:rPr>
          <w:rFonts w:hint="eastAsia" w:ascii="宋体" w:hAnsi="宋体" w:eastAsia="宋体" w:cs="宋体"/>
          <w:kern w:val="2"/>
          <w:sz w:val="21"/>
          <w:szCs w:val="21"/>
          <w:highlight w:val="none"/>
          <w:lang w:val="en-US" w:eastAsia="zh-CN" w:bidi="ar-SA"/>
        </w:rPr>
        <w:t>：指合同文件、信件和数据电文（包括电报、电传、传真、电子数据交换和电子邮件）等可以有形地表现所载内容的形式。</w:t>
      </w:r>
    </w:p>
    <w:p w14:paraId="261B4B2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0" w:name="_bookmark107"/>
      <w:bookmarkEnd w:id="390"/>
      <w:bookmarkStart w:id="391" w:name="_Toc32267"/>
      <w:bookmarkStart w:id="392" w:name="_Toc3718"/>
      <w:bookmarkStart w:id="393" w:name="_Toc28847"/>
      <w:bookmarkStart w:id="394" w:name="_Toc14877"/>
      <w:r>
        <w:rPr>
          <w:rFonts w:hint="eastAsia" w:ascii="宋体" w:hAnsi="宋体" w:eastAsia="宋体" w:cs="宋体"/>
          <w:kern w:val="0"/>
          <w:sz w:val="21"/>
          <w:szCs w:val="21"/>
          <w:highlight w:val="none"/>
          <w:lang w:val="en-US" w:eastAsia="zh-CN" w:bidi="ar-SA"/>
        </w:rPr>
        <w:t>1.2  语言文字</w:t>
      </w:r>
      <w:bookmarkEnd w:id="391"/>
      <w:bookmarkEnd w:id="392"/>
      <w:bookmarkEnd w:id="393"/>
      <w:bookmarkEnd w:id="394"/>
    </w:p>
    <w:p w14:paraId="4FE17083">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合同使用的语言文字为中文。专用术语使用外文的，应附有中文注释。</w:t>
      </w:r>
    </w:p>
    <w:p w14:paraId="41E204B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5" w:name="_Toc8515"/>
      <w:bookmarkStart w:id="396" w:name="_Toc7136"/>
      <w:bookmarkStart w:id="397" w:name="_Toc30982"/>
      <w:bookmarkStart w:id="398" w:name="_Toc10706"/>
      <w:r>
        <w:rPr>
          <w:rFonts w:hint="eastAsia" w:ascii="宋体" w:hAnsi="宋体" w:eastAsia="宋体" w:cs="宋体"/>
          <w:kern w:val="0"/>
          <w:sz w:val="21"/>
          <w:szCs w:val="21"/>
          <w:highlight w:val="none"/>
          <w:lang w:val="en-US" w:eastAsia="zh-CN" w:bidi="ar-SA"/>
        </w:rPr>
        <w:t>1.3  合同文件的优先顺序</w:t>
      </w:r>
      <w:bookmarkEnd w:id="395"/>
      <w:bookmarkEnd w:id="396"/>
      <w:bookmarkEnd w:id="397"/>
      <w:bookmarkEnd w:id="398"/>
    </w:p>
    <w:p w14:paraId="6127574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组成合同的各项文件应互相解释，互为说明。除专用合同条款另有约定外，解释合同文件的优先顺序如下：</w:t>
      </w:r>
    </w:p>
    <w:p w14:paraId="0E2A4A21">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（1）合同协议书；</w:t>
      </w:r>
    </w:p>
    <w:p w14:paraId="0C2FC89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（2）中标通知书；</w:t>
      </w:r>
    </w:p>
    <w:p w14:paraId="38C96775">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（3）投标函；</w:t>
      </w:r>
    </w:p>
    <w:p w14:paraId="4F8E5463">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（4）商务和技术偏差表；</w:t>
      </w:r>
    </w:p>
    <w:p w14:paraId="4834D3A5">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（5）专用合同条款；</w:t>
      </w:r>
    </w:p>
    <w:p w14:paraId="46D214C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（6）通用合同条款；</w:t>
      </w:r>
    </w:p>
    <w:p w14:paraId="1D35634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（7）供货要求；</w:t>
      </w:r>
    </w:p>
    <w:p w14:paraId="5ABAB43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（8）分项报价表；</w:t>
      </w:r>
    </w:p>
    <w:p w14:paraId="6FE93BB0">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（9）中标设备技术性能指标的详细描述；</w:t>
      </w:r>
    </w:p>
    <w:p w14:paraId="6F33E47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（10）技术服务和质保期服务计划；</w:t>
      </w:r>
    </w:p>
    <w:p w14:paraId="10E72F4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（11）其他合同文件。</w:t>
      </w:r>
    </w:p>
    <w:p w14:paraId="767F9750">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9" w:name="_bookmark109"/>
      <w:bookmarkEnd w:id="399"/>
      <w:bookmarkStart w:id="400" w:name="_Toc3797"/>
      <w:bookmarkStart w:id="401" w:name="_Toc23542"/>
      <w:bookmarkStart w:id="402" w:name="_Toc3833"/>
      <w:bookmarkStart w:id="403" w:name="_Toc7102"/>
      <w:r>
        <w:rPr>
          <w:rFonts w:hint="eastAsia" w:ascii="宋体" w:hAnsi="宋体" w:eastAsia="宋体" w:cs="宋体"/>
          <w:kern w:val="0"/>
          <w:sz w:val="21"/>
          <w:szCs w:val="21"/>
          <w:highlight w:val="none"/>
          <w:lang w:val="en-US" w:eastAsia="zh-CN" w:bidi="ar-SA"/>
        </w:rPr>
        <w:t>1.4  合同的生效及变更</w:t>
      </w:r>
      <w:bookmarkEnd w:id="400"/>
      <w:bookmarkEnd w:id="401"/>
      <w:bookmarkEnd w:id="402"/>
      <w:bookmarkEnd w:id="403"/>
    </w:p>
    <w:p w14:paraId="4DC3B82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除专用合同条款另有约定外，买方和卖方的法定代表人（单位负责人）或其授权代表在合同协议书上签字并加盖单位章后，合同生效。</w:t>
      </w:r>
    </w:p>
    <w:p w14:paraId="0B25EE3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 除专用合同条款另有约定外，在合同履行过程中，如需对合同进行变更，双方应签订书面协议，并经双方法定代表人（单位负责人）或其授权代表签字并加盖单位章后生效。</w:t>
      </w:r>
    </w:p>
    <w:p w14:paraId="5302C442">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04" w:name="_bookmark110"/>
      <w:bookmarkEnd w:id="404"/>
      <w:bookmarkStart w:id="405" w:name="_Toc4627"/>
      <w:bookmarkStart w:id="406" w:name="_Toc18461"/>
      <w:bookmarkStart w:id="407" w:name="_Toc21860"/>
      <w:bookmarkStart w:id="408" w:name="_Toc12792"/>
      <w:r>
        <w:rPr>
          <w:rFonts w:hint="eastAsia" w:ascii="宋体" w:hAnsi="宋体" w:eastAsia="宋体" w:cs="宋体"/>
          <w:kern w:val="0"/>
          <w:sz w:val="21"/>
          <w:szCs w:val="21"/>
          <w:highlight w:val="none"/>
          <w:lang w:val="en-US" w:eastAsia="zh-CN" w:bidi="ar-SA"/>
        </w:rPr>
        <w:t>1.5  联络</w:t>
      </w:r>
      <w:bookmarkEnd w:id="405"/>
      <w:bookmarkEnd w:id="406"/>
      <w:bookmarkEnd w:id="407"/>
      <w:bookmarkEnd w:id="408"/>
    </w:p>
    <w:p w14:paraId="65A5F9D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1.5.1 </w:t>
      </w:r>
      <w:r>
        <w:rPr>
          <w:rFonts w:hint="eastAsia" w:ascii="宋体" w:hAnsi="宋体" w:eastAsia="宋体" w:cs="宋体"/>
          <w:spacing w:val="-4"/>
          <w:kern w:val="2"/>
          <w:sz w:val="21"/>
          <w:szCs w:val="21"/>
          <w:highlight w:val="none"/>
          <w:lang w:val="en-US" w:eastAsia="zh-CN" w:bidi="ar-SA"/>
        </w:rPr>
        <w:t>买卖双方应就合同履行中有关的事项及时进行联络，重要事项应通过书面形式进行联</w:t>
      </w:r>
      <w:r>
        <w:rPr>
          <w:rFonts w:hint="eastAsia" w:ascii="宋体" w:hAnsi="宋体" w:eastAsia="宋体" w:cs="宋体"/>
          <w:spacing w:val="-1"/>
          <w:kern w:val="2"/>
          <w:sz w:val="21"/>
          <w:szCs w:val="21"/>
          <w:highlight w:val="none"/>
          <w:lang w:val="en-US" w:eastAsia="zh-CN" w:bidi="ar-SA"/>
        </w:rPr>
        <w:t>络或确认。合同履行过程中的任何联络及相关文件的签署，均应通过专用合同条款指定的联系</w:t>
      </w:r>
      <w:r>
        <w:rPr>
          <w:rFonts w:hint="eastAsia" w:ascii="宋体" w:hAnsi="宋体" w:eastAsia="宋体" w:cs="宋体"/>
          <w:kern w:val="2"/>
          <w:sz w:val="21"/>
          <w:szCs w:val="21"/>
          <w:highlight w:val="none"/>
          <w:lang w:val="en-US" w:eastAsia="zh-CN" w:bidi="ar-SA"/>
        </w:rPr>
        <w:t>人和联系方式进行。合同履行过程中，双方可以书面形式增加或变更指定联系人。</w:t>
      </w:r>
    </w:p>
    <w:p w14:paraId="0CB2D817">
      <w:pPr>
        <w:widowControl w:val="0"/>
        <w:spacing w:beforeLines="0" w:after="0" w:afterLines="0" w:line="360" w:lineRule="auto"/>
        <w:ind w:left="0" w:right="0" w:firstLine="420" w:firstLineChars="200"/>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1.5.2 </w:t>
      </w:r>
      <w:r>
        <w:rPr>
          <w:rFonts w:hint="eastAsia" w:ascii="宋体" w:hAnsi="宋体" w:eastAsia="宋体" w:cs="宋体"/>
          <w:spacing w:val="-6"/>
          <w:kern w:val="2"/>
          <w:sz w:val="21"/>
          <w:szCs w:val="21"/>
          <w:highlight w:val="none"/>
          <w:lang w:val="en-US" w:eastAsia="zh-CN" w:bidi="ar-SA"/>
        </w:rPr>
        <w:t>合同履行中或与合同有关的任何联络，送达到第 1.5.1 项指定的联系人即视为送达。</w:t>
      </w:r>
    </w:p>
    <w:p w14:paraId="1B9161F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 买方可以安排监理等相关人员作为买方人员，与卖方进行联络或参加合同设备的监造（如有）、交货前检验（如有）、开箱检验、安装、调试、考核、验收等，但应按照第1.5.1项的约定事先书面通知卖方。</w:t>
      </w:r>
    </w:p>
    <w:p w14:paraId="202F913E">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09" w:name="_Toc9350"/>
      <w:bookmarkStart w:id="410" w:name="_Toc28551"/>
      <w:bookmarkStart w:id="411" w:name="_Toc10350"/>
      <w:bookmarkStart w:id="412" w:name="_Toc28224"/>
      <w:r>
        <w:rPr>
          <w:rFonts w:hint="eastAsia" w:ascii="宋体" w:hAnsi="宋体" w:eastAsia="宋体" w:cs="宋体"/>
          <w:kern w:val="0"/>
          <w:sz w:val="21"/>
          <w:szCs w:val="21"/>
          <w:highlight w:val="none"/>
          <w:lang w:val="en-US" w:eastAsia="zh-CN" w:bidi="ar-SA"/>
        </w:rPr>
        <w:t>1.6  联合体</w:t>
      </w:r>
      <w:bookmarkEnd w:id="409"/>
      <w:bookmarkEnd w:id="410"/>
      <w:bookmarkEnd w:id="411"/>
      <w:bookmarkEnd w:id="412"/>
    </w:p>
    <w:p w14:paraId="3B335BB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4"/>
          <w:kern w:val="2"/>
          <w:sz w:val="21"/>
          <w:szCs w:val="21"/>
          <w:highlight w:val="none"/>
          <w:lang w:val="en-US" w:eastAsia="zh-CN" w:bidi="ar-SA"/>
        </w:rPr>
        <w:t>卖方为联合体的，联合体各方应当共同与买方签订合同，并向买方为履行合同承担连</w:t>
      </w:r>
      <w:r>
        <w:rPr>
          <w:rFonts w:hint="eastAsia" w:ascii="宋体" w:hAnsi="宋体" w:eastAsia="宋体" w:cs="宋体"/>
          <w:kern w:val="2"/>
          <w:sz w:val="21"/>
          <w:szCs w:val="21"/>
          <w:highlight w:val="none"/>
          <w:lang w:val="en-US" w:eastAsia="zh-CN" w:bidi="ar-SA"/>
        </w:rPr>
        <w:t>带责任。</w:t>
      </w:r>
    </w:p>
    <w:p w14:paraId="030FD5D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1.6.2 </w:t>
      </w:r>
      <w:r>
        <w:rPr>
          <w:rFonts w:hint="eastAsia" w:ascii="宋体" w:hAnsi="宋体" w:eastAsia="宋体" w:cs="宋体"/>
          <w:spacing w:val="-4"/>
          <w:kern w:val="2"/>
          <w:sz w:val="21"/>
          <w:szCs w:val="21"/>
          <w:highlight w:val="none"/>
          <w:lang w:val="en-US" w:eastAsia="zh-CN" w:bidi="ar-SA"/>
        </w:rPr>
        <w:t>在合同履行过程中，未经买方同意，不得修改联合体协议。联合体协议中关于联合体</w:t>
      </w:r>
      <w:r>
        <w:rPr>
          <w:rFonts w:hint="eastAsia" w:ascii="宋体" w:hAnsi="宋体" w:eastAsia="宋体" w:cs="宋体"/>
          <w:kern w:val="2"/>
          <w:sz w:val="21"/>
          <w:szCs w:val="21"/>
          <w:highlight w:val="none"/>
          <w:lang w:val="en-US" w:eastAsia="zh-CN" w:bidi="ar-SA"/>
        </w:rPr>
        <w:t>成员间权利义务的划分，并不影响或减损联合体各方应就履行合同向买方承担的连带责任。</w:t>
      </w:r>
    </w:p>
    <w:p w14:paraId="53FAE4F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1.6.3 </w:t>
      </w:r>
      <w:r>
        <w:rPr>
          <w:rFonts w:hint="eastAsia" w:ascii="宋体" w:hAnsi="宋体" w:eastAsia="宋体" w:cs="宋体"/>
          <w:spacing w:val="-4"/>
          <w:kern w:val="2"/>
          <w:sz w:val="21"/>
          <w:szCs w:val="21"/>
          <w:highlight w:val="none"/>
          <w:lang w:val="en-US" w:eastAsia="zh-CN" w:bidi="ar-SA"/>
        </w:rPr>
        <w:t>联合体牵头人代表联合体与买方联系，并接受指示，负责组织联合体各成员全面履行</w:t>
      </w:r>
      <w:r>
        <w:rPr>
          <w:rFonts w:hint="eastAsia" w:ascii="宋体" w:hAnsi="宋体" w:eastAsia="宋体" w:cs="宋体"/>
          <w:spacing w:val="-1"/>
          <w:kern w:val="2"/>
          <w:sz w:val="21"/>
          <w:szCs w:val="21"/>
          <w:highlight w:val="none"/>
          <w:lang w:val="en-US" w:eastAsia="zh-CN" w:bidi="ar-SA"/>
        </w:rPr>
        <w:t>合同。除非专用合同条款另有约定，牵头人在履行合同中的所有行为均视为已获得联合体各方的授权。买方可将合同价款全部支付给牵头人并视为其已适当履行了付款义务。如牵头人的行</w:t>
      </w:r>
      <w:r>
        <w:rPr>
          <w:rFonts w:hint="eastAsia" w:ascii="宋体" w:hAnsi="宋体" w:eastAsia="宋体" w:cs="宋体"/>
          <w:kern w:val="2"/>
          <w:sz w:val="21"/>
          <w:szCs w:val="21"/>
          <w:highlight w:val="none"/>
          <w:lang w:val="en-US" w:eastAsia="zh-CN" w:bidi="ar-SA"/>
        </w:rPr>
        <w:t>为将构成对合同内容的变更，则牵头人须事先获得联合体各方的特别授权。</w:t>
      </w:r>
    </w:p>
    <w:p w14:paraId="40428564">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13" w:name="_bookmark112"/>
      <w:bookmarkEnd w:id="413"/>
      <w:bookmarkStart w:id="414" w:name="_Toc15181"/>
      <w:bookmarkStart w:id="415" w:name="_Toc16915"/>
      <w:bookmarkStart w:id="416" w:name="_Toc15877"/>
      <w:bookmarkStart w:id="417" w:name="_Toc25757"/>
      <w:r>
        <w:rPr>
          <w:rFonts w:hint="eastAsia" w:ascii="宋体" w:hAnsi="宋体" w:eastAsia="宋体" w:cs="宋体"/>
          <w:kern w:val="0"/>
          <w:sz w:val="21"/>
          <w:szCs w:val="21"/>
          <w:highlight w:val="none"/>
          <w:lang w:val="en-US" w:eastAsia="zh-CN" w:bidi="ar-SA"/>
        </w:rPr>
        <w:t>1.7  转让</w:t>
      </w:r>
      <w:bookmarkEnd w:id="414"/>
      <w:bookmarkEnd w:id="415"/>
      <w:bookmarkEnd w:id="416"/>
      <w:bookmarkEnd w:id="417"/>
    </w:p>
    <w:p w14:paraId="3C0708D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未经对方当事人书面同意，合同任何一方均不得转让其在合同项下的权利和（或）义务。</w:t>
      </w:r>
    </w:p>
    <w:p w14:paraId="7F05901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18" w:name="_bookmark113"/>
      <w:bookmarkEnd w:id="418"/>
      <w:bookmarkStart w:id="419" w:name="_Toc91344942"/>
      <w:bookmarkStart w:id="420" w:name="_Toc22430"/>
      <w:bookmarkStart w:id="421" w:name="_Toc31831"/>
      <w:bookmarkStart w:id="422" w:name="_Toc26727"/>
      <w:bookmarkStart w:id="423" w:name="_Toc534572286"/>
      <w:bookmarkStart w:id="424" w:name="_Toc6481"/>
      <w:bookmarkStart w:id="425" w:name="_Toc20458"/>
      <w:bookmarkStart w:id="426" w:name="_Toc62034472"/>
      <w:bookmarkStart w:id="427" w:name="_Toc54550754"/>
      <w:bookmarkStart w:id="428" w:name="_Toc30500"/>
      <w:r>
        <w:rPr>
          <w:rFonts w:hint="eastAsia" w:ascii="宋体" w:hAnsi="宋体" w:eastAsia="宋体" w:cs="宋体"/>
          <w:b/>
          <w:bCs/>
          <w:kern w:val="0"/>
          <w:sz w:val="21"/>
          <w:szCs w:val="21"/>
          <w:highlight w:val="none"/>
          <w:lang w:val="en-US" w:eastAsia="zh-CN" w:bidi="ar-SA"/>
        </w:rPr>
        <w:t>2.合同范围</w:t>
      </w:r>
      <w:bookmarkEnd w:id="419"/>
      <w:bookmarkEnd w:id="420"/>
      <w:bookmarkEnd w:id="421"/>
      <w:bookmarkEnd w:id="422"/>
      <w:bookmarkEnd w:id="423"/>
      <w:bookmarkEnd w:id="424"/>
      <w:bookmarkEnd w:id="425"/>
      <w:bookmarkEnd w:id="426"/>
      <w:bookmarkEnd w:id="427"/>
      <w:bookmarkEnd w:id="428"/>
    </w:p>
    <w:p w14:paraId="29CF02B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卖方应根据供货要求、中标设备技术性能指标的详细描述、技术服务和质保期服务计划等合同文件的约定向买方提供合同设备、技术服务和质保期服务。</w:t>
      </w:r>
    </w:p>
    <w:p w14:paraId="4BD4DA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29" w:name="_bookmark114"/>
      <w:bookmarkEnd w:id="429"/>
      <w:bookmarkStart w:id="430" w:name="_Toc23592"/>
      <w:bookmarkStart w:id="431" w:name="_Toc91344943"/>
      <w:bookmarkStart w:id="432" w:name="_Toc7147"/>
      <w:bookmarkStart w:id="433" w:name="_Toc16244"/>
      <w:bookmarkStart w:id="434" w:name="_Toc7996"/>
      <w:bookmarkStart w:id="435" w:name="_Toc54550755"/>
      <w:bookmarkStart w:id="436" w:name="_Toc62034473"/>
      <w:bookmarkStart w:id="437" w:name="_Toc534572287"/>
      <w:bookmarkStart w:id="438" w:name="_Toc10032"/>
      <w:bookmarkStart w:id="439" w:name="_Toc29088"/>
      <w:r>
        <w:rPr>
          <w:rFonts w:hint="eastAsia" w:ascii="宋体" w:hAnsi="宋体" w:eastAsia="宋体" w:cs="宋体"/>
          <w:b/>
          <w:bCs/>
          <w:kern w:val="0"/>
          <w:sz w:val="21"/>
          <w:szCs w:val="21"/>
          <w:highlight w:val="none"/>
          <w:lang w:val="en-US" w:eastAsia="zh-CN" w:bidi="ar-SA"/>
        </w:rPr>
        <w:t>3.合同价格与支付</w:t>
      </w:r>
      <w:bookmarkEnd w:id="430"/>
      <w:bookmarkEnd w:id="431"/>
      <w:bookmarkEnd w:id="432"/>
      <w:bookmarkEnd w:id="433"/>
      <w:bookmarkEnd w:id="434"/>
      <w:bookmarkEnd w:id="435"/>
      <w:bookmarkEnd w:id="436"/>
      <w:bookmarkEnd w:id="437"/>
      <w:bookmarkEnd w:id="438"/>
      <w:bookmarkEnd w:id="439"/>
    </w:p>
    <w:p w14:paraId="6E78ED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40" w:name="_bookmark115"/>
      <w:bookmarkEnd w:id="440"/>
      <w:bookmarkStart w:id="441" w:name="_Toc19837"/>
      <w:bookmarkStart w:id="442" w:name="_Toc6402"/>
      <w:bookmarkStart w:id="443" w:name="_Toc17218"/>
      <w:bookmarkStart w:id="444" w:name="_Toc12390"/>
      <w:r>
        <w:rPr>
          <w:rFonts w:hint="eastAsia" w:ascii="宋体" w:hAnsi="宋体" w:eastAsia="宋体" w:cs="宋体"/>
          <w:kern w:val="0"/>
          <w:sz w:val="21"/>
          <w:szCs w:val="21"/>
          <w:highlight w:val="none"/>
          <w:lang w:val="en-US" w:eastAsia="zh-CN" w:bidi="ar-SA"/>
        </w:rPr>
        <w:t>3.1  合同价格</w:t>
      </w:r>
      <w:bookmarkEnd w:id="441"/>
      <w:bookmarkEnd w:id="442"/>
      <w:bookmarkEnd w:id="443"/>
      <w:bookmarkEnd w:id="444"/>
    </w:p>
    <w:p w14:paraId="1BA42AE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3.1.1 合同协议书中载明的签约合同价包括卖方为完成合同全部义务应承担的一切成本、费用和支出以及卖方的合理利润。</w:t>
      </w:r>
    </w:p>
    <w:p w14:paraId="6F51A0F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除专用合同条款另有约定外，签约合同价为固定价格。</w:t>
      </w:r>
    </w:p>
    <w:p w14:paraId="7140B4B9">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45" w:name="_bookmark116"/>
      <w:bookmarkEnd w:id="445"/>
      <w:bookmarkStart w:id="446" w:name="_Toc14837"/>
      <w:bookmarkStart w:id="447" w:name="_Toc16048"/>
      <w:bookmarkStart w:id="448" w:name="_Toc27628"/>
      <w:bookmarkStart w:id="449" w:name="_Toc29545"/>
      <w:r>
        <w:rPr>
          <w:rFonts w:hint="eastAsia" w:ascii="宋体" w:hAnsi="宋体" w:eastAsia="宋体" w:cs="宋体"/>
          <w:kern w:val="0"/>
          <w:sz w:val="21"/>
          <w:szCs w:val="21"/>
          <w:highlight w:val="none"/>
          <w:lang w:val="en-US" w:eastAsia="zh-CN" w:bidi="ar-SA"/>
        </w:rPr>
        <w:t>3.2  合同价款的支付</w:t>
      </w:r>
      <w:bookmarkEnd w:id="446"/>
      <w:bookmarkEnd w:id="447"/>
      <w:bookmarkEnd w:id="448"/>
      <w:bookmarkEnd w:id="449"/>
    </w:p>
    <w:p w14:paraId="44BEEC6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除专用合同条款另有约定外，买方应通过以下方式和比例向卖方支付合同价款：</w:t>
      </w:r>
    </w:p>
    <w:p w14:paraId="7019309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3.2.1 预付款</w:t>
      </w:r>
    </w:p>
    <w:p w14:paraId="428160E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合同生效后，买方在收到卖方开具的注明应付预付款金额的财务收据正本一份并经审核无误后28日内，向卖方支付签约合同价的10%作为预付款。</w:t>
      </w:r>
    </w:p>
    <w:p w14:paraId="3726424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买方支付预付款后，如卖方未履行合同义务，则买方有权收回预付款；如卖方依约履行了合同义务，则预付款抵作合同价款。</w:t>
      </w:r>
    </w:p>
    <w:p w14:paraId="5BC734B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3.2.2 交货款 </w:t>
      </w:r>
    </w:p>
    <w:p w14:paraId="51EA368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卖方按合同约定交付全部合同设备后，买方在收到卖方提交的下列全部单据并经审核无误后28日内，向卖方支付合同价格的60%：</w:t>
      </w:r>
    </w:p>
    <w:p w14:paraId="2CB48C7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（1）卖方出具的交货清单正本一份；</w:t>
      </w:r>
    </w:p>
    <w:p w14:paraId="4BF20E3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（2）买方签署的收货清单正本一份；</w:t>
      </w:r>
    </w:p>
    <w:p w14:paraId="637FC66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（3）制造商出具的出厂质量合格证正本一份；</w:t>
      </w:r>
    </w:p>
    <w:p w14:paraId="64FE280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（4）合同价格100%金额的增值税发票正本一份。</w:t>
      </w:r>
    </w:p>
    <w:p w14:paraId="5B5DBF4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3.2.3 验收款 买方在收到卖方提交的买卖双方签署的合同设备验收证书或已生效的验收款支付函正本一份并经审核无误后28日内，向卖方支付合同价格的25%。</w:t>
      </w:r>
    </w:p>
    <w:p w14:paraId="075E5308">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3.2.4 </w:t>
      </w:r>
      <w:r>
        <w:rPr>
          <w:rFonts w:hint="eastAsia" w:ascii="宋体" w:hAnsi="宋体" w:eastAsia="宋体" w:cs="宋体"/>
          <w:color w:val="000000"/>
          <w:spacing w:val="-6"/>
          <w:kern w:val="2"/>
          <w:sz w:val="21"/>
          <w:szCs w:val="21"/>
          <w:highlight w:val="none"/>
          <w:lang w:val="en-US" w:eastAsia="zh-CN" w:bidi="ar-SA"/>
        </w:rPr>
        <w:t>结清款 买方在收到卖方提交的买方签署的质量保证期届满证书或已生效的结清款支付函正本一份并经审核无误后28日内，</w:t>
      </w:r>
      <w:r>
        <w:rPr>
          <w:rFonts w:hint="eastAsia" w:ascii="宋体" w:hAnsi="宋体" w:eastAsia="宋体" w:cs="宋体"/>
          <w:spacing w:val="-6"/>
          <w:kern w:val="2"/>
          <w:sz w:val="21"/>
          <w:szCs w:val="21"/>
          <w:highlight w:val="none"/>
          <w:lang w:val="en-US" w:eastAsia="zh-CN" w:bidi="ar-SA"/>
        </w:rPr>
        <w:t>向卖方支付合同价格的5%。如果依照合同第9.1项，卖方应向买方支付费用的，买方有权从结清款中直接扣除该笔费用。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6B2410C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50" w:name="_bookmark117"/>
      <w:bookmarkEnd w:id="450"/>
      <w:bookmarkStart w:id="451" w:name="_Toc21224"/>
      <w:bookmarkStart w:id="452" w:name="_Toc26142"/>
      <w:bookmarkStart w:id="453" w:name="_Toc28555"/>
      <w:bookmarkStart w:id="454" w:name="_Toc6228"/>
      <w:r>
        <w:rPr>
          <w:rFonts w:hint="eastAsia" w:ascii="宋体" w:hAnsi="宋体" w:eastAsia="宋体" w:cs="宋体"/>
          <w:kern w:val="0"/>
          <w:sz w:val="21"/>
          <w:szCs w:val="21"/>
          <w:highlight w:val="none"/>
          <w:lang w:val="en-US" w:eastAsia="zh-CN" w:bidi="ar-SA"/>
        </w:rPr>
        <w:t>3.3  买方扣款的权利</w:t>
      </w:r>
      <w:bookmarkEnd w:id="451"/>
      <w:bookmarkEnd w:id="452"/>
      <w:bookmarkEnd w:id="453"/>
      <w:bookmarkEnd w:id="454"/>
    </w:p>
    <w:p w14:paraId="1E83C6B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当卖方应向买方支付合同项下的违约金或赔偿金时，买方有权从上述任何一笔应付款中予以直接扣除和（或）兑付履约保证金。</w:t>
      </w:r>
    </w:p>
    <w:p w14:paraId="091AB34E">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55" w:name="_bookmark118"/>
      <w:bookmarkEnd w:id="455"/>
      <w:bookmarkStart w:id="456" w:name="_Toc22500"/>
      <w:bookmarkStart w:id="457" w:name="_Toc23342"/>
      <w:bookmarkStart w:id="458" w:name="_Toc534572288"/>
      <w:bookmarkStart w:id="459" w:name="_Toc91344944"/>
      <w:bookmarkStart w:id="460" w:name="_Toc62034474"/>
      <w:bookmarkStart w:id="461" w:name="_Toc2546"/>
      <w:bookmarkStart w:id="462" w:name="_Toc16582"/>
      <w:bookmarkStart w:id="463" w:name="_Toc8743"/>
      <w:bookmarkStart w:id="464" w:name="_Toc1887"/>
      <w:bookmarkStart w:id="465" w:name="_Toc54550756"/>
      <w:r>
        <w:rPr>
          <w:rFonts w:hint="eastAsia" w:ascii="宋体" w:hAnsi="宋体" w:eastAsia="宋体" w:cs="宋体"/>
          <w:b/>
          <w:bCs/>
          <w:kern w:val="0"/>
          <w:sz w:val="21"/>
          <w:szCs w:val="21"/>
          <w:highlight w:val="none"/>
          <w:lang w:val="en-US" w:eastAsia="zh-CN" w:bidi="ar-SA"/>
        </w:rPr>
        <w:t>4.监造及交货前检验</w:t>
      </w:r>
      <w:bookmarkEnd w:id="456"/>
      <w:bookmarkEnd w:id="457"/>
      <w:bookmarkEnd w:id="458"/>
      <w:bookmarkEnd w:id="459"/>
      <w:bookmarkEnd w:id="460"/>
      <w:bookmarkEnd w:id="461"/>
      <w:bookmarkEnd w:id="462"/>
      <w:bookmarkEnd w:id="463"/>
      <w:bookmarkEnd w:id="464"/>
      <w:bookmarkEnd w:id="465"/>
    </w:p>
    <w:p w14:paraId="7DCAEE7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66" w:name="_bookmark119"/>
      <w:bookmarkEnd w:id="466"/>
      <w:bookmarkStart w:id="467" w:name="_Toc28053"/>
      <w:bookmarkStart w:id="468" w:name="_Toc23052"/>
      <w:bookmarkStart w:id="469" w:name="_Toc18619"/>
      <w:bookmarkStart w:id="470" w:name="_Toc825"/>
      <w:r>
        <w:rPr>
          <w:rFonts w:hint="eastAsia" w:ascii="宋体" w:hAnsi="宋体" w:eastAsia="宋体" w:cs="宋体"/>
          <w:kern w:val="0"/>
          <w:sz w:val="21"/>
          <w:szCs w:val="21"/>
          <w:highlight w:val="none"/>
          <w:lang w:val="en-US" w:eastAsia="zh-CN" w:bidi="ar-SA"/>
        </w:rPr>
        <w:t>4.1  监造</w:t>
      </w:r>
      <w:bookmarkEnd w:id="467"/>
      <w:bookmarkEnd w:id="468"/>
      <w:bookmarkEnd w:id="469"/>
      <w:bookmarkEnd w:id="470"/>
    </w:p>
    <w:p w14:paraId="53D076A2">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专用合同条款约定买方对合同设备进行监造的，双方应按本款及专用合同条款约定履行。</w:t>
      </w:r>
    </w:p>
    <w:p w14:paraId="224489F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4.1.1 在合同设备的制造过程中，买方可派出监造人员，对合同设备的生产制造进行监造，监督合同设备制造、检验等情况。监造的范围、方式等应符合专用合同条款和（或）供货要求等合同文件的约定。</w:t>
      </w:r>
    </w:p>
    <w:p w14:paraId="57AE94F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4.1.2 </w:t>
      </w:r>
      <w:r>
        <w:rPr>
          <w:rFonts w:hint="eastAsia" w:ascii="宋体" w:hAnsi="宋体" w:eastAsia="宋体" w:cs="宋体"/>
          <w:spacing w:val="-4"/>
          <w:kern w:val="2"/>
          <w:sz w:val="21"/>
          <w:szCs w:val="21"/>
          <w:highlight w:val="none"/>
          <w:lang w:val="en-US" w:eastAsia="zh-CN" w:bidi="ar-SA"/>
        </w:rPr>
        <w:t>除专用合同条款和（或）供货要求等合同文件另有约定外，买方监造人员可到合同设</w:t>
      </w:r>
      <w:r>
        <w:rPr>
          <w:rFonts w:hint="eastAsia" w:ascii="宋体" w:hAnsi="宋体" w:eastAsia="宋体" w:cs="宋体"/>
          <w:spacing w:val="-1"/>
          <w:kern w:val="2"/>
          <w:sz w:val="21"/>
          <w:szCs w:val="21"/>
          <w:highlight w:val="none"/>
          <w:lang w:val="en-US" w:eastAsia="zh-CN" w:bidi="ar-SA"/>
        </w:rPr>
        <w:t>备及其关键部件的生产制造现场进行监造，卖方应予配合。卖方应免费为买方监造人员提供工作条件及便利，包括但不限于必要的办公场所、技术资料、检测工具及出入许可等。除专用合</w:t>
      </w:r>
      <w:r>
        <w:rPr>
          <w:rFonts w:hint="eastAsia" w:ascii="宋体" w:hAnsi="宋体" w:eastAsia="宋体" w:cs="宋体"/>
          <w:kern w:val="2"/>
          <w:sz w:val="21"/>
          <w:szCs w:val="21"/>
          <w:highlight w:val="none"/>
          <w:lang w:val="en-US" w:eastAsia="zh-CN" w:bidi="ar-SA"/>
        </w:rPr>
        <w:t>同条款另有约定外，买方监造人员的交通、食宿费用由买方承担。</w:t>
      </w:r>
    </w:p>
    <w:p w14:paraId="06AFBCC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4.1.3 </w:t>
      </w:r>
      <w:r>
        <w:rPr>
          <w:rFonts w:hint="eastAsia" w:ascii="宋体" w:hAnsi="宋体" w:eastAsia="宋体" w:cs="宋体"/>
          <w:spacing w:val="-4"/>
          <w:kern w:val="2"/>
          <w:sz w:val="21"/>
          <w:szCs w:val="21"/>
          <w:highlight w:val="none"/>
          <w:lang w:val="en-US" w:eastAsia="zh-CN" w:bidi="ar-SA"/>
        </w:rPr>
        <w:t>卖方制订生产制造合同设备的进度计划时，应将买方监造纳入计划安排，并提前通知</w:t>
      </w:r>
      <w:r>
        <w:rPr>
          <w:rFonts w:hint="eastAsia" w:ascii="宋体" w:hAnsi="宋体" w:eastAsia="宋体" w:cs="宋体"/>
          <w:spacing w:val="-1"/>
          <w:kern w:val="2"/>
          <w:sz w:val="21"/>
          <w:szCs w:val="21"/>
          <w:highlight w:val="none"/>
          <w:lang w:val="en-US" w:eastAsia="zh-CN" w:bidi="ar-SA"/>
        </w:rPr>
        <w:t>买方；买方进行监造不应影响合同设备的正常生产。除专用合同条款和（或）供货要求等合同</w:t>
      </w:r>
      <w:r>
        <w:rPr>
          <w:rFonts w:hint="eastAsia" w:ascii="宋体" w:hAnsi="宋体" w:eastAsia="宋体" w:cs="宋体"/>
          <w:kern w:val="2"/>
          <w:sz w:val="21"/>
          <w:szCs w:val="21"/>
          <w:highlight w:val="none"/>
          <w:lang w:val="en-US" w:eastAsia="zh-CN" w:bidi="ar-SA"/>
        </w:rPr>
        <w:t>文件另有约定外，卖方应提前7</w:t>
      </w:r>
      <w:r>
        <w:rPr>
          <w:rFonts w:hint="eastAsia" w:ascii="宋体" w:hAnsi="宋体" w:eastAsia="宋体" w:cs="宋体"/>
          <w:spacing w:val="-29"/>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日将需要买方监造人员现场监造事项通知买方；如买方监造人员未</w:t>
      </w:r>
      <w:r>
        <w:rPr>
          <w:rFonts w:hint="eastAsia" w:ascii="宋体" w:hAnsi="宋体" w:eastAsia="宋体" w:cs="宋体"/>
          <w:spacing w:val="-3"/>
          <w:kern w:val="2"/>
          <w:sz w:val="21"/>
          <w:szCs w:val="21"/>
          <w:highlight w:val="none"/>
          <w:lang w:val="en-US" w:eastAsia="zh-CN" w:bidi="ar-SA"/>
        </w:rPr>
        <w:t>按</w:t>
      </w:r>
      <w:r>
        <w:rPr>
          <w:rFonts w:hint="eastAsia" w:ascii="宋体" w:hAnsi="宋体" w:eastAsia="宋体" w:cs="宋体"/>
          <w:kern w:val="2"/>
          <w:sz w:val="21"/>
          <w:szCs w:val="21"/>
          <w:highlight w:val="none"/>
          <w:lang w:val="en-US" w:eastAsia="zh-CN" w:bidi="ar-SA"/>
        </w:rPr>
        <w:t>通</w:t>
      </w:r>
      <w:r>
        <w:rPr>
          <w:rFonts w:hint="eastAsia" w:ascii="宋体" w:hAnsi="宋体" w:eastAsia="宋体" w:cs="宋体"/>
          <w:spacing w:val="-3"/>
          <w:kern w:val="2"/>
          <w:sz w:val="21"/>
          <w:szCs w:val="21"/>
          <w:highlight w:val="none"/>
          <w:lang w:val="en-US" w:eastAsia="zh-CN" w:bidi="ar-SA"/>
        </w:rPr>
        <w:t>知</w:t>
      </w:r>
      <w:r>
        <w:rPr>
          <w:rFonts w:hint="eastAsia" w:ascii="宋体" w:hAnsi="宋体" w:eastAsia="宋体" w:cs="宋体"/>
          <w:kern w:val="2"/>
          <w:sz w:val="21"/>
          <w:szCs w:val="21"/>
          <w:highlight w:val="none"/>
          <w:lang w:val="en-US" w:eastAsia="zh-CN" w:bidi="ar-SA"/>
        </w:rPr>
        <w:t>出席</w:t>
      </w:r>
      <w:r>
        <w:rPr>
          <w:rFonts w:hint="eastAsia" w:ascii="宋体" w:hAnsi="宋体" w:eastAsia="宋体" w:cs="宋体"/>
          <w:spacing w:val="-9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不</w:t>
      </w:r>
      <w:r>
        <w:rPr>
          <w:rFonts w:hint="eastAsia" w:ascii="宋体" w:hAnsi="宋体" w:eastAsia="宋体" w:cs="宋体"/>
          <w:spacing w:val="-3"/>
          <w:kern w:val="2"/>
          <w:sz w:val="21"/>
          <w:szCs w:val="21"/>
          <w:highlight w:val="none"/>
          <w:lang w:val="en-US" w:eastAsia="zh-CN" w:bidi="ar-SA"/>
        </w:rPr>
        <w:t>影</w:t>
      </w:r>
      <w:r>
        <w:rPr>
          <w:rFonts w:hint="eastAsia" w:ascii="宋体" w:hAnsi="宋体" w:eastAsia="宋体" w:cs="宋体"/>
          <w:kern w:val="2"/>
          <w:sz w:val="21"/>
          <w:szCs w:val="21"/>
          <w:highlight w:val="none"/>
          <w:lang w:val="en-US" w:eastAsia="zh-CN" w:bidi="ar-SA"/>
        </w:rPr>
        <w:t>响</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及</w:t>
      </w:r>
      <w:r>
        <w:rPr>
          <w:rFonts w:hint="eastAsia" w:ascii="宋体" w:hAnsi="宋体" w:eastAsia="宋体" w:cs="宋体"/>
          <w:spacing w:val="-3"/>
          <w:kern w:val="2"/>
          <w:sz w:val="21"/>
          <w:szCs w:val="21"/>
          <w:highlight w:val="none"/>
          <w:lang w:val="en-US" w:eastAsia="zh-CN" w:bidi="ar-SA"/>
        </w:rPr>
        <w:t>其</w:t>
      </w:r>
      <w:r>
        <w:rPr>
          <w:rFonts w:hint="eastAsia" w:ascii="宋体" w:hAnsi="宋体" w:eastAsia="宋体" w:cs="宋体"/>
          <w:kern w:val="2"/>
          <w:sz w:val="21"/>
          <w:szCs w:val="21"/>
          <w:highlight w:val="none"/>
          <w:lang w:val="en-US" w:eastAsia="zh-CN" w:bidi="ar-SA"/>
        </w:rPr>
        <w:t>关</w:t>
      </w:r>
      <w:r>
        <w:rPr>
          <w:rFonts w:hint="eastAsia" w:ascii="宋体" w:hAnsi="宋体" w:eastAsia="宋体" w:cs="宋体"/>
          <w:spacing w:val="-3"/>
          <w:kern w:val="2"/>
          <w:sz w:val="21"/>
          <w:szCs w:val="21"/>
          <w:highlight w:val="none"/>
          <w:lang w:val="en-US" w:eastAsia="zh-CN" w:bidi="ar-SA"/>
        </w:rPr>
        <w:t>键</w:t>
      </w:r>
      <w:r>
        <w:rPr>
          <w:rFonts w:hint="eastAsia" w:ascii="宋体" w:hAnsi="宋体" w:eastAsia="宋体" w:cs="宋体"/>
          <w:kern w:val="2"/>
          <w:sz w:val="21"/>
          <w:szCs w:val="21"/>
          <w:highlight w:val="none"/>
          <w:lang w:val="en-US" w:eastAsia="zh-CN" w:bidi="ar-SA"/>
        </w:rPr>
        <w:t>部</w:t>
      </w:r>
      <w:r>
        <w:rPr>
          <w:rFonts w:hint="eastAsia" w:ascii="宋体" w:hAnsi="宋体" w:eastAsia="宋体" w:cs="宋体"/>
          <w:spacing w:val="-3"/>
          <w:kern w:val="2"/>
          <w:sz w:val="21"/>
          <w:szCs w:val="21"/>
          <w:highlight w:val="none"/>
          <w:lang w:val="en-US" w:eastAsia="zh-CN" w:bidi="ar-SA"/>
        </w:rPr>
        <w:t>件</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制</w:t>
      </w:r>
      <w:r>
        <w:rPr>
          <w:rFonts w:hint="eastAsia" w:ascii="宋体" w:hAnsi="宋体" w:eastAsia="宋体" w:cs="宋体"/>
          <w:kern w:val="2"/>
          <w:sz w:val="21"/>
          <w:szCs w:val="21"/>
          <w:highlight w:val="none"/>
          <w:lang w:val="en-US" w:eastAsia="zh-CN" w:bidi="ar-SA"/>
        </w:rPr>
        <w:t>造或</w:t>
      </w:r>
      <w:r>
        <w:rPr>
          <w:rFonts w:hint="eastAsia" w:ascii="宋体" w:hAnsi="宋体" w:eastAsia="宋体" w:cs="宋体"/>
          <w:spacing w:val="-3"/>
          <w:kern w:val="2"/>
          <w:sz w:val="21"/>
          <w:szCs w:val="21"/>
          <w:highlight w:val="none"/>
          <w:lang w:val="en-US" w:eastAsia="zh-CN" w:bidi="ar-SA"/>
        </w:rPr>
        <w:t>检</w:t>
      </w:r>
      <w:r>
        <w:rPr>
          <w:rFonts w:hint="eastAsia" w:ascii="宋体" w:hAnsi="宋体" w:eastAsia="宋体" w:cs="宋体"/>
          <w:kern w:val="2"/>
          <w:sz w:val="21"/>
          <w:szCs w:val="21"/>
          <w:highlight w:val="none"/>
          <w:lang w:val="en-US" w:eastAsia="zh-CN" w:bidi="ar-SA"/>
        </w:rPr>
        <w:t>验</w:t>
      </w:r>
      <w:r>
        <w:rPr>
          <w:rFonts w:hint="eastAsia" w:ascii="宋体" w:hAnsi="宋体" w:eastAsia="宋体" w:cs="宋体"/>
          <w:spacing w:val="-92"/>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但</w:t>
      </w:r>
      <w:r>
        <w:rPr>
          <w:rFonts w:hint="eastAsia" w:ascii="宋体" w:hAnsi="宋体" w:eastAsia="宋体" w:cs="宋体"/>
          <w:kern w:val="2"/>
          <w:sz w:val="21"/>
          <w:szCs w:val="21"/>
          <w:highlight w:val="none"/>
          <w:lang w:val="en-US" w:eastAsia="zh-CN" w:bidi="ar-SA"/>
        </w:rPr>
        <w:t>买</w:t>
      </w:r>
      <w:r>
        <w:rPr>
          <w:rFonts w:hint="eastAsia" w:ascii="宋体" w:hAnsi="宋体" w:eastAsia="宋体" w:cs="宋体"/>
          <w:spacing w:val="-3"/>
          <w:kern w:val="2"/>
          <w:sz w:val="21"/>
          <w:szCs w:val="21"/>
          <w:highlight w:val="none"/>
          <w:lang w:val="en-US" w:eastAsia="zh-CN" w:bidi="ar-SA"/>
        </w:rPr>
        <w:t>方</w:t>
      </w:r>
      <w:r>
        <w:rPr>
          <w:rFonts w:hint="eastAsia" w:ascii="宋体" w:hAnsi="宋体" w:eastAsia="宋体" w:cs="宋体"/>
          <w:kern w:val="2"/>
          <w:sz w:val="21"/>
          <w:szCs w:val="21"/>
          <w:highlight w:val="none"/>
          <w:lang w:val="en-US" w:eastAsia="zh-CN" w:bidi="ar-SA"/>
        </w:rPr>
        <w:t>监</w:t>
      </w:r>
      <w:r>
        <w:rPr>
          <w:rFonts w:hint="eastAsia" w:ascii="宋体" w:hAnsi="宋体" w:eastAsia="宋体" w:cs="宋体"/>
          <w:spacing w:val="-3"/>
          <w:kern w:val="2"/>
          <w:sz w:val="21"/>
          <w:szCs w:val="21"/>
          <w:highlight w:val="none"/>
          <w:lang w:val="en-US" w:eastAsia="zh-CN" w:bidi="ar-SA"/>
        </w:rPr>
        <w:t>造</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员</w:t>
      </w:r>
      <w:r>
        <w:rPr>
          <w:rFonts w:hint="eastAsia" w:ascii="宋体" w:hAnsi="宋体" w:eastAsia="宋体" w:cs="宋体"/>
          <w:kern w:val="2"/>
          <w:sz w:val="21"/>
          <w:szCs w:val="21"/>
          <w:highlight w:val="none"/>
          <w:lang w:val="en-US" w:eastAsia="zh-CN" w:bidi="ar-SA"/>
        </w:rPr>
        <w:t>有权</w:t>
      </w:r>
      <w:r>
        <w:rPr>
          <w:rFonts w:hint="eastAsia" w:ascii="宋体" w:hAnsi="宋体" w:eastAsia="宋体" w:cs="宋体"/>
          <w:spacing w:val="-3"/>
          <w:kern w:val="2"/>
          <w:sz w:val="21"/>
          <w:szCs w:val="21"/>
          <w:highlight w:val="none"/>
          <w:lang w:val="en-US" w:eastAsia="zh-CN" w:bidi="ar-SA"/>
        </w:rPr>
        <w:t>事</w:t>
      </w:r>
      <w:r>
        <w:rPr>
          <w:rFonts w:hint="eastAsia" w:ascii="宋体" w:hAnsi="宋体" w:eastAsia="宋体" w:cs="宋体"/>
          <w:kern w:val="2"/>
          <w:sz w:val="21"/>
          <w:szCs w:val="21"/>
          <w:highlight w:val="none"/>
          <w:lang w:val="en-US" w:eastAsia="zh-CN" w:bidi="ar-SA"/>
        </w:rPr>
        <w:t>后</w:t>
      </w:r>
      <w:r>
        <w:rPr>
          <w:rFonts w:hint="eastAsia" w:ascii="宋体" w:hAnsi="宋体" w:eastAsia="宋体" w:cs="宋体"/>
          <w:spacing w:val="-3"/>
          <w:kern w:val="2"/>
          <w:sz w:val="21"/>
          <w:szCs w:val="21"/>
          <w:highlight w:val="none"/>
          <w:lang w:val="en-US" w:eastAsia="zh-CN" w:bidi="ar-SA"/>
        </w:rPr>
        <w:t>了解</w:t>
      </w:r>
      <w:r>
        <w:rPr>
          <w:rFonts w:hint="eastAsia" w:ascii="宋体" w:hAnsi="宋体" w:eastAsia="宋体" w:cs="宋体"/>
          <w:kern w:val="2"/>
          <w:sz w:val="21"/>
          <w:szCs w:val="21"/>
          <w:highlight w:val="none"/>
          <w:lang w:val="en-US" w:eastAsia="zh-CN" w:bidi="ar-SA"/>
        </w:rPr>
        <w:t>、查阅、复制相关制造或检验记录。</w:t>
      </w:r>
    </w:p>
    <w:p w14:paraId="2ADB00C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4.1.4 </w:t>
      </w:r>
      <w:r>
        <w:rPr>
          <w:rFonts w:hint="eastAsia" w:ascii="宋体" w:hAnsi="宋体" w:eastAsia="宋体" w:cs="宋体"/>
          <w:spacing w:val="-4"/>
          <w:kern w:val="2"/>
          <w:sz w:val="21"/>
          <w:szCs w:val="21"/>
          <w:highlight w:val="none"/>
          <w:lang w:val="en-US" w:eastAsia="zh-CN" w:bidi="ar-SA"/>
        </w:rPr>
        <w:t>买方监造人员在监造中如发现合同设备及其关键部件不符合合同约定的标准，则有权</w:t>
      </w:r>
      <w:r>
        <w:rPr>
          <w:rFonts w:hint="eastAsia" w:ascii="宋体" w:hAnsi="宋体" w:eastAsia="宋体" w:cs="宋体"/>
          <w:spacing w:val="-1"/>
          <w:kern w:val="2"/>
          <w:sz w:val="21"/>
          <w:szCs w:val="21"/>
          <w:highlight w:val="none"/>
          <w:lang w:val="en-US" w:eastAsia="zh-CN" w:bidi="ar-SA"/>
        </w:rPr>
        <w:t>提出意见和建议。卖方应采取必要措施消除合同设备的不符，由此增加的费用和（或）造成的</w:t>
      </w:r>
      <w:r>
        <w:rPr>
          <w:rFonts w:hint="eastAsia" w:ascii="宋体" w:hAnsi="宋体" w:eastAsia="宋体" w:cs="宋体"/>
          <w:kern w:val="2"/>
          <w:sz w:val="21"/>
          <w:szCs w:val="21"/>
          <w:highlight w:val="none"/>
          <w:lang w:val="en-US" w:eastAsia="zh-CN" w:bidi="ar-SA"/>
        </w:rPr>
        <w:t>延误由卖方负责。</w:t>
      </w:r>
    </w:p>
    <w:p w14:paraId="7EA9FE4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4.1.5 </w:t>
      </w:r>
      <w:r>
        <w:rPr>
          <w:rFonts w:hint="eastAsia" w:ascii="宋体" w:hAnsi="宋体" w:eastAsia="宋体" w:cs="宋体"/>
          <w:spacing w:val="-4"/>
          <w:kern w:val="2"/>
          <w:sz w:val="21"/>
          <w:szCs w:val="21"/>
          <w:highlight w:val="none"/>
          <w:lang w:val="en-US" w:eastAsia="zh-CN" w:bidi="ar-SA"/>
        </w:rPr>
        <w:t>买方监造人员对合同设备的监造，不视为对合同设备质量的确认，不影响卖方交货后</w:t>
      </w:r>
      <w:r>
        <w:rPr>
          <w:rFonts w:hint="eastAsia" w:ascii="宋体" w:hAnsi="宋体" w:eastAsia="宋体" w:cs="宋体"/>
          <w:spacing w:val="-1"/>
          <w:kern w:val="2"/>
          <w:sz w:val="21"/>
          <w:szCs w:val="21"/>
          <w:highlight w:val="none"/>
          <w:lang w:val="en-US" w:eastAsia="zh-CN" w:bidi="ar-SA"/>
        </w:rPr>
        <w:t>买方依照合同约定对合同设备提出质量异议和（或）退货的权利，也不免除卖方依照合同约定</w:t>
      </w:r>
      <w:r>
        <w:rPr>
          <w:rFonts w:hint="eastAsia" w:ascii="宋体" w:hAnsi="宋体" w:eastAsia="宋体" w:cs="宋体"/>
          <w:kern w:val="2"/>
          <w:sz w:val="21"/>
          <w:szCs w:val="21"/>
          <w:highlight w:val="none"/>
          <w:lang w:val="en-US" w:eastAsia="zh-CN" w:bidi="ar-SA"/>
        </w:rPr>
        <w:t>对合同设备所应承担的任何义务或责任。</w:t>
      </w:r>
    </w:p>
    <w:p w14:paraId="6AAE07D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71" w:name="_bookmark120"/>
      <w:bookmarkEnd w:id="471"/>
      <w:bookmarkStart w:id="472" w:name="_Toc16872"/>
      <w:bookmarkStart w:id="473" w:name="_Toc20163"/>
      <w:bookmarkStart w:id="474" w:name="_Toc27516"/>
      <w:bookmarkStart w:id="475" w:name="_Toc7823"/>
      <w:r>
        <w:rPr>
          <w:rFonts w:hint="eastAsia" w:ascii="宋体" w:hAnsi="宋体" w:eastAsia="宋体" w:cs="宋体"/>
          <w:kern w:val="0"/>
          <w:sz w:val="21"/>
          <w:szCs w:val="21"/>
          <w:highlight w:val="none"/>
          <w:lang w:val="en-US" w:eastAsia="zh-CN" w:bidi="ar-SA"/>
        </w:rPr>
        <w:t>4.2  交货前检验</w:t>
      </w:r>
      <w:bookmarkEnd w:id="472"/>
      <w:bookmarkEnd w:id="473"/>
      <w:bookmarkEnd w:id="474"/>
      <w:bookmarkEnd w:id="475"/>
    </w:p>
    <w:p w14:paraId="3C924E8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专用合同条款约定买方参与交货前检验的，双方应按本款及专用合同条款约定履行。</w:t>
      </w:r>
    </w:p>
    <w:p w14:paraId="211AD99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4.2.1 </w:t>
      </w:r>
      <w:r>
        <w:rPr>
          <w:rFonts w:hint="eastAsia" w:ascii="宋体" w:hAnsi="宋体" w:eastAsia="宋体" w:cs="宋体"/>
          <w:spacing w:val="-4"/>
          <w:kern w:val="2"/>
          <w:sz w:val="21"/>
          <w:szCs w:val="21"/>
          <w:highlight w:val="none"/>
          <w:lang w:val="en-US" w:eastAsia="zh-CN" w:bidi="ar-SA"/>
        </w:rPr>
        <w:t>合同设备交货前，卖方应会同买方代表根据合同约定对合同设备进行交货前检验并出</w:t>
      </w:r>
      <w:r>
        <w:rPr>
          <w:rFonts w:hint="eastAsia" w:ascii="宋体" w:hAnsi="宋体" w:eastAsia="宋体" w:cs="宋体"/>
          <w:spacing w:val="-1"/>
          <w:kern w:val="2"/>
          <w:sz w:val="21"/>
          <w:szCs w:val="21"/>
          <w:highlight w:val="none"/>
          <w:lang w:val="en-US" w:eastAsia="zh-CN" w:bidi="ar-SA"/>
        </w:rPr>
        <w:t>具交货前检验记录，有关费用由卖方承担。卖方应免费为买方代表提供工作条件及便利，包括但不限于必要的办公场所、技术资料、检测工具及出入许可等。除专用合同条款另有约定外，</w:t>
      </w:r>
      <w:r>
        <w:rPr>
          <w:rFonts w:hint="eastAsia" w:ascii="宋体" w:hAnsi="宋体" w:eastAsia="宋体" w:cs="宋体"/>
          <w:kern w:val="2"/>
          <w:sz w:val="21"/>
          <w:szCs w:val="21"/>
          <w:highlight w:val="none"/>
          <w:lang w:val="en-US" w:eastAsia="zh-CN" w:bidi="ar-SA"/>
        </w:rPr>
        <w:t>买方代表的交通、食宿费用由买方承担。</w:t>
      </w:r>
    </w:p>
    <w:p w14:paraId="2442AD2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4.2.2 </w:t>
      </w:r>
      <w:r>
        <w:rPr>
          <w:rFonts w:hint="eastAsia" w:ascii="宋体" w:hAnsi="宋体" w:eastAsia="宋体" w:cs="宋体"/>
          <w:spacing w:val="-4"/>
          <w:kern w:val="2"/>
          <w:sz w:val="21"/>
          <w:szCs w:val="21"/>
          <w:highlight w:val="none"/>
          <w:lang w:val="en-US" w:eastAsia="zh-CN" w:bidi="ar-SA"/>
        </w:rPr>
        <w:t>除专用合同条款和（或）供货要求等合同文件另有约定外，卖方应提前</w:t>
      </w:r>
      <w:r>
        <w:rPr>
          <w:rFonts w:hint="eastAsia" w:ascii="宋体" w:hAnsi="宋体" w:eastAsia="宋体" w:cs="宋体"/>
          <w:kern w:val="2"/>
          <w:sz w:val="21"/>
          <w:szCs w:val="21"/>
          <w:highlight w:val="none"/>
          <w:lang w:val="en-US" w:eastAsia="zh-CN" w:bidi="ar-SA"/>
        </w:rPr>
        <w:t>7日将需要买</w:t>
      </w:r>
      <w:r>
        <w:rPr>
          <w:rFonts w:hint="eastAsia" w:ascii="宋体" w:hAnsi="宋体" w:eastAsia="宋体" w:cs="宋体"/>
          <w:spacing w:val="-1"/>
          <w:kern w:val="2"/>
          <w:sz w:val="21"/>
          <w:szCs w:val="21"/>
          <w:highlight w:val="none"/>
          <w:lang w:val="en-US" w:eastAsia="zh-CN" w:bidi="ar-SA"/>
        </w:rPr>
        <w:t>方代表检验事项通知买方；如买方代表未按通知出席，不影响合同设备的检验。若卖方未依照合同约定提前通知买方而自行检验，则买方有权要求卖方暂停发货并重新进行检验，由此增加</w:t>
      </w:r>
      <w:r>
        <w:rPr>
          <w:rFonts w:hint="eastAsia" w:ascii="宋体" w:hAnsi="宋体" w:eastAsia="宋体" w:cs="宋体"/>
          <w:kern w:val="2"/>
          <w:sz w:val="21"/>
          <w:szCs w:val="21"/>
          <w:highlight w:val="none"/>
          <w:lang w:val="en-US" w:eastAsia="zh-CN" w:bidi="ar-SA"/>
        </w:rPr>
        <w:t>的费用和（或）造成的延误由卖方负责。</w:t>
      </w:r>
    </w:p>
    <w:p w14:paraId="4D3AE2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4.2.3 </w:t>
      </w:r>
      <w:r>
        <w:rPr>
          <w:rFonts w:hint="eastAsia" w:ascii="宋体" w:hAnsi="宋体" w:eastAsia="宋体" w:cs="宋体"/>
          <w:spacing w:val="-4"/>
          <w:kern w:val="2"/>
          <w:sz w:val="21"/>
          <w:szCs w:val="21"/>
          <w:highlight w:val="none"/>
          <w:lang w:val="en-US" w:eastAsia="zh-CN" w:bidi="ar-SA"/>
        </w:rPr>
        <w:t>买方代表在检验中如发现合同设备不符合合同约定的标准，则有权提出异议。卖方应</w:t>
      </w:r>
      <w:r>
        <w:rPr>
          <w:rFonts w:hint="eastAsia" w:ascii="宋体" w:hAnsi="宋体" w:eastAsia="宋体" w:cs="宋体"/>
          <w:kern w:val="2"/>
          <w:sz w:val="21"/>
          <w:szCs w:val="21"/>
          <w:highlight w:val="none"/>
          <w:lang w:val="en-US" w:eastAsia="zh-CN" w:bidi="ar-SA"/>
        </w:rPr>
        <w:t>采取必要措施消除合同设备的不符，由此增加的费用和（或）造成的延误由卖方负责。</w:t>
      </w:r>
    </w:p>
    <w:p w14:paraId="25EB671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4.2.4 </w:t>
      </w:r>
      <w:r>
        <w:rPr>
          <w:rFonts w:hint="eastAsia" w:ascii="宋体" w:hAnsi="宋体" w:eastAsia="宋体" w:cs="宋体"/>
          <w:spacing w:val="-4"/>
          <w:kern w:val="2"/>
          <w:sz w:val="21"/>
          <w:szCs w:val="21"/>
          <w:highlight w:val="none"/>
          <w:lang w:val="en-US" w:eastAsia="zh-CN" w:bidi="ar-SA"/>
        </w:rPr>
        <w:t>买方代表参与交货前检验及签署交货前检验记录的行为，不视为对合同设备质量的确</w:t>
      </w:r>
      <w:r>
        <w:rPr>
          <w:rFonts w:hint="eastAsia" w:ascii="宋体" w:hAnsi="宋体" w:eastAsia="宋体" w:cs="宋体"/>
          <w:spacing w:val="-1"/>
          <w:kern w:val="2"/>
          <w:sz w:val="21"/>
          <w:szCs w:val="21"/>
          <w:highlight w:val="none"/>
          <w:lang w:val="en-US" w:eastAsia="zh-CN" w:bidi="ar-SA"/>
        </w:rPr>
        <w:t>认，不影响卖方交货后买方依照合同约定对合同设备提出质量异议和（或）退货的权利，也不</w:t>
      </w:r>
      <w:r>
        <w:rPr>
          <w:rFonts w:hint="eastAsia" w:ascii="宋体" w:hAnsi="宋体" w:eastAsia="宋体" w:cs="宋体"/>
          <w:kern w:val="2"/>
          <w:sz w:val="21"/>
          <w:szCs w:val="21"/>
          <w:highlight w:val="none"/>
          <w:lang w:val="en-US" w:eastAsia="zh-CN" w:bidi="ar-SA"/>
        </w:rPr>
        <w:t>免除卖方依照合同约定对合同设备所应承担的任何义务或责任。</w:t>
      </w:r>
    </w:p>
    <w:p w14:paraId="549D753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76" w:name="_bookmark121"/>
      <w:bookmarkEnd w:id="476"/>
      <w:bookmarkStart w:id="477" w:name="_Toc91344945"/>
      <w:bookmarkStart w:id="478" w:name="_Toc54550757"/>
      <w:bookmarkStart w:id="479" w:name="_Toc534572289"/>
      <w:bookmarkStart w:id="480" w:name="_Toc28090"/>
      <w:bookmarkStart w:id="481" w:name="_Toc62034475"/>
      <w:bookmarkStart w:id="482" w:name="_Toc802"/>
      <w:bookmarkStart w:id="483" w:name="_Toc18249"/>
      <w:bookmarkStart w:id="484" w:name="_Toc19401"/>
      <w:r>
        <w:rPr>
          <w:rFonts w:hint="eastAsia" w:ascii="宋体" w:hAnsi="宋体" w:eastAsia="宋体" w:cs="宋体"/>
          <w:b/>
          <w:bCs/>
          <w:kern w:val="0"/>
          <w:sz w:val="21"/>
          <w:szCs w:val="21"/>
          <w:highlight w:val="none"/>
          <w:lang w:val="en-US" w:eastAsia="zh-CN" w:bidi="ar-SA"/>
        </w:rPr>
        <w:t>5.包装、标记、运输和交付</w:t>
      </w:r>
      <w:bookmarkEnd w:id="477"/>
      <w:bookmarkEnd w:id="478"/>
      <w:bookmarkEnd w:id="479"/>
      <w:bookmarkEnd w:id="480"/>
      <w:bookmarkEnd w:id="481"/>
      <w:bookmarkEnd w:id="482"/>
      <w:bookmarkEnd w:id="483"/>
      <w:bookmarkEnd w:id="484"/>
    </w:p>
    <w:p w14:paraId="791C4E2F">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85" w:name="_bookmark122"/>
      <w:bookmarkEnd w:id="485"/>
      <w:bookmarkStart w:id="486" w:name="_Toc1923"/>
      <w:bookmarkStart w:id="487" w:name="_Toc23966"/>
      <w:bookmarkStart w:id="488" w:name="_Toc10180"/>
      <w:bookmarkStart w:id="489" w:name="_Toc16745"/>
      <w:r>
        <w:rPr>
          <w:rFonts w:hint="eastAsia" w:ascii="宋体" w:hAnsi="宋体" w:eastAsia="宋体" w:cs="宋体"/>
          <w:kern w:val="0"/>
          <w:sz w:val="21"/>
          <w:szCs w:val="21"/>
          <w:highlight w:val="none"/>
          <w:lang w:val="en-US" w:eastAsia="zh-CN" w:bidi="ar-SA"/>
        </w:rPr>
        <w:t>5.1  包装</w:t>
      </w:r>
      <w:bookmarkEnd w:id="486"/>
      <w:bookmarkEnd w:id="487"/>
      <w:bookmarkEnd w:id="488"/>
      <w:bookmarkEnd w:id="489"/>
    </w:p>
    <w:p w14:paraId="6994525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5.1.1 卖方应对合同设备进行妥善包装，以满足合同设备运至施工场地及在施工场地保管的 需要。包装应采取防潮、防晒、防锈、防腐蚀、防震动及防止其它损坏的必要保护措施，从而保护合同设备能够经受多次搬运、装卸、长途运输并适宜保管。</w:t>
      </w:r>
    </w:p>
    <w:p w14:paraId="058AE3B1">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5.1.2 </w:t>
      </w:r>
      <w:r>
        <w:rPr>
          <w:rFonts w:hint="eastAsia" w:ascii="宋体" w:hAnsi="宋体" w:eastAsia="宋体" w:cs="宋体"/>
          <w:spacing w:val="-6"/>
          <w:kern w:val="2"/>
          <w:sz w:val="21"/>
          <w:szCs w:val="21"/>
          <w:highlight w:val="none"/>
          <w:lang w:val="en-US" w:eastAsia="zh-CN" w:bidi="ar-SA"/>
        </w:rPr>
        <w:t>每个独立包装箱内应附装箱清单、质量合格证、装配图、说明书、操作指南等资料。</w:t>
      </w:r>
    </w:p>
    <w:p w14:paraId="76C9B84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5.1.3 除专用合同条款另有约定外，买方无需将包装物退还给卖方。</w:t>
      </w:r>
    </w:p>
    <w:p w14:paraId="7408351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90" w:name="_bookmark123"/>
      <w:bookmarkEnd w:id="490"/>
      <w:bookmarkStart w:id="491" w:name="_Toc27228"/>
      <w:bookmarkStart w:id="492" w:name="_Toc27933"/>
      <w:bookmarkStart w:id="493" w:name="_Toc29449"/>
      <w:bookmarkStart w:id="494" w:name="_Toc22377"/>
      <w:r>
        <w:rPr>
          <w:rFonts w:hint="eastAsia" w:ascii="宋体" w:hAnsi="宋体" w:eastAsia="宋体" w:cs="宋体"/>
          <w:kern w:val="0"/>
          <w:sz w:val="21"/>
          <w:szCs w:val="21"/>
          <w:highlight w:val="none"/>
          <w:lang w:val="en-US" w:eastAsia="zh-CN" w:bidi="ar-SA"/>
        </w:rPr>
        <w:t>5.2  标记</w:t>
      </w:r>
      <w:bookmarkEnd w:id="491"/>
      <w:bookmarkEnd w:id="492"/>
      <w:bookmarkEnd w:id="493"/>
      <w:bookmarkEnd w:id="494"/>
    </w:p>
    <w:p w14:paraId="6450F0C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5.2.1 </w:t>
      </w:r>
      <w:r>
        <w:rPr>
          <w:rFonts w:hint="eastAsia" w:ascii="宋体" w:hAnsi="宋体" w:eastAsia="宋体" w:cs="宋体"/>
          <w:spacing w:val="-4"/>
          <w:kern w:val="2"/>
          <w:sz w:val="21"/>
          <w:szCs w:val="21"/>
          <w:highlight w:val="none"/>
          <w:lang w:val="en-US" w:eastAsia="zh-CN" w:bidi="ar-SA"/>
        </w:rPr>
        <w:t>除专用合同条款另有约定外，卖方应在每一包装箱相邻的四个侧面以不可擦除的、明</w:t>
      </w:r>
      <w:r>
        <w:rPr>
          <w:rFonts w:hint="eastAsia" w:ascii="宋体" w:hAnsi="宋体" w:eastAsia="宋体" w:cs="宋体"/>
          <w:kern w:val="2"/>
          <w:sz w:val="21"/>
          <w:szCs w:val="21"/>
          <w:highlight w:val="none"/>
          <w:lang w:val="en-US" w:eastAsia="zh-CN" w:bidi="ar-SA"/>
        </w:rPr>
        <w:t>显的方式标记必要的装运信息和标记，以满足合同设备运输和保管的需要。</w:t>
      </w:r>
    </w:p>
    <w:p w14:paraId="43D1615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5.2.2 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w:t>
      </w:r>
    </w:p>
    <w:p w14:paraId="1B58FF9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95" w:name="_bookmark124"/>
      <w:bookmarkEnd w:id="495"/>
      <w:bookmarkStart w:id="496" w:name="_Toc25892"/>
      <w:bookmarkStart w:id="497" w:name="_Toc31248"/>
      <w:bookmarkStart w:id="498" w:name="_Toc26803"/>
      <w:bookmarkStart w:id="499" w:name="_Toc23011"/>
      <w:r>
        <w:rPr>
          <w:rFonts w:hint="eastAsia" w:ascii="宋体" w:hAnsi="宋体" w:eastAsia="宋体" w:cs="宋体"/>
          <w:kern w:val="0"/>
          <w:sz w:val="21"/>
          <w:szCs w:val="21"/>
          <w:highlight w:val="none"/>
          <w:lang w:val="en-US" w:eastAsia="zh-CN" w:bidi="ar-SA"/>
        </w:rPr>
        <w:t>5.3  运输</w:t>
      </w:r>
      <w:bookmarkEnd w:id="496"/>
      <w:bookmarkEnd w:id="497"/>
      <w:bookmarkEnd w:id="498"/>
      <w:bookmarkEnd w:id="499"/>
    </w:p>
    <w:p w14:paraId="71B3FF8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5.3.1 卖方应自行选择适宜的运输工具及线路安排合同设备运输。</w:t>
      </w:r>
    </w:p>
    <w:p w14:paraId="2E2768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5.3.2 </w:t>
      </w:r>
      <w:r>
        <w:rPr>
          <w:rFonts w:hint="eastAsia" w:ascii="宋体" w:hAnsi="宋体" w:eastAsia="宋体" w:cs="宋体"/>
          <w:spacing w:val="-4"/>
          <w:kern w:val="2"/>
          <w:sz w:val="21"/>
          <w:szCs w:val="21"/>
          <w:highlight w:val="none"/>
          <w:lang w:val="en-US" w:eastAsia="zh-CN" w:bidi="ar-SA"/>
        </w:rPr>
        <w:t>除专用合同条款另有约定外，每件能够独立运行的设备应整套装运。该设备安装、调</w:t>
      </w:r>
      <w:r>
        <w:rPr>
          <w:rFonts w:hint="eastAsia" w:ascii="宋体" w:hAnsi="宋体" w:eastAsia="宋体" w:cs="宋体"/>
          <w:kern w:val="2"/>
          <w:sz w:val="21"/>
          <w:szCs w:val="21"/>
          <w:highlight w:val="none"/>
          <w:lang w:val="en-US" w:eastAsia="zh-CN" w:bidi="ar-SA"/>
        </w:rPr>
        <w:t>试、考核和运行所使用的备品、备件、易损易耗件等应随相关的主机一齐装运。</w:t>
      </w:r>
    </w:p>
    <w:p w14:paraId="2046FDF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5.3.3 除专用合同条款另有约定外，卖方应在合同设备预计启运 7 日前，将合同设备名称、数量</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箱</w:t>
      </w:r>
      <w:r>
        <w:rPr>
          <w:rFonts w:hint="eastAsia" w:ascii="宋体" w:hAnsi="宋体" w:eastAsia="宋体" w:cs="宋体"/>
          <w:spacing w:val="-3"/>
          <w:kern w:val="2"/>
          <w:sz w:val="21"/>
          <w:szCs w:val="21"/>
          <w:highlight w:val="none"/>
          <w:lang w:val="en-US" w:eastAsia="zh-CN" w:bidi="ar-SA"/>
        </w:rPr>
        <w:t>数</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毛重</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体积</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用</w:t>
      </w:r>
      <w:r>
        <w:rPr>
          <w:rFonts w:hint="eastAsia" w:ascii="宋体" w:hAnsi="宋体" w:eastAsia="宋体" w:cs="宋体"/>
          <w:spacing w:val="-4"/>
          <w:kern w:val="2"/>
          <w:sz w:val="21"/>
          <w:szCs w:val="21"/>
          <w:highlight w:val="none"/>
          <w:lang w:val="en-US" w:eastAsia="zh-CN" w:bidi="ar-SA"/>
        </w:rPr>
        <w:t>m³</w:t>
      </w:r>
      <w:r>
        <w:rPr>
          <w:rFonts w:hint="eastAsia" w:ascii="宋体" w:hAnsi="宋体" w:eastAsia="宋体" w:cs="宋体"/>
          <w:kern w:val="2"/>
          <w:sz w:val="21"/>
          <w:szCs w:val="21"/>
          <w:highlight w:val="none"/>
          <w:lang w:val="en-US" w:eastAsia="zh-CN" w:bidi="ar-SA"/>
        </w:rPr>
        <w:t>表示）、</w:t>
      </w:r>
      <w:r>
        <w:rPr>
          <w:rFonts w:hint="eastAsia" w:ascii="宋体" w:hAnsi="宋体" w:eastAsia="宋体" w:cs="宋体"/>
          <w:spacing w:val="-3"/>
          <w:kern w:val="2"/>
          <w:sz w:val="21"/>
          <w:szCs w:val="21"/>
          <w:highlight w:val="none"/>
          <w:lang w:val="en-US" w:eastAsia="zh-CN" w:bidi="ar-SA"/>
        </w:rPr>
        <w:t>每箱</w:t>
      </w:r>
      <w:r>
        <w:rPr>
          <w:rFonts w:hint="eastAsia" w:ascii="宋体" w:hAnsi="宋体" w:eastAsia="宋体" w:cs="宋体"/>
          <w:kern w:val="2"/>
          <w:sz w:val="21"/>
          <w:szCs w:val="21"/>
          <w:highlight w:val="none"/>
          <w:lang w:val="en-US" w:eastAsia="zh-CN" w:bidi="ar-SA"/>
        </w:rPr>
        <w:t>尺寸（</w:t>
      </w:r>
      <w:r>
        <w:rPr>
          <w:rFonts w:hint="eastAsia" w:ascii="宋体" w:hAnsi="宋体" w:eastAsia="宋体" w:cs="宋体"/>
          <w:spacing w:val="2"/>
          <w:kern w:val="2"/>
          <w:sz w:val="21"/>
          <w:szCs w:val="21"/>
          <w:highlight w:val="none"/>
          <w:lang w:val="en-US" w:eastAsia="zh-CN" w:bidi="ar-SA"/>
        </w:rPr>
        <w:t>长</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spacing w:val="2"/>
          <w:kern w:val="2"/>
          <w:sz w:val="21"/>
          <w:szCs w:val="21"/>
          <w:highlight w:val="none"/>
          <w:lang w:val="en-US" w:eastAsia="zh-CN" w:bidi="ar-SA"/>
        </w:rPr>
        <w:t>宽</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高）</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装</w:t>
      </w:r>
      <w:r>
        <w:rPr>
          <w:rFonts w:hint="eastAsia" w:ascii="宋体" w:hAnsi="宋体" w:eastAsia="宋体" w:cs="宋体"/>
          <w:spacing w:val="-3"/>
          <w:kern w:val="2"/>
          <w:sz w:val="21"/>
          <w:szCs w:val="21"/>
          <w:highlight w:val="none"/>
          <w:lang w:val="en-US" w:eastAsia="zh-CN" w:bidi="ar-SA"/>
        </w:rPr>
        <w:t>运合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总</w:t>
      </w:r>
      <w:r>
        <w:rPr>
          <w:rFonts w:hint="eastAsia" w:ascii="宋体" w:hAnsi="宋体" w:eastAsia="宋体" w:cs="宋体"/>
          <w:spacing w:val="-3"/>
          <w:kern w:val="2"/>
          <w:sz w:val="21"/>
          <w:szCs w:val="21"/>
          <w:highlight w:val="none"/>
          <w:lang w:val="en-US" w:eastAsia="zh-CN" w:bidi="ar-SA"/>
        </w:rPr>
        <w:t>金</w:t>
      </w:r>
      <w:r>
        <w:rPr>
          <w:rFonts w:hint="eastAsia" w:ascii="宋体" w:hAnsi="宋体" w:eastAsia="宋体" w:cs="宋体"/>
          <w:kern w:val="2"/>
          <w:sz w:val="21"/>
          <w:szCs w:val="21"/>
          <w:highlight w:val="none"/>
          <w:lang w:val="en-US" w:eastAsia="zh-CN" w:bidi="ar-SA"/>
        </w:rPr>
        <w:t>额、运输方式、预计交付日期和合同设备在运输、装卸、保管中的注意事项等预通知买方，并在合同设备启运后</w:t>
      </w:r>
      <w:r>
        <w:rPr>
          <w:rFonts w:hint="eastAsia" w:ascii="宋体" w:hAnsi="宋体" w:eastAsia="宋体" w:cs="宋体"/>
          <w:spacing w:val="-56"/>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24小时之内正式通知买方。</w:t>
      </w:r>
    </w:p>
    <w:p w14:paraId="36C29F6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5.3.4 卖方在根据第5.3.3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277A14C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00" w:name="_Toc21891"/>
      <w:bookmarkStart w:id="501" w:name="_Toc30312"/>
      <w:bookmarkStart w:id="502" w:name="_Toc18833"/>
      <w:bookmarkStart w:id="503" w:name="_Toc15766"/>
      <w:r>
        <w:rPr>
          <w:rFonts w:hint="eastAsia" w:ascii="宋体" w:hAnsi="宋体" w:eastAsia="宋体" w:cs="宋体"/>
          <w:kern w:val="0"/>
          <w:sz w:val="21"/>
          <w:szCs w:val="21"/>
          <w:highlight w:val="none"/>
          <w:lang w:val="en-US" w:eastAsia="zh-CN" w:bidi="ar-SA"/>
        </w:rPr>
        <w:t>5.4  交付</w:t>
      </w:r>
      <w:bookmarkEnd w:id="500"/>
      <w:bookmarkEnd w:id="501"/>
      <w:bookmarkEnd w:id="502"/>
      <w:bookmarkEnd w:id="503"/>
    </w:p>
    <w:p w14:paraId="0BDE467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6C29940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5.4.2 合同设备的所有权和风险自交付时起由卖方转移至买方，合同设备交付给买方之前包括运输在内的所有风险均由卖方承担。</w:t>
      </w:r>
    </w:p>
    <w:p w14:paraId="7F7B0CD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5.4.3 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3B0FCF7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04" w:name="_bookmark126"/>
      <w:bookmarkEnd w:id="504"/>
      <w:bookmarkStart w:id="505" w:name="_Toc62034476"/>
      <w:bookmarkStart w:id="506" w:name="_Toc54550758"/>
      <w:bookmarkStart w:id="507" w:name="_Toc26149"/>
      <w:bookmarkStart w:id="508" w:name="_Toc10708"/>
      <w:bookmarkStart w:id="509" w:name="_Toc534572290"/>
      <w:bookmarkStart w:id="510" w:name="_Toc21307"/>
      <w:bookmarkStart w:id="511" w:name="_Toc4062"/>
      <w:bookmarkStart w:id="512" w:name="_Toc91344946"/>
      <w:r>
        <w:rPr>
          <w:rFonts w:hint="eastAsia" w:ascii="宋体" w:hAnsi="宋体" w:eastAsia="宋体" w:cs="宋体"/>
          <w:b/>
          <w:bCs/>
          <w:kern w:val="0"/>
          <w:sz w:val="21"/>
          <w:szCs w:val="21"/>
          <w:highlight w:val="none"/>
          <w:lang w:val="en-US" w:eastAsia="zh-CN" w:bidi="ar-SA"/>
        </w:rPr>
        <w:t>6.开箱检验、安装、调试、考核、验收</w:t>
      </w:r>
      <w:bookmarkEnd w:id="505"/>
      <w:bookmarkEnd w:id="506"/>
      <w:bookmarkEnd w:id="507"/>
      <w:bookmarkEnd w:id="508"/>
      <w:bookmarkEnd w:id="509"/>
      <w:bookmarkEnd w:id="510"/>
      <w:bookmarkEnd w:id="511"/>
      <w:bookmarkEnd w:id="512"/>
    </w:p>
    <w:p w14:paraId="6A50546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3" w:name="_bookmark127"/>
      <w:bookmarkEnd w:id="513"/>
      <w:r>
        <w:rPr>
          <w:rFonts w:hint="eastAsia" w:ascii="宋体" w:hAnsi="宋体" w:eastAsia="宋体" w:cs="宋体"/>
          <w:kern w:val="0"/>
          <w:sz w:val="21"/>
          <w:szCs w:val="21"/>
          <w:highlight w:val="none"/>
          <w:lang w:val="en-US" w:eastAsia="zh-CN" w:bidi="ar-SA"/>
        </w:rPr>
        <w:t>6.1  开箱检验</w:t>
      </w:r>
    </w:p>
    <w:p w14:paraId="6C5F947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合同设备交付后应进行开箱检验，即合同设备数量及外观检验。开箱检验在专用合同条款约定的下列任一种时间进行：</w:t>
      </w:r>
    </w:p>
    <w:p w14:paraId="377CD03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43AAF7D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（2）合同设备交付后的一定期限内。如开箱检验不在合同设备交付时进行，买方应在开箱检验3日前将开箱检验的时间和地点通知卖方。</w:t>
      </w:r>
    </w:p>
    <w:p w14:paraId="4369574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6.1.2 除专用合同条款另有约定外，合同设备的开箱检验应在施工场地进行。</w:t>
      </w:r>
    </w:p>
    <w:p w14:paraId="3E4CFCE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6.1.3 开箱检验由买卖双方共同进行，卖方应自负费用派遣代表到场参加开箱检验。</w:t>
      </w:r>
    </w:p>
    <w:p w14:paraId="63D790D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6.1.4 在开箱检验中，买方和卖方应共同签署数量、外观检验报告，报告应列明检验结果，包括检验合格或发现的任何短缺、损坏或其它与合同约定不符的情形。</w:t>
      </w:r>
    </w:p>
    <w:p w14:paraId="3E5AB06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6.1.5 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442BACA6">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6.1.6 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68942E5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6.1.7 如双方在专用合同条款和（或）供货要求等合同文件中约定由第三方检测机构对合同设备进行开箱检验或在开箱检验过程中另行约定由第三方检验的，则第三方检测机构的检验结果对双方均具有约束力。</w:t>
      </w:r>
    </w:p>
    <w:p w14:paraId="1816183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6.1.8 开箱检验的检验结果不能对抗在合同设备的安装、调试、考核、验收中及质量保证期内发现的合同设备质量问题，也不能免除或影响卖方依照合同约定对买方负有的包括合同设备质量在内的任何义务或责任。</w:t>
      </w:r>
    </w:p>
    <w:p w14:paraId="478EE53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4" w:name="_bookmark128"/>
      <w:bookmarkEnd w:id="514"/>
      <w:r>
        <w:rPr>
          <w:rFonts w:hint="eastAsia" w:ascii="宋体" w:hAnsi="宋体" w:eastAsia="宋体" w:cs="宋体"/>
          <w:kern w:val="0"/>
          <w:sz w:val="21"/>
          <w:szCs w:val="21"/>
          <w:highlight w:val="none"/>
          <w:lang w:val="en-US" w:eastAsia="zh-CN" w:bidi="ar-SA"/>
        </w:rPr>
        <w:t>6.2  安装、调试</w:t>
      </w:r>
    </w:p>
    <w:p w14:paraId="765B5A0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6.2.1 </w:t>
      </w:r>
      <w:r>
        <w:rPr>
          <w:rFonts w:hint="eastAsia" w:ascii="宋体" w:hAnsi="宋体" w:eastAsia="宋体" w:cs="宋体"/>
          <w:spacing w:val="-9"/>
          <w:kern w:val="2"/>
          <w:sz w:val="21"/>
          <w:szCs w:val="21"/>
          <w:highlight w:val="none"/>
          <w:lang w:val="en-US" w:eastAsia="zh-CN" w:bidi="ar-SA"/>
        </w:rPr>
        <w:t>开箱检验完成后，双方应对合同设备进行安装、调试，以使其具备考核的状态。安装、</w:t>
      </w:r>
      <w:r>
        <w:rPr>
          <w:rFonts w:hint="eastAsia" w:ascii="宋体" w:hAnsi="宋体" w:eastAsia="宋体" w:cs="宋体"/>
          <w:kern w:val="2"/>
          <w:sz w:val="21"/>
          <w:szCs w:val="21"/>
          <w:highlight w:val="none"/>
          <w:lang w:val="en-US" w:eastAsia="zh-CN" w:bidi="ar-SA"/>
        </w:rPr>
        <w:t>调试应按照专用合同条款约定的下列任一种方式进行：</w:t>
      </w:r>
    </w:p>
    <w:p w14:paraId="6C7ACFE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0418132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（2）买方或买方安排第三方负责合同设备的安装、调试工作，卖方提供技术服务。 </w:t>
      </w:r>
    </w:p>
    <w:p w14:paraId="12A3528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740E12A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6.2.2 </w:t>
      </w:r>
      <w:r>
        <w:rPr>
          <w:rFonts w:hint="eastAsia" w:ascii="宋体" w:hAnsi="宋体" w:eastAsia="宋体" w:cs="宋体"/>
          <w:spacing w:val="-4"/>
          <w:kern w:val="2"/>
          <w:sz w:val="21"/>
          <w:szCs w:val="21"/>
          <w:highlight w:val="none"/>
          <w:lang w:val="en-US" w:eastAsia="zh-CN" w:bidi="ar-SA"/>
        </w:rPr>
        <w:t>除专用合同条款另有约定外，安装、调试中合同设备运行需要的用水、用电、其他动</w:t>
      </w:r>
      <w:r>
        <w:rPr>
          <w:rFonts w:hint="eastAsia" w:ascii="宋体" w:hAnsi="宋体" w:eastAsia="宋体" w:cs="宋体"/>
          <w:kern w:val="2"/>
          <w:sz w:val="21"/>
          <w:szCs w:val="21"/>
          <w:highlight w:val="none"/>
          <w:lang w:val="en-US" w:eastAsia="zh-CN" w:bidi="ar-SA"/>
        </w:rPr>
        <w:t>力和原材料（如需要）等均由买方承担。</w:t>
      </w:r>
    </w:p>
    <w:p w14:paraId="56DF496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6.2.3 双方应对合同设备的安装、调试情况共同及时进行记录。</w:t>
      </w:r>
    </w:p>
    <w:p w14:paraId="055E9A8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5" w:name="_bookmark129"/>
      <w:bookmarkEnd w:id="515"/>
      <w:r>
        <w:rPr>
          <w:rFonts w:hint="eastAsia" w:ascii="宋体" w:hAnsi="宋体" w:eastAsia="宋体" w:cs="宋体"/>
          <w:kern w:val="0"/>
          <w:sz w:val="21"/>
          <w:szCs w:val="21"/>
          <w:highlight w:val="none"/>
          <w:lang w:val="en-US" w:eastAsia="zh-CN" w:bidi="ar-SA"/>
        </w:rPr>
        <w:t>6.3  考核</w:t>
      </w:r>
    </w:p>
    <w:p w14:paraId="367423A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6.3.1 </w:t>
      </w:r>
      <w:r>
        <w:rPr>
          <w:rFonts w:hint="eastAsia" w:ascii="宋体" w:hAnsi="宋体" w:eastAsia="宋体" w:cs="宋体"/>
          <w:spacing w:val="-4"/>
          <w:kern w:val="2"/>
          <w:sz w:val="21"/>
          <w:szCs w:val="21"/>
          <w:highlight w:val="none"/>
          <w:lang w:val="en-US" w:eastAsia="zh-CN" w:bidi="ar-SA"/>
        </w:rPr>
        <w:t>安装、调试完成后，双方应对合同设备进行考核，以确定合同设备是否达到合同约定</w:t>
      </w:r>
      <w:r>
        <w:rPr>
          <w:rFonts w:hint="eastAsia" w:ascii="宋体" w:hAnsi="宋体" w:eastAsia="宋体" w:cs="宋体"/>
          <w:spacing w:val="-1"/>
          <w:kern w:val="2"/>
          <w:sz w:val="21"/>
          <w:szCs w:val="21"/>
          <w:highlight w:val="none"/>
          <w:lang w:val="en-US" w:eastAsia="zh-CN" w:bidi="ar-SA"/>
        </w:rPr>
        <w:t>的技术性能考核指标。除专用合同条款另有约定外，考核中合同设备运行需要的用水、用电、</w:t>
      </w:r>
      <w:r>
        <w:rPr>
          <w:rFonts w:hint="eastAsia" w:ascii="宋体" w:hAnsi="宋体" w:eastAsia="宋体" w:cs="宋体"/>
          <w:kern w:val="2"/>
          <w:sz w:val="21"/>
          <w:szCs w:val="21"/>
          <w:highlight w:val="none"/>
          <w:lang w:val="en-US" w:eastAsia="zh-CN" w:bidi="ar-SA"/>
        </w:rPr>
        <w:t>其他动力和原材料（如需要）等均由买方承担。</w:t>
      </w:r>
    </w:p>
    <w:p w14:paraId="7493F27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6.3.2 </w:t>
      </w:r>
      <w:r>
        <w:rPr>
          <w:rFonts w:hint="eastAsia" w:ascii="宋体" w:hAnsi="宋体" w:eastAsia="宋体" w:cs="宋体"/>
          <w:spacing w:val="-4"/>
          <w:kern w:val="2"/>
          <w:sz w:val="21"/>
          <w:szCs w:val="21"/>
          <w:highlight w:val="none"/>
          <w:lang w:val="en-US" w:eastAsia="zh-CN" w:bidi="ar-SA"/>
        </w:rPr>
        <w:t>如由于卖方原因合同设备在考核中未能达到合同约定的技术性能考核指标，则卖方应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在双方同意的期限内采取措施消除合同设备中存在的缺陷，并在缺陷消除以后，尽快进行再次</w:t>
      </w:r>
      <w:r>
        <w:rPr>
          <w:rFonts w:hint="eastAsia" w:ascii="宋体" w:hAnsi="宋体" w:eastAsia="宋体" w:cs="宋体"/>
          <w:kern w:val="2"/>
          <w:sz w:val="21"/>
          <w:szCs w:val="21"/>
          <w:highlight w:val="none"/>
          <w:lang w:val="en-US" w:eastAsia="zh-CN" w:bidi="ar-SA"/>
        </w:rPr>
        <w:t>考核。</w:t>
      </w:r>
    </w:p>
    <w:p w14:paraId="7CAE9AF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6.3.3 </w:t>
      </w:r>
      <w:r>
        <w:rPr>
          <w:rFonts w:hint="eastAsia" w:ascii="宋体" w:hAnsi="宋体" w:eastAsia="宋体" w:cs="宋体"/>
          <w:spacing w:val="-3"/>
          <w:kern w:val="2"/>
          <w:sz w:val="21"/>
          <w:szCs w:val="21"/>
          <w:highlight w:val="none"/>
          <w:lang w:val="en-US" w:eastAsia="zh-CN" w:bidi="ar-SA"/>
        </w:rPr>
        <w:t>由于卖方原因未能达到技术性能考核指标时，为卖方进行考核的机会不超过三次。如</w:t>
      </w:r>
      <w:r>
        <w:rPr>
          <w:rFonts w:hint="eastAsia" w:ascii="宋体" w:hAnsi="宋体" w:eastAsia="宋体" w:cs="宋体"/>
          <w:spacing w:val="-1"/>
          <w:kern w:val="2"/>
          <w:sz w:val="21"/>
          <w:szCs w:val="21"/>
          <w:highlight w:val="none"/>
          <w:lang w:val="en-US" w:eastAsia="zh-CN" w:bidi="ar-SA"/>
        </w:rPr>
        <w:t>果由于卖方原因，三次考核均未能达到合同约定的技术性能考核指标，则买卖双方应就合同的后续履行进行协商，协商不成的，买方有权解除合同。但如合同中约定了或双方在考核中另行 达成了合同设备的最低技术性能考核指标，且合同设备达到了最低技术性能考核指标的，视为合同设备已达到技术性能考核指标，买方无权解除合同，且应接受合同设备，但卖方应按专用</w:t>
      </w:r>
      <w:r>
        <w:rPr>
          <w:rFonts w:hint="eastAsia" w:ascii="宋体" w:hAnsi="宋体" w:eastAsia="宋体" w:cs="宋体"/>
          <w:kern w:val="2"/>
          <w:sz w:val="21"/>
          <w:szCs w:val="21"/>
          <w:highlight w:val="none"/>
          <w:lang w:val="en-US" w:eastAsia="zh-CN" w:bidi="ar-SA"/>
        </w:rPr>
        <w:t>合同条款的约定进行减价或向买方支付补偿金。</w:t>
      </w:r>
    </w:p>
    <w:p w14:paraId="66E2133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6.3.4 </w:t>
      </w:r>
      <w:r>
        <w:rPr>
          <w:rFonts w:hint="eastAsia" w:ascii="宋体" w:hAnsi="宋体" w:eastAsia="宋体" w:cs="宋体"/>
          <w:spacing w:val="-4"/>
          <w:kern w:val="2"/>
          <w:sz w:val="21"/>
          <w:szCs w:val="21"/>
          <w:highlight w:val="none"/>
          <w:lang w:val="en-US" w:eastAsia="zh-CN" w:bidi="ar-SA"/>
        </w:rPr>
        <w:t>如由于买方原因合同设备在考核中未能达到合同约定的技术性能考核指标，则卖方应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协助买方安排再次考核。由于买方原因未能达到技术性能考核指标时，为买方进行考核的机会</w:t>
      </w:r>
      <w:r>
        <w:rPr>
          <w:rFonts w:hint="eastAsia" w:ascii="宋体" w:hAnsi="宋体" w:eastAsia="宋体" w:cs="宋体"/>
          <w:kern w:val="2"/>
          <w:sz w:val="21"/>
          <w:szCs w:val="21"/>
          <w:highlight w:val="none"/>
          <w:lang w:val="en-US" w:eastAsia="zh-CN" w:bidi="ar-SA"/>
        </w:rPr>
        <w:t>不超过三次。</w:t>
      </w:r>
    </w:p>
    <w:p w14:paraId="28904281">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6.3.5 考核期间，双方应及时共同记录合同设备的用水、用电、其他动力和原材料（如有）的使用及设备考核情况。对于未达到技术性能考核指标的，应如实记录设备表现、可能原因及处理情况等。</w:t>
      </w:r>
    </w:p>
    <w:p w14:paraId="43D9AF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6" w:name="_bookmark130"/>
      <w:bookmarkEnd w:id="516"/>
      <w:r>
        <w:rPr>
          <w:rFonts w:hint="eastAsia" w:ascii="宋体" w:hAnsi="宋体" w:eastAsia="宋体" w:cs="宋体"/>
          <w:kern w:val="0"/>
          <w:sz w:val="21"/>
          <w:szCs w:val="21"/>
          <w:highlight w:val="none"/>
          <w:lang w:val="en-US" w:eastAsia="zh-CN" w:bidi="ar-SA"/>
        </w:rPr>
        <w:t>6.4  验收</w:t>
      </w:r>
    </w:p>
    <w:p w14:paraId="603A71B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6.4.1如合同设备在考核中达到或视为达到技术性能考核指标，则买卖双方应在考核完成后7日内或专用合同条款另行约定的时间内签署合同设备验收证书一式二份，双方各持一份。验收日期应为合同设备达到或视为达到技术性能考核指标的日期。</w:t>
      </w:r>
    </w:p>
    <w:p w14:paraId="5D5D346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6.4.2 如由于买方原因合同设备在三次考核中均未能达到技术性能考核指标，买卖双方应在考核结束后7日内或专用合同条款另行约定的时间内签署验收款支付函。</w:t>
      </w:r>
    </w:p>
    <w:p w14:paraId="2F12985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除专用合同条款另有约定外，卖方有义务在验收款支付函签署后12个月内应买方要求提供相关技术服务，协助买方采取一切必要措施使合同设备达到技术性能考核指标。买方应承担卖方因此产生的全部费用。</w:t>
      </w:r>
    </w:p>
    <w:p w14:paraId="00AE198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在上述12个月的期限内，如合同设备经过考核达到或视为达到技术性能考核指标，则买卖双方应按照第6.4.1项的约定签署合同设备验收证书。</w:t>
      </w:r>
    </w:p>
    <w:p w14:paraId="20DC8DD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6.4.3除专用合同条款另有约定外，如由于买方原因在最后一批合同设备交货后 6个月内未能开始考核，则买卖双方应在上述期限届满后7日内或专用合同条款另行约定的时间内签署验收款支付函。</w:t>
      </w:r>
    </w:p>
    <w:p w14:paraId="68343C2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6个月内应买方要求提供不超出合同范围的技术服务，协助买方采取一切必要措施使合同设备达到技术性能考核指标，且买方无需因此向卖方支付费用。</w:t>
      </w:r>
    </w:p>
    <w:p w14:paraId="11F123F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在上述6个月的期限内，如合同设备经过考核达到或视为达到技术性能考核指标，则买卖双方应按照第6.4.1项的约定签署合同设备验收证书。</w:t>
      </w:r>
    </w:p>
    <w:p w14:paraId="248017A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6.4.4 在第6.4.2项和第6.4.3项情形下，卖方也可单方签署验收款支付函提交买方，如果买方在收到卖方签署的验收款支付函后14日内未向卖方提出书面异议，则验收款支付函自签署之日起生效。</w:t>
      </w:r>
    </w:p>
    <w:p w14:paraId="433A916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6.4.5 合同设备验收证书的签署不能免除卖方在质量保证期内对合同设备应承担的保证责任。</w:t>
      </w:r>
    </w:p>
    <w:p w14:paraId="3BDF084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17" w:name="_bookmark131"/>
      <w:bookmarkEnd w:id="517"/>
      <w:bookmarkStart w:id="518" w:name="_Toc31763"/>
      <w:bookmarkStart w:id="519" w:name="_Toc91344947"/>
      <w:bookmarkStart w:id="520" w:name="_Toc534572291"/>
      <w:bookmarkStart w:id="521" w:name="_Toc9288"/>
      <w:bookmarkStart w:id="522" w:name="_Toc29433"/>
      <w:bookmarkStart w:id="523" w:name="_Toc1119"/>
      <w:bookmarkStart w:id="524" w:name="_Toc4015"/>
      <w:bookmarkStart w:id="525" w:name="_Toc54550759"/>
      <w:bookmarkStart w:id="526" w:name="_Toc16943"/>
      <w:bookmarkStart w:id="527" w:name="_Toc62034477"/>
      <w:r>
        <w:rPr>
          <w:rFonts w:hint="eastAsia" w:ascii="宋体" w:hAnsi="宋体" w:eastAsia="宋体" w:cs="宋体"/>
          <w:b/>
          <w:bCs/>
          <w:kern w:val="0"/>
          <w:sz w:val="21"/>
          <w:szCs w:val="21"/>
          <w:highlight w:val="none"/>
          <w:lang w:val="en-US" w:eastAsia="zh-CN" w:bidi="ar-SA"/>
        </w:rPr>
        <w:t>7.技术服务</w:t>
      </w:r>
      <w:bookmarkEnd w:id="518"/>
      <w:bookmarkEnd w:id="519"/>
      <w:bookmarkEnd w:id="520"/>
      <w:bookmarkEnd w:id="521"/>
      <w:bookmarkEnd w:id="522"/>
      <w:bookmarkEnd w:id="523"/>
      <w:bookmarkEnd w:id="524"/>
      <w:bookmarkEnd w:id="525"/>
      <w:bookmarkEnd w:id="526"/>
      <w:bookmarkEnd w:id="527"/>
    </w:p>
    <w:p w14:paraId="5F24611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7.1 卖方应派遣技术熟练、称职的技术人员到施工场地为买方提供技术服务。卖方的技术服务应符合合同的约定。</w:t>
      </w:r>
    </w:p>
    <w:p w14:paraId="64CCC95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7.2 买方应免费为卖方技术人员提供工作条件及便利，包括但不限于必要的办公场所、技术资料及出入许可等。除专用合同条款另有约定外，卖方技术人员的交通、食宿费用由卖方承担。</w:t>
      </w:r>
    </w:p>
    <w:p w14:paraId="5EC8758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7.3 卖方技术人员应遵守买方施工现场的各项规章制度和安全操作规程，并服从买方的现场管理。</w:t>
      </w:r>
    </w:p>
    <w:p w14:paraId="2C813D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7.4 如果任何技术人员不合格，买方有权要求卖方撤换，因撤换而产生的费用应由卖方承担。在不影响技术服务并且征得买方同意的条件下，卖方也可自负费用更换其技术人员。</w:t>
      </w:r>
    </w:p>
    <w:p w14:paraId="66351384">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28" w:name="_bookmark132"/>
      <w:bookmarkEnd w:id="528"/>
      <w:bookmarkStart w:id="529" w:name="_Toc55"/>
      <w:bookmarkStart w:id="530" w:name="_Toc534572292"/>
      <w:bookmarkStart w:id="531" w:name="_Toc6006"/>
      <w:bookmarkStart w:id="532" w:name="_Toc12241"/>
      <w:bookmarkStart w:id="533" w:name="_Toc62034478"/>
      <w:bookmarkStart w:id="534" w:name="_Toc54550760"/>
      <w:bookmarkStart w:id="535" w:name="_Toc268"/>
      <w:bookmarkStart w:id="536" w:name="_Toc91344948"/>
      <w:r>
        <w:rPr>
          <w:rFonts w:hint="eastAsia" w:ascii="宋体" w:hAnsi="宋体" w:eastAsia="宋体" w:cs="宋体"/>
          <w:b/>
          <w:bCs/>
          <w:kern w:val="0"/>
          <w:sz w:val="21"/>
          <w:szCs w:val="21"/>
          <w:highlight w:val="none"/>
          <w:lang w:val="en-US" w:eastAsia="zh-CN" w:bidi="ar-SA"/>
        </w:rPr>
        <w:t>8.质量保证期</w:t>
      </w:r>
      <w:bookmarkEnd w:id="529"/>
      <w:bookmarkEnd w:id="530"/>
      <w:bookmarkEnd w:id="531"/>
      <w:bookmarkEnd w:id="532"/>
      <w:bookmarkEnd w:id="533"/>
      <w:bookmarkEnd w:id="534"/>
      <w:bookmarkEnd w:id="535"/>
      <w:bookmarkEnd w:id="536"/>
    </w:p>
    <w:p w14:paraId="7A065DC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8.1除专用合同条款和（或）供货要求等合同文件另有约定外，合同设备整体质量保证期为验收之日起12个月。如对合同设备中关键部件的质量保证期有特殊要求的，买卖双方可在专用合同条款中约定。在合同第6.4.2项情形下，无论合同设备何时验收，其质量保证期最长为签署验收款支付函后12个月。在合同第6.4.3 项情形下，无论合同设备何时验收，其质量保证期最长为签署验收款支付函后6个月。</w:t>
      </w:r>
    </w:p>
    <w:p w14:paraId="1BA09906">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8.2 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3694F67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8.3 质量保证期届满后，买方应在7日内或专用合同条款另行约定的时间内向卖方出具合同设备的质量保证期届满证书。</w:t>
      </w:r>
    </w:p>
    <w:p w14:paraId="7221428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8.4在合同第6.4.2项情形下，如在验收款支付函签署后12个月内由于买方原因合同设备仍未能达到技术性能考核指标，则买卖双方应在该12个月届满后7日内或专用合同条款另行约定的时间内签署结清款支付函。</w:t>
      </w:r>
    </w:p>
    <w:p w14:paraId="333D7FA2">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8.5 在合同第6.4.3项情形下，如在验收款支付函签署后6个月内由于买方原因合同设备仍未进行考核或仍未达到技术性能考核指标，则买卖双方应在该6个月届满后7日内或专用合同条款另行约定的时间内签署结清款支付函。</w:t>
      </w:r>
    </w:p>
    <w:p w14:paraId="1A44D740">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8.6 在第8.4款和第8.5款情形下，卖方也可单方签署结清款支付函提交买方，如果买方在收到卖方签署的结清款支付函后14日内未向卖方提出书面异议，则结清款支付函自签署之日起生效。</w:t>
      </w:r>
    </w:p>
    <w:p w14:paraId="2903FA6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37" w:name="_bookmark133"/>
      <w:bookmarkEnd w:id="537"/>
      <w:bookmarkStart w:id="538" w:name="_Toc91344949"/>
      <w:bookmarkStart w:id="539" w:name="_Toc18226"/>
      <w:bookmarkStart w:id="540" w:name="_Toc27909"/>
      <w:bookmarkStart w:id="541" w:name="_Toc54550761"/>
      <w:bookmarkStart w:id="542" w:name="_Toc62034479"/>
      <w:bookmarkStart w:id="543" w:name="_Toc9241"/>
      <w:bookmarkStart w:id="544" w:name="_Toc534572293"/>
      <w:bookmarkStart w:id="545" w:name="_Toc15751"/>
      <w:r>
        <w:rPr>
          <w:rFonts w:hint="eastAsia" w:ascii="宋体" w:hAnsi="宋体" w:eastAsia="宋体" w:cs="宋体"/>
          <w:b/>
          <w:bCs/>
          <w:kern w:val="0"/>
          <w:sz w:val="21"/>
          <w:szCs w:val="21"/>
          <w:highlight w:val="none"/>
          <w:lang w:val="en-US" w:eastAsia="zh-CN" w:bidi="ar-SA"/>
        </w:rPr>
        <w:t>9.质保期服务</w:t>
      </w:r>
      <w:bookmarkEnd w:id="538"/>
      <w:bookmarkEnd w:id="539"/>
      <w:bookmarkEnd w:id="540"/>
      <w:bookmarkEnd w:id="541"/>
      <w:bookmarkEnd w:id="542"/>
      <w:bookmarkEnd w:id="543"/>
      <w:bookmarkEnd w:id="544"/>
      <w:bookmarkEnd w:id="545"/>
    </w:p>
    <w:p w14:paraId="5E430D88">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9.1卖方应为质保期服务配备充足的技术人员、工具和备件并保证提供的联系方式畅通。除专用合同条款和（或）供货要求等合同文件另有约定外，卖方应在收到买方通知后 24 小时内做出响应，如需卖方到合同设备现场，卖方应在收到买方通知后48小时内到达，并在到达后7日内解决合同设备的故障（重大故障除外）。如果卖方未在上述时间内作出响应，则买方有权自 行或委托他人解决相关问题或查找和解决合同设备的故障，卖方应承担由此发生的全部费用。 </w:t>
      </w:r>
    </w:p>
    <w:p w14:paraId="064851E9">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 如卖方技术人员需到合同设备现场进行质保期服务，则买方应免费为卖方技术人员提供工作条件及便利，包括但不限于必要的办公场所、技术资料及出入许可等。除专用合同条款 另有约定外，卖方技术人员的交通、食宿费用由卖方承担。卖方技术人员应遵守买方施工现场的各项规章制度和安全操作规程，并服从买方的现场管理。</w:t>
      </w:r>
    </w:p>
    <w:p w14:paraId="3C0AA3B8">
      <w:pPr>
        <w:widowControl w:val="0"/>
        <w:spacing w:beforeLines="0" w:after="0" w:afterLines="0" w:line="360" w:lineRule="auto"/>
        <w:ind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9.3 </w:t>
      </w:r>
      <w:r>
        <w:rPr>
          <w:rFonts w:hint="eastAsia" w:ascii="宋体" w:hAnsi="宋体" w:eastAsia="宋体" w:cs="宋体"/>
          <w:spacing w:val="-6"/>
          <w:kern w:val="2"/>
          <w:sz w:val="21"/>
          <w:szCs w:val="21"/>
          <w:highlight w:val="none"/>
          <w:lang w:val="en-US" w:eastAsia="zh-CN" w:bidi="ar-SA"/>
        </w:rPr>
        <w:t>如果任何技术人员不合格，买方有权要求卖方撤换，因撤换而产生的费用应由卖方承担。在不影响质保期服务并且征得买方同意的条件下，卖方也可自负费用更换其技术人员。</w:t>
      </w:r>
    </w:p>
    <w:p w14:paraId="437A4AC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9.4 除专用合同条款另有约定外，卖方应就在施工现场进行质保期服务的情况进行记录，记载合同设备故障发生的时间、原因及解决情况等，由买方签字确认，并在质量保证期结束后提交给买方。</w:t>
      </w:r>
    </w:p>
    <w:p w14:paraId="1ACCCBB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46" w:name="_bookmark134"/>
      <w:bookmarkEnd w:id="546"/>
      <w:bookmarkStart w:id="547" w:name="_Toc10816"/>
      <w:bookmarkStart w:id="548" w:name="_Toc62034480"/>
      <w:bookmarkStart w:id="549" w:name="_Toc534572294"/>
      <w:bookmarkStart w:id="550" w:name="_Toc54550762"/>
      <w:bookmarkStart w:id="551" w:name="_Toc28393"/>
      <w:bookmarkStart w:id="552" w:name="_Toc18871"/>
      <w:bookmarkStart w:id="553" w:name="_Toc30580"/>
      <w:bookmarkStart w:id="554" w:name="_Toc91344950"/>
      <w:r>
        <w:rPr>
          <w:rFonts w:hint="eastAsia" w:ascii="宋体" w:hAnsi="宋体" w:eastAsia="宋体" w:cs="宋体"/>
          <w:b/>
          <w:bCs/>
          <w:kern w:val="0"/>
          <w:sz w:val="21"/>
          <w:szCs w:val="21"/>
          <w:highlight w:val="none"/>
          <w:lang w:val="en-US" w:eastAsia="zh-CN" w:bidi="ar-SA"/>
        </w:rPr>
        <w:t>10.履约保证金</w:t>
      </w:r>
      <w:bookmarkEnd w:id="547"/>
      <w:bookmarkEnd w:id="548"/>
      <w:bookmarkEnd w:id="549"/>
      <w:bookmarkEnd w:id="550"/>
      <w:bookmarkEnd w:id="551"/>
      <w:bookmarkEnd w:id="552"/>
      <w:bookmarkEnd w:id="553"/>
      <w:bookmarkEnd w:id="554"/>
    </w:p>
    <w:p w14:paraId="5038624E">
      <w:pPr>
        <w:widowControl w:val="0"/>
        <w:spacing w:beforeLines="0" w:after="0" w:afterLines="0" w:line="360" w:lineRule="auto"/>
        <w:ind w:left="0" w:right="0"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SA"/>
        </w:rPr>
        <w:t>除专用合同条款另有约定外，履约保证金自合同生效之日起生效，在合同设备验收证书或验收款支付函签署之日起28日后失效。如果卖方不履行合同约定的义务或其履行不符合合同的约定，买方有权扣划相应金额的履约保证金。</w:t>
      </w:r>
    </w:p>
    <w:p w14:paraId="233A589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55" w:name="_bookmark135"/>
      <w:bookmarkEnd w:id="555"/>
      <w:bookmarkStart w:id="556" w:name="_Toc31305"/>
      <w:bookmarkStart w:id="557" w:name="_Toc340"/>
      <w:bookmarkStart w:id="558" w:name="_Toc1719"/>
      <w:bookmarkStart w:id="559" w:name="_Toc62034481"/>
      <w:bookmarkStart w:id="560" w:name="_Toc54550763"/>
      <w:bookmarkStart w:id="561" w:name="_Toc26226"/>
      <w:bookmarkStart w:id="562" w:name="_Toc25341"/>
      <w:bookmarkStart w:id="563" w:name="_Toc4235"/>
      <w:bookmarkStart w:id="564" w:name="_Toc91344951"/>
      <w:bookmarkStart w:id="565" w:name="_Toc534572295"/>
      <w:r>
        <w:rPr>
          <w:rFonts w:hint="eastAsia" w:ascii="宋体" w:hAnsi="宋体" w:eastAsia="宋体" w:cs="宋体"/>
          <w:b/>
          <w:bCs/>
          <w:kern w:val="0"/>
          <w:sz w:val="21"/>
          <w:szCs w:val="21"/>
          <w:highlight w:val="none"/>
          <w:lang w:val="en-US" w:eastAsia="zh-CN" w:bidi="ar-SA"/>
        </w:rPr>
        <w:t>11.保证</w:t>
      </w:r>
      <w:bookmarkEnd w:id="556"/>
      <w:bookmarkEnd w:id="557"/>
      <w:bookmarkEnd w:id="558"/>
      <w:bookmarkEnd w:id="559"/>
      <w:bookmarkEnd w:id="560"/>
      <w:bookmarkEnd w:id="561"/>
      <w:bookmarkEnd w:id="562"/>
      <w:bookmarkEnd w:id="563"/>
      <w:bookmarkEnd w:id="564"/>
      <w:bookmarkEnd w:id="565"/>
    </w:p>
    <w:p w14:paraId="60022A9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 卖方保证其具有完全的能力履行本合同项下的全部义务。</w:t>
      </w:r>
    </w:p>
    <w:p w14:paraId="7176980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 卖方保证其所提供的合同设备及对合同的履行符合所有应适用的法律、行政法规、地方性法规、自治条例和单行条例、规章及其他规范性文件的强制性规定。</w:t>
      </w:r>
    </w:p>
    <w:p w14:paraId="0F77D74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 卖方保证其对合同设备的销售不损害任何第三方的合法权益和社会公众利益。任何第三方不会因卖方原因而基于所有权、抵押权、留置权或其他任何权利或事由对合同设备主张权利。</w:t>
      </w:r>
    </w:p>
    <w:p w14:paraId="290B953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卖方保证合同设备符合合同约定的规格、标准、技术性能考核指标等，能够安全和稳定地运行，且合同设备（包括全部部件）全新、完整、未使用过，除非专用合同条款和（或）供货要求等合同文件另有约定。</w:t>
      </w:r>
    </w:p>
    <w:p w14:paraId="0C6AB36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卖方保证，卖方所提供的技术资料完整、清晰、准确，符合合同约定并且能够满足合同设备的安装、调试、考核、操作以及维修和保养的需要。</w:t>
      </w:r>
    </w:p>
    <w:p w14:paraId="0E50BB4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卖方保证合同范围内提供的备品备件能够满足合同设备在质量保证期结束前正常运行及维修的需要，如在质量保证期结束前因卖方原因出现备品备件短缺影响合同设备正常运行的，卖方应免费提供。</w:t>
      </w:r>
    </w:p>
    <w:p w14:paraId="2ECCD15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除专用合同条款和（或）供货要求等合同文件另有约定外，如果在合同设备设计使用寿命期内发生合同项下备品备件停止生产的情况，卖方应事先将拟停止生产的计划通知买方， 使买方有足够的时间考虑备品备件的需求量。根据买方要求，卖方应：</w:t>
      </w:r>
    </w:p>
    <w:p w14:paraId="183174D7">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（1）以不高于同期市场价格或其向任何第三方销售同类产品的价格提供合同设备正常运行</w:t>
      </w:r>
      <w:r>
        <w:rPr>
          <w:rFonts w:hint="eastAsia" w:ascii="宋体" w:hAnsi="宋体" w:eastAsia="宋体" w:cs="宋体"/>
          <w:kern w:val="2"/>
          <w:sz w:val="21"/>
          <w:szCs w:val="21"/>
          <w:highlight w:val="none"/>
          <w:lang w:val="en-US" w:eastAsia="zh-CN" w:bidi="ar-SA"/>
        </w:rPr>
        <w:t>所需的全部备品备件。</w:t>
      </w:r>
    </w:p>
    <w:p w14:paraId="6C10E63D">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（2）免费提供可供买方或第三方制造停产备品备件所需的全部技术资料，以便买方持续获</w:t>
      </w:r>
      <w:r>
        <w:rPr>
          <w:rFonts w:hint="eastAsia" w:ascii="宋体" w:hAnsi="宋体" w:eastAsia="宋体" w:cs="宋体"/>
          <w:spacing w:val="-1"/>
          <w:kern w:val="2"/>
          <w:sz w:val="21"/>
          <w:szCs w:val="21"/>
          <w:highlight w:val="none"/>
          <w:lang w:val="en-US" w:eastAsia="zh-CN" w:bidi="ar-SA"/>
        </w:rPr>
        <w:t>得上述备品备件以满足合同设备在寿命期内正常运行的需要。卖方保证买方或买方委托的第三</w:t>
      </w:r>
      <w:r>
        <w:rPr>
          <w:rFonts w:hint="eastAsia" w:ascii="宋体" w:hAnsi="宋体" w:eastAsia="宋体" w:cs="宋体"/>
          <w:kern w:val="2"/>
          <w:sz w:val="21"/>
          <w:szCs w:val="21"/>
          <w:highlight w:val="none"/>
          <w:lang w:val="en-US" w:eastAsia="zh-CN" w:bidi="ar-SA"/>
        </w:rPr>
        <w:t>方制造及买方使用这些备品备件不侵犯任何人的知识产权。</w:t>
      </w:r>
    </w:p>
    <w:p w14:paraId="3524E49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卖方保证，在合同设备设计使用寿命期内，如果卖方发现合同设备由于设计、制造、标识等原因存在足以危及人身、财产安全的缺陷，卖方将及时通知买方并及时采取修正或者补 充标识、修理、更换等措施消除缺陷。</w:t>
      </w:r>
    </w:p>
    <w:p w14:paraId="2C56CD2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66" w:name="_Toc277"/>
      <w:bookmarkStart w:id="567" w:name="_Toc62034482"/>
      <w:bookmarkStart w:id="568" w:name="_Toc19223"/>
      <w:bookmarkStart w:id="569" w:name="_Toc24894"/>
      <w:bookmarkStart w:id="570" w:name="_Toc24435"/>
      <w:bookmarkStart w:id="571" w:name="_Toc534572296"/>
      <w:bookmarkStart w:id="572" w:name="_Toc91344952"/>
      <w:bookmarkStart w:id="573" w:name="_Toc54550764"/>
      <w:r>
        <w:rPr>
          <w:rFonts w:hint="eastAsia" w:ascii="宋体" w:hAnsi="宋体" w:eastAsia="宋体" w:cs="宋体"/>
          <w:b/>
          <w:bCs/>
          <w:kern w:val="0"/>
          <w:sz w:val="21"/>
          <w:szCs w:val="21"/>
          <w:highlight w:val="none"/>
          <w:lang w:val="en-US" w:eastAsia="zh-CN" w:bidi="ar-SA"/>
        </w:rPr>
        <w:t>12.知识产权</w:t>
      </w:r>
      <w:bookmarkEnd w:id="566"/>
      <w:bookmarkEnd w:id="567"/>
      <w:bookmarkEnd w:id="568"/>
      <w:bookmarkEnd w:id="569"/>
      <w:bookmarkEnd w:id="570"/>
      <w:bookmarkEnd w:id="571"/>
      <w:bookmarkEnd w:id="572"/>
      <w:bookmarkEnd w:id="573"/>
    </w:p>
    <w:p w14:paraId="3C28F553">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12.1 买方在履行合同过程中提供给卖方的全部图纸、文件和其他含有数据和信息的资料，其知识产权属于买方。</w:t>
      </w:r>
    </w:p>
    <w:p w14:paraId="114FCFC4">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12.2 除专用合同条款另有约定外，买方不因签署和履行合同而享有卖方在履行合同过程中提供给买方的图纸、文件、配套软件、电子辅助程序和其他含有数据和信息的资料的知识产权。      </w:t>
      </w:r>
    </w:p>
    <w:p w14:paraId="0C30D72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12.3如合同设备涉及知识产权，则卖方保证买方在使用合同设备过程中免于受到第三方提出的有关知识产权侵权的主张、索赔或诉讼的伤害。</w:t>
      </w:r>
    </w:p>
    <w:p w14:paraId="114C37A9">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12.4 如果买方收到任何第三方有关知识产权的主张、索赔或诉讼，卖方在收到买方通知后，应以买方名义并在买方的协助下，自负费用处理与第三方的索赔或诉讼，并赔偿买方因此发生 的费用和遭受的损失。除专用合同条款另有约定外，如果卖方拒绝处理前述索赔或诉讼或在收 到买方通知后28日内未作表示，买方可以自己的名义进行这些索赔或诉讼，因此发生的费用和遭受的损失均应由卖方承担。</w:t>
      </w:r>
    </w:p>
    <w:p w14:paraId="2BF0D34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74" w:name="_bookmark137"/>
      <w:bookmarkEnd w:id="574"/>
      <w:bookmarkStart w:id="575" w:name="_Toc62034483"/>
      <w:bookmarkStart w:id="576" w:name="_Toc16263"/>
      <w:bookmarkStart w:id="577" w:name="_Toc54550765"/>
      <w:bookmarkStart w:id="578" w:name="_Toc7616"/>
      <w:bookmarkStart w:id="579" w:name="_Toc91344953"/>
      <w:bookmarkStart w:id="580" w:name="_Toc6100"/>
      <w:bookmarkStart w:id="581" w:name="_Toc476"/>
      <w:bookmarkStart w:id="582" w:name="_Toc534572297"/>
      <w:r>
        <w:rPr>
          <w:rFonts w:hint="eastAsia" w:ascii="宋体" w:hAnsi="宋体" w:eastAsia="宋体" w:cs="宋体"/>
          <w:b/>
          <w:bCs/>
          <w:kern w:val="0"/>
          <w:sz w:val="21"/>
          <w:szCs w:val="21"/>
          <w:highlight w:val="none"/>
          <w:lang w:val="en-US" w:eastAsia="zh-CN" w:bidi="ar-SA"/>
        </w:rPr>
        <w:t>13.保密</w:t>
      </w:r>
      <w:bookmarkEnd w:id="575"/>
      <w:bookmarkEnd w:id="576"/>
      <w:bookmarkEnd w:id="577"/>
      <w:bookmarkEnd w:id="578"/>
      <w:bookmarkEnd w:id="579"/>
      <w:bookmarkEnd w:id="580"/>
      <w:bookmarkEnd w:id="581"/>
      <w:bookmarkEnd w:id="582"/>
    </w:p>
    <w:p w14:paraId="3045EB3F">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合同双方应对因履行合同而取得的另一方当事人的信息、资料等予以保密。未经另一方当事人书面同意，任何一方均不得为与履行合同无关的目的使用或向第三方披露另一方当事人提供的信息、资料。</w:t>
      </w:r>
    </w:p>
    <w:p w14:paraId="3E376F3D">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合同当事人的保密义务不适用于下列信息：</w:t>
      </w:r>
    </w:p>
    <w:p w14:paraId="58B9D28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bookmarkStart w:id="583" w:name="_Toc11153"/>
      <w:bookmarkStart w:id="584" w:name="_Toc13249"/>
      <w:bookmarkStart w:id="585" w:name="_Toc2039"/>
      <w:bookmarkStart w:id="586" w:name="_Toc7203"/>
      <w:r>
        <w:rPr>
          <w:rFonts w:hint="eastAsia" w:ascii="宋体" w:hAnsi="宋体" w:eastAsia="宋体" w:cs="宋体"/>
          <w:kern w:val="2"/>
          <w:sz w:val="21"/>
          <w:szCs w:val="21"/>
          <w:highlight w:val="none"/>
          <w:lang w:val="en-US" w:eastAsia="zh-CN" w:bidi="ar-SA"/>
        </w:rPr>
        <w:t>（1）非因接受信息一方的过失现在或以后进入公共领域的信息；</w:t>
      </w:r>
      <w:bookmarkEnd w:id="583"/>
      <w:bookmarkEnd w:id="584"/>
      <w:bookmarkEnd w:id="585"/>
      <w:bookmarkEnd w:id="586"/>
    </w:p>
    <w:p w14:paraId="2BCB58EE">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（2）接受信息一方当事人合法地从第三方获得并且据其善意了解第三方也不对此承担保密义务的信息；</w:t>
      </w:r>
    </w:p>
    <w:p w14:paraId="69B5E317">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（3）法律或法律的执行要求披露的信息。</w:t>
      </w:r>
    </w:p>
    <w:p w14:paraId="5682257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87" w:name="_bookmark138"/>
      <w:bookmarkEnd w:id="587"/>
      <w:bookmarkStart w:id="588" w:name="_Toc91344954"/>
      <w:bookmarkStart w:id="589" w:name="_Toc16407"/>
      <w:bookmarkStart w:id="590" w:name="_Toc2940"/>
      <w:bookmarkStart w:id="591" w:name="_Toc26407"/>
      <w:bookmarkStart w:id="592" w:name="_Toc54550766"/>
      <w:bookmarkStart w:id="593" w:name="_Toc24517"/>
      <w:bookmarkStart w:id="594" w:name="_Toc534572298"/>
      <w:bookmarkStart w:id="595" w:name="_Toc62034484"/>
      <w:bookmarkStart w:id="596" w:name="_Toc29326"/>
      <w:bookmarkStart w:id="597" w:name="_Toc22465"/>
      <w:r>
        <w:rPr>
          <w:rFonts w:hint="eastAsia" w:ascii="宋体" w:hAnsi="宋体" w:eastAsia="宋体" w:cs="宋体"/>
          <w:b/>
          <w:bCs/>
          <w:kern w:val="0"/>
          <w:sz w:val="21"/>
          <w:szCs w:val="21"/>
          <w:highlight w:val="none"/>
          <w:lang w:val="en-US" w:eastAsia="zh-CN" w:bidi="ar-SA"/>
        </w:rPr>
        <w:t>14.违约责任</w:t>
      </w:r>
      <w:bookmarkEnd w:id="588"/>
      <w:bookmarkEnd w:id="589"/>
      <w:bookmarkEnd w:id="590"/>
      <w:bookmarkEnd w:id="591"/>
      <w:bookmarkEnd w:id="592"/>
      <w:bookmarkEnd w:id="593"/>
      <w:bookmarkEnd w:id="594"/>
      <w:bookmarkEnd w:id="595"/>
      <w:bookmarkEnd w:id="596"/>
      <w:bookmarkEnd w:id="597"/>
    </w:p>
    <w:p w14:paraId="42791A8C">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合同一方不履行合同义务、履行合同义务不符合约定或者违反合同项下所作保证的，应向对方承担继续履行、采取修理、更换、退货等补救措施或者赔偿损失等违约责任。</w:t>
      </w:r>
    </w:p>
    <w:p w14:paraId="08D3855B">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14.2 </w:t>
      </w:r>
      <w:r>
        <w:rPr>
          <w:rFonts w:hint="eastAsia" w:ascii="宋体" w:hAnsi="宋体" w:eastAsia="宋体" w:cs="宋体"/>
          <w:spacing w:val="-3"/>
          <w:kern w:val="2"/>
          <w:sz w:val="21"/>
          <w:szCs w:val="21"/>
          <w:highlight w:val="none"/>
          <w:lang w:val="en-US" w:eastAsia="zh-CN" w:bidi="ar-SA"/>
        </w:rPr>
        <w:t xml:space="preserve">卖方未能按时交付合同设备（包括仅迟延交付技术资料但足以导致合同设备安装、调 </w:t>
      </w:r>
      <w:r>
        <w:rPr>
          <w:rFonts w:hint="eastAsia" w:ascii="宋体" w:hAnsi="宋体" w:eastAsia="宋体" w:cs="宋体"/>
          <w:spacing w:val="-6"/>
          <w:kern w:val="2"/>
          <w:sz w:val="21"/>
          <w:szCs w:val="21"/>
          <w:highlight w:val="none"/>
          <w:lang w:val="en-US" w:eastAsia="zh-CN" w:bidi="ar-SA"/>
        </w:rPr>
        <w:t>试、考核、验收工作推迟的）的，应向买方支付迟延交付违约金。除专用合同条款另有约定外，</w:t>
      </w:r>
      <w:r>
        <w:rPr>
          <w:rFonts w:hint="eastAsia" w:ascii="宋体" w:hAnsi="宋体" w:eastAsia="宋体" w:cs="宋体"/>
          <w:kern w:val="2"/>
          <w:sz w:val="21"/>
          <w:szCs w:val="21"/>
          <w:highlight w:val="none"/>
          <w:lang w:val="en-US" w:eastAsia="zh-CN" w:bidi="ar-SA"/>
        </w:rPr>
        <w:t>迟延交付违约金的计算方法如下：</w:t>
      </w:r>
    </w:p>
    <w:p w14:paraId="6A4DA314">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（1）从迟交的第一周到第四周，每周迟延交付违约金为迟交合同设备价格的 0.5%；</w:t>
      </w:r>
    </w:p>
    <w:p w14:paraId="2EE881B5">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（2）从迟交的第五周到第八周，每周迟延交付违约金为迟交合同设备价格的1%；</w:t>
      </w:r>
    </w:p>
    <w:p w14:paraId="6254C433">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交第九周起，每周迟延交付违约金为迟交合同设备价格的1.5%。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2BD1610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14.3 买方未能按合同约定支付合同价款的，应向卖方支付延迟付款违约金。除专用合同条款另有约定外，迟延付款违约金的计算方法如下：</w:t>
      </w:r>
    </w:p>
    <w:p w14:paraId="41F5DCB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（1）从迟付的第一周到第四周，每周迟延付款违约金为迟延付款金额的0.5%；</w:t>
      </w:r>
    </w:p>
    <w:p w14:paraId="1A57EB2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（2）从迟付的第五周到第八周，每周迟延付款违约金为迟延付款金额的1%；</w:t>
      </w:r>
    </w:p>
    <w:p w14:paraId="6E0167A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（3）从迟付第九周起，每周迟延付款违约金为迟延付款金额的1.5%。 在计算迟延付款违约金时，迟付不足一周的按一周计算。迟延付款违约金的总额不得超过合同价格的10%。</w:t>
      </w:r>
    </w:p>
    <w:p w14:paraId="0F2D7BB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98" w:name="_bookmark139"/>
      <w:bookmarkEnd w:id="598"/>
      <w:bookmarkStart w:id="599" w:name="_Toc5723"/>
      <w:bookmarkStart w:id="600" w:name="_Toc534572299"/>
      <w:bookmarkStart w:id="601" w:name="_Toc20746"/>
      <w:bookmarkStart w:id="602" w:name="_Toc19201"/>
      <w:bookmarkStart w:id="603" w:name="_Toc54550767"/>
      <w:bookmarkStart w:id="604" w:name="_Toc24532"/>
      <w:bookmarkStart w:id="605" w:name="_Toc91344955"/>
      <w:bookmarkStart w:id="606" w:name="_Toc21781"/>
      <w:bookmarkStart w:id="607" w:name="_Toc62034485"/>
      <w:bookmarkStart w:id="608" w:name="_Toc20516"/>
      <w:r>
        <w:rPr>
          <w:rFonts w:hint="eastAsia" w:ascii="宋体" w:hAnsi="宋体" w:eastAsia="宋体" w:cs="宋体"/>
          <w:b/>
          <w:bCs/>
          <w:kern w:val="0"/>
          <w:sz w:val="21"/>
          <w:szCs w:val="21"/>
          <w:highlight w:val="none"/>
          <w:lang w:val="en-US" w:eastAsia="zh-CN" w:bidi="ar-SA"/>
        </w:rPr>
        <w:t>15.合同的解除</w:t>
      </w:r>
      <w:bookmarkEnd w:id="599"/>
      <w:bookmarkEnd w:id="600"/>
      <w:bookmarkEnd w:id="601"/>
      <w:bookmarkEnd w:id="602"/>
      <w:bookmarkEnd w:id="603"/>
      <w:bookmarkEnd w:id="604"/>
      <w:bookmarkEnd w:id="605"/>
      <w:bookmarkEnd w:id="606"/>
      <w:bookmarkEnd w:id="607"/>
      <w:bookmarkEnd w:id="608"/>
    </w:p>
    <w:p w14:paraId="209D53F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除专用合同条款另有约定外，有下述情形之一，当事人可发出书面通知全部或部分地解除合同，合同自通知到达对方时全部或部分地解除：</w:t>
      </w:r>
    </w:p>
    <w:p w14:paraId="6AA58CE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609" w:name="_Toc31440"/>
      <w:bookmarkStart w:id="610" w:name="_Toc28637"/>
      <w:bookmarkStart w:id="611" w:name="_Toc19234"/>
      <w:bookmarkStart w:id="612" w:name="_Toc14534"/>
      <w:r>
        <w:rPr>
          <w:rFonts w:hint="eastAsia" w:ascii="宋体" w:hAnsi="宋体" w:eastAsia="宋体" w:cs="宋体"/>
          <w:kern w:val="2"/>
          <w:sz w:val="21"/>
          <w:szCs w:val="21"/>
          <w:highlight w:val="none"/>
          <w:lang w:val="en-US" w:eastAsia="zh-CN" w:bidi="ar-SA"/>
        </w:rPr>
        <w:t>（1）卖方迟延交付合同设备超过 3个月；</w:t>
      </w:r>
      <w:bookmarkEnd w:id="609"/>
      <w:bookmarkEnd w:id="610"/>
      <w:bookmarkEnd w:id="611"/>
      <w:bookmarkEnd w:id="612"/>
    </w:p>
    <w:p w14:paraId="01729924">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（2）合同设备由于卖方原因三次考核均未能达到技术性能考核指标或在合同约定了或双方</w:t>
      </w:r>
      <w:r>
        <w:rPr>
          <w:rFonts w:hint="eastAsia" w:ascii="宋体" w:hAnsi="宋体" w:eastAsia="宋体" w:cs="宋体"/>
          <w:spacing w:val="-1"/>
          <w:kern w:val="2"/>
          <w:sz w:val="21"/>
          <w:szCs w:val="21"/>
          <w:highlight w:val="none"/>
          <w:lang w:val="en-US" w:eastAsia="zh-CN" w:bidi="ar-SA"/>
        </w:rPr>
        <w:t>在考核中另行达成了最低技术性能考核指标时均未能达到最低技术性能考核指标，且买卖双方</w:t>
      </w:r>
      <w:r>
        <w:rPr>
          <w:rFonts w:hint="eastAsia" w:ascii="宋体" w:hAnsi="宋体" w:eastAsia="宋体" w:cs="宋体"/>
          <w:kern w:val="2"/>
          <w:sz w:val="21"/>
          <w:szCs w:val="21"/>
          <w:highlight w:val="none"/>
          <w:lang w:val="en-US" w:eastAsia="zh-CN" w:bidi="ar-SA"/>
        </w:rPr>
        <w:t>未就合同的后续履行协商达成一致；</w:t>
      </w:r>
    </w:p>
    <w:p w14:paraId="1642BB72">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613" w:name="_Toc18184"/>
      <w:bookmarkStart w:id="614" w:name="_Toc26047"/>
      <w:bookmarkStart w:id="615" w:name="_Toc12865"/>
      <w:bookmarkStart w:id="616" w:name="_Toc30691"/>
      <w:r>
        <w:rPr>
          <w:rFonts w:hint="eastAsia" w:ascii="宋体" w:hAnsi="宋体" w:eastAsia="宋体" w:cs="宋体"/>
          <w:kern w:val="2"/>
          <w:sz w:val="21"/>
          <w:szCs w:val="21"/>
          <w:highlight w:val="none"/>
          <w:lang w:val="en-US" w:eastAsia="zh-CN" w:bidi="ar-SA"/>
        </w:rPr>
        <w:t>（3）买方迟延付款超过 3个月；</w:t>
      </w:r>
      <w:bookmarkEnd w:id="613"/>
      <w:bookmarkEnd w:id="614"/>
      <w:bookmarkEnd w:id="615"/>
      <w:bookmarkEnd w:id="616"/>
    </w:p>
    <w:p w14:paraId="727A533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（4）合同一方当事</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未</w:t>
      </w:r>
      <w:r>
        <w:rPr>
          <w:rFonts w:hint="eastAsia" w:ascii="宋体" w:hAnsi="宋体" w:eastAsia="宋体" w:cs="宋体"/>
          <w:spacing w:val="-3"/>
          <w:kern w:val="2"/>
          <w:sz w:val="21"/>
          <w:szCs w:val="21"/>
          <w:highlight w:val="none"/>
          <w:lang w:val="en-US" w:eastAsia="zh-CN" w:bidi="ar-SA"/>
        </w:rPr>
        <w:t>能</w:t>
      </w:r>
      <w:r>
        <w:rPr>
          <w:rFonts w:hint="eastAsia" w:ascii="宋体" w:hAnsi="宋体" w:eastAsia="宋体" w:cs="宋体"/>
          <w:kern w:val="2"/>
          <w:sz w:val="21"/>
          <w:szCs w:val="21"/>
          <w:highlight w:val="none"/>
          <w:lang w:val="en-US" w:eastAsia="zh-CN" w:bidi="ar-SA"/>
        </w:rPr>
        <w:t>履行合同项下任</w:t>
      </w:r>
      <w:r>
        <w:rPr>
          <w:rFonts w:hint="eastAsia" w:ascii="宋体" w:hAnsi="宋体" w:eastAsia="宋体" w:cs="宋体"/>
          <w:spacing w:val="-3"/>
          <w:kern w:val="2"/>
          <w:sz w:val="21"/>
          <w:szCs w:val="21"/>
          <w:highlight w:val="none"/>
          <w:lang w:val="en-US" w:eastAsia="zh-CN" w:bidi="ar-SA"/>
        </w:rPr>
        <w:t>何</w:t>
      </w:r>
      <w:r>
        <w:rPr>
          <w:rFonts w:hint="eastAsia" w:ascii="宋体" w:hAnsi="宋体" w:eastAsia="宋体" w:cs="宋体"/>
          <w:kern w:val="2"/>
          <w:sz w:val="21"/>
          <w:szCs w:val="21"/>
          <w:highlight w:val="none"/>
          <w:lang w:val="en-US" w:eastAsia="zh-CN" w:bidi="ar-SA"/>
        </w:rPr>
        <w:t>其它</w:t>
      </w:r>
      <w:r>
        <w:rPr>
          <w:rFonts w:hint="eastAsia" w:ascii="宋体" w:hAnsi="宋体" w:eastAsia="宋体" w:cs="宋体"/>
          <w:spacing w:val="-3"/>
          <w:kern w:val="2"/>
          <w:sz w:val="21"/>
          <w:szCs w:val="21"/>
          <w:highlight w:val="none"/>
          <w:lang w:val="en-US" w:eastAsia="zh-CN" w:bidi="ar-SA"/>
        </w:rPr>
        <w:t>义</w:t>
      </w:r>
      <w:r>
        <w:rPr>
          <w:rFonts w:hint="eastAsia" w:ascii="宋体" w:hAnsi="宋体" w:eastAsia="宋体" w:cs="宋体"/>
          <w:kern w:val="2"/>
          <w:sz w:val="21"/>
          <w:szCs w:val="21"/>
          <w:highlight w:val="none"/>
          <w:lang w:val="en-US" w:eastAsia="zh-CN" w:bidi="ar-SA"/>
        </w:rPr>
        <w:t>务</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细微义务除</w:t>
      </w:r>
      <w:r>
        <w:rPr>
          <w:rFonts w:hint="eastAsia" w:ascii="宋体" w:hAnsi="宋体" w:eastAsia="宋体" w:cs="宋体"/>
          <w:spacing w:val="-3"/>
          <w:kern w:val="2"/>
          <w:sz w:val="21"/>
          <w:szCs w:val="21"/>
          <w:highlight w:val="none"/>
          <w:lang w:val="en-US" w:eastAsia="zh-CN" w:bidi="ar-SA"/>
        </w:rPr>
        <w:t>外），或在</w:t>
      </w:r>
      <w:r>
        <w:rPr>
          <w:rFonts w:hint="eastAsia" w:ascii="宋体" w:hAnsi="宋体" w:eastAsia="宋体" w:cs="宋体"/>
          <w:kern w:val="2"/>
          <w:sz w:val="21"/>
          <w:szCs w:val="21"/>
          <w:highlight w:val="none"/>
          <w:lang w:val="en-US" w:eastAsia="zh-CN" w:bidi="ar-SA"/>
        </w:rPr>
        <w:t>未事先征得</w:t>
      </w:r>
      <w:r>
        <w:rPr>
          <w:rFonts w:hint="eastAsia" w:ascii="宋体" w:hAnsi="宋体" w:eastAsia="宋体" w:cs="宋体"/>
          <w:spacing w:val="-1"/>
          <w:kern w:val="2"/>
          <w:sz w:val="21"/>
          <w:szCs w:val="21"/>
          <w:highlight w:val="none"/>
          <w:lang w:val="en-US" w:eastAsia="zh-CN" w:bidi="ar-SA"/>
        </w:rPr>
        <w:t>另一方当事人同意的情况下，从事任何可能在实质上不利影响其履行合同能力的活动，经另一</w:t>
      </w:r>
      <w:r>
        <w:rPr>
          <w:rFonts w:hint="eastAsia" w:ascii="宋体" w:hAnsi="宋体" w:eastAsia="宋体" w:cs="宋体"/>
          <w:kern w:val="2"/>
          <w:sz w:val="21"/>
          <w:szCs w:val="21"/>
          <w:highlight w:val="none"/>
          <w:lang w:val="en-US" w:eastAsia="zh-CN" w:bidi="ar-SA"/>
        </w:rPr>
        <w:t>方当事人书面通知后</w:t>
      </w:r>
      <w:r>
        <w:rPr>
          <w:rFonts w:hint="eastAsia" w:ascii="宋体" w:hAnsi="宋体" w:eastAsia="宋体" w:cs="宋体"/>
          <w:spacing w:val="-60"/>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14日内或在专用合同条款约定的其他期限内未能对其行为作出补救；</w:t>
      </w:r>
    </w:p>
    <w:p w14:paraId="230C0A0B">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（5）合同一方当事人出现破产、清算、资不抵债、成为失信被执行人等可能丧失履约能力</w:t>
      </w:r>
      <w:r>
        <w:rPr>
          <w:rFonts w:hint="eastAsia" w:ascii="宋体" w:hAnsi="宋体" w:eastAsia="宋体" w:cs="宋体"/>
          <w:kern w:val="2"/>
          <w:sz w:val="21"/>
          <w:szCs w:val="21"/>
          <w:highlight w:val="none"/>
          <w:lang w:val="en-US" w:eastAsia="zh-CN" w:bidi="ar-SA"/>
        </w:rPr>
        <w:t>的情形，且未能提供令对方满意的履约保证金。</w:t>
      </w:r>
    </w:p>
    <w:p w14:paraId="23B6BF7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17" w:name="_Toc12407"/>
      <w:bookmarkStart w:id="618" w:name="_Toc18220"/>
      <w:bookmarkStart w:id="619" w:name="_Toc534572300"/>
      <w:bookmarkStart w:id="620" w:name="_Toc9601"/>
      <w:bookmarkStart w:id="621" w:name="_Toc6561"/>
      <w:bookmarkStart w:id="622" w:name="_Toc16161"/>
      <w:bookmarkStart w:id="623" w:name="_Toc54550768"/>
      <w:bookmarkStart w:id="624" w:name="_Toc91344956"/>
      <w:bookmarkStart w:id="625" w:name="_Toc62034486"/>
      <w:bookmarkStart w:id="626" w:name="_Toc18897"/>
      <w:r>
        <w:rPr>
          <w:rFonts w:hint="eastAsia" w:ascii="宋体" w:hAnsi="宋体" w:eastAsia="宋体" w:cs="宋体"/>
          <w:b/>
          <w:bCs/>
          <w:kern w:val="0"/>
          <w:sz w:val="21"/>
          <w:szCs w:val="21"/>
          <w:highlight w:val="none"/>
          <w:lang w:val="en-US" w:eastAsia="zh-CN" w:bidi="ar-SA"/>
        </w:rPr>
        <w:t>16.不可抗力</w:t>
      </w:r>
      <w:bookmarkEnd w:id="617"/>
      <w:bookmarkEnd w:id="618"/>
      <w:bookmarkEnd w:id="619"/>
      <w:bookmarkEnd w:id="620"/>
      <w:bookmarkEnd w:id="621"/>
      <w:bookmarkEnd w:id="622"/>
      <w:bookmarkEnd w:id="623"/>
      <w:bookmarkEnd w:id="624"/>
      <w:bookmarkEnd w:id="625"/>
      <w:bookmarkEnd w:id="626"/>
    </w:p>
    <w:p w14:paraId="2D223133">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3"/>
          <w:kern w:val="2"/>
          <w:sz w:val="21"/>
          <w:szCs w:val="21"/>
          <w:highlight w:val="none"/>
          <w:lang w:val="en-US" w:eastAsia="zh-CN" w:bidi="ar-SA"/>
        </w:rPr>
        <w:t>如果任何一方当事人受到不能预见、不能避免且不能克服的不可抗力事件的影响，例</w:t>
      </w:r>
      <w:r>
        <w:rPr>
          <w:rFonts w:hint="eastAsia" w:ascii="宋体" w:hAnsi="宋体" w:eastAsia="宋体" w:cs="宋体"/>
          <w:spacing w:val="-1"/>
          <w:kern w:val="2"/>
          <w:sz w:val="21"/>
          <w:szCs w:val="21"/>
          <w:highlight w:val="none"/>
          <w:lang w:val="en-US" w:eastAsia="zh-CN" w:bidi="ar-SA"/>
        </w:rPr>
        <w:t>如战争、严重的火灾、台风、地震、洪水和专用合同条款约定的其他情形，而无法履行合同项下的任何义务，则受影响的一方当事人应立即将此类事件的发生通知另一方当事人，并应在不</w:t>
      </w:r>
      <w:r>
        <w:rPr>
          <w:rFonts w:hint="eastAsia" w:ascii="宋体" w:hAnsi="宋体" w:eastAsia="宋体" w:cs="宋体"/>
          <w:kern w:val="2"/>
          <w:sz w:val="21"/>
          <w:szCs w:val="21"/>
          <w:highlight w:val="none"/>
          <w:lang w:val="en-US" w:eastAsia="zh-CN" w:bidi="ar-SA"/>
        </w:rPr>
        <w:t>可抗力事件发生后</w:t>
      </w:r>
      <w:r>
        <w:rPr>
          <w:rFonts w:hint="eastAsia" w:ascii="宋体" w:hAnsi="宋体" w:eastAsia="宋体" w:cs="宋体"/>
          <w:spacing w:val="-58"/>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28日内将有关当局或机构出具的证明文件提交给另一方当事人。</w:t>
      </w:r>
    </w:p>
    <w:p w14:paraId="3DF33962">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16.2 受不可抗力事件影响的一方当事人对于不可抗力事件导致的任何合同义务的迟延履行或不能履行不承担违约责任。但该方当事人应尽快将不可抗力事件结束或消除的情况通知另一方当事人。</w:t>
      </w:r>
    </w:p>
    <w:p w14:paraId="0536BFA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16.3 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1046365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27" w:name="_bookmark141"/>
      <w:bookmarkEnd w:id="627"/>
      <w:bookmarkStart w:id="628" w:name="_Toc25319"/>
      <w:bookmarkStart w:id="629" w:name="_Toc91344957"/>
      <w:bookmarkStart w:id="630" w:name="_Toc28181"/>
      <w:bookmarkStart w:id="631" w:name="_Toc62034487"/>
      <w:bookmarkStart w:id="632" w:name="_Toc1100"/>
      <w:bookmarkStart w:id="633" w:name="_Toc54550769"/>
      <w:bookmarkStart w:id="634" w:name="_Toc22336"/>
      <w:bookmarkStart w:id="635" w:name="_Toc9213"/>
      <w:bookmarkStart w:id="636" w:name="_Toc534572301"/>
      <w:bookmarkStart w:id="637" w:name="_Toc15616"/>
      <w:r>
        <w:rPr>
          <w:rFonts w:hint="eastAsia" w:ascii="宋体" w:hAnsi="宋体" w:eastAsia="宋体" w:cs="宋体"/>
          <w:b/>
          <w:bCs/>
          <w:kern w:val="0"/>
          <w:sz w:val="21"/>
          <w:szCs w:val="21"/>
          <w:highlight w:val="none"/>
          <w:lang w:val="en-US" w:eastAsia="zh-CN" w:bidi="ar-SA"/>
        </w:rPr>
        <w:t>17.争议的解决</w:t>
      </w:r>
      <w:bookmarkEnd w:id="628"/>
      <w:bookmarkEnd w:id="629"/>
      <w:bookmarkEnd w:id="630"/>
      <w:bookmarkEnd w:id="631"/>
      <w:bookmarkEnd w:id="632"/>
      <w:bookmarkEnd w:id="633"/>
      <w:bookmarkEnd w:id="634"/>
      <w:bookmarkEnd w:id="635"/>
      <w:bookmarkEnd w:id="636"/>
      <w:bookmarkEnd w:id="637"/>
    </w:p>
    <w:p w14:paraId="2B044393">
      <w:pPr>
        <w:widowControl w:val="0"/>
        <w:spacing w:beforeLines="0" w:after="0" w:afterLines="0" w:line="360" w:lineRule="auto"/>
        <w:ind w:firstLine="412"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因本合同引起的或与本合同有关的任何争议，双方可通过友好协商解决。友好协商解决不成</w:t>
      </w:r>
      <w:r>
        <w:rPr>
          <w:rFonts w:hint="eastAsia" w:ascii="宋体" w:hAnsi="宋体" w:eastAsia="宋体" w:cs="宋体"/>
          <w:kern w:val="2"/>
          <w:sz w:val="21"/>
          <w:szCs w:val="21"/>
          <w:highlight w:val="none"/>
          <w:lang w:val="en-US" w:eastAsia="zh-CN" w:bidi="ar-SA"/>
        </w:rPr>
        <w:t>的，可在专用合同条款中约定下列一种方式解决：</w:t>
      </w:r>
    </w:p>
    <w:p w14:paraId="61C5254D">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（1）向约定的仲裁委员会申请仲裁；</w:t>
      </w:r>
    </w:p>
    <w:p w14:paraId="6F3EB782">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（2）向有管辖权的人民法院提起诉讼。</w:t>
      </w:r>
    </w:p>
    <w:p w14:paraId="5FCB5E96">
      <w:pPr>
        <w:widowControl/>
        <w:adjustRightInd w:val="0"/>
        <w:snapToGrid w:val="0"/>
        <w:spacing w:before="0" w:beforeLines="0" w:after="0"/>
        <w:ind w:firstLineChars="200"/>
        <w:jc w:val="center"/>
        <w:outlineLvl w:val="9"/>
        <w:rPr>
          <w:rFonts w:hint="eastAsia" w:ascii="宋体" w:hAnsi="宋体" w:eastAsia="宋体" w:cs="宋体"/>
          <w:b/>
          <w:szCs w:val="22"/>
          <w:highlight w:val="none"/>
        </w:rPr>
      </w:pPr>
      <w:bookmarkStart w:id="638" w:name="_Toc222031028"/>
      <w:bookmarkStart w:id="639" w:name="_Toc229305386"/>
      <w:bookmarkStart w:id="640" w:name="_Toc221951110"/>
      <w:bookmarkStart w:id="641" w:name="_Toc350347466"/>
      <w:bookmarkStart w:id="642" w:name="_Toc221948340"/>
      <w:bookmarkStart w:id="643" w:name="_Toc222033877"/>
      <w:bookmarkStart w:id="644" w:name="_Toc222029526"/>
      <w:bookmarkStart w:id="645" w:name="_Toc222032695"/>
      <w:r>
        <w:rPr>
          <w:rFonts w:hint="eastAsia" w:ascii="宋体" w:hAnsi="宋体" w:eastAsia="宋体" w:cs="宋体"/>
          <w:szCs w:val="22"/>
          <w:highlight w:val="none"/>
        </w:rPr>
        <w:br w:type="page"/>
      </w:r>
      <w:bookmarkStart w:id="646" w:name="_Toc27082"/>
      <w:bookmarkStart w:id="647" w:name="_Toc91344958"/>
      <w:bookmarkStart w:id="648" w:name="_Toc15479"/>
      <w:bookmarkStart w:id="649" w:name="_Toc62034488"/>
      <w:r>
        <w:rPr>
          <w:rFonts w:hint="eastAsia" w:ascii="宋体" w:hAnsi="宋体" w:eastAsia="宋体" w:cs="宋体"/>
          <w:b/>
          <w:sz w:val="24"/>
          <w:szCs w:val="24"/>
          <w:highlight w:val="none"/>
        </w:rPr>
        <w:t>第二节 专用合同条款</w:t>
      </w:r>
      <w:bookmarkEnd w:id="638"/>
      <w:bookmarkEnd w:id="639"/>
      <w:bookmarkEnd w:id="640"/>
      <w:bookmarkEnd w:id="641"/>
      <w:bookmarkEnd w:id="642"/>
      <w:bookmarkEnd w:id="643"/>
      <w:bookmarkEnd w:id="644"/>
      <w:bookmarkEnd w:id="645"/>
      <w:bookmarkEnd w:id="646"/>
      <w:bookmarkEnd w:id="647"/>
      <w:bookmarkEnd w:id="648"/>
      <w:bookmarkEnd w:id="649"/>
    </w:p>
    <w:p w14:paraId="28337B13">
      <w:pPr>
        <w:widowControl w:val="0"/>
        <w:adjustRightInd w:val="0"/>
        <w:snapToGrid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50" w:name="_Toc62034489"/>
      <w:bookmarkStart w:id="651" w:name="_Toc91344959"/>
      <w:bookmarkStart w:id="652" w:name="_Toc534572303"/>
      <w:bookmarkStart w:id="653" w:name="_Toc54550771"/>
      <w:bookmarkStart w:id="654" w:name="_Toc28512"/>
      <w:bookmarkStart w:id="655" w:name="_Toc4029"/>
      <w:bookmarkStart w:id="656" w:name="_Toc20100"/>
      <w:bookmarkStart w:id="657" w:name="_Toc24932"/>
      <w:bookmarkStart w:id="658" w:name="_Toc144974834"/>
      <w:bookmarkStart w:id="659" w:name="_Toc168475890"/>
      <w:bookmarkStart w:id="660" w:name="_Toc168476293"/>
      <w:r>
        <w:rPr>
          <w:rFonts w:hint="eastAsia" w:ascii="宋体" w:hAnsi="宋体" w:eastAsia="宋体" w:cs="宋体"/>
          <w:b/>
          <w:bCs/>
          <w:kern w:val="0"/>
          <w:sz w:val="21"/>
          <w:szCs w:val="21"/>
          <w:highlight w:val="none"/>
          <w:lang w:val="en-US" w:eastAsia="zh-CN" w:bidi="ar-SA"/>
        </w:rPr>
        <w:t>1.一般约定</w:t>
      </w:r>
      <w:bookmarkEnd w:id="650"/>
      <w:bookmarkEnd w:id="651"/>
      <w:bookmarkEnd w:id="652"/>
      <w:bookmarkEnd w:id="653"/>
      <w:bookmarkEnd w:id="654"/>
      <w:bookmarkEnd w:id="655"/>
      <w:bookmarkEnd w:id="656"/>
      <w:bookmarkEnd w:id="657"/>
    </w:p>
    <w:p w14:paraId="52A3A913">
      <w:pPr>
        <w:widowControl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661" w:name="_Toc22907"/>
      <w:r>
        <w:rPr>
          <w:rFonts w:hint="eastAsia" w:ascii="宋体" w:hAnsi="宋体" w:eastAsia="宋体" w:cs="宋体"/>
          <w:bCs/>
          <w:kern w:val="0"/>
          <w:sz w:val="21"/>
          <w:szCs w:val="21"/>
          <w:highlight w:val="none"/>
          <w:lang w:val="en-US" w:eastAsia="zh-CN" w:bidi="ar-SA"/>
        </w:rPr>
        <w:t>1.1  词语定义</w:t>
      </w:r>
      <w:bookmarkEnd w:id="661"/>
    </w:p>
    <w:p w14:paraId="1946B72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工程：驻马店市薄山水库除险加固工程（一期）（三次）</w:t>
      </w:r>
    </w:p>
    <w:p w14:paraId="25141D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1.1.13.2 施工现场：</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4C4EBF6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w:t>
      </w:r>
    </w:p>
    <w:p w14:paraId="6E1680C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现场安装调试验收：指合同产品（设备）通过规定的验收试验和试运行合格并对设备进行检查符合合同要求后，买方组织相关单位对各设备分别签发“现场安装调试验收证书”。</w:t>
      </w:r>
    </w:p>
    <w:p w14:paraId="73C37F1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最终验收：按合同规定的产品质量保证期满时，经合同双方按合同文件对产品进行全面检查合格后，由买方组织相关单位对该产品签发“最终验收证书”。</w:t>
      </w:r>
    </w:p>
    <w:p w14:paraId="469C8CF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1.1.11 质量保证期：合同工程验收证书签发之日</w:t>
      </w:r>
      <w:r>
        <w:rPr>
          <w:rFonts w:hint="eastAsia" w:ascii="宋体" w:hAnsi="宋体" w:eastAsia="宋体" w:cs="宋体"/>
          <w:bCs/>
          <w:color w:val="auto"/>
          <w:kern w:val="2"/>
          <w:sz w:val="21"/>
          <w:szCs w:val="21"/>
          <w:highlight w:val="none"/>
          <w:lang w:val="en-US" w:eastAsia="zh-CN" w:bidi="ar-SA"/>
        </w:rPr>
        <w:t>起的2年为设备质量保证期（设备中有明确要求的除外</w:t>
      </w:r>
      <w:r>
        <w:rPr>
          <w:rFonts w:hint="eastAsia" w:ascii="宋体" w:hAnsi="宋体" w:eastAsia="宋体" w:cs="宋体"/>
          <w:color w:val="auto"/>
          <w:kern w:val="2"/>
          <w:sz w:val="21"/>
          <w:szCs w:val="21"/>
          <w:highlight w:val="none"/>
          <w:lang w:val="en-US" w:eastAsia="zh-CN" w:bidi="ar-SA"/>
        </w:rPr>
        <w:t>），若在保证期内发现重大缺陷，则卖方需按合同规定修复，并重新开始计算保证期。</w:t>
      </w:r>
    </w:p>
    <w:p w14:paraId="7EB16925">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kern w:val="2"/>
          <w:sz w:val="21"/>
          <w:szCs w:val="21"/>
          <w:highlight w:val="none"/>
          <w:lang w:val="en-US" w:eastAsia="zh-CN" w:bidi="ar-SA"/>
        </w:rPr>
        <w:t>1.1.17 监理单位：</w:t>
      </w:r>
      <w:r>
        <w:rPr>
          <w:rFonts w:hint="eastAsia" w:ascii="宋体" w:hAnsi="宋体" w:eastAsia="宋体" w:cs="宋体"/>
          <w:kern w:val="2"/>
          <w:sz w:val="21"/>
          <w:szCs w:val="21"/>
          <w:highlight w:val="none"/>
          <w:u w:val="single"/>
          <w:lang w:val="en-US" w:eastAsia="zh-CN" w:bidi="ar-SA"/>
        </w:rPr>
        <w:t xml:space="preserve">                     </w:t>
      </w:r>
    </w:p>
    <w:p w14:paraId="7A171A56">
      <w:pPr>
        <w:widowControl w:val="0"/>
        <w:adjustRightInd w:val="0"/>
        <w:snapToGrid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662" w:name="_Toc62034490"/>
      <w:bookmarkStart w:id="663" w:name="_Toc54550772"/>
      <w:bookmarkStart w:id="664" w:name="_Toc28982"/>
      <w:bookmarkStart w:id="665" w:name="_Toc28321"/>
      <w:bookmarkStart w:id="666" w:name="_Toc18659"/>
      <w:bookmarkStart w:id="667" w:name="_Toc31783"/>
      <w:bookmarkStart w:id="668" w:name="_Toc23713"/>
      <w:r>
        <w:rPr>
          <w:rFonts w:hint="eastAsia" w:ascii="宋体" w:hAnsi="宋体" w:eastAsia="宋体" w:cs="宋体"/>
          <w:bCs/>
          <w:kern w:val="0"/>
          <w:sz w:val="21"/>
          <w:szCs w:val="21"/>
          <w:highlight w:val="none"/>
          <w:lang w:val="en-US" w:eastAsia="zh-CN" w:bidi="ar-SA"/>
        </w:rPr>
        <w:t>1.5  联络</w:t>
      </w:r>
      <w:bookmarkEnd w:id="662"/>
      <w:bookmarkEnd w:id="663"/>
      <w:bookmarkEnd w:id="664"/>
      <w:bookmarkEnd w:id="665"/>
      <w:bookmarkEnd w:id="666"/>
      <w:bookmarkEnd w:id="667"/>
      <w:bookmarkEnd w:id="668"/>
    </w:p>
    <w:p w14:paraId="3EEC2454">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1.5.1（1）买方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1BA591E4">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20717D4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1.5.3设计联络会</w:t>
      </w:r>
    </w:p>
    <w:p w14:paraId="1574141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（1）确定联络人合同签署时，双方应各自明确并提交经法定代表人授权的联络人名单，以后联络人的变动必须以书面形式通知对方。</w:t>
      </w:r>
    </w:p>
    <w:p w14:paraId="5E455161">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联络会是为解决合同产品在设计、生产、运输、安装过程中出现的问题而建立的会商、处理机制。由双方、监理人、工程设计单位、施工方参加，第一次联络会应在合同产品生产前进行设计交底和审查卖方提供的产品设计图纸，包括审查产品设计图及制造的工艺流程及技术措施、产品制造的质量控制、详细的制造进度安排及产品技术接口、分工与衔接，并组织买方等与会者对制造厂的参观，检查卖方在投标时的承诺和产品制造的质量保证。</w:t>
      </w:r>
    </w:p>
    <w:p w14:paraId="157938A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（3）联络会议应形成会议纪要，如对合同条款做修改时，必须由双方联络人签字，并履行合同修改要求的程序才能有效。会议纪要作为合同的补充文件，对双方具有约束作用，双方必须严格遵守。</w:t>
      </w:r>
    </w:p>
    <w:p w14:paraId="2D603C6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（4）召开时间、地点由买方确定并通知相关各方。</w:t>
      </w:r>
    </w:p>
    <w:p w14:paraId="7C4EEE8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设计联络会要做好记录并编写会议纪要。记录和纪要由卖方负责，并经过买方同意。纪要应包括讨论的项目、内容和得出的结论，由有关各方首席代表签字确认后生效，与合同具有同等效力。纪要发给与会者。</w:t>
      </w:r>
    </w:p>
    <w:p w14:paraId="614AA96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（6）参加人员应包括买方、监理人、施工单位和工程设计单位的代表等。参加会议所发生的场地费、资料费等与之相关的费用均由卖方承担。</w:t>
      </w:r>
    </w:p>
    <w:p w14:paraId="5E8AEDCF">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kern w:val="0"/>
          <w:sz w:val="21"/>
          <w:szCs w:val="21"/>
          <w:highlight w:val="none"/>
          <w:lang w:val="en-US" w:eastAsia="zh-CN" w:bidi="ar-SA"/>
        </w:rPr>
      </w:pPr>
      <w:bookmarkStart w:id="669" w:name="_Toc21724"/>
      <w:bookmarkStart w:id="670" w:name="_Toc3886"/>
      <w:bookmarkStart w:id="671" w:name="_Toc54550773"/>
      <w:bookmarkStart w:id="672" w:name="_Toc12922"/>
      <w:bookmarkStart w:id="673" w:name="_Toc21955"/>
      <w:bookmarkStart w:id="674" w:name="_Toc62034491"/>
      <w:bookmarkStart w:id="675" w:name="_Toc7794"/>
      <w:r>
        <w:rPr>
          <w:rFonts w:hint="eastAsia" w:ascii="宋体" w:hAnsi="宋体" w:eastAsia="宋体" w:cs="宋体"/>
          <w:kern w:val="0"/>
          <w:sz w:val="21"/>
          <w:szCs w:val="21"/>
          <w:highlight w:val="none"/>
          <w:lang w:val="en-US" w:eastAsia="zh-CN" w:bidi="ar-SA"/>
        </w:rPr>
        <w:t>3.1  合同价格</w:t>
      </w:r>
      <w:bookmarkEnd w:id="669"/>
      <w:bookmarkEnd w:id="670"/>
      <w:bookmarkEnd w:id="671"/>
      <w:bookmarkEnd w:id="672"/>
      <w:bookmarkEnd w:id="673"/>
      <w:bookmarkEnd w:id="674"/>
    </w:p>
    <w:p w14:paraId="27FFCF6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本合同为固定单价合同，单价不予调整。</w:t>
      </w:r>
    </w:p>
    <w:bookmarkEnd w:id="675"/>
    <w:p w14:paraId="5EBE3DB7">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676" w:name="_Toc6029"/>
      <w:bookmarkStart w:id="677" w:name="_Toc29791"/>
      <w:bookmarkStart w:id="678" w:name="_Toc54550775"/>
      <w:bookmarkStart w:id="679" w:name="_Toc62034493"/>
      <w:r>
        <w:rPr>
          <w:rFonts w:hint="eastAsia" w:ascii="宋体" w:hAnsi="宋体" w:eastAsia="宋体" w:cs="宋体"/>
          <w:bCs/>
          <w:kern w:val="0"/>
          <w:sz w:val="21"/>
          <w:szCs w:val="21"/>
          <w:highlight w:val="none"/>
          <w:lang w:val="en-US" w:eastAsia="zh-CN" w:bidi="ar-SA"/>
        </w:rPr>
        <w:t>3.2  合同价款的支付</w:t>
      </w:r>
      <w:bookmarkEnd w:id="676"/>
    </w:p>
    <w:p w14:paraId="5F0ED374">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0" w:name="_Toc26354"/>
      <w:r>
        <w:rPr>
          <w:rFonts w:hint="eastAsia" w:ascii="宋体" w:hAnsi="宋体" w:eastAsia="宋体" w:cs="宋体"/>
          <w:bCs/>
          <w:color w:val="auto"/>
          <w:kern w:val="0"/>
          <w:sz w:val="21"/>
          <w:szCs w:val="21"/>
          <w:highlight w:val="none"/>
          <w:lang w:val="en-US" w:eastAsia="zh-CN" w:bidi="ar-SA"/>
        </w:rPr>
        <w:t>3.2.1预付款</w:t>
      </w:r>
      <w:bookmarkEnd w:id="680"/>
    </w:p>
    <w:p w14:paraId="6BFF2C6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1" w:name="_Toc4616"/>
      <w:r>
        <w:rPr>
          <w:rFonts w:hint="eastAsia" w:ascii="宋体" w:hAnsi="宋体" w:eastAsia="宋体" w:cs="宋体"/>
          <w:bCs/>
          <w:color w:val="auto"/>
          <w:kern w:val="0"/>
          <w:sz w:val="21"/>
          <w:szCs w:val="21"/>
          <w:highlight w:val="none"/>
          <w:lang w:val="en-US" w:eastAsia="zh-CN" w:bidi="ar-SA"/>
        </w:rPr>
        <w:t>买方应通过以下方式和比例向卖方支付预付款：</w:t>
      </w:r>
      <w:bookmarkEnd w:id="681"/>
    </w:p>
    <w:p w14:paraId="7CE9A72D">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2" w:name="_Toc4649"/>
      <w:r>
        <w:rPr>
          <w:rFonts w:hint="default" w:ascii="宋体" w:hAnsi="宋体" w:eastAsia="宋体" w:cs="宋体"/>
          <w:bCs/>
          <w:color w:val="auto"/>
          <w:kern w:val="0"/>
          <w:sz w:val="21"/>
          <w:szCs w:val="21"/>
          <w:highlight w:val="none"/>
          <w:lang w:val="en-US" w:eastAsia="zh-CN" w:bidi="ar-SA"/>
        </w:rPr>
        <w:t>签订</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合同一个月内支付</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合同额的20%；并经监理出具付款证书报送发包人批准后，发包人14天内办理支付手续。</w:t>
      </w:r>
    </w:p>
    <w:p w14:paraId="2B3943D0">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F01B8B6">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卖方</w:t>
      </w:r>
      <w:r>
        <w:rPr>
          <w:rFonts w:hint="default" w:ascii="宋体" w:hAnsi="宋体" w:eastAsia="宋体" w:cs="宋体"/>
          <w:bCs/>
          <w:color w:val="auto"/>
          <w:kern w:val="0"/>
          <w:sz w:val="21"/>
          <w:szCs w:val="21"/>
          <w:highlight w:val="none"/>
          <w:lang w:val="en-US" w:eastAsia="zh-CN" w:bidi="ar-SA"/>
        </w:rPr>
        <w:t>应提供真实有效的发票。</w:t>
      </w:r>
    </w:p>
    <w:p w14:paraId="62F38D7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3.2.2交货款</w:t>
      </w:r>
      <w:bookmarkEnd w:id="682"/>
    </w:p>
    <w:p w14:paraId="586C940A">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3" w:name="_Toc26307"/>
      <w:r>
        <w:rPr>
          <w:rFonts w:hint="eastAsia" w:ascii="宋体" w:hAnsi="宋体" w:eastAsia="宋体" w:cs="宋体"/>
          <w:bCs/>
          <w:color w:val="auto"/>
          <w:kern w:val="0"/>
          <w:sz w:val="21"/>
          <w:szCs w:val="21"/>
          <w:highlight w:val="none"/>
          <w:lang w:val="en-US" w:eastAsia="zh-CN" w:bidi="ar-SA"/>
        </w:rPr>
        <w:t>买方应通过以下方式和比例向卖方支付合同交货款价款：</w:t>
      </w:r>
      <w:bookmarkEnd w:id="683"/>
    </w:p>
    <w:p w14:paraId="1E6CC4A1">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4" w:name="_Toc10729"/>
      <w:r>
        <w:rPr>
          <w:rFonts w:hint="eastAsia" w:ascii="宋体" w:hAnsi="宋体" w:eastAsia="宋体" w:cs="宋体"/>
          <w:bCs/>
          <w:color w:val="auto"/>
          <w:kern w:val="0"/>
          <w:sz w:val="21"/>
          <w:szCs w:val="21"/>
          <w:highlight w:val="none"/>
          <w:lang w:val="en-US" w:eastAsia="zh-CN" w:bidi="ar-SA"/>
        </w:rPr>
        <w:t>经监理人和买方、施工方、设计单位施工现场开箱</w:t>
      </w:r>
      <w:r>
        <w:rPr>
          <w:rFonts w:hint="eastAsia" w:ascii="宋体" w:hAnsi="宋体" w:eastAsia="宋体" w:cs="宋体"/>
          <w:color w:val="auto"/>
          <w:kern w:val="0"/>
          <w:sz w:val="21"/>
          <w:szCs w:val="21"/>
          <w:highlight w:val="none"/>
          <w:lang w:val="en-US" w:eastAsia="zh-CN" w:bidi="ar-SA"/>
        </w:rPr>
        <w:t>验收</w:t>
      </w:r>
      <w:r>
        <w:rPr>
          <w:rFonts w:hint="eastAsia" w:ascii="宋体" w:hAnsi="宋体" w:eastAsia="宋体" w:cs="宋体"/>
          <w:bCs/>
          <w:color w:val="auto"/>
          <w:kern w:val="0"/>
          <w:sz w:val="21"/>
          <w:szCs w:val="21"/>
          <w:highlight w:val="none"/>
          <w:lang w:val="en-US" w:eastAsia="zh-CN" w:bidi="ar-SA"/>
        </w:rPr>
        <w:t>合格，由监理人出具支付证书14天内，支付至该批货物合同额的80%（包含预付款），</w:t>
      </w:r>
      <w:bookmarkEnd w:id="684"/>
      <w:r>
        <w:rPr>
          <w:rFonts w:hint="default" w:ascii="宋体" w:hAnsi="宋体" w:eastAsia="宋体" w:cs="宋体"/>
          <w:bCs/>
          <w:color w:val="auto"/>
          <w:kern w:val="0"/>
          <w:sz w:val="21"/>
          <w:szCs w:val="21"/>
          <w:highlight w:val="none"/>
          <w:lang w:val="en-US" w:eastAsia="zh-CN" w:bidi="ar-SA"/>
        </w:rPr>
        <w:t>发包人14天内办理支付手续。</w:t>
      </w:r>
    </w:p>
    <w:p w14:paraId="665047CA">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5A20864">
      <w:pPr>
        <w:widowControl w:val="0"/>
        <w:adjustRightInd w:val="0"/>
        <w:snapToGrid w:val="0"/>
        <w:spacing w:beforeLines="0" w:afterLines="0" w:line="360" w:lineRule="auto"/>
        <w:ind w:left="237" w:right="0"/>
        <w:jc w:val="both"/>
        <w:outlineLvl w:val="9"/>
        <w:rPr>
          <w:rFonts w:hint="eastAsia" w:ascii="宋体" w:hAnsi="宋体" w:eastAsia="宋体" w:cs="宋体"/>
          <w:bCs/>
          <w:color w:val="auto"/>
          <w:kern w:val="0"/>
          <w:sz w:val="21"/>
          <w:szCs w:val="21"/>
          <w:highlight w:val="none"/>
          <w:lang w:val="en-US" w:eastAsia="zh-CN" w:bidi="ar-SA"/>
        </w:rPr>
      </w:pPr>
      <w:bookmarkStart w:id="685" w:name="_Toc11339"/>
      <w:r>
        <w:rPr>
          <w:rFonts w:hint="eastAsia" w:ascii="宋体" w:hAnsi="宋体" w:eastAsia="宋体" w:cs="宋体"/>
          <w:bCs/>
          <w:color w:val="auto"/>
          <w:kern w:val="0"/>
          <w:sz w:val="21"/>
          <w:szCs w:val="21"/>
          <w:highlight w:val="none"/>
          <w:lang w:val="en-US" w:eastAsia="zh-CN" w:bidi="ar-SA"/>
        </w:rPr>
        <w:t>3.2.3 验收款</w:t>
      </w:r>
      <w:bookmarkEnd w:id="685"/>
    </w:p>
    <w:p w14:paraId="390073A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6" w:name="_Toc21912"/>
      <w:r>
        <w:rPr>
          <w:rFonts w:hint="eastAsia" w:ascii="宋体" w:hAnsi="宋体" w:eastAsia="宋体" w:cs="宋体"/>
          <w:bCs/>
          <w:color w:val="auto"/>
          <w:kern w:val="0"/>
          <w:sz w:val="21"/>
          <w:szCs w:val="21"/>
          <w:highlight w:val="none"/>
          <w:lang w:val="en-US" w:eastAsia="zh-CN" w:bidi="ar-SA"/>
        </w:rPr>
        <w:t>买方应通过以下方式和比例向卖方支付合同验收款价款：</w:t>
      </w:r>
      <w:bookmarkEnd w:id="686"/>
    </w:p>
    <w:p w14:paraId="34732FCF">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7" w:name="_Toc19591"/>
      <w:r>
        <w:rPr>
          <w:rFonts w:hint="eastAsia" w:ascii="宋体" w:hAnsi="宋体" w:eastAsia="宋体" w:cs="宋体"/>
          <w:bCs/>
          <w:color w:val="auto"/>
          <w:kern w:val="0"/>
          <w:sz w:val="21"/>
          <w:szCs w:val="21"/>
          <w:highlight w:val="none"/>
          <w:lang w:val="en-US" w:eastAsia="zh-CN" w:bidi="ar-SA"/>
        </w:rPr>
        <w:t>设备安装验收合格并经联合调试验收合格后支付剩余合同额，</w:t>
      </w:r>
      <w:r>
        <w:rPr>
          <w:rFonts w:hint="default" w:ascii="宋体" w:hAnsi="宋体" w:eastAsia="宋体" w:cs="宋体"/>
          <w:bCs/>
          <w:color w:val="auto"/>
          <w:kern w:val="0"/>
          <w:sz w:val="21"/>
          <w:szCs w:val="21"/>
          <w:highlight w:val="none"/>
          <w:lang w:val="en-US" w:eastAsia="zh-CN" w:bidi="ar-SA"/>
        </w:rPr>
        <w:t>并经监理出具付款证书报送发包人批准后</w:t>
      </w:r>
      <w:r>
        <w:rPr>
          <w:rFonts w:hint="eastAsia" w:ascii="宋体" w:hAnsi="宋体" w:eastAsia="宋体" w:cs="宋体"/>
          <w:bCs/>
          <w:color w:val="auto"/>
          <w:kern w:val="0"/>
          <w:sz w:val="21"/>
          <w:szCs w:val="21"/>
          <w:highlight w:val="none"/>
          <w:lang w:val="en-US" w:eastAsia="zh-CN" w:bidi="ar-SA"/>
        </w:rPr>
        <w:t>，</w:t>
      </w:r>
      <w:r>
        <w:rPr>
          <w:rFonts w:hint="default" w:ascii="宋体" w:hAnsi="宋体" w:eastAsia="宋体" w:cs="宋体"/>
          <w:bCs/>
          <w:color w:val="auto"/>
          <w:kern w:val="0"/>
          <w:sz w:val="21"/>
          <w:szCs w:val="21"/>
          <w:highlight w:val="none"/>
          <w:lang w:val="en-US" w:eastAsia="zh-CN" w:bidi="ar-SA"/>
        </w:rPr>
        <w:t>发包人14天内办理支付手续。</w:t>
      </w:r>
    </w:p>
    <w:p w14:paraId="0A00527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在履约保函期限结束前需向发包人递交总价款3%的银行出具的见索即付质量保证金保函。</w:t>
      </w:r>
      <w:bookmarkEnd w:id="687"/>
    </w:p>
    <w:p w14:paraId="0CAC5275">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8" w:name="_Toc17064"/>
      <w:r>
        <w:rPr>
          <w:rFonts w:hint="eastAsia" w:ascii="宋体" w:hAnsi="宋体" w:eastAsia="宋体" w:cs="宋体"/>
          <w:bCs/>
          <w:color w:val="auto"/>
          <w:kern w:val="0"/>
          <w:sz w:val="21"/>
          <w:szCs w:val="21"/>
          <w:highlight w:val="none"/>
          <w:lang w:val="en-US" w:eastAsia="zh-CN" w:bidi="ar-SA"/>
        </w:rPr>
        <w:t>注：每次付款前卖方需提供真实有效的发票。</w:t>
      </w:r>
      <w:bookmarkEnd w:id="688"/>
    </w:p>
    <w:p w14:paraId="2BA82772">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689" w:name="_Toc511"/>
      <w:bookmarkStart w:id="690" w:name="_Toc9878"/>
      <w:bookmarkStart w:id="691" w:name="_Toc8690"/>
      <w:bookmarkStart w:id="692" w:name="_Toc9117"/>
      <w:r>
        <w:rPr>
          <w:rFonts w:hint="eastAsia" w:ascii="宋体" w:hAnsi="宋体" w:eastAsia="宋体" w:cs="宋体"/>
          <w:bCs/>
          <w:color w:val="000000"/>
          <w:kern w:val="0"/>
          <w:sz w:val="21"/>
          <w:szCs w:val="21"/>
          <w:highlight w:val="none"/>
          <w:lang w:val="en-US" w:eastAsia="zh-CN" w:bidi="ar-SA"/>
        </w:rPr>
        <w:t>4.2  交货前检验</w:t>
      </w:r>
      <w:bookmarkEnd w:id="677"/>
      <w:bookmarkEnd w:id="678"/>
      <w:bookmarkEnd w:id="679"/>
      <w:bookmarkEnd w:id="689"/>
      <w:bookmarkEnd w:id="690"/>
      <w:bookmarkEnd w:id="691"/>
      <w:bookmarkEnd w:id="692"/>
    </w:p>
    <w:p w14:paraId="659BEF3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双方应按本款约定履行交货前检验。</w:t>
      </w:r>
    </w:p>
    <w:p w14:paraId="6A62E8B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（1）交货前检验由买方组织。卖方应在交货前15天向买方或监理人提交验收大纲；</w:t>
      </w:r>
    </w:p>
    <w:p w14:paraId="657BF9B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（2）产品出厂前，卖方应按7.5提交出厂资料；</w:t>
      </w:r>
    </w:p>
    <w:p w14:paraId="59C1E3FF">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（3）出厂资料应提前15天提交监理人，作为交货前检验时使用。上述资料，除产品合格证应用原件外，外购件合格证采用原件，其余资料均可用复印件。卖方应在所有资料上盖单位公章；</w:t>
      </w:r>
    </w:p>
    <w:p w14:paraId="4284CFCA">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（4）交货前检验时，产品（设备）应处于组装状态或可测试状态；</w:t>
      </w:r>
    </w:p>
    <w:p w14:paraId="44EE92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（5）交货前检验经监理人签字后，并不免除卖方对产品（设备）承担的全部合同责任；</w:t>
      </w:r>
    </w:p>
    <w:p w14:paraId="35853F2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（6）交货前检验的准备、组织和交货前检验的所有费用均包括在合同价格中。</w:t>
      </w:r>
    </w:p>
    <w:p w14:paraId="4E16971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693" w:name="_Toc534572304"/>
      <w:bookmarkStart w:id="694" w:name="_Toc26876"/>
      <w:bookmarkStart w:id="695" w:name="_Toc62034494"/>
      <w:bookmarkStart w:id="696" w:name="_Toc54550776"/>
      <w:bookmarkStart w:id="697" w:name="_Toc22256"/>
      <w:bookmarkStart w:id="698" w:name="_Toc15953"/>
      <w:bookmarkStart w:id="699" w:name="_Toc15856"/>
      <w:bookmarkStart w:id="700" w:name="_Toc15720"/>
      <w:r>
        <w:rPr>
          <w:rFonts w:hint="eastAsia" w:ascii="宋体" w:hAnsi="宋体" w:eastAsia="宋体" w:cs="宋体"/>
          <w:bCs/>
          <w:color w:val="000000"/>
          <w:kern w:val="0"/>
          <w:sz w:val="21"/>
          <w:szCs w:val="21"/>
          <w:highlight w:val="none"/>
          <w:lang w:val="en-US" w:eastAsia="zh-CN" w:bidi="ar-SA"/>
        </w:rPr>
        <w:t>5.4  交付</w:t>
      </w:r>
      <w:bookmarkEnd w:id="693"/>
      <w:bookmarkEnd w:id="694"/>
      <w:bookmarkEnd w:id="695"/>
      <w:bookmarkEnd w:id="696"/>
      <w:bookmarkEnd w:id="697"/>
      <w:bookmarkEnd w:id="698"/>
      <w:bookmarkEnd w:id="699"/>
      <w:bookmarkEnd w:id="700"/>
    </w:p>
    <w:p w14:paraId="259EEB0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供货期（服务期）：</w:t>
      </w:r>
      <w:r>
        <w:rPr>
          <w:rFonts w:hint="eastAsia" w:ascii="宋体" w:hAnsi="宋体" w:eastAsia="宋体" w:cs="宋体"/>
          <w:b/>
          <w:bCs/>
          <w:kern w:val="2"/>
          <w:sz w:val="21"/>
          <w:szCs w:val="21"/>
          <w:highlight w:val="none"/>
          <w:lang w:val="en-US" w:eastAsia="zh-CN" w:bidi="ar-SA"/>
        </w:rPr>
        <w:t>自合同签订之日起至竣工验收通过之日止</w:t>
      </w:r>
      <w:r>
        <w:rPr>
          <w:rFonts w:hint="eastAsia" w:ascii="宋体" w:hAnsi="宋体" w:eastAsia="宋体" w:cs="宋体"/>
          <w:strike w:val="0"/>
          <w:dstrike w:val="0"/>
          <w:kern w:val="2"/>
          <w:sz w:val="21"/>
          <w:szCs w:val="21"/>
          <w:highlight w:val="none"/>
          <w:lang w:val="en-US" w:eastAsia="zh-CN" w:bidi="ar-SA"/>
        </w:rPr>
        <w:t>（供货期按照监理人批准的供货计划实施）</w:t>
      </w:r>
    </w:p>
    <w:p w14:paraId="14C348D0">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交货方式：卖方按买方要求交货，并验收合格。</w:t>
      </w:r>
    </w:p>
    <w:p w14:paraId="2DF0449B">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交货地点：</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0149D9AC">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701" w:name="_Toc31078"/>
      <w:bookmarkStart w:id="702" w:name="_Toc24220"/>
      <w:bookmarkStart w:id="703" w:name="_Toc27919"/>
      <w:bookmarkStart w:id="704" w:name="_Toc54550777"/>
      <w:bookmarkStart w:id="705" w:name="_Toc260"/>
      <w:bookmarkStart w:id="706" w:name="_Toc534572305"/>
      <w:bookmarkStart w:id="707" w:name="_Toc62034495"/>
      <w:bookmarkStart w:id="708" w:name="_Toc91344960"/>
      <w:r>
        <w:rPr>
          <w:rFonts w:hint="eastAsia" w:ascii="宋体" w:hAnsi="宋体" w:eastAsia="宋体" w:cs="宋体"/>
          <w:b/>
          <w:bCs/>
          <w:kern w:val="0"/>
          <w:sz w:val="21"/>
          <w:szCs w:val="21"/>
          <w:highlight w:val="none"/>
          <w:lang w:val="en-US" w:eastAsia="zh-CN" w:bidi="ar-SA"/>
        </w:rPr>
        <w:t>6. 开箱检验、安装、调试、考核、验收</w:t>
      </w:r>
      <w:bookmarkEnd w:id="701"/>
      <w:bookmarkEnd w:id="702"/>
      <w:bookmarkEnd w:id="703"/>
      <w:bookmarkEnd w:id="704"/>
      <w:bookmarkEnd w:id="705"/>
      <w:bookmarkEnd w:id="706"/>
      <w:bookmarkEnd w:id="707"/>
      <w:bookmarkEnd w:id="708"/>
    </w:p>
    <w:p w14:paraId="7466B4D8">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709" w:name="_Toc62034496"/>
      <w:bookmarkStart w:id="710" w:name="_Toc18714"/>
      <w:bookmarkStart w:id="711" w:name="_Toc54550778"/>
      <w:r>
        <w:rPr>
          <w:rFonts w:hint="eastAsia" w:ascii="宋体" w:hAnsi="宋体" w:eastAsia="宋体" w:cs="宋体"/>
          <w:bCs/>
          <w:color w:val="000000"/>
          <w:kern w:val="0"/>
          <w:sz w:val="21"/>
          <w:szCs w:val="21"/>
          <w:highlight w:val="none"/>
          <w:lang w:val="en-US" w:eastAsia="zh-CN" w:bidi="ar-SA"/>
        </w:rPr>
        <w:t>6.1  开箱检验</w:t>
      </w:r>
      <w:bookmarkEnd w:id="709"/>
      <w:bookmarkEnd w:id="710"/>
      <w:bookmarkEnd w:id="711"/>
    </w:p>
    <w:p w14:paraId="1CF7081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合同设备交付后应进行开箱检验，即合同设备数量及外观检验。开箱检验在下列（2）时间进行：</w:t>
      </w:r>
    </w:p>
    <w:p w14:paraId="2B3AA63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3E9D585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 3 日前将开箱检验的时间和地点通知卖方。</w:t>
      </w:r>
    </w:p>
    <w:p w14:paraId="54E76E8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712" w:name="_Toc13335"/>
      <w:bookmarkStart w:id="713" w:name="_Toc62034497"/>
      <w:bookmarkStart w:id="714" w:name="_Toc54550779"/>
      <w:r>
        <w:rPr>
          <w:rFonts w:hint="eastAsia" w:ascii="宋体" w:hAnsi="宋体" w:eastAsia="宋体" w:cs="宋体"/>
          <w:bCs/>
          <w:kern w:val="0"/>
          <w:sz w:val="21"/>
          <w:szCs w:val="21"/>
          <w:highlight w:val="none"/>
          <w:lang w:val="en-US" w:eastAsia="zh-CN" w:bidi="ar-SA"/>
        </w:rPr>
        <w:t>6.2  安装、调试</w:t>
      </w:r>
      <w:bookmarkEnd w:id="712"/>
      <w:bookmarkEnd w:id="713"/>
      <w:bookmarkEnd w:id="714"/>
    </w:p>
    <w:p w14:paraId="65712FC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6.2.1 开箱检验完成后，双方应对合同设备进行安装、调试，以使其具备考核的状态。安装、调试应按照下列（2）方式进行：</w:t>
      </w:r>
    </w:p>
    <w:p w14:paraId="55F4A8B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454C527B">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（2）买方安排施工单位负责合同设备的安装、调试工作，卖方提供安装和调试指导、技术服务等。</w:t>
      </w:r>
    </w:p>
    <w:p w14:paraId="5474887A">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715" w:name="_Toc62034498"/>
      <w:bookmarkStart w:id="716" w:name="_Toc91344961"/>
      <w:bookmarkStart w:id="717" w:name="_Toc24854"/>
      <w:bookmarkStart w:id="718" w:name="_Toc26203"/>
      <w:bookmarkStart w:id="719" w:name="_Toc534572306"/>
      <w:bookmarkStart w:id="720" w:name="_Toc54550780"/>
      <w:bookmarkStart w:id="721" w:name="_Toc3589"/>
      <w:r>
        <w:rPr>
          <w:rFonts w:hint="eastAsia" w:ascii="宋体" w:hAnsi="宋体" w:eastAsia="宋体" w:cs="宋体"/>
          <w:b/>
          <w:bCs/>
          <w:kern w:val="0"/>
          <w:sz w:val="21"/>
          <w:szCs w:val="21"/>
          <w:highlight w:val="none"/>
          <w:lang w:val="en-US" w:eastAsia="zh-CN" w:bidi="ar-SA"/>
        </w:rPr>
        <w:t>7.技术服务</w:t>
      </w:r>
      <w:bookmarkEnd w:id="715"/>
      <w:bookmarkEnd w:id="716"/>
      <w:bookmarkEnd w:id="717"/>
      <w:bookmarkEnd w:id="718"/>
      <w:bookmarkEnd w:id="719"/>
      <w:bookmarkEnd w:id="720"/>
      <w:bookmarkEnd w:id="721"/>
    </w:p>
    <w:p w14:paraId="55B5B7F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本款补充以下内容：</w:t>
      </w:r>
    </w:p>
    <w:p w14:paraId="224FF33F">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7.5合同产品交货前检验前，卖方应向买方提供如下资料。</w:t>
      </w:r>
    </w:p>
    <w:p w14:paraId="585E883E">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2" w:name="_Toc29688"/>
      <w:r>
        <w:rPr>
          <w:rFonts w:hint="eastAsia" w:ascii="宋体" w:hAnsi="宋体" w:eastAsia="宋体" w:cs="宋体"/>
          <w:kern w:val="2"/>
          <w:sz w:val="21"/>
          <w:szCs w:val="21"/>
          <w:highlight w:val="none"/>
          <w:lang w:val="en-US" w:eastAsia="zh-CN" w:bidi="ar-SA"/>
        </w:rPr>
        <w:t>1)产品出厂合格证书12套；</w:t>
      </w:r>
      <w:bookmarkEnd w:id="722"/>
    </w:p>
    <w:p w14:paraId="3774C13B">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2)安装使用说明书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31D7AFE9">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3)产品安装说明书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46241E0F">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4)主要部件的试验报告</w:t>
      </w:r>
      <w:r>
        <w:rPr>
          <w:rFonts w:hint="eastAsia" w:ascii="宋体" w:hAnsi="宋体" w:eastAsia="宋体" w:cs="宋体"/>
          <w:spacing w:val="-72"/>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12B6DD30">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5)重大缺陷处理记录和有关资料</w:t>
      </w:r>
      <w:r>
        <w:rPr>
          <w:rFonts w:hint="eastAsia" w:ascii="宋体" w:hAnsi="宋体" w:eastAsia="宋体" w:cs="宋体"/>
          <w:spacing w:val="-75"/>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6"/>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70140A0D">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6)设计修改通知单</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5554B06D">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7)外购件有关出厂资料、合格证等资料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80"/>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78F1EC5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8)卖方向买方提供 10 套图纸及技术文件。</w:t>
      </w:r>
    </w:p>
    <w:p w14:paraId="365BB9E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7.6买方应向卖方提供产品设计图样及资料如下：</w:t>
      </w:r>
    </w:p>
    <w:p w14:paraId="58FF767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（1）本招标文件中的招标图样，供卖方投标时使用；是产品设计的依据，不得做为备料、加工及制作的依据。</w:t>
      </w:r>
    </w:p>
    <w:p w14:paraId="146CFE2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（2）买方向卖方免费提供系统图样一式8份。卖方收到买方图样后，应仔细清点，认真审阅，如发现遗漏、差错和模糊之处，应在收到之日起21天内通知工程设计单位复校，工程设计单位将在14天内作出书面答复。</w:t>
      </w:r>
    </w:p>
    <w:p w14:paraId="1EB9EAC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7.7 卖方应向买方提供产品设计图纸及资料如下：</w:t>
      </w:r>
    </w:p>
    <w:p w14:paraId="2ED7374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（1）卖方应根据买方提供的技术资料进行产品设计。</w:t>
      </w:r>
    </w:p>
    <w:p w14:paraId="3616A40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（2）合同标的的产品设计（包括：主要计算、图纸和外购件清单）应得到买方组织的工程设计、监理单位参加的审查批准后方有效。</w:t>
      </w:r>
    </w:p>
    <w:p w14:paraId="3F3D060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（3）卖方如未能按规定时间递交应报审的图纸和文件，由此而造成卖方自身损失，由卖方自己负责。</w:t>
      </w:r>
    </w:p>
    <w:p w14:paraId="6CF6C4A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（4）卖方应对制造的产品质量负责，不得以图纸或文件已经审核为由而推卸应承担的责任或提出其他要求。</w:t>
      </w:r>
    </w:p>
    <w:p w14:paraId="431F049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3" w:name="_Toc22937"/>
      <w:bookmarkStart w:id="724" w:name="_Toc62034499"/>
      <w:bookmarkStart w:id="725" w:name="_Toc54550781"/>
      <w:r>
        <w:rPr>
          <w:rFonts w:hint="eastAsia" w:ascii="宋体" w:hAnsi="宋体" w:eastAsia="宋体" w:cs="宋体"/>
          <w:kern w:val="2"/>
          <w:sz w:val="21"/>
          <w:szCs w:val="21"/>
          <w:highlight w:val="none"/>
          <w:lang w:val="en-US" w:eastAsia="zh-CN" w:bidi="ar-SA"/>
        </w:rPr>
        <w:t>7.8出厂竣工资料</w:t>
      </w:r>
      <w:bookmarkEnd w:id="723"/>
      <w:bookmarkEnd w:id="724"/>
      <w:bookmarkEnd w:id="725"/>
    </w:p>
    <w:p w14:paraId="4547457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（1）出厂竣工资料必须完整、准确、清晰。出厂竣工图采用标准的图幅，并按分册装订。</w:t>
      </w:r>
    </w:p>
    <w:p w14:paraId="51A6C970">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出厂竣工资料应包括设备系统图样所对应的全套图纸和目录、设备制造过程中图片、声像资料、试验检测资料及相关设备安装、使用维护指导要求的文件和竣工图纸。出厂竣工资料还应随附必要的说明文件及电子文档。(图纸格式为不低于AUTO-CAD2004版dwg格式)。</w:t>
      </w:r>
    </w:p>
    <w:p w14:paraId="094B8BC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（3）在设备出厂时，卖方应向买方、工程设计单位、监理人各提供 8 套、2 套、2套。</w:t>
      </w:r>
    </w:p>
    <w:p w14:paraId="6110490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6" w:name="_Toc62034500"/>
      <w:bookmarkStart w:id="727" w:name="_Toc19002"/>
      <w:bookmarkStart w:id="728" w:name="_Toc54550782"/>
      <w:r>
        <w:rPr>
          <w:rFonts w:hint="eastAsia" w:ascii="宋体" w:hAnsi="宋体" w:eastAsia="宋体" w:cs="宋体"/>
          <w:kern w:val="2"/>
          <w:sz w:val="21"/>
          <w:szCs w:val="21"/>
          <w:highlight w:val="none"/>
          <w:lang w:val="en-US" w:eastAsia="zh-CN" w:bidi="ar-SA"/>
        </w:rPr>
        <w:t>7.9技术服务培训</w:t>
      </w:r>
      <w:bookmarkEnd w:id="726"/>
      <w:bookmarkEnd w:id="727"/>
      <w:bookmarkEnd w:id="728"/>
    </w:p>
    <w:p w14:paraId="658DD28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由于本工程运行管理及维护人员暂不能确定，培训分二步进行。首批对买方现有有关技术人员进行培训，使其达到正确使用及维护的目标，待运行管理及维护人员正式确定后，再进行第二次培训。</w:t>
      </w:r>
    </w:p>
    <w:p w14:paraId="7146830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29" w:name="_Toc7162"/>
      <w:bookmarkStart w:id="730" w:name="_Toc15473"/>
      <w:bookmarkStart w:id="731" w:name="_Toc16690"/>
      <w:bookmarkStart w:id="732" w:name="_Toc91344962"/>
      <w:bookmarkStart w:id="733" w:name="_Toc62034501"/>
      <w:bookmarkStart w:id="734" w:name="_Toc6689"/>
      <w:bookmarkStart w:id="735" w:name="_Toc20892"/>
      <w:bookmarkStart w:id="736" w:name="_Toc27620"/>
      <w:bookmarkStart w:id="737" w:name="_Toc25503"/>
      <w:bookmarkStart w:id="738" w:name="_Toc534572307"/>
      <w:bookmarkStart w:id="739" w:name="_Toc30900"/>
      <w:bookmarkStart w:id="740" w:name="_Toc54550783"/>
      <w:r>
        <w:rPr>
          <w:rFonts w:hint="eastAsia" w:ascii="宋体" w:hAnsi="宋体" w:eastAsia="宋体" w:cs="宋体"/>
          <w:b/>
          <w:bCs/>
          <w:kern w:val="0"/>
          <w:sz w:val="21"/>
          <w:szCs w:val="21"/>
          <w:highlight w:val="none"/>
          <w:lang w:val="en-US" w:eastAsia="zh-CN" w:bidi="ar-SA"/>
        </w:rPr>
        <w:t>8.质量保证期</w:t>
      </w:r>
      <w:bookmarkEnd w:id="729"/>
      <w:bookmarkEnd w:id="730"/>
      <w:bookmarkEnd w:id="731"/>
      <w:bookmarkEnd w:id="732"/>
      <w:bookmarkEnd w:id="733"/>
      <w:bookmarkEnd w:id="734"/>
      <w:bookmarkEnd w:id="735"/>
      <w:bookmarkEnd w:id="736"/>
      <w:bookmarkEnd w:id="737"/>
      <w:bookmarkEnd w:id="738"/>
      <w:bookmarkEnd w:id="739"/>
      <w:bookmarkEnd w:id="740"/>
    </w:p>
    <w:p w14:paraId="5D999153">
      <w:pPr>
        <w:widowControl w:val="0"/>
        <w:overflowPunct w:val="0"/>
        <w:spacing w:beforeLines="0" w:afterLines="0" w:line="360" w:lineRule="auto"/>
        <w:ind w:firstLine="420" w:firstLineChars="200"/>
        <w:jc w:val="left"/>
        <w:outlineLvl w:val="9"/>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8.1</w:t>
      </w:r>
      <w:r>
        <w:rPr>
          <w:rFonts w:hint="eastAsia" w:ascii="宋体" w:hAnsi="宋体" w:eastAsia="宋体" w:cs="宋体"/>
          <w:bCs/>
          <w:sz w:val="21"/>
          <w:szCs w:val="21"/>
          <w:highlight w:val="none"/>
        </w:rPr>
        <w:t>质量保证期：</w:t>
      </w:r>
      <w:r>
        <w:rPr>
          <w:rFonts w:hint="eastAsia" w:ascii="宋体" w:hAnsi="宋体" w:eastAsia="宋体" w:cs="宋体"/>
          <w:sz w:val="21"/>
          <w:szCs w:val="21"/>
          <w:highlight w:val="none"/>
          <w:lang w:val="en-US" w:eastAsia="zh-CN"/>
        </w:rPr>
        <w:t>合同工程验收证书签发之日</w:t>
      </w:r>
      <w:r>
        <w:rPr>
          <w:rFonts w:hint="eastAsia" w:ascii="宋体" w:hAnsi="宋体" w:eastAsia="宋体" w:cs="宋体"/>
          <w:bCs/>
          <w:color w:val="000000"/>
          <w:sz w:val="21"/>
          <w:szCs w:val="21"/>
          <w:highlight w:val="none"/>
        </w:rPr>
        <w:t>起的</w:t>
      </w:r>
      <w:r>
        <w:rPr>
          <w:rFonts w:hint="eastAsia" w:ascii="宋体" w:hAnsi="宋体" w:eastAsia="宋体" w:cs="宋体"/>
          <w:bCs/>
          <w:color w:val="000000"/>
          <w:sz w:val="21"/>
          <w:szCs w:val="21"/>
          <w:highlight w:val="none"/>
          <w:lang w:val="en-US" w:eastAsia="zh-CN"/>
        </w:rPr>
        <w:t>2年</w:t>
      </w:r>
      <w:r>
        <w:rPr>
          <w:rFonts w:hint="eastAsia" w:ascii="宋体" w:hAnsi="宋体" w:eastAsia="宋体" w:cs="宋体"/>
          <w:bCs/>
          <w:color w:val="000000"/>
          <w:sz w:val="21"/>
          <w:szCs w:val="21"/>
          <w:highlight w:val="none"/>
        </w:rPr>
        <w:t>为设备质量保证期（设备中有明确要求的除外</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但不得低于上述期限</w:t>
      </w:r>
      <w:r>
        <w:rPr>
          <w:rFonts w:hint="eastAsia" w:ascii="宋体" w:hAnsi="宋体" w:eastAsia="宋体" w:cs="宋体"/>
          <w:bCs/>
          <w:color w:val="000000"/>
          <w:sz w:val="21"/>
          <w:szCs w:val="21"/>
          <w:highlight w:val="none"/>
        </w:rPr>
        <w:t>）。</w:t>
      </w:r>
    </w:p>
    <w:p w14:paraId="22FD257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41" w:name="_Toc20089"/>
      <w:bookmarkStart w:id="742" w:name="_Toc25408"/>
      <w:bookmarkStart w:id="743" w:name="_Toc54550784"/>
      <w:bookmarkStart w:id="744" w:name="_Toc6538"/>
      <w:bookmarkStart w:id="745" w:name="_Toc23410"/>
      <w:bookmarkStart w:id="746" w:name="_Toc31987"/>
      <w:bookmarkStart w:id="747" w:name="_Toc534572308"/>
      <w:bookmarkStart w:id="748" w:name="_Toc25461"/>
      <w:bookmarkStart w:id="749" w:name="_Toc24576"/>
      <w:bookmarkStart w:id="750" w:name="_Toc62034502"/>
      <w:bookmarkStart w:id="751" w:name="_Toc91344963"/>
      <w:r>
        <w:rPr>
          <w:rFonts w:hint="eastAsia" w:ascii="宋体" w:hAnsi="宋体" w:eastAsia="宋体" w:cs="宋体"/>
          <w:b/>
          <w:bCs/>
          <w:kern w:val="0"/>
          <w:sz w:val="21"/>
          <w:szCs w:val="21"/>
          <w:highlight w:val="none"/>
          <w:lang w:val="en-US" w:eastAsia="zh-CN" w:bidi="ar-SA"/>
        </w:rPr>
        <w:t>9.质保期服务</w:t>
      </w:r>
      <w:bookmarkEnd w:id="741"/>
      <w:bookmarkEnd w:id="742"/>
      <w:bookmarkEnd w:id="743"/>
      <w:bookmarkEnd w:id="744"/>
      <w:bookmarkEnd w:id="745"/>
      <w:bookmarkEnd w:id="746"/>
      <w:bookmarkEnd w:id="747"/>
      <w:bookmarkEnd w:id="748"/>
      <w:bookmarkEnd w:id="749"/>
      <w:bookmarkEnd w:id="750"/>
      <w:bookmarkEnd w:id="751"/>
    </w:p>
    <w:p w14:paraId="26CCF7F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9.1卖方应为质量保证期服务配备充足的技术人员、工具和备件并保证提供的联系方式畅通。卖方应在收到买方通知后24小时内做出响应，如需卖方到合同设备现场，卖方应在收到买方通知后48小时内到达，并在到达后3日内解决合同设备的故障（重大故障除外）。如果卖方未在上述时间内作出响应，则买方有权自行或委托他人解决相关问题或查找和解决合同设备的故障，卖方应承担由此发生的全部费用。</w:t>
      </w:r>
    </w:p>
    <w:p w14:paraId="61EFB3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52" w:name="_Toc14328"/>
      <w:bookmarkStart w:id="753" w:name="_Toc8586"/>
      <w:bookmarkStart w:id="754" w:name="_Toc1740"/>
      <w:bookmarkStart w:id="755" w:name="_Toc27647"/>
      <w:bookmarkStart w:id="756" w:name="_Toc62034503"/>
      <w:bookmarkStart w:id="757" w:name="_Toc534572309"/>
      <w:bookmarkStart w:id="758" w:name="_Toc25340"/>
      <w:bookmarkStart w:id="759" w:name="_Toc31022"/>
      <w:bookmarkStart w:id="760" w:name="_Toc29462"/>
      <w:bookmarkStart w:id="761" w:name="_Toc91344964"/>
      <w:bookmarkStart w:id="762" w:name="_Toc54550785"/>
      <w:r>
        <w:rPr>
          <w:rFonts w:hint="eastAsia" w:ascii="宋体" w:hAnsi="宋体" w:eastAsia="宋体" w:cs="宋体"/>
          <w:b/>
          <w:bCs/>
          <w:kern w:val="0"/>
          <w:sz w:val="21"/>
          <w:szCs w:val="21"/>
          <w:highlight w:val="none"/>
          <w:lang w:val="en-US" w:eastAsia="zh-CN" w:bidi="ar-SA"/>
        </w:rPr>
        <w:t>10.履约保证金</w:t>
      </w:r>
      <w:bookmarkEnd w:id="752"/>
      <w:bookmarkEnd w:id="753"/>
      <w:bookmarkEnd w:id="754"/>
      <w:bookmarkEnd w:id="755"/>
      <w:bookmarkEnd w:id="756"/>
      <w:bookmarkEnd w:id="757"/>
      <w:bookmarkEnd w:id="758"/>
      <w:bookmarkEnd w:id="759"/>
      <w:bookmarkEnd w:id="760"/>
      <w:bookmarkEnd w:id="761"/>
      <w:bookmarkEnd w:id="762"/>
    </w:p>
    <w:p w14:paraId="78EB497B">
      <w:pPr>
        <w:widowControl w:val="0"/>
        <w:overflowPunct w:val="0"/>
        <w:spacing w:beforeLines="0" w:afterLines="0" w:line="360" w:lineRule="auto"/>
        <w:ind w:firstLine="420" w:firstLineChars="20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卖方交纳合同总额</w:t>
      </w:r>
      <w:r>
        <w:rPr>
          <w:rFonts w:hint="eastAsia" w:ascii="宋体" w:hAnsi="宋体" w:eastAsia="宋体" w:cs="宋体"/>
          <w:bCs/>
          <w:sz w:val="21"/>
          <w:szCs w:val="21"/>
          <w:highlight w:val="none"/>
          <w:lang w:val="en-US" w:eastAsia="zh-CN"/>
        </w:rPr>
        <w:t>8</w:t>
      </w:r>
      <w:r>
        <w:rPr>
          <w:rFonts w:hint="eastAsia" w:ascii="宋体" w:hAnsi="宋体" w:eastAsia="宋体" w:cs="宋体"/>
          <w:bCs/>
          <w:sz w:val="21"/>
          <w:szCs w:val="21"/>
          <w:highlight w:val="none"/>
        </w:rPr>
        <w:t>%的履约保证金。</w:t>
      </w:r>
    </w:p>
    <w:p w14:paraId="76A8BF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履约保证金的形式：银行出具的见索即付履约保函，卖方应在签订合同前向买方提交。</w:t>
      </w:r>
    </w:p>
    <w:p w14:paraId="33F563E9">
      <w:pPr>
        <w:widowControl w:val="0"/>
        <w:adjustRightInd w:val="0"/>
        <w:snapToGrid w:val="0"/>
        <w:spacing w:after="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履约保函自合同生效之日起生效，在</w:t>
      </w:r>
      <w:r>
        <w:rPr>
          <w:rFonts w:hint="eastAsia" w:ascii="宋体" w:hAnsi="宋体" w:eastAsia="宋体" w:cs="宋体"/>
          <w:color w:val="000000"/>
          <w:kern w:val="2"/>
          <w:sz w:val="21"/>
          <w:szCs w:val="21"/>
          <w:highlight w:val="none"/>
          <w:lang w:val="en-US" w:eastAsia="zh-CN" w:bidi="ar-SA"/>
        </w:rPr>
        <w:t>设备安装验收合格并经联合调试验收合格</w:t>
      </w:r>
      <w:r>
        <w:rPr>
          <w:rFonts w:hint="eastAsia" w:ascii="宋体" w:hAnsi="宋体" w:eastAsia="宋体" w:cs="宋体"/>
          <w:kern w:val="2"/>
          <w:sz w:val="21"/>
          <w:szCs w:val="21"/>
          <w:highlight w:val="none"/>
          <w:lang w:val="en-US" w:eastAsia="zh-CN" w:bidi="ar-SA"/>
        </w:rPr>
        <w:t>之日起28日后失效。</w:t>
      </w:r>
    </w:p>
    <w:p w14:paraId="3259751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3" w:name="_Toc91344965"/>
      <w:bookmarkStart w:id="764" w:name="_Toc62034504"/>
      <w:bookmarkStart w:id="765" w:name="_Toc25972"/>
      <w:bookmarkStart w:id="766" w:name="_Toc17023"/>
      <w:bookmarkStart w:id="767" w:name="_Toc6648"/>
      <w:bookmarkStart w:id="768" w:name="_Toc534572310"/>
      <w:bookmarkStart w:id="769" w:name="_Toc2786"/>
      <w:bookmarkStart w:id="770" w:name="_Toc54550786"/>
      <w:bookmarkStart w:id="771" w:name="_Toc10041"/>
      <w:bookmarkStart w:id="772" w:name="_Toc16230"/>
      <w:bookmarkStart w:id="773" w:name="_Toc3400"/>
      <w:r>
        <w:rPr>
          <w:rFonts w:hint="eastAsia" w:ascii="宋体" w:hAnsi="宋体" w:eastAsia="宋体" w:cs="宋体"/>
          <w:b/>
          <w:bCs/>
          <w:kern w:val="0"/>
          <w:sz w:val="21"/>
          <w:szCs w:val="21"/>
          <w:highlight w:val="none"/>
          <w:lang w:val="en-US" w:eastAsia="zh-CN" w:bidi="ar-SA"/>
        </w:rPr>
        <w:t>12.知识产权</w:t>
      </w:r>
      <w:bookmarkEnd w:id="763"/>
      <w:bookmarkEnd w:id="764"/>
      <w:bookmarkEnd w:id="765"/>
      <w:bookmarkEnd w:id="766"/>
      <w:bookmarkEnd w:id="767"/>
      <w:bookmarkEnd w:id="768"/>
      <w:bookmarkEnd w:id="769"/>
      <w:bookmarkEnd w:id="770"/>
      <w:bookmarkEnd w:id="771"/>
      <w:bookmarkEnd w:id="772"/>
      <w:bookmarkEnd w:id="773"/>
    </w:p>
    <w:p w14:paraId="13F91B0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卖方保证所交付的合同设备的所有权完全属于卖方且无任何抵押、查封等产权瑕疵。</w:t>
      </w:r>
    </w:p>
    <w:p w14:paraId="79A5337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74" w:name="_Toc5850"/>
      <w:bookmarkStart w:id="775" w:name="_Toc32695"/>
      <w:bookmarkStart w:id="776" w:name="_Toc91344966"/>
      <w:bookmarkStart w:id="777" w:name="_Toc32536"/>
      <w:bookmarkStart w:id="778" w:name="_Toc14496"/>
      <w:r>
        <w:rPr>
          <w:rFonts w:hint="eastAsia" w:ascii="宋体" w:hAnsi="宋体" w:eastAsia="宋体" w:cs="宋体"/>
          <w:b/>
          <w:bCs/>
          <w:kern w:val="0"/>
          <w:sz w:val="21"/>
          <w:szCs w:val="21"/>
          <w:highlight w:val="none"/>
          <w:lang w:val="en-US" w:eastAsia="zh-CN" w:bidi="ar-SA"/>
        </w:rPr>
        <w:t>14.违约责任</w:t>
      </w:r>
      <w:bookmarkEnd w:id="774"/>
      <w:bookmarkEnd w:id="775"/>
      <w:bookmarkEnd w:id="776"/>
      <w:bookmarkEnd w:id="777"/>
      <w:bookmarkEnd w:id="778"/>
    </w:p>
    <w:p w14:paraId="3CA00C2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14.2迟延交付违约金的计算方法调整为：</w:t>
      </w:r>
    </w:p>
    <w:p w14:paraId="4F8001E2">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（1）从迟交的第一周到第四周，每周迟延交付违约金为迟交设备价款的5%；</w:t>
      </w:r>
    </w:p>
    <w:p w14:paraId="002B58E7">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（2）从迟交的第五周起，每周迟延交付违约金为迟交设备价款的10%；</w:t>
      </w:r>
    </w:p>
    <w:p w14:paraId="74C48CA4">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53BC534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（4）违约金将在支付交货款时一次性扣除。</w:t>
      </w:r>
    </w:p>
    <w:p w14:paraId="413D087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79" w:name="_Toc16825"/>
      <w:bookmarkStart w:id="780" w:name="_Toc28010"/>
      <w:bookmarkStart w:id="781" w:name="_Toc180"/>
      <w:bookmarkStart w:id="782" w:name="_Toc18338"/>
      <w:bookmarkStart w:id="783" w:name="_Toc62034505"/>
      <w:bookmarkStart w:id="784" w:name="_Toc91344967"/>
      <w:bookmarkStart w:id="785" w:name="_Toc10027"/>
      <w:bookmarkStart w:id="786" w:name="_Toc534572311"/>
      <w:bookmarkStart w:id="787" w:name="_Toc4492"/>
      <w:bookmarkStart w:id="788" w:name="_Toc54550787"/>
      <w:bookmarkStart w:id="789" w:name="_Toc28773"/>
      <w:bookmarkStart w:id="790" w:name="_Toc17689"/>
      <w:r>
        <w:rPr>
          <w:rFonts w:hint="eastAsia" w:ascii="宋体" w:hAnsi="宋体" w:eastAsia="宋体" w:cs="宋体"/>
          <w:b/>
          <w:bCs/>
          <w:kern w:val="0"/>
          <w:sz w:val="21"/>
          <w:szCs w:val="21"/>
          <w:highlight w:val="none"/>
          <w:lang w:val="en-US" w:eastAsia="zh-CN" w:bidi="ar-SA"/>
        </w:rPr>
        <w:t>17.争议的解决</w:t>
      </w:r>
      <w:bookmarkEnd w:id="779"/>
      <w:bookmarkEnd w:id="780"/>
      <w:bookmarkEnd w:id="781"/>
      <w:bookmarkEnd w:id="782"/>
      <w:bookmarkEnd w:id="783"/>
      <w:bookmarkEnd w:id="784"/>
      <w:bookmarkEnd w:id="785"/>
      <w:bookmarkEnd w:id="786"/>
      <w:bookmarkEnd w:id="787"/>
      <w:bookmarkEnd w:id="788"/>
      <w:bookmarkEnd w:id="789"/>
      <w:bookmarkEnd w:id="790"/>
    </w:p>
    <w:p w14:paraId="1FD0430A">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bookmarkStart w:id="791" w:name="_Toc229305402"/>
      <w:bookmarkStart w:id="792" w:name="_Toc168475883"/>
      <w:bookmarkStart w:id="793" w:name="_Toc168476286"/>
      <w:bookmarkStart w:id="794" w:name="_Toc144974826"/>
      <w:r>
        <w:rPr>
          <w:rFonts w:hint="eastAsia" w:ascii="宋体" w:hAnsi="宋体" w:eastAsia="宋体" w:cs="宋体"/>
          <w:kern w:val="2"/>
          <w:sz w:val="21"/>
          <w:szCs w:val="21"/>
          <w:highlight w:val="none"/>
          <w:lang w:val="en-US" w:eastAsia="zh-CN" w:bidi="ar-SA"/>
        </w:rPr>
        <w:t>一、争议调解机构为：无。</w:t>
      </w:r>
    </w:p>
    <w:p w14:paraId="38623A2B">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二、仲裁机构为：无。</w:t>
      </w:r>
    </w:p>
    <w:p w14:paraId="24DD1BC5">
      <w:pPr>
        <w:widowControl w:val="0"/>
        <w:spacing w:beforeLines="0" w:after="0" w:afterLines="0" w:line="360" w:lineRule="auto"/>
        <w:ind w:right="0" w:firstLine="420" w:firstLineChars="200"/>
        <w:jc w:val="center"/>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存在争议时，买卖双方友好协商，协商不成时，可向</w:t>
      </w:r>
      <w:r>
        <w:rPr>
          <w:rFonts w:hint="eastAsia" w:ascii="宋体" w:hAnsi="宋体" w:eastAsia="宋体" w:cs="宋体"/>
          <w:color w:val="auto"/>
          <w:kern w:val="2"/>
          <w:sz w:val="21"/>
          <w:szCs w:val="21"/>
          <w:highlight w:val="none"/>
          <w:lang w:val="en-US" w:eastAsia="zh-CN" w:bidi="ar-SA"/>
        </w:rPr>
        <w:t>项目法人所在地</w:t>
      </w:r>
      <w:r>
        <w:rPr>
          <w:rFonts w:hint="eastAsia" w:ascii="宋体" w:hAnsi="宋体" w:eastAsia="宋体" w:cs="宋体"/>
          <w:kern w:val="2"/>
          <w:sz w:val="21"/>
          <w:szCs w:val="21"/>
          <w:highlight w:val="none"/>
          <w:lang w:val="en-US" w:eastAsia="zh-CN" w:bidi="ar-SA"/>
        </w:rPr>
        <w:t>人民法院起诉。</w:t>
      </w:r>
      <w:r>
        <w:rPr>
          <w:rFonts w:hint="eastAsia" w:ascii="宋体" w:hAnsi="宋体" w:eastAsia="宋体" w:cs="宋体"/>
          <w:kern w:val="2"/>
          <w:sz w:val="21"/>
          <w:szCs w:val="21"/>
          <w:highlight w:val="none"/>
          <w:lang w:val="en-US" w:eastAsia="zh-CN" w:bidi="ar-SA"/>
        </w:rPr>
        <w:br w:type="page"/>
      </w:r>
      <w:bookmarkStart w:id="795" w:name="_Toc62034506"/>
      <w:bookmarkStart w:id="796" w:name="_Toc91344968"/>
      <w:r>
        <w:rPr>
          <w:rFonts w:hint="eastAsia" w:ascii="宋体" w:hAnsi="宋体" w:eastAsia="宋体" w:cs="宋体"/>
          <w:b/>
          <w:kern w:val="2"/>
          <w:sz w:val="24"/>
          <w:szCs w:val="24"/>
          <w:highlight w:val="none"/>
          <w:lang w:val="en-US" w:eastAsia="zh-CN" w:bidi="ar-SA"/>
        </w:rPr>
        <w:t>第三节  合同附件格式</w:t>
      </w:r>
      <w:bookmarkEnd w:id="791"/>
      <w:bookmarkEnd w:id="795"/>
      <w:bookmarkEnd w:id="796"/>
    </w:p>
    <w:bookmarkEnd w:id="792"/>
    <w:bookmarkEnd w:id="793"/>
    <w:bookmarkEnd w:id="794"/>
    <w:p w14:paraId="3E289D2C">
      <w:pPr>
        <w:widowControl/>
        <w:spacing w:before="0" w:after="0"/>
        <w:ind w:firstLineChars="200"/>
        <w:jc w:val="left"/>
        <w:outlineLvl w:val="9"/>
        <w:rPr>
          <w:rFonts w:hint="eastAsia" w:ascii="宋体" w:hAnsi="宋体" w:eastAsia="宋体" w:cs="宋体"/>
          <w:spacing w:val="0"/>
          <w:sz w:val="21"/>
          <w:szCs w:val="21"/>
          <w:highlight w:val="none"/>
        </w:rPr>
      </w:pPr>
      <w:bookmarkStart w:id="797" w:name="_Toc168476287"/>
      <w:bookmarkStart w:id="798" w:name="_Toc168475884"/>
      <w:bookmarkStart w:id="799" w:name="_Toc144974827"/>
      <w:bookmarkStart w:id="800" w:name="_Toc266859678"/>
      <w:bookmarkStart w:id="801" w:name="_Toc271870495"/>
      <w:bookmarkStart w:id="802" w:name="_Toc32278"/>
      <w:bookmarkStart w:id="803" w:name="_Toc54550789"/>
      <w:bookmarkStart w:id="804" w:name="_Toc332378920"/>
      <w:bookmarkStart w:id="805" w:name="_Toc516759505"/>
      <w:bookmarkStart w:id="806" w:name="_Toc516255586"/>
      <w:bookmarkStart w:id="807" w:name="_Toc27546"/>
      <w:bookmarkStart w:id="808" w:name="_Toc516255327"/>
      <w:bookmarkStart w:id="809" w:name="_Toc266885982"/>
      <w:bookmarkStart w:id="810" w:name="_Toc534572313"/>
      <w:bookmarkStart w:id="811" w:name="_Toc62034507"/>
      <w:bookmarkStart w:id="812" w:name="_Toc91344969"/>
      <w:r>
        <w:rPr>
          <w:rFonts w:hint="eastAsia" w:ascii="宋体" w:hAnsi="宋体" w:eastAsia="宋体" w:cs="宋体"/>
          <w:spacing w:val="0"/>
          <w:sz w:val="21"/>
          <w:szCs w:val="21"/>
          <w:highlight w:val="none"/>
        </w:rPr>
        <w:t>附件一：合同协议书</w:t>
      </w:r>
      <w:bookmarkEnd w:id="797"/>
      <w:bookmarkEnd w:id="798"/>
      <w:bookmarkEnd w:id="799"/>
      <w:r>
        <w:rPr>
          <w:rFonts w:hint="eastAsia" w:ascii="宋体" w:hAnsi="宋体" w:eastAsia="宋体" w:cs="宋体"/>
          <w:spacing w:val="0"/>
          <w:sz w:val="21"/>
          <w:szCs w:val="21"/>
          <w:highlight w:val="none"/>
        </w:rPr>
        <w:t>（格式）</w:t>
      </w:r>
      <w:bookmarkEnd w:id="800"/>
      <w:bookmarkEnd w:id="801"/>
      <w:bookmarkEnd w:id="802"/>
      <w:bookmarkEnd w:id="803"/>
      <w:bookmarkEnd w:id="804"/>
      <w:bookmarkEnd w:id="805"/>
      <w:bookmarkEnd w:id="806"/>
      <w:bookmarkEnd w:id="807"/>
      <w:bookmarkEnd w:id="808"/>
      <w:bookmarkEnd w:id="809"/>
      <w:bookmarkEnd w:id="810"/>
      <w:bookmarkEnd w:id="811"/>
      <w:bookmarkEnd w:id="812"/>
    </w:p>
    <w:p w14:paraId="23464F76">
      <w:pPr>
        <w:tabs>
          <w:tab w:val="left" w:pos="2457"/>
          <w:tab w:val="left" w:pos="6019"/>
          <w:tab w:val="left" w:pos="7483"/>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（买方名称，以下简称</w:t>
      </w:r>
      <w:r>
        <w:rPr>
          <w:rFonts w:hint="eastAsia" w:ascii="宋体" w:hAnsi="宋体" w:eastAsia="宋体" w:cs="宋体"/>
          <w:i/>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买方</w:t>
      </w:r>
      <w:r>
        <w:rPr>
          <w:rFonts w:hint="eastAsia" w:ascii="宋体" w:hAnsi="宋体" w:eastAsia="宋体" w:cs="宋体"/>
          <w:i/>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）为获得</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w:t>
      </w:r>
      <w:r>
        <w:rPr>
          <w:rFonts w:hint="eastAsia" w:ascii="宋体" w:hAnsi="宋体" w:eastAsia="宋体" w:cs="宋体"/>
          <w:spacing w:val="0"/>
          <w:kern w:val="2"/>
          <w:sz w:val="21"/>
          <w:szCs w:val="21"/>
          <w:highlight w:val="none"/>
          <w:lang w:val="en-US" w:eastAsia="zh-CN" w:bidi="ar-SA"/>
        </w:rPr>
        <w:t>项目名称）合同设备、技术服务和质量保证期服务，已接受</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w:t>
      </w:r>
      <w:r>
        <w:rPr>
          <w:rFonts w:hint="eastAsia" w:ascii="宋体" w:hAnsi="宋体" w:eastAsia="宋体" w:cs="宋体"/>
          <w:spacing w:val="0"/>
          <w:kern w:val="2"/>
          <w:sz w:val="21"/>
          <w:szCs w:val="21"/>
          <w:highlight w:val="none"/>
          <w:lang w:val="en-US" w:eastAsia="zh-CN" w:bidi="ar-SA"/>
        </w:rPr>
        <w:t>卖方名称，以下简称</w:t>
      </w:r>
      <w:r>
        <w:rPr>
          <w:rFonts w:hint="eastAsia" w:ascii="宋体" w:hAnsi="宋体" w:eastAsia="宋体" w:cs="宋体"/>
          <w:i/>
          <w:spacing w:val="0"/>
          <w:w w:val="8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卖方</w:t>
      </w:r>
      <w:r>
        <w:rPr>
          <w:rFonts w:hint="eastAsia" w:ascii="宋体" w:hAnsi="宋体" w:eastAsia="宋体" w:cs="宋体"/>
          <w:i/>
          <w:spacing w:val="0"/>
          <w:w w:val="8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）为提供上述合同设备和技术服务和质量保证期服务所作的投标，买方和卖方共同达成如下协议：</w:t>
      </w:r>
    </w:p>
    <w:p w14:paraId="561063AE">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 本协议书与下列文件一起构成合同文件：</w:t>
      </w:r>
    </w:p>
    <w:p w14:paraId="1C09252A">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（1）中标通知书；</w:t>
      </w:r>
    </w:p>
    <w:p w14:paraId="2F40496B">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（2）投标函；</w:t>
      </w:r>
    </w:p>
    <w:p w14:paraId="0A32783F">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（3）技术偏差表；</w:t>
      </w:r>
    </w:p>
    <w:p w14:paraId="5BF2FEFC">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（4）专用合同条款；</w:t>
      </w:r>
    </w:p>
    <w:p w14:paraId="01E26C2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（5）通用合同条款；</w:t>
      </w:r>
    </w:p>
    <w:p w14:paraId="005B1A16">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（6）供货要求；</w:t>
      </w:r>
    </w:p>
    <w:p w14:paraId="1CAD9B7C">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（7）分项报价表；</w:t>
      </w:r>
    </w:p>
    <w:p w14:paraId="0317F6D6">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（8）技术资料；</w:t>
      </w:r>
    </w:p>
    <w:p w14:paraId="38872B5A">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（9）其他合同文件。</w:t>
      </w:r>
    </w:p>
    <w:p w14:paraId="4A910E9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2.上述合同文件互相补充和解释。如果合同文件之间存在矛盾或不一致之处，以上述文件的排列顺序在先者为准。</w:t>
      </w:r>
    </w:p>
    <w:p w14:paraId="36CBA30E">
      <w:pPr>
        <w:tabs>
          <w:tab w:val="left" w:pos="4984"/>
          <w:tab w:val="left" w:pos="6768"/>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 签约合同价：人民币（大写）</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w:t>
      </w:r>
    </w:p>
    <w:p w14:paraId="263A31C2">
      <w:pPr>
        <w:tabs>
          <w:tab w:val="left" w:pos="4984"/>
          <w:tab w:val="left" w:pos="6768"/>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 供货期（服务期）：</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 。</w:t>
      </w:r>
    </w:p>
    <w:p w14:paraId="099DA7D3">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 卖方承诺保证完全按照合同约定提供合同设备和技术服务和质量保证期服务并修补缺陷。</w:t>
      </w:r>
    </w:p>
    <w:p w14:paraId="416BF847">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 买方承诺保证按照合同约定的条件、时间和方式向卖方支付合同价款。</w:t>
      </w:r>
    </w:p>
    <w:p w14:paraId="6926D867">
      <w:pPr>
        <w:tabs>
          <w:tab w:val="left" w:pos="3199"/>
          <w:tab w:val="left" w:pos="5614"/>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 本合同协议书一式</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份，合同双方各执</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份。</w:t>
      </w:r>
    </w:p>
    <w:p w14:paraId="582DC47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 合同未尽事宜，双方另行签订补充协议，补充协议是合同的组成部分。</w:t>
      </w:r>
    </w:p>
    <w:p w14:paraId="30C5CAFF">
      <w:pPr>
        <w:spacing w:beforeLines="0" w:after="0" w:afterLines="0" w:line="360" w:lineRule="auto"/>
        <w:ind w:right="0" w:firstLine="420" w:firstLineChars="200"/>
        <w:jc w:val="both"/>
        <w:rPr>
          <w:rFonts w:hint="eastAsia" w:ascii="宋体" w:hAnsi="宋体" w:eastAsia="宋体" w:cs="宋体"/>
          <w:spacing w:val="0"/>
          <w:kern w:val="2"/>
          <w:sz w:val="21"/>
          <w:szCs w:val="21"/>
          <w:highlight w:val="none"/>
          <w:lang w:val="en-US" w:eastAsia="zh-CN" w:bidi="ar-SA"/>
        </w:rPr>
      </w:pPr>
    </w:p>
    <w:p w14:paraId="7401870A">
      <w:pPr>
        <w:spacing w:beforeLines="0" w:after="0" w:afterLines="0" w:line="360" w:lineRule="auto"/>
        <w:ind w:right="0"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买方：</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（盖单位章）</w:t>
      </w:r>
    </w:p>
    <w:p w14:paraId="70A77101">
      <w:pPr>
        <w:widowControl/>
        <w:spacing w:beforeLines="0" w:afterLines="0" w:line="360" w:lineRule="auto"/>
        <w:ind w:firstLine="420" w:firstLineChars="20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法定代表人（单位负责人）或其委托代理人：</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（签字）</w:t>
      </w:r>
    </w:p>
    <w:p w14:paraId="4B75981D">
      <w:pPr>
        <w:tabs>
          <w:tab w:val="left" w:pos="7605"/>
        </w:tabs>
        <w:spacing w:beforeLines="0" w:after="0" w:afterLines="0" w:line="360" w:lineRule="auto"/>
        <w:ind w:left="0" w:leftChars="0"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年</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月</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日 </w:t>
      </w:r>
    </w:p>
    <w:p w14:paraId="4D977FE3">
      <w:pPr>
        <w:tabs>
          <w:tab w:val="left" w:pos="7185"/>
        </w:tabs>
        <w:spacing w:beforeLines="0" w:after="0" w:afterLines="0" w:line="360" w:lineRule="auto"/>
        <w:ind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卖方：</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（盖单位章）</w:t>
      </w:r>
    </w:p>
    <w:p w14:paraId="7B587CBC">
      <w:pPr>
        <w:tabs>
          <w:tab w:val="left" w:pos="7605"/>
        </w:tabs>
        <w:spacing w:beforeLines="0" w:after="0" w:afterLines="0" w:line="360" w:lineRule="auto"/>
        <w:ind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法定代表人（单位负责人）或其委托代理人：</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（签字）</w:t>
      </w:r>
    </w:p>
    <w:p w14:paraId="2E1D18A8">
      <w:pPr>
        <w:tabs>
          <w:tab w:val="left" w:pos="7605"/>
        </w:tabs>
        <w:spacing w:beforeLines="0" w:after="0" w:afterLines="0" w:line="360" w:lineRule="auto"/>
        <w:ind w:left="0" w:leftChars="0"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年</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月</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日 </w:t>
      </w:r>
    </w:p>
    <w:p w14:paraId="046E33FF">
      <w:pPr>
        <w:widowControl/>
        <w:spacing w:beforeLines="0" w:afterLines="0" w:line="240" w:lineRule="auto"/>
        <w:jc w:val="left"/>
        <w:rPr>
          <w:rFonts w:hint="eastAsia" w:ascii="宋体" w:hAnsi="宋体" w:eastAsia="宋体" w:cs="宋体"/>
          <w:spacing w:val="-3"/>
          <w:sz w:val="24"/>
          <w:szCs w:val="24"/>
          <w:highlight w:val="none"/>
          <w:u w:val="single"/>
        </w:rPr>
      </w:pPr>
      <w:bookmarkStart w:id="813" w:name="_Toc266885984"/>
      <w:bookmarkStart w:id="814" w:name="_Toc401150202"/>
      <w:bookmarkStart w:id="815" w:name="_Toc332378921"/>
      <w:bookmarkStart w:id="816" w:name="_Toc144974831"/>
      <w:bookmarkStart w:id="817" w:name="_Toc271870496"/>
      <w:bookmarkStart w:id="818" w:name="_Toc168475888"/>
      <w:bookmarkStart w:id="819" w:name="_Toc168476291"/>
    </w:p>
    <w:p w14:paraId="34EDFADC">
      <w:pPr>
        <w:widowControl/>
        <w:jc w:val="left"/>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br w:type="page"/>
      </w:r>
    </w:p>
    <w:p w14:paraId="29FF66C8">
      <w:pPr>
        <w:widowControl/>
        <w:spacing w:beforeLines="0" w:afterLines="0" w:line="240" w:lineRule="auto"/>
        <w:jc w:val="left"/>
        <w:rPr>
          <w:rFonts w:hint="eastAsia" w:ascii="宋体" w:hAnsi="宋体" w:eastAsia="宋体" w:cs="宋体"/>
          <w:spacing w:val="-3"/>
          <w:sz w:val="24"/>
          <w:szCs w:val="24"/>
          <w:highlight w:val="none"/>
          <w:u w:val="single"/>
        </w:rPr>
      </w:pPr>
    </w:p>
    <w:p w14:paraId="2AED8B84">
      <w:pPr>
        <w:widowControl/>
        <w:spacing w:beforeLines="0" w:afterLines="0" w:line="240" w:lineRule="auto"/>
        <w:jc w:val="left"/>
        <w:rPr>
          <w:rFonts w:hint="eastAsia" w:ascii="宋体" w:hAnsi="宋体" w:eastAsia="宋体" w:cs="宋体"/>
          <w:spacing w:val="-3"/>
          <w:sz w:val="24"/>
          <w:szCs w:val="24"/>
          <w:highlight w:val="none"/>
          <w:u w:val="single"/>
        </w:rPr>
      </w:pPr>
    </w:p>
    <w:p w14:paraId="1CC93EE7">
      <w:pPr>
        <w:widowControl/>
        <w:spacing w:beforeLines="0" w:afterLines="0" w:line="240" w:lineRule="auto"/>
        <w:jc w:val="left"/>
        <w:rPr>
          <w:rFonts w:hint="eastAsia" w:ascii="宋体" w:hAnsi="宋体" w:eastAsia="宋体" w:cs="宋体"/>
          <w:spacing w:val="-3"/>
          <w:sz w:val="24"/>
          <w:szCs w:val="24"/>
          <w:highlight w:val="none"/>
          <w:u w:val="single"/>
        </w:rPr>
      </w:pPr>
    </w:p>
    <w:p w14:paraId="314EAE67">
      <w:pPr>
        <w:widowControl/>
        <w:spacing w:beforeLines="0" w:afterLines="0" w:line="240" w:lineRule="auto"/>
        <w:jc w:val="left"/>
        <w:rPr>
          <w:rFonts w:hint="eastAsia" w:ascii="宋体" w:hAnsi="宋体" w:eastAsia="宋体" w:cs="宋体"/>
          <w:spacing w:val="-3"/>
          <w:sz w:val="24"/>
          <w:szCs w:val="24"/>
          <w:highlight w:val="none"/>
          <w:u w:val="single"/>
        </w:rPr>
      </w:pPr>
    </w:p>
    <w:p w14:paraId="6D3BAA73">
      <w:pPr>
        <w:widowControl/>
        <w:spacing w:beforeLines="0" w:afterLines="0" w:line="240" w:lineRule="auto"/>
        <w:jc w:val="left"/>
        <w:rPr>
          <w:rFonts w:hint="eastAsia" w:ascii="宋体" w:hAnsi="宋体" w:eastAsia="宋体" w:cs="宋体"/>
          <w:spacing w:val="-3"/>
          <w:sz w:val="24"/>
          <w:szCs w:val="24"/>
          <w:highlight w:val="none"/>
          <w:u w:val="single"/>
        </w:rPr>
      </w:pPr>
    </w:p>
    <w:p w14:paraId="68DACAE4">
      <w:pPr>
        <w:spacing w:beforeLines="0" w:after="0" w:afterLines="0" w:line="240" w:lineRule="auto"/>
        <w:rPr>
          <w:rFonts w:hint="eastAsia" w:ascii="宋体" w:hAnsi="宋体" w:eastAsia="宋体" w:cs="宋体"/>
          <w:kern w:val="2"/>
          <w:sz w:val="21"/>
          <w:szCs w:val="22"/>
          <w:highlight w:val="none"/>
          <w:lang w:val="en-US" w:eastAsia="zh-CN" w:bidi="ar-SA"/>
        </w:rPr>
      </w:pPr>
      <w:bookmarkStart w:id="820" w:name="_Toc11056"/>
    </w:p>
    <w:p w14:paraId="6B394D3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16F859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67EA7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68832B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A636C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62CF53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DD07F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4AB25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9A23EA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F7F1BE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D7C310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81A781">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821" w:name="_Toc62034510"/>
      <w:bookmarkStart w:id="822" w:name="_Toc4843"/>
      <w:bookmarkStart w:id="823" w:name="_Toc8660"/>
      <w:bookmarkStart w:id="824" w:name="_Toc4759"/>
      <w:bookmarkStart w:id="825" w:name="_Toc28857"/>
      <w:bookmarkStart w:id="826" w:name="_Toc3301"/>
      <w:bookmarkStart w:id="827" w:name="_Toc91344972"/>
      <w:bookmarkStart w:id="828" w:name="_Toc24636"/>
      <w:r>
        <w:rPr>
          <w:rFonts w:hint="eastAsia" w:ascii="宋体" w:hAnsi="宋体" w:eastAsia="宋体" w:cs="宋体"/>
          <w:b/>
          <w:bCs/>
          <w:kern w:val="44"/>
          <w:sz w:val="52"/>
          <w:szCs w:val="52"/>
          <w:highlight w:val="none"/>
          <w:lang w:val="en-US" w:eastAsia="zh-CN" w:bidi="ar-SA"/>
        </w:rPr>
        <w:t>第二卷</w:t>
      </w:r>
      <w:bookmarkEnd w:id="820"/>
      <w:bookmarkEnd w:id="821"/>
      <w:bookmarkEnd w:id="822"/>
      <w:bookmarkEnd w:id="823"/>
      <w:bookmarkEnd w:id="824"/>
      <w:bookmarkEnd w:id="825"/>
      <w:bookmarkEnd w:id="826"/>
      <w:bookmarkEnd w:id="827"/>
      <w:bookmarkEnd w:id="828"/>
    </w:p>
    <w:bookmarkEnd w:id="658"/>
    <w:bookmarkEnd w:id="659"/>
    <w:bookmarkEnd w:id="660"/>
    <w:bookmarkEnd w:id="813"/>
    <w:bookmarkEnd w:id="814"/>
    <w:bookmarkEnd w:id="815"/>
    <w:bookmarkEnd w:id="816"/>
    <w:bookmarkEnd w:id="817"/>
    <w:bookmarkEnd w:id="818"/>
    <w:bookmarkEnd w:id="819"/>
    <w:p w14:paraId="397575D6">
      <w:pPr>
        <w:widowControl/>
        <w:adjustRightInd w:val="0"/>
        <w:snapToGrid w:val="0"/>
        <w:spacing w:before="0" w:beforeLines="0" w:after="0" w:afterLines="0"/>
        <w:jc w:val="center"/>
        <w:rPr>
          <w:rFonts w:hint="eastAsia" w:ascii="宋体" w:hAnsi="宋体" w:eastAsia="宋体" w:cs="宋体"/>
          <w:sz w:val="52"/>
          <w:szCs w:val="52"/>
          <w:highlight w:val="none"/>
        </w:rPr>
      </w:pPr>
      <w:bookmarkStart w:id="829" w:name="_Toc9892"/>
      <w:bookmarkStart w:id="830" w:name="_Toc62034511"/>
      <w:bookmarkStart w:id="831" w:name="_Toc91344973"/>
      <w:bookmarkStart w:id="832" w:name="_Toc11191"/>
      <w:r>
        <w:rPr>
          <w:rFonts w:hint="eastAsia" w:ascii="宋体" w:hAnsi="宋体" w:eastAsia="宋体" w:cs="宋体"/>
          <w:sz w:val="52"/>
          <w:szCs w:val="52"/>
          <w:highlight w:val="none"/>
        </w:rPr>
        <w:br w:type="page"/>
      </w:r>
    </w:p>
    <w:bookmarkEnd w:id="829"/>
    <w:bookmarkEnd w:id="830"/>
    <w:bookmarkEnd w:id="831"/>
    <w:bookmarkEnd w:id="832"/>
    <w:p w14:paraId="6CEE8B81">
      <w:pPr>
        <w:spacing w:beforeLines="0" w:after="0" w:afterLines="0" w:line="240" w:lineRule="auto"/>
        <w:jc w:val="center"/>
        <w:outlineLvl w:val="0"/>
        <w:rPr>
          <w:rFonts w:hint="default" w:ascii="宋体" w:hAnsi="宋体" w:eastAsia="宋体" w:cs="宋体"/>
          <w:b/>
          <w:bCs/>
          <w:kern w:val="2"/>
          <w:sz w:val="32"/>
          <w:szCs w:val="32"/>
          <w:highlight w:val="none"/>
          <w:lang w:val="en-US" w:eastAsia="zh-CN" w:bidi="ar-SA"/>
        </w:rPr>
      </w:pPr>
      <w:bookmarkStart w:id="833" w:name="_Toc12381"/>
      <w:bookmarkStart w:id="834" w:name="_Toc3129"/>
      <w:bookmarkStart w:id="835" w:name="_Toc17528"/>
      <w:bookmarkStart w:id="836" w:name="_Toc29627"/>
      <w:bookmarkStart w:id="837" w:name="_Toc19345"/>
      <w:bookmarkStart w:id="838" w:name="_Toc20090"/>
      <w:bookmarkStart w:id="839" w:name="_Toc62034582"/>
      <w:bookmarkStart w:id="840" w:name="_Toc91345070"/>
      <w:bookmarkStart w:id="841" w:name="_Toc7033"/>
      <w:r>
        <w:rPr>
          <w:rFonts w:hint="eastAsia" w:ascii="宋体" w:hAnsi="宋体" w:eastAsia="宋体" w:cs="宋体"/>
          <w:b/>
          <w:bCs/>
          <w:kern w:val="2"/>
          <w:sz w:val="32"/>
          <w:szCs w:val="32"/>
          <w:highlight w:val="none"/>
          <w:lang w:val="en-US" w:eastAsia="zh-CN" w:bidi="ar-SA"/>
        </w:rPr>
        <w:t xml:space="preserve">第五章 </w:t>
      </w:r>
      <w:bookmarkEnd w:id="833"/>
      <w:bookmarkEnd w:id="834"/>
      <w:bookmarkEnd w:id="835"/>
      <w:bookmarkEnd w:id="836"/>
      <w:r>
        <w:rPr>
          <w:rFonts w:hint="eastAsia" w:ascii="宋体" w:hAnsi="宋体" w:eastAsia="宋体" w:cs="宋体"/>
          <w:b/>
          <w:bCs/>
          <w:kern w:val="2"/>
          <w:sz w:val="32"/>
          <w:szCs w:val="32"/>
          <w:highlight w:val="none"/>
          <w:lang w:val="en-US" w:eastAsia="zh-CN" w:bidi="ar-SA"/>
        </w:rPr>
        <w:t>工程量清单及图纸</w:t>
      </w:r>
    </w:p>
    <w:p w14:paraId="6AF36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8F109C">
      <w:pPr>
        <w:widowControl/>
        <w:spacing w:beforeLines="0" w:afterLines="0"/>
        <w:jc w:val="center"/>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eastAsia="zh-CN"/>
        </w:rPr>
        <w:t>（</w:t>
      </w:r>
      <w:r>
        <w:rPr>
          <w:rFonts w:hint="eastAsia" w:ascii="宋体" w:hAnsi="宋体" w:eastAsia="宋体" w:cs="宋体"/>
          <w:b/>
          <w:bCs/>
          <w:color w:val="auto"/>
          <w:sz w:val="24"/>
          <w:szCs w:val="28"/>
          <w:highlight w:val="none"/>
          <w:lang w:val="en-US" w:eastAsia="zh-CN"/>
        </w:rPr>
        <w:t>另附</w:t>
      </w:r>
      <w:r>
        <w:rPr>
          <w:rFonts w:hint="eastAsia" w:ascii="宋体" w:hAnsi="宋体" w:eastAsia="宋体" w:cs="宋体"/>
          <w:b/>
          <w:bCs/>
          <w:color w:val="auto"/>
          <w:sz w:val="24"/>
          <w:szCs w:val="28"/>
          <w:highlight w:val="none"/>
          <w:lang w:eastAsia="zh-CN"/>
        </w:rPr>
        <w:t>）</w:t>
      </w:r>
    </w:p>
    <w:p w14:paraId="407E0CE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CEEC7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BBDD4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37F0B6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D7A5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548027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02B3822">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C76138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11F4FF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1D92E1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EE760B">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692B7D7A">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4946A2A9">
      <w:pPr>
        <w:widowControl/>
        <w:adjustRightInd w:val="0"/>
        <w:snapToGrid w:val="0"/>
        <w:spacing w:before="0" w:beforeLines="0" w:after="0" w:afterLines="0"/>
        <w:jc w:val="left"/>
        <w:rPr>
          <w:rFonts w:hint="eastAsia" w:ascii="宋体" w:hAnsi="宋体" w:eastAsia="宋体" w:cs="宋体"/>
          <w:sz w:val="32"/>
          <w:szCs w:val="32"/>
          <w:highlight w:val="none"/>
        </w:rPr>
      </w:pPr>
      <w:bookmarkStart w:id="842" w:name="_Toc16614"/>
      <w:bookmarkStart w:id="843" w:name="_Toc13605"/>
      <w:bookmarkStart w:id="844" w:name="_Toc19788"/>
      <w:bookmarkStart w:id="845" w:name="_Toc5842"/>
      <w:r>
        <w:rPr>
          <w:rFonts w:hint="eastAsia" w:ascii="宋体" w:hAnsi="宋体" w:eastAsia="宋体" w:cs="宋体"/>
          <w:sz w:val="32"/>
          <w:szCs w:val="32"/>
          <w:highlight w:val="none"/>
        </w:rPr>
        <w:br w:type="page"/>
      </w:r>
    </w:p>
    <w:p w14:paraId="4A81D38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E08F79D">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50F017D">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54800CA">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1CB1301B">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929E142">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43F245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4B8B78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DFCE84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016CA65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6F3B43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DE7FD1A">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71FED030">
      <w:pPr>
        <w:widowControl/>
        <w:adjustRightInd w:val="0"/>
        <w:snapToGrid w:val="0"/>
        <w:spacing w:before="0" w:beforeLines="0" w:after="0" w:afterLines="0"/>
        <w:ind w:firstLine="3654" w:firstLineChars="700"/>
        <w:jc w:val="left"/>
        <w:outlineLvl w:val="0"/>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第三卷</w:t>
      </w:r>
      <w:bookmarkEnd w:id="837"/>
      <w:bookmarkEnd w:id="838"/>
      <w:bookmarkEnd w:id="839"/>
      <w:bookmarkEnd w:id="840"/>
      <w:bookmarkEnd w:id="841"/>
      <w:bookmarkEnd w:id="842"/>
      <w:bookmarkEnd w:id="843"/>
      <w:bookmarkEnd w:id="844"/>
      <w:bookmarkEnd w:id="845"/>
    </w:p>
    <w:p w14:paraId="17BE989E">
      <w:pPr>
        <w:widowControl/>
        <w:spacing w:beforeLines="0" w:afterLines="0" w:line="240" w:lineRule="auto"/>
        <w:jc w:val="left"/>
        <w:rPr>
          <w:rFonts w:hint="eastAsia" w:ascii="宋体" w:hAnsi="宋体" w:eastAsia="宋体" w:cs="宋体"/>
          <w:szCs w:val="22"/>
          <w:highlight w:val="none"/>
        </w:rPr>
      </w:pPr>
      <w:bookmarkStart w:id="846" w:name="_Toc22494"/>
    </w:p>
    <w:p w14:paraId="08B2939F">
      <w:pPr>
        <w:widowControl/>
        <w:spacing w:beforeLines="0" w:afterLines="0" w:line="240" w:lineRule="auto"/>
        <w:jc w:val="left"/>
        <w:rPr>
          <w:rFonts w:hint="eastAsia" w:ascii="宋体" w:hAnsi="宋体" w:eastAsia="宋体" w:cs="宋体"/>
          <w:szCs w:val="22"/>
          <w:highlight w:val="none"/>
        </w:rPr>
      </w:pPr>
    </w:p>
    <w:p w14:paraId="6C746999">
      <w:pPr>
        <w:widowControl/>
        <w:spacing w:beforeLines="0" w:afterLines="0" w:line="240" w:lineRule="auto"/>
        <w:jc w:val="left"/>
        <w:rPr>
          <w:rFonts w:hint="eastAsia" w:ascii="宋体" w:hAnsi="宋体" w:eastAsia="宋体" w:cs="宋体"/>
          <w:szCs w:val="22"/>
          <w:highlight w:val="none"/>
        </w:rPr>
      </w:pPr>
    </w:p>
    <w:p w14:paraId="36008C23">
      <w:pPr>
        <w:widowControl/>
        <w:spacing w:beforeLines="0" w:afterLines="0" w:line="240" w:lineRule="auto"/>
        <w:jc w:val="left"/>
        <w:rPr>
          <w:rFonts w:hint="eastAsia" w:ascii="宋体" w:hAnsi="宋体" w:eastAsia="宋体" w:cs="宋体"/>
          <w:szCs w:val="22"/>
          <w:highlight w:val="none"/>
        </w:rPr>
      </w:pPr>
    </w:p>
    <w:p w14:paraId="65ABAA96">
      <w:pPr>
        <w:widowControl/>
        <w:spacing w:beforeLines="0" w:afterLines="0" w:line="240" w:lineRule="auto"/>
        <w:jc w:val="left"/>
        <w:rPr>
          <w:rFonts w:hint="eastAsia" w:ascii="宋体" w:hAnsi="宋体" w:eastAsia="宋体" w:cs="宋体"/>
          <w:szCs w:val="22"/>
          <w:highlight w:val="none"/>
        </w:rPr>
      </w:pPr>
    </w:p>
    <w:p w14:paraId="569B9294">
      <w:pPr>
        <w:widowControl/>
        <w:spacing w:beforeLines="0" w:afterLines="0" w:line="240" w:lineRule="auto"/>
        <w:jc w:val="left"/>
        <w:rPr>
          <w:rFonts w:hint="eastAsia" w:ascii="宋体" w:hAnsi="宋体" w:eastAsia="宋体" w:cs="宋体"/>
          <w:szCs w:val="22"/>
          <w:highlight w:val="none"/>
        </w:rPr>
      </w:pPr>
    </w:p>
    <w:p w14:paraId="34519ADD">
      <w:pPr>
        <w:widowControl/>
        <w:spacing w:beforeLines="0" w:afterLines="0" w:line="240" w:lineRule="auto"/>
        <w:jc w:val="left"/>
        <w:rPr>
          <w:rFonts w:hint="eastAsia" w:ascii="宋体" w:hAnsi="宋体" w:eastAsia="宋体" w:cs="宋体"/>
          <w:szCs w:val="22"/>
          <w:highlight w:val="none"/>
        </w:rPr>
      </w:pPr>
    </w:p>
    <w:p w14:paraId="1E49F3E8">
      <w:pPr>
        <w:widowControl/>
        <w:spacing w:beforeLines="0" w:afterLines="0" w:line="240" w:lineRule="auto"/>
        <w:jc w:val="left"/>
        <w:rPr>
          <w:rFonts w:hint="eastAsia" w:ascii="宋体" w:hAnsi="宋体" w:eastAsia="宋体" w:cs="宋体"/>
          <w:szCs w:val="22"/>
          <w:highlight w:val="none"/>
        </w:rPr>
      </w:pPr>
    </w:p>
    <w:p w14:paraId="6FC59997">
      <w:pPr>
        <w:widowControl/>
        <w:spacing w:beforeLines="0" w:afterLines="0" w:line="240" w:lineRule="auto"/>
        <w:jc w:val="left"/>
        <w:rPr>
          <w:rFonts w:hint="eastAsia" w:ascii="宋体" w:hAnsi="宋体" w:eastAsia="宋体" w:cs="宋体"/>
          <w:szCs w:val="22"/>
          <w:highlight w:val="none"/>
        </w:rPr>
      </w:pPr>
    </w:p>
    <w:p w14:paraId="7277E9FE">
      <w:pPr>
        <w:widowControl/>
        <w:spacing w:beforeLines="0" w:afterLines="0" w:line="240" w:lineRule="auto"/>
        <w:jc w:val="left"/>
        <w:rPr>
          <w:rFonts w:hint="eastAsia" w:ascii="宋体" w:hAnsi="宋体" w:eastAsia="宋体" w:cs="宋体"/>
          <w:szCs w:val="22"/>
          <w:highlight w:val="none"/>
        </w:rPr>
      </w:pPr>
    </w:p>
    <w:p w14:paraId="521D06E0">
      <w:pPr>
        <w:widowControl/>
        <w:spacing w:beforeLines="0" w:afterLines="0" w:line="240" w:lineRule="auto"/>
        <w:jc w:val="left"/>
        <w:rPr>
          <w:rFonts w:hint="eastAsia" w:ascii="宋体" w:hAnsi="宋体" w:eastAsia="宋体" w:cs="宋体"/>
          <w:szCs w:val="22"/>
          <w:highlight w:val="none"/>
        </w:rPr>
      </w:pPr>
    </w:p>
    <w:p w14:paraId="0FAD06E0">
      <w:pPr>
        <w:widowControl/>
        <w:spacing w:beforeLines="0" w:afterLines="0" w:line="240" w:lineRule="auto"/>
        <w:jc w:val="left"/>
        <w:rPr>
          <w:rFonts w:hint="eastAsia" w:ascii="宋体" w:hAnsi="宋体" w:eastAsia="宋体" w:cs="宋体"/>
          <w:szCs w:val="22"/>
          <w:highlight w:val="none"/>
        </w:rPr>
      </w:pPr>
    </w:p>
    <w:p w14:paraId="1866494D">
      <w:pPr>
        <w:widowControl/>
        <w:spacing w:beforeLines="0" w:afterLines="0" w:line="240" w:lineRule="auto"/>
        <w:jc w:val="left"/>
        <w:rPr>
          <w:rFonts w:hint="eastAsia" w:ascii="宋体" w:hAnsi="宋体" w:eastAsia="宋体" w:cs="宋体"/>
          <w:szCs w:val="22"/>
          <w:highlight w:val="none"/>
        </w:rPr>
      </w:pPr>
    </w:p>
    <w:p w14:paraId="0B0005C5">
      <w:pPr>
        <w:widowControl/>
        <w:spacing w:beforeLines="0" w:afterLines="0" w:line="240" w:lineRule="auto"/>
        <w:jc w:val="left"/>
        <w:rPr>
          <w:rFonts w:hint="eastAsia" w:ascii="宋体" w:hAnsi="宋体" w:eastAsia="宋体" w:cs="宋体"/>
          <w:szCs w:val="22"/>
          <w:highlight w:val="none"/>
        </w:rPr>
      </w:pPr>
    </w:p>
    <w:p w14:paraId="0E0469FF">
      <w:pPr>
        <w:widowControl/>
        <w:spacing w:beforeLines="0" w:afterLines="0" w:line="240" w:lineRule="auto"/>
        <w:jc w:val="left"/>
        <w:rPr>
          <w:rFonts w:hint="eastAsia" w:ascii="宋体" w:hAnsi="宋体" w:eastAsia="宋体" w:cs="宋体"/>
          <w:szCs w:val="22"/>
          <w:highlight w:val="none"/>
        </w:rPr>
      </w:pPr>
    </w:p>
    <w:p w14:paraId="0EE56C56">
      <w:pPr>
        <w:widowControl/>
        <w:spacing w:beforeLines="0" w:afterLines="0" w:line="240" w:lineRule="auto"/>
        <w:jc w:val="left"/>
        <w:rPr>
          <w:rFonts w:hint="eastAsia" w:ascii="宋体" w:hAnsi="宋体" w:eastAsia="宋体" w:cs="宋体"/>
          <w:szCs w:val="22"/>
          <w:highlight w:val="none"/>
        </w:rPr>
      </w:pPr>
    </w:p>
    <w:p w14:paraId="52371026">
      <w:pPr>
        <w:widowControl/>
        <w:spacing w:beforeLines="0" w:afterLines="0" w:line="240" w:lineRule="auto"/>
        <w:jc w:val="left"/>
        <w:rPr>
          <w:rFonts w:hint="eastAsia" w:ascii="宋体" w:hAnsi="宋体" w:eastAsia="宋体" w:cs="宋体"/>
          <w:szCs w:val="22"/>
          <w:highlight w:val="none"/>
        </w:rPr>
      </w:pPr>
    </w:p>
    <w:p w14:paraId="0EB26441">
      <w:pPr>
        <w:widowControl/>
        <w:spacing w:beforeLines="0" w:afterLines="0" w:line="240" w:lineRule="auto"/>
        <w:jc w:val="left"/>
        <w:rPr>
          <w:rFonts w:hint="eastAsia" w:ascii="宋体" w:hAnsi="宋体" w:eastAsia="宋体" w:cs="宋体"/>
          <w:szCs w:val="22"/>
          <w:highlight w:val="none"/>
        </w:rPr>
      </w:pPr>
    </w:p>
    <w:p w14:paraId="73EDCA7E">
      <w:pPr>
        <w:widowControl/>
        <w:spacing w:beforeLines="0" w:afterLines="0" w:line="240" w:lineRule="auto"/>
        <w:jc w:val="left"/>
        <w:rPr>
          <w:rFonts w:hint="eastAsia" w:ascii="宋体" w:hAnsi="宋体" w:eastAsia="宋体" w:cs="宋体"/>
          <w:szCs w:val="22"/>
          <w:highlight w:val="none"/>
        </w:rPr>
      </w:pPr>
    </w:p>
    <w:p w14:paraId="615BDEAE">
      <w:pPr>
        <w:widowControl/>
        <w:spacing w:beforeLines="0" w:afterLines="0" w:line="240" w:lineRule="auto"/>
        <w:jc w:val="left"/>
        <w:rPr>
          <w:rFonts w:hint="eastAsia" w:ascii="宋体" w:hAnsi="宋体" w:eastAsia="宋体" w:cs="宋体"/>
          <w:szCs w:val="22"/>
          <w:highlight w:val="none"/>
        </w:rPr>
      </w:pPr>
    </w:p>
    <w:p w14:paraId="0D1B8F02">
      <w:pPr>
        <w:widowControl/>
        <w:spacing w:beforeLines="0" w:afterLines="0" w:line="240" w:lineRule="auto"/>
        <w:jc w:val="left"/>
        <w:rPr>
          <w:rFonts w:hint="eastAsia" w:ascii="宋体" w:hAnsi="宋体" w:eastAsia="宋体" w:cs="宋体"/>
          <w:szCs w:val="22"/>
          <w:highlight w:val="none"/>
        </w:rPr>
      </w:pPr>
    </w:p>
    <w:p w14:paraId="16E0A2DF">
      <w:pPr>
        <w:widowControl/>
        <w:spacing w:beforeLines="0" w:afterLines="0" w:line="240" w:lineRule="auto"/>
        <w:jc w:val="left"/>
        <w:rPr>
          <w:rFonts w:hint="eastAsia" w:ascii="宋体" w:hAnsi="宋体" w:eastAsia="宋体" w:cs="宋体"/>
          <w:szCs w:val="22"/>
          <w:highlight w:val="none"/>
        </w:rPr>
      </w:pPr>
    </w:p>
    <w:p w14:paraId="3C1CDAE9">
      <w:pPr>
        <w:widowControl/>
        <w:spacing w:beforeLines="0" w:afterLines="0" w:line="240" w:lineRule="auto"/>
        <w:jc w:val="left"/>
        <w:rPr>
          <w:rFonts w:hint="eastAsia" w:ascii="宋体" w:hAnsi="宋体" w:eastAsia="宋体" w:cs="宋体"/>
          <w:szCs w:val="22"/>
          <w:highlight w:val="none"/>
        </w:rPr>
      </w:pPr>
    </w:p>
    <w:p w14:paraId="62886FB9">
      <w:pPr>
        <w:widowControl/>
        <w:spacing w:beforeLines="0" w:afterLines="0" w:line="240" w:lineRule="auto"/>
        <w:jc w:val="left"/>
        <w:rPr>
          <w:rFonts w:hint="eastAsia" w:ascii="宋体" w:hAnsi="宋体" w:eastAsia="宋体" w:cs="宋体"/>
          <w:szCs w:val="22"/>
          <w:highlight w:val="none"/>
        </w:rPr>
      </w:pPr>
    </w:p>
    <w:p w14:paraId="5421E857">
      <w:pPr>
        <w:widowControl/>
        <w:spacing w:beforeLines="0" w:afterLines="0" w:line="240" w:lineRule="auto"/>
        <w:jc w:val="left"/>
        <w:rPr>
          <w:rFonts w:hint="eastAsia" w:ascii="宋体" w:hAnsi="宋体" w:eastAsia="宋体" w:cs="宋体"/>
          <w:szCs w:val="22"/>
          <w:highlight w:val="none"/>
        </w:rPr>
      </w:pPr>
    </w:p>
    <w:p w14:paraId="466FDD3E">
      <w:pPr>
        <w:widowControl/>
        <w:spacing w:beforeLines="0" w:afterLines="0" w:line="240" w:lineRule="auto"/>
        <w:jc w:val="left"/>
        <w:rPr>
          <w:rFonts w:hint="eastAsia" w:ascii="宋体" w:hAnsi="宋体" w:eastAsia="宋体" w:cs="宋体"/>
          <w:szCs w:val="22"/>
          <w:highlight w:val="none"/>
        </w:rPr>
      </w:pPr>
    </w:p>
    <w:p w14:paraId="3D9AF20C">
      <w:pPr>
        <w:widowControl/>
        <w:spacing w:beforeLines="0" w:afterLines="0" w:line="240" w:lineRule="auto"/>
        <w:jc w:val="left"/>
        <w:rPr>
          <w:rFonts w:hint="eastAsia" w:ascii="宋体" w:hAnsi="宋体" w:eastAsia="宋体" w:cs="宋体"/>
          <w:szCs w:val="22"/>
          <w:highlight w:val="none"/>
        </w:rPr>
      </w:pPr>
    </w:p>
    <w:p w14:paraId="3AAA3B54">
      <w:pPr>
        <w:widowControl/>
        <w:spacing w:beforeLines="0" w:afterLines="0" w:line="240" w:lineRule="auto"/>
        <w:jc w:val="left"/>
        <w:rPr>
          <w:rFonts w:hint="eastAsia" w:ascii="宋体" w:hAnsi="宋体" w:eastAsia="宋体" w:cs="宋体"/>
          <w:szCs w:val="22"/>
          <w:highlight w:val="none"/>
        </w:rPr>
      </w:pPr>
    </w:p>
    <w:p w14:paraId="6A0B19F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A658FAB">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bookmarkEnd w:id="846"/>
    <w:p w14:paraId="248F5163">
      <w:pPr>
        <w:spacing w:beforeLines="0" w:after="0" w:afterLines="0" w:line="360" w:lineRule="auto"/>
        <w:jc w:val="center"/>
        <w:outlineLvl w:val="0"/>
        <w:rPr>
          <w:rFonts w:hint="default" w:ascii="宋体" w:hAnsi="宋体" w:eastAsia="宋体" w:cs="宋体"/>
          <w:b/>
          <w:bCs/>
          <w:kern w:val="2"/>
          <w:sz w:val="32"/>
          <w:szCs w:val="32"/>
          <w:highlight w:val="none"/>
          <w:lang w:val="en-US" w:eastAsia="zh-CN" w:bidi="ar-SA"/>
        </w:rPr>
      </w:pPr>
      <w:bookmarkStart w:id="847" w:name="_Toc17180"/>
      <w:bookmarkStart w:id="848" w:name="_Toc32157"/>
      <w:bookmarkStart w:id="849" w:name="_Toc14503"/>
      <w:bookmarkStart w:id="850" w:name="_Toc22878"/>
      <w:r>
        <w:rPr>
          <w:rFonts w:hint="eastAsia" w:ascii="宋体" w:hAnsi="宋体" w:eastAsia="宋体" w:cs="宋体"/>
          <w:b/>
          <w:bCs/>
          <w:kern w:val="2"/>
          <w:sz w:val="32"/>
          <w:szCs w:val="32"/>
          <w:highlight w:val="none"/>
          <w:lang w:val="en-US" w:eastAsia="zh-CN" w:bidi="ar-SA"/>
        </w:rPr>
        <w:t>第六章 投标文件格式</w:t>
      </w:r>
      <w:bookmarkEnd w:id="847"/>
      <w:bookmarkEnd w:id="848"/>
      <w:bookmarkEnd w:id="849"/>
      <w:bookmarkEnd w:id="850"/>
    </w:p>
    <w:p w14:paraId="36B12420">
      <w:pPr>
        <w:widowControl/>
        <w:spacing w:beforeLines="-2147483648" w:afterLines="-2147483648" w:line="360" w:lineRule="auto"/>
        <w:jc w:val="left"/>
        <w:rPr>
          <w:rFonts w:hint="eastAsia" w:ascii="Times New Roman" w:hAnsi="Times New Roman" w:eastAsia="宋体" w:cs="Times New Roman"/>
          <w:szCs w:val="22"/>
          <w:highlight w:val="none"/>
        </w:rPr>
      </w:pPr>
    </w:p>
    <w:p w14:paraId="23A8B88E">
      <w:pPr>
        <w:widowControl/>
        <w:spacing w:beforeLines="0" w:afterLines="0" w:line="360" w:lineRule="auto"/>
        <w:ind w:firstLine="1600" w:firstLineChars="500"/>
        <w:jc w:val="left"/>
        <w:rPr>
          <w:rFonts w:hint="eastAsia" w:ascii="宋体" w:hAnsi="宋体" w:eastAsia="宋体" w:cs="宋体"/>
          <w:szCs w:val="22"/>
          <w:highlight w:val="none"/>
          <w:u w:val="single"/>
        </w:rPr>
      </w:pPr>
      <w:r>
        <w:rPr>
          <w:rFonts w:hint="eastAsia" w:ascii="Times New Roman" w:hAnsi="Times New Roman" w:eastAsia="宋体" w:cs="Times New Roman"/>
          <w:sz w:val="32"/>
          <w:szCs w:val="32"/>
          <w:highlight w:val="none"/>
          <w:u w:val="single"/>
          <w:lang w:eastAsia="zh-CN"/>
        </w:rPr>
        <w:t xml:space="preserve"> </w:t>
      </w:r>
      <w:r>
        <w:rPr>
          <w:rFonts w:hint="eastAsia" w:ascii="Times New Roman" w:hAnsi="Times New Roman" w:eastAsia="宋体" w:cs="Times New Roman"/>
          <w:sz w:val="32"/>
          <w:szCs w:val="32"/>
          <w:highlight w:val="none"/>
          <w:u w:val="single"/>
          <w:lang w:val="en-US" w:eastAsia="zh-CN"/>
        </w:rPr>
        <w:t xml:space="preserve">                 </w:t>
      </w:r>
      <w:r>
        <w:rPr>
          <w:rFonts w:hint="eastAsia" w:ascii="Times New Roman" w:hAnsi="Times New Roman" w:eastAsia="宋体" w:cs="Times New Roman"/>
          <w:sz w:val="32"/>
          <w:szCs w:val="32"/>
          <w:highlight w:val="none"/>
          <w:u w:val="single"/>
          <w:lang w:eastAsia="zh-CN"/>
        </w:rPr>
        <w:t>（项目</w:t>
      </w:r>
      <w:r>
        <w:rPr>
          <w:rFonts w:hint="eastAsia" w:ascii="Times New Roman" w:hAnsi="Times New Roman" w:eastAsia="宋体" w:cs="Times New Roman"/>
          <w:sz w:val="32"/>
          <w:szCs w:val="32"/>
          <w:highlight w:val="none"/>
          <w:u w:val="single"/>
          <w:lang w:val="en-US" w:eastAsia="zh-CN"/>
        </w:rPr>
        <w:t>名称</w:t>
      </w:r>
      <w:r>
        <w:rPr>
          <w:rFonts w:hint="eastAsia" w:ascii="Times New Roman" w:hAnsi="Times New Roman" w:eastAsia="宋体" w:cs="Times New Roman"/>
          <w:sz w:val="32"/>
          <w:szCs w:val="32"/>
          <w:highlight w:val="none"/>
          <w:u w:val="single"/>
          <w:lang w:eastAsia="zh-CN"/>
        </w:rPr>
        <w:t>）</w:t>
      </w:r>
      <w:r>
        <w:rPr>
          <w:rFonts w:hint="eastAsia" w:ascii="Times New Roman" w:hAnsi="Times New Roman" w:eastAsia="宋体" w:cs="Times New Roman"/>
          <w:sz w:val="32"/>
          <w:szCs w:val="32"/>
          <w:highlight w:val="none"/>
          <w:u w:val="single"/>
          <w:lang w:val="en-US" w:eastAsia="zh-CN"/>
        </w:rPr>
        <w:t xml:space="preserve">     （标段名称</w:t>
      </w:r>
      <w:r>
        <w:rPr>
          <w:rFonts w:hint="eastAsia" w:ascii="Times New Roman" w:hAnsi="Times New Roman" w:eastAsia="宋体" w:cs="Times New Roman"/>
          <w:sz w:val="32"/>
          <w:szCs w:val="32"/>
          <w:highlight w:val="none"/>
          <w:u w:val="single"/>
          <w:lang w:eastAsia="zh-CN"/>
        </w:rPr>
        <w:t>）</w:t>
      </w:r>
    </w:p>
    <w:p w14:paraId="731575CE">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BE51FDC">
      <w:pPr>
        <w:widowControl/>
        <w:spacing w:beforeLines="0" w:afterLines="0" w:line="240" w:lineRule="auto"/>
        <w:jc w:val="left"/>
        <w:rPr>
          <w:rFonts w:hint="eastAsia" w:ascii="宋体" w:hAnsi="宋体" w:eastAsia="宋体" w:cs="宋体"/>
          <w:sz w:val="20"/>
          <w:szCs w:val="20"/>
          <w:highlight w:val="none"/>
        </w:rPr>
      </w:pPr>
    </w:p>
    <w:p w14:paraId="142FB3F2">
      <w:pPr>
        <w:widowControl/>
        <w:spacing w:beforeLines="0" w:afterLines="0" w:line="240" w:lineRule="auto"/>
        <w:jc w:val="center"/>
        <w:rPr>
          <w:rFonts w:hint="eastAsia" w:ascii="宋体" w:hAnsi="宋体" w:eastAsia="宋体" w:cs="宋体"/>
          <w:sz w:val="44"/>
          <w:szCs w:val="44"/>
          <w:highlight w:val="none"/>
        </w:rPr>
      </w:pPr>
      <w:bookmarkStart w:id="851" w:name="_Toc221951911"/>
      <w:r>
        <w:rPr>
          <w:rFonts w:hint="eastAsia" w:ascii="宋体" w:hAnsi="宋体" w:eastAsia="宋体" w:cs="宋体"/>
          <w:sz w:val="44"/>
          <w:szCs w:val="44"/>
          <w:highlight w:val="none"/>
        </w:rPr>
        <w:t>投  标  文  件</w:t>
      </w:r>
      <w:bookmarkEnd w:id="851"/>
    </w:p>
    <w:p w14:paraId="2F081E3C">
      <w:pPr>
        <w:widowControl/>
        <w:spacing w:beforeLines="0" w:afterLines="0" w:line="240" w:lineRule="auto"/>
        <w:jc w:val="left"/>
        <w:rPr>
          <w:rFonts w:hint="eastAsia" w:ascii="宋体" w:hAnsi="宋体" w:eastAsia="宋体" w:cs="宋体"/>
          <w:sz w:val="28"/>
          <w:szCs w:val="28"/>
          <w:highlight w:val="none"/>
        </w:rPr>
      </w:pPr>
    </w:p>
    <w:p w14:paraId="402F8034">
      <w:pPr>
        <w:widowControl/>
        <w:spacing w:beforeLines="0" w:afterLines="0" w:line="240" w:lineRule="auto"/>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w:t>
      </w:r>
      <w:r>
        <w:rPr>
          <w:rFonts w:hint="eastAsia" w:ascii="宋体" w:hAnsi="宋体" w:eastAsia="宋体" w:cs="宋体"/>
          <w:color w:val="000000"/>
          <w:sz w:val="30"/>
          <w:szCs w:val="30"/>
          <w:highlight w:val="none"/>
          <w:lang w:val="en-US" w:eastAsia="zh-CN"/>
        </w:rPr>
        <w:t>项目</w:t>
      </w:r>
      <w:r>
        <w:rPr>
          <w:rFonts w:hint="eastAsia" w:ascii="宋体" w:hAnsi="宋体" w:eastAsia="宋体" w:cs="宋体"/>
          <w:color w:val="000000"/>
          <w:sz w:val="30"/>
          <w:szCs w:val="30"/>
          <w:highlight w:val="none"/>
        </w:rPr>
        <w:t>编号：</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w:t>
      </w:r>
    </w:p>
    <w:p w14:paraId="240A6C08">
      <w:pPr>
        <w:widowControl/>
        <w:spacing w:beforeLines="0" w:afterLines="0" w:line="240" w:lineRule="auto"/>
        <w:jc w:val="left"/>
        <w:rPr>
          <w:rFonts w:hint="eastAsia" w:ascii="宋体" w:hAnsi="宋体" w:eastAsia="宋体" w:cs="宋体"/>
          <w:sz w:val="28"/>
          <w:szCs w:val="28"/>
          <w:highlight w:val="none"/>
        </w:rPr>
      </w:pPr>
    </w:p>
    <w:p w14:paraId="11BEA697">
      <w:pPr>
        <w:widowControl/>
        <w:spacing w:beforeLines="0" w:afterLines="0" w:line="240" w:lineRule="auto"/>
        <w:jc w:val="left"/>
        <w:rPr>
          <w:rFonts w:hint="eastAsia" w:ascii="宋体" w:hAnsi="宋体" w:eastAsia="宋体" w:cs="宋体"/>
          <w:sz w:val="28"/>
          <w:szCs w:val="28"/>
          <w:highlight w:val="none"/>
        </w:rPr>
      </w:pPr>
    </w:p>
    <w:p w14:paraId="069B0C6C">
      <w:pPr>
        <w:widowControl/>
        <w:spacing w:beforeLines="0" w:afterLines="0" w:line="240" w:lineRule="auto"/>
        <w:jc w:val="left"/>
        <w:rPr>
          <w:rFonts w:hint="eastAsia" w:ascii="宋体" w:hAnsi="宋体" w:eastAsia="宋体" w:cs="宋体"/>
          <w:sz w:val="28"/>
          <w:szCs w:val="28"/>
          <w:highlight w:val="none"/>
        </w:rPr>
      </w:pPr>
    </w:p>
    <w:p w14:paraId="774B90E9">
      <w:pPr>
        <w:widowControl/>
        <w:spacing w:beforeLines="0" w:afterLines="0" w:line="240" w:lineRule="auto"/>
        <w:jc w:val="left"/>
        <w:rPr>
          <w:rFonts w:hint="eastAsia" w:ascii="宋体" w:hAnsi="宋体" w:eastAsia="宋体" w:cs="宋体"/>
          <w:sz w:val="28"/>
          <w:szCs w:val="28"/>
          <w:highlight w:val="none"/>
        </w:rPr>
      </w:pPr>
    </w:p>
    <w:p w14:paraId="1AB0A360">
      <w:pPr>
        <w:widowControl/>
        <w:spacing w:beforeLines="0" w:afterLines="0" w:line="240" w:lineRule="auto"/>
        <w:jc w:val="left"/>
        <w:rPr>
          <w:rFonts w:hint="eastAsia" w:ascii="宋体" w:hAnsi="宋体" w:eastAsia="宋体" w:cs="宋体"/>
          <w:sz w:val="28"/>
          <w:szCs w:val="28"/>
          <w:highlight w:val="none"/>
        </w:rPr>
      </w:pPr>
    </w:p>
    <w:p w14:paraId="6FBD3489">
      <w:pPr>
        <w:widowControl/>
        <w:spacing w:beforeLines="0" w:afterLines="0" w:line="240" w:lineRule="auto"/>
        <w:jc w:val="left"/>
        <w:rPr>
          <w:rFonts w:hint="eastAsia" w:ascii="宋体" w:hAnsi="宋体" w:eastAsia="宋体" w:cs="宋体"/>
          <w:sz w:val="28"/>
          <w:szCs w:val="28"/>
          <w:highlight w:val="none"/>
        </w:rPr>
      </w:pPr>
    </w:p>
    <w:p w14:paraId="3FDFC9DC">
      <w:pPr>
        <w:widowControl/>
        <w:spacing w:beforeLines="0" w:afterLines="0" w:line="240" w:lineRule="auto"/>
        <w:jc w:val="left"/>
        <w:rPr>
          <w:rFonts w:hint="eastAsia" w:ascii="宋体" w:hAnsi="宋体" w:eastAsia="宋体" w:cs="宋体"/>
          <w:sz w:val="28"/>
          <w:szCs w:val="28"/>
          <w:highlight w:val="none"/>
        </w:rPr>
      </w:pPr>
    </w:p>
    <w:p w14:paraId="42A1784D">
      <w:pPr>
        <w:widowControl/>
        <w:spacing w:beforeLines="0" w:afterLines="0" w:line="240" w:lineRule="auto"/>
        <w:jc w:val="left"/>
        <w:rPr>
          <w:rFonts w:hint="eastAsia" w:ascii="宋体" w:hAnsi="宋体" w:eastAsia="宋体" w:cs="宋体"/>
          <w:sz w:val="28"/>
          <w:szCs w:val="28"/>
          <w:highlight w:val="none"/>
        </w:rPr>
      </w:pPr>
    </w:p>
    <w:p w14:paraId="44F9BC17">
      <w:pPr>
        <w:widowControl/>
        <w:spacing w:beforeLines="0" w:afterLines="0" w:line="240" w:lineRule="auto"/>
        <w:jc w:val="left"/>
        <w:rPr>
          <w:rFonts w:hint="eastAsia" w:ascii="宋体" w:hAnsi="宋体" w:eastAsia="宋体" w:cs="宋体"/>
          <w:sz w:val="28"/>
          <w:szCs w:val="28"/>
          <w:highlight w:val="none"/>
        </w:rPr>
      </w:pPr>
    </w:p>
    <w:p w14:paraId="6FFCEA4F">
      <w:pPr>
        <w:widowControl/>
        <w:spacing w:beforeLines="0" w:afterLines="0" w:line="240" w:lineRule="auto"/>
        <w:jc w:val="left"/>
        <w:rPr>
          <w:rFonts w:hint="eastAsia" w:ascii="宋体" w:hAnsi="宋体" w:eastAsia="宋体" w:cs="宋体"/>
          <w:sz w:val="28"/>
          <w:szCs w:val="28"/>
          <w:highlight w:val="none"/>
        </w:rPr>
      </w:pPr>
    </w:p>
    <w:p w14:paraId="10F5294C">
      <w:pPr>
        <w:widowControl/>
        <w:spacing w:beforeLines="0" w:afterLines="0" w:line="240" w:lineRule="auto"/>
        <w:jc w:val="left"/>
        <w:rPr>
          <w:rFonts w:hint="eastAsia" w:ascii="宋体" w:hAnsi="宋体" w:eastAsia="宋体" w:cs="宋体"/>
          <w:sz w:val="28"/>
          <w:szCs w:val="28"/>
          <w:highlight w:val="none"/>
        </w:rPr>
      </w:pPr>
    </w:p>
    <w:p w14:paraId="64AAA993">
      <w:pPr>
        <w:spacing w:beforeLines="0" w:after="0" w:afterLines="0" w:line="240" w:lineRule="auto"/>
        <w:rPr>
          <w:rFonts w:hint="eastAsia" w:ascii="宋体" w:hAnsi="宋体" w:eastAsia="宋体" w:cs="宋体"/>
          <w:kern w:val="2"/>
          <w:sz w:val="21"/>
          <w:szCs w:val="22"/>
          <w:highlight w:val="none"/>
          <w:lang w:val="en-US" w:eastAsia="zh-CN" w:bidi="ar-SA"/>
        </w:rPr>
      </w:pPr>
    </w:p>
    <w:p w14:paraId="1FA9AD20">
      <w:pPr>
        <w:spacing w:beforeLines="0" w:after="0" w:afterLines="0" w:line="240" w:lineRule="auto"/>
        <w:rPr>
          <w:rFonts w:hint="eastAsia" w:ascii="宋体" w:hAnsi="宋体" w:eastAsia="宋体" w:cs="宋体"/>
          <w:kern w:val="2"/>
          <w:sz w:val="21"/>
          <w:szCs w:val="22"/>
          <w:highlight w:val="none"/>
          <w:lang w:val="en-US" w:eastAsia="zh-CN" w:bidi="ar-SA"/>
        </w:rPr>
      </w:pPr>
    </w:p>
    <w:p w14:paraId="4FCE0E86">
      <w:pPr>
        <w:widowControl w:val="0"/>
        <w:ind w:left="840"/>
        <w:rPr>
          <w:rFonts w:hint="eastAsia" w:ascii="宋体" w:hAnsi="宋体" w:eastAsia="宋体" w:cs="宋体"/>
          <w:kern w:val="2"/>
          <w:sz w:val="18"/>
          <w:szCs w:val="18"/>
          <w:highlight w:val="none"/>
          <w:lang w:val="en-US" w:eastAsia="zh-CN" w:bidi="ar-SA"/>
        </w:rPr>
      </w:pPr>
    </w:p>
    <w:p w14:paraId="4A7C681A">
      <w:pPr>
        <w:widowControl/>
        <w:jc w:val="left"/>
        <w:rPr>
          <w:rFonts w:hint="eastAsia" w:ascii="宋体" w:hAnsi="宋体" w:eastAsia="宋体" w:cs="宋体"/>
          <w:szCs w:val="22"/>
          <w:highlight w:val="none"/>
        </w:rPr>
      </w:pPr>
    </w:p>
    <w:p w14:paraId="5C488131">
      <w:pPr>
        <w:widowControl/>
        <w:jc w:val="left"/>
        <w:rPr>
          <w:rFonts w:hint="eastAsia" w:ascii="宋体" w:hAnsi="宋体" w:eastAsia="宋体" w:cs="宋体"/>
          <w:szCs w:val="22"/>
          <w:highlight w:val="none"/>
        </w:rPr>
      </w:pPr>
    </w:p>
    <w:p w14:paraId="4AB109E7">
      <w:pPr>
        <w:widowControl/>
        <w:jc w:val="left"/>
        <w:rPr>
          <w:rFonts w:hint="eastAsia" w:ascii="宋体" w:hAnsi="宋体" w:eastAsia="宋体" w:cs="宋体"/>
          <w:szCs w:val="22"/>
          <w:highlight w:val="none"/>
        </w:rPr>
      </w:pPr>
    </w:p>
    <w:p w14:paraId="3CDD7A54">
      <w:pPr>
        <w:widowControl/>
        <w:jc w:val="left"/>
        <w:rPr>
          <w:rFonts w:hint="eastAsia" w:ascii="宋体" w:hAnsi="宋体" w:eastAsia="宋体" w:cs="宋体"/>
          <w:szCs w:val="22"/>
          <w:highlight w:val="none"/>
        </w:rPr>
      </w:pPr>
    </w:p>
    <w:p w14:paraId="06AD9551">
      <w:pPr>
        <w:widowControl/>
        <w:jc w:val="left"/>
        <w:rPr>
          <w:rFonts w:hint="eastAsia" w:ascii="宋体" w:hAnsi="宋体" w:eastAsia="宋体" w:cs="宋体"/>
          <w:szCs w:val="22"/>
          <w:highlight w:val="none"/>
        </w:rPr>
      </w:pPr>
    </w:p>
    <w:p w14:paraId="2458B31C">
      <w:pPr>
        <w:widowControl/>
        <w:jc w:val="left"/>
        <w:rPr>
          <w:rFonts w:hint="eastAsia" w:ascii="宋体" w:hAnsi="宋体" w:eastAsia="宋体" w:cs="宋体"/>
          <w:szCs w:val="22"/>
          <w:highlight w:val="none"/>
        </w:rPr>
      </w:pPr>
    </w:p>
    <w:p w14:paraId="31519A98">
      <w:pPr>
        <w:widowControl/>
        <w:spacing w:beforeLines="0" w:afterLines="0" w:line="240" w:lineRule="auto"/>
        <w:jc w:val="left"/>
        <w:rPr>
          <w:rFonts w:hint="eastAsia" w:ascii="宋体" w:hAnsi="宋体" w:eastAsia="宋体" w:cs="宋体"/>
          <w:sz w:val="28"/>
          <w:szCs w:val="28"/>
          <w:highlight w:val="none"/>
        </w:rPr>
      </w:pPr>
    </w:p>
    <w:p w14:paraId="4164D69E">
      <w:pPr>
        <w:spacing w:beforeLines="0" w:after="0" w:afterLines="0" w:line="240" w:lineRule="auto"/>
        <w:rPr>
          <w:rFonts w:hint="eastAsia" w:ascii="宋体" w:hAnsi="宋体" w:eastAsia="宋体" w:cs="宋体"/>
          <w:kern w:val="2"/>
          <w:sz w:val="21"/>
          <w:szCs w:val="22"/>
          <w:highlight w:val="none"/>
          <w:lang w:val="en-US" w:eastAsia="zh-CN" w:bidi="ar-SA"/>
        </w:rPr>
      </w:pPr>
    </w:p>
    <w:p w14:paraId="7C4AD1D9">
      <w:pPr>
        <w:widowControl/>
        <w:spacing w:beforeLines="0" w:afterLines="0" w:line="360" w:lineRule="auto"/>
        <w:jc w:val="center"/>
        <w:rPr>
          <w:rFonts w:hint="eastAsia" w:ascii="宋体" w:hAnsi="宋体" w:eastAsia="宋体" w:cs="宋体"/>
          <w:sz w:val="28"/>
          <w:szCs w:val="28"/>
          <w:highlight w:val="none"/>
        </w:rPr>
      </w:pPr>
      <w:bookmarkStart w:id="852" w:name="_Toc221951912"/>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盖单位章</w:t>
      </w:r>
      <w:r>
        <w:rPr>
          <w:rFonts w:hint="eastAsia" w:ascii="宋体" w:hAnsi="宋体" w:eastAsia="宋体" w:cs="宋体"/>
          <w:sz w:val="28"/>
          <w:szCs w:val="28"/>
          <w:highlight w:val="none"/>
        </w:rPr>
        <w:t>）</w:t>
      </w:r>
    </w:p>
    <w:p w14:paraId="769FE472">
      <w:pPr>
        <w:widowControl/>
        <w:spacing w:beforeLines="0" w:afterLines="0" w:line="360" w:lineRule="auto"/>
        <w:ind w:firstLine="840" w:firstLineChars="3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签字或盖章</w:t>
      </w:r>
      <w:r>
        <w:rPr>
          <w:rFonts w:hint="eastAsia" w:ascii="宋体" w:hAnsi="宋体" w:eastAsia="宋体" w:cs="宋体"/>
          <w:sz w:val="28"/>
          <w:szCs w:val="28"/>
          <w:highlight w:val="none"/>
        </w:rPr>
        <w:t xml:space="preserve">） </w:t>
      </w:r>
      <w:bookmarkEnd w:id="852"/>
    </w:p>
    <w:p w14:paraId="63ACBB45">
      <w:pPr>
        <w:widowControl/>
        <w:spacing w:beforeLines="0" w:afterLines="0" w:line="360" w:lineRule="auto"/>
        <w:ind w:firstLine="2520" w:firstLineChars="900"/>
        <w:jc w:val="left"/>
        <w:rPr>
          <w:rFonts w:hint="eastAsia" w:ascii="宋体" w:hAnsi="宋体" w:eastAsia="宋体" w:cs="宋体"/>
          <w:szCs w:val="22"/>
          <w:highlight w:val="none"/>
        </w:rPr>
      </w:pPr>
      <w:r>
        <w:rPr>
          <w:rFonts w:hint="eastAsia" w:ascii="宋体" w:hAnsi="宋体" w:eastAsia="宋体" w:cs="宋体"/>
          <w:sz w:val="28"/>
          <w:szCs w:val="28"/>
          <w:highlight w:val="none"/>
          <w:u w:val="single"/>
        </w:rPr>
        <w:t xml:space="preserve">        </w:t>
      </w:r>
      <w:bookmarkStart w:id="853" w:name="_Toc221951914"/>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bookmarkEnd w:id="853"/>
    </w:p>
    <w:p w14:paraId="432D5B6F">
      <w:pPr>
        <w:widowControl/>
        <w:spacing w:beforeLines="0" w:afterLines="0" w:line="240" w:lineRule="auto"/>
        <w:jc w:val="left"/>
        <w:rPr>
          <w:rFonts w:hint="eastAsia" w:ascii="宋体" w:hAnsi="宋体" w:eastAsia="宋体" w:cs="宋体"/>
          <w:szCs w:val="22"/>
          <w:highlight w:val="none"/>
        </w:rPr>
      </w:pPr>
    </w:p>
    <w:p w14:paraId="304DA252">
      <w:pPr>
        <w:widowControl/>
        <w:spacing w:beforeLines="0" w:afterLines="0" w:line="240" w:lineRule="auto"/>
        <w:jc w:val="left"/>
        <w:rPr>
          <w:rFonts w:hint="eastAsia" w:ascii="宋体" w:hAnsi="宋体" w:eastAsia="宋体" w:cs="宋体"/>
          <w:szCs w:val="22"/>
          <w:highlight w:val="none"/>
        </w:rPr>
      </w:pPr>
    </w:p>
    <w:p w14:paraId="642B1B37">
      <w:pPr>
        <w:widowControl/>
        <w:spacing w:beforeLines="-2147483648" w:afterLines="-2147483648" w:line="240" w:lineRule="auto"/>
        <w:jc w:val="left"/>
        <w:rPr>
          <w:rFonts w:hint="eastAsia" w:ascii="宋体" w:hAnsi="宋体" w:eastAsia="宋体" w:cs="宋体"/>
          <w:b/>
          <w:bCs/>
          <w:sz w:val="32"/>
          <w:szCs w:val="32"/>
          <w:highlight w:val="none"/>
        </w:rPr>
      </w:pPr>
      <w:bookmarkStart w:id="854" w:name="_Toc266886256"/>
      <w:bookmarkStart w:id="855" w:name="_Toc54550866"/>
      <w:bookmarkStart w:id="856" w:name="_Toc256079633"/>
      <w:bookmarkStart w:id="857" w:name="_Toc62034584"/>
      <w:bookmarkStart w:id="858" w:name="_Toc3964"/>
      <w:bookmarkStart w:id="859" w:name="_Toc10292"/>
      <w:bookmarkStart w:id="860" w:name="_Toc229305419"/>
      <w:r>
        <w:rPr>
          <w:rFonts w:hint="eastAsia" w:ascii="宋体" w:hAnsi="宋体" w:eastAsia="宋体" w:cs="宋体"/>
          <w:b/>
          <w:bCs/>
          <w:sz w:val="32"/>
          <w:szCs w:val="32"/>
          <w:highlight w:val="none"/>
        </w:rPr>
        <w:br w:type="page"/>
      </w:r>
    </w:p>
    <w:p w14:paraId="543EC9F8">
      <w:pPr>
        <w:widowControl/>
        <w:spacing w:beforeLines="0" w:afterLines="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    录</w:t>
      </w:r>
      <w:bookmarkEnd w:id="854"/>
      <w:bookmarkEnd w:id="855"/>
      <w:bookmarkEnd w:id="856"/>
      <w:bookmarkEnd w:id="857"/>
      <w:bookmarkEnd w:id="858"/>
      <w:bookmarkEnd w:id="859"/>
      <w:bookmarkEnd w:id="860"/>
    </w:p>
    <w:p w14:paraId="01B38259">
      <w:pPr>
        <w:tabs>
          <w:tab w:val="right" w:leader="dot" w:pos="9070"/>
        </w:tabs>
        <w:adjustRightInd w:val="0"/>
        <w:snapToGrid w:val="0"/>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51A35FDA">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_Toc16941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一、投标函及投标函附录</w:t>
      </w:r>
      <w:r>
        <w:rPr>
          <w:rFonts w:hint="eastAsia" w:ascii="宋体" w:hAnsi="宋体" w:eastAsia="宋体" w:cs="宋体"/>
          <w:smallCaps/>
          <w:kern w:val="2"/>
          <w:sz w:val="21"/>
          <w:szCs w:val="21"/>
          <w:highlight w:val="none"/>
          <w:lang w:val="en-US" w:eastAsia="zh-CN" w:bidi="ar-SA"/>
        </w:rPr>
        <w:fldChar w:fldCharType="end"/>
      </w:r>
    </w:p>
    <w:p w14:paraId="58ECF0A5">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_Toc11953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二、法定代表人（单位负责人）身份证明</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（适用于无委托代理人的情况）</w:t>
      </w:r>
    </w:p>
    <w:p w14:paraId="22E7DAF5">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_Toc16233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二、授权委托书</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（适用于有委托代理人的情况）</w:t>
      </w:r>
    </w:p>
    <w:p w14:paraId="4D1C6C56">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_Toc17448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三、投标保证金</w:t>
      </w:r>
      <w:r>
        <w:rPr>
          <w:rFonts w:hint="eastAsia" w:ascii="宋体" w:hAnsi="宋体" w:eastAsia="宋体" w:cs="宋体"/>
          <w:smallCaps/>
          <w:kern w:val="2"/>
          <w:sz w:val="21"/>
          <w:szCs w:val="21"/>
          <w:highlight w:val="none"/>
          <w:lang w:val="en-US" w:eastAsia="zh-CN" w:bidi="ar-SA"/>
        </w:rPr>
        <w:fldChar w:fldCharType="end"/>
      </w:r>
    </w:p>
    <w:p w14:paraId="320FEDB1">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_Toc9251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四、技术偏差表</w:t>
      </w:r>
      <w:r>
        <w:rPr>
          <w:rFonts w:hint="eastAsia" w:ascii="宋体" w:hAnsi="宋体" w:eastAsia="宋体" w:cs="宋体"/>
          <w:smallCaps/>
          <w:kern w:val="2"/>
          <w:sz w:val="21"/>
          <w:szCs w:val="21"/>
          <w:highlight w:val="none"/>
          <w:lang w:val="en-US" w:eastAsia="zh-CN" w:bidi="ar-SA"/>
        </w:rPr>
        <w:fldChar w:fldCharType="end"/>
      </w:r>
    </w:p>
    <w:p w14:paraId="2C6E3279">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_Toc16571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五、分项报价表</w:t>
      </w:r>
      <w:r>
        <w:rPr>
          <w:rFonts w:hint="eastAsia" w:ascii="宋体" w:hAnsi="宋体" w:eastAsia="宋体" w:cs="宋体"/>
          <w:smallCaps/>
          <w:kern w:val="2"/>
          <w:sz w:val="21"/>
          <w:szCs w:val="21"/>
          <w:highlight w:val="none"/>
          <w:lang w:val="en-US" w:eastAsia="zh-CN" w:bidi="ar-SA"/>
        </w:rPr>
        <w:fldChar w:fldCharType="end"/>
      </w:r>
    </w:p>
    <w:p w14:paraId="0CFB7B08">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_Toc24522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六、资格审查资料</w:t>
      </w:r>
      <w:r>
        <w:rPr>
          <w:rFonts w:hint="eastAsia" w:ascii="宋体" w:hAnsi="宋体" w:eastAsia="宋体" w:cs="宋体"/>
          <w:smallCaps/>
          <w:kern w:val="2"/>
          <w:sz w:val="21"/>
          <w:szCs w:val="21"/>
          <w:highlight w:val="none"/>
          <w:lang w:val="en-US" w:eastAsia="zh-CN" w:bidi="ar-SA"/>
        </w:rPr>
        <w:fldChar w:fldCharType="end"/>
      </w:r>
    </w:p>
    <w:p w14:paraId="150A8654">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_Toc25797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七、技术资料</w:t>
      </w:r>
      <w:r>
        <w:rPr>
          <w:rFonts w:hint="eastAsia" w:ascii="宋体" w:hAnsi="宋体" w:eastAsia="宋体" w:cs="宋体"/>
          <w:smallCaps/>
          <w:kern w:val="2"/>
          <w:sz w:val="21"/>
          <w:szCs w:val="21"/>
          <w:highlight w:val="none"/>
          <w:lang w:val="en-US" w:eastAsia="zh-CN" w:bidi="ar-SA"/>
        </w:rPr>
        <w:fldChar w:fldCharType="end"/>
      </w:r>
    </w:p>
    <w:p w14:paraId="33A0BC58">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_Toc11599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八、</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其他资料</w:t>
      </w:r>
    </w:p>
    <w:p w14:paraId="2BCE60BB">
      <w:pPr>
        <w:tabs>
          <w:tab w:val="right" w:leader="dot" w:pos="9070"/>
        </w:tabs>
        <w:adjustRightInd/>
        <w:snapToGrid/>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34CF43F1">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4B33C8E">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6216F8D">
      <w:pPr>
        <w:widowControl/>
        <w:tabs>
          <w:tab w:val="left" w:pos="1277"/>
        </w:tabs>
        <w:spacing w:beforeLines="0" w:afterLines="0" w:line="240" w:lineRule="auto"/>
        <w:ind w:firstLine="0" w:firstLineChars="0"/>
        <w:jc w:val="left"/>
        <w:rPr>
          <w:rFonts w:hint="eastAsia" w:ascii="宋体" w:hAnsi="宋体" w:eastAsia="宋体" w:cs="宋体"/>
          <w:bCs/>
          <w:kern w:val="44"/>
          <w:szCs w:val="21"/>
          <w:highlight w:val="none"/>
        </w:rPr>
      </w:pPr>
      <w:r>
        <w:rPr>
          <w:rFonts w:hint="eastAsia" w:ascii="宋体" w:hAnsi="宋体" w:eastAsia="宋体" w:cs="宋体"/>
          <w:bCs/>
          <w:kern w:val="44"/>
          <w:szCs w:val="21"/>
          <w:highlight w:val="none"/>
        </w:rPr>
        <w:t>注：投标人可设置分级标题，编制目录和页码。</w:t>
      </w:r>
    </w:p>
    <w:p w14:paraId="57D93393">
      <w:pPr>
        <w:widowControl w:val="0"/>
        <w:adjustRightInd w:val="0"/>
        <w:snapToGrid w:val="0"/>
        <w:spacing w:before="0" w:beforeLines="0" w:after="0" w:afterLines="0" w:line="360" w:lineRule="auto"/>
        <w:ind w:firstLine="482" w:firstLineChars="200"/>
        <w:jc w:val="center"/>
        <w:outlineLvl w:val="1"/>
        <w:rPr>
          <w:rFonts w:hint="eastAsia" w:ascii="宋体" w:hAnsi="宋体" w:eastAsia="宋体" w:cs="宋体"/>
          <w:sz w:val="28"/>
          <w:szCs w:val="28"/>
          <w:highlight w:val="none"/>
        </w:rPr>
      </w:pPr>
      <w:bookmarkStart w:id="861" w:name="_Toc516254810"/>
      <w:bookmarkStart w:id="862" w:name="_Toc21417"/>
      <w:bookmarkStart w:id="863" w:name="_Toc516149291"/>
      <w:r>
        <w:rPr>
          <w:rFonts w:hint="eastAsia" w:ascii="宋体" w:hAnsi="宋体" w:eastAsia="宋体" w:cs="宋体"/>
          <w:b/>
          <w:sz w:val="24"/>
          <w:szCs w:val="24"/>
          <w:highlight w:val="none"/>
        </w:rPr>
        <w:br w:type="page"/>
      </w:r>
      <w:bookmarkStart w:id="864" w:name="_Toc32153"/>
      <w:bookmarkStart w:id="865" w:name="_Toc26513"/>
      <w:bookmarkStart w:id="866" w:name="_Toc91345072"/>
      <w:bookmarkStart w:id="867" w:name="_Toc11879"/>
      <w:bookmarkStart w:id="868" w:name="_Toc62034585"/>
      <w:bookmarkStart w:id="869" w:name="_Toc8680"/>
      <w:r>
        <w:rPr>
          <w:rFonts w:hint="eastAsia" w:ascii="宋体" w:hAnsi="宋体" w:eastAsia="宋体" w:cs="宋体"/>
          <w:b/>
          <w:sz w:val="24"/>
          <w:szCs w:val="24"/>
          <w:highlight w:val="none"/>
        </w:rPr>
        <w:t>一、投标函及投标函附录</w:t>
      </w:r>
      <w:bookmarkEnd w:id="861"/>
      <w:bookmarkEnd w:id="864"/>
      <w:bookmarkEnd w:id="865"/>
      <w:bookmarkEnd w:id="866"/>
      <w:bookmarkEnd w:id="867"/>
      <w:bookmarkEnd w:id="868"/>
      <w:bookmarkEnd w:id="869"/>
    </w:p>
    <w:p w14:paraId="5CDEF83B">
      <w:pPr>
        <w:keepNext/>
        <w:keepLines/>
        <w:adjustRightInd w:val="0"/>
        <w:snapToGrid w:val="0"/>
        <w:spacing w:before="0" w:beforeLines="0" w:beforeAutospacing="0" w:after="0" w:afterLines="0" w:afterAutospacing="0" w:line="413" w:lineRule="auto"/>
        <w:ind w:firstLine="4096" w:firstLineChars="1700"/>
        <w:outlineLvl w:val="2"/>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（一）投标函</w:t>
      </w:r>
    </w:p>
    <w:bookmarkEnd w:id="862"/>
    <w:bookmarkEnd w:id="863"/>
    <w:p w14:paraId="52B3945D">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（招标人名称） </w:t>
      </w:r>
    </w:p>
    <w:p w14:paraId="78844385">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1、我方已仔细研究了</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sz w:val="21"/>
          <w:szCs w:val="21"/>
          <w:highlight w:val="none"/>
        </w:rPr>
        <w:t>招标文件的全部内容，愿按照招标文件中规定的条款和要求，完成本项目。投标总报价为（大写）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元</w:t>
      </w:r>
      <w:r>
        <w:rPr>
          <w:rFonts w:hint="eastAsia" w:ascii="宋体" w:hAnsi="宋体" w:eastAsia="宋体" w:cs="宋体"/>
          <w:sz w:val="21"/>
          <w:szCs w:val="21"/>
          <w:highlight w:val="none"/>
        </w:rPr>
        <w:t>），供货期（服务期）：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质量标准</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1309B66A">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2、我方承诺在投标有效期内不修改、撤销投标文件。 </w:t>
      </w:r>
    </w:p>
    <w:p w14:paraId="49F1F3E6">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3、投标保证金已按招标文件规定提交，金额为人民币（大写）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466FA82F">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4、如我方中标： </w:t>
      </w:r>
    </w:p>
    <w:p w14:paraId="45093778">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（1）我方承诺在收到中标通知书后，在中标通知书规定的期限内与你方签订合同。 </w:t>
      </w:r>
    </w:p>
    <w:p w14:paraId="4E2DE733">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（2）随同本投标函递交的投标函附录属于合同文件的组成部分。 </w:t>
      </w:r>
    </w:p>
    <w:p w14:paraId="69752BD4">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（3）我方承诺按照招标文件规定向你方递交履约担保。 </w:t>
      </w:r>
    </w:p>
    <w:p w14:paraId="725FB340">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（4）我方承诺在合同约定的期限内完成本项目。 </w:t>
      </w:r>
    </w:p>
    <w:p w14:paraId="1EE689D9">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5、我方在此声明，所递交的投标文件及有关资料内容完整、真实和准确, 且不存在第二章“投标人须知”第1.4.3项规定的任何一种情形。 </w:t>
      </w:r>
    </w:p>
    <w:p w14:paraId="207CFE05">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E037589">
      <w:pPr>
        <w:widowControl/>
        <w:spacing w:beforeLines="0" w:afterLines="0" w:line="360" w:lineRule="auto"/>
        <w:ind w:firstLine="420" w:firstLineChars="200"/>
        <w:jc w:val="left"/>
        <w:rPr>
          <w:rFonts w:hint="eastAsia" w:ascii="宋体" w:hAnsi="宋体" w:eastAsia="宋体" w:cs="宋体"/>
          <w:sz w:val="21"/>
          <w:szCs w:val="21"/>
          <w:highlight w:val="none"/>
        </w:rPr>
      </w:pPr>
    </w:p>
    <w:p w14:paraId="4841CBBA">
      <w:pPr>
        <w:widowControl/>
        <w:spacing w:beforeLines="0" w:afterLines="0" w:line="360" w:lineRule="auto"/>
        <w:ind w:firstLine="420" w:firstLineChars="200"/>
        <w:jc w:val="left"/>
        <w:rPr>
          <w:rFonts w:hint="eastAsia" w:ascii="宋体" w:hAnsi="宋体" w:eastAsia="宋体" w:cs="宋体"/>
          <w:sz w:val="21"/>
          <w:szCs w:val="21"/>
          <w:highlight w:val="none"/>
        </w:rPr>
      </w:pPr>
    </w:p>
    <w:p w14:paraId="6AB4E7B1">
      <w:pPr>
        <w:widowControl/>
        <w:spacing w:line="360" w:lineRule="auto"/>
        <w:jc w:val="center"/>
        <w:rPr>
          <w:rFonts w:hint="eastAsia" w:ascii="宋体" w:hAnsi="宋体" w:eastAsia="宋体" w:cs="宋体"/>
          <w:color w:val="auto"/>
          <w:sz w:val="21"/>
          <w:szCs w:val="21"/>
          <w:highlight w:val="none"/>
        </w:rPr>
      </w:pPr>
      <w:bookmarkStart w:id="870" w:name="_Toc221951939"/>
      <w:bookmarkStart w:id="871" w:name="_Toc10116"/>
      <w:bookmarkStart w:id="872" w:name="_Toc534572438"/>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bookmarkEnd w:id="870"/>
      <w:r>
        <w:rPr>
          <w:rFonts w:hint="eastAsia" w:ascii="宋体" w:hAnsi="宋体" w:eastAsia="宋体" w:cs="宋体"/>
          <w:color w:val="auto"/>
          <w:sz w:val="21"/>
          <w:szCs w:val="21"/>
          <w:highlight w:val="none"/>
        </w:rPr>
        <w:t>（盖单位章）</w:t>
      </w:r>
    </w:p>
    <w:p w14:paraId="05D80931">
      <w:pPr>
        <w:widowControl/>
        <w:spacing w:line="360" w:lineRule="auto"/>
        <w:jc w:val="right"/>
        <w:rPr>
          <w:rFonts w:hint="eastAsia" w:ascii="宋体" w:hAnsi="宋体" w:eastAsia="宋体" w:cs="宋体"/>
          <w:color w:val="auto"/>
          <w:sz w:val="21"/>
          <w:szCs w:val="21"/>
          <w:highlight w:val="none"/>
        </w:rPr>
      </w:pPr>
      <w:bookmarkStart w:id="873" w:name="_Toc221951940"/>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bookmarkEnd w:id="873"/>
    </w:p>
    <w:p w14:paraId="6AD4EE9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4" w:name="_Toc221951941"/>
      <w:r>
        <w:rPr>
          <w:rFonts w:hint="eastAsia" w:ascii="宋体" w:hAnsi="宋体" w:eastAsia="宋体" w:cs="宋体"/>
          <w:color w:val="auto"/>
          <w:sz w:val="21"/>
          <w:szCs w:val="21"/>
          <w:highlight w:val="none"/>
        </w:rPr>
        <w:t>地址：</w:t>
      </w:r>
      <w:bookmarkEnd w:id="874"/>
      <w:r>
        <w:rPr>
          <w:rFonts w:hint="eastAsia" w:ascii="宋体" w:hAnsi="宋体" w:eastAsia="宋体" w:cs="宋体"/>
          <w:color w:val="auto"/>
          <w:sz w:val="21"/>
          <w:szCs w:val="21"/>
          <w:highlight w:val="none"/>
          <w:u w:val="single"/>
        </w:rPr>
        <w:t xml:space="preserve">                                     </w:t>
      </w:r>
    </w:p>
    <w:p w14:paraId="2069444B">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5" w:name="_Toc221951942"/>
      <w:r>
        <w:rPr>
          <w:rFonts w:hint="eastAsia" w:ascii="宋体" w:hAnsi="宋体" w:eastAsia="宋体" w:cs="宋体"/>
          <w:color w:val="auto"/>
          <w:sz w:val="21"/>
          <w:szCs w:val="21"/>
          <w:highlight w:val="none"/>
        </w:rPr>
        <w:t>网址：</w:t>
      </w:r>
      <w:bookmarkEnd w:id="875"/>
      <w:r>
        <w:rPr>
          <w:rFonts w:hint="eastAsia" w:ascii="宋体" w:hAnsi="宋体" w:eastAsia="宋体" w:cs="宋体"/>
          <w:color w:val="auto"/>
          <w:sz w:val="21"/>
          <w:szCs w:val="21"/>
          <w:highlight w:val="none"/>
          <w:u w:val="single"/>
        </w:rPr>
        <w:t xml:space="preserve">                                     </w:t>
      </w:r>
    </w:p>
    <w:p w14:paraId="318C083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6" w:name="_Toc221951943"/>
      <w:r>
        <w:rPr>
          <w:rFonts w:hint="eastAsia" w:ascii="宋体" w:hAnsi="宋体" w:eastAsia="宋体" w:cs="宋体"/>
          <w:color w:val="auto"/>
          <w:sz w:val="21"/>
          <w:szCs w:val="21"/>
          <w:highlight w:val="none"/>
        </w:rPr>
        <w:t>电话：</w:t>
      </w:r>
      <w:bookmarkEnd w:id="876"/>
      <w:r>
        <w:rPr>
          <w:rFonts w:hint="eastAsia" w:ascii="宋体" w:hAnsi="宋体" w:eastAsia="宋体" w:cs="宋体"/>
          <w:color w:val="auto"/>
          <w:sz w:val="21"/>
          <w:szCs w:val="21"/>
          <w:highlight w:val="none"/>
          <w:u w:val="single"/>
        </w:rPr>
        <w:t xml:space="preserve">                                     </w:t>
      </w:r>
    </w:p>
    <w:p w14:paraId="0EE1C505">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7" w:name="_Toc221951944"/>
      <w:r>
        <w:rPr>
          <w:rFonts w:hint="eastAsia" w:ascii="宋体" w:hAnsi="宋体" w:eastAsia="宋体" w:cs="宋体"/>
          <w:color w:val="auto"/>
          <w:sz w:val="21"/>
          <w:szCs w:val="21"/>
          <w:highlight w:val="none"/>
        </w:rPr>
        <w:t>传真：</w:t>
      </w:r>
      <w:bookmarkEnd w:id="877"/>
      <w:r>
        <w:rPr>
          <w:rFonts w:hint="eastAsia" w:ascii="宋体" w:hAnsi="宋体" w:eastAsia="宋体" w:cs="宋体"/>
          <w:color w:val="auto"/>
          <w:sz w:val="21"/>
          <w:szCs w:val="21"/>
          <w:highlight w:val="none"/>
          <w:u w:val="single"/>
        </w:rPr>
        <w:t xml:space="preserve">                                     </w:t>
      </w:r>
    </w:p>
    <w:p w14:paraId="61D0E90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8" w:name="_Toc221951945"/>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bookmarkEnd w:id="878"/>
      <w:r>
        <w:rPr>
          <w:rFonts w:hint="eastAsia" w:ascii="宋体" w:hAnsi="宋体" w:eastAsia="宋体" w:cs="宋体"/>
          <w:color w:val="auto"/>
          <w:sz w:val="21"/>
          <w:szCs w:val="21"/>
          <w:highlight w:val="none"/>
          <w:u w:val="single"/>
        </w:rPr>
        <w:t xml:space="preserve">                                 </w:t>
      </w:r>
    </w:p>
    <w:p w14:paraId="3DCA2073">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p>
    <w:p w14:paraId="033D08F0">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r>
        <w:rPr>
          <w:rFonts w:hint="eastAsia" w:ascii="宋体" w:hAnsi="宋体" w:eastAsia="宋体" w:cs="宋体"/>
          <w:b/>
          <w:kern w:val="44"/>
          <w:sz w:val="21"/>
          <w:szCs w:val="21"/>
          <w:highlight w:val="none"/>
        </w:rPr>
        <w:t>注：签订合同时以本投标函为准。</w:t>
      </w:r>
    </w:p>
    <w:p w14:paraId="5E64DFB2">
      <w:pPr>
        <w:widowControl/>
        <w:adjustRightInd w:val="0"/>
        <w:snapToGrid w:val="0"/>
        <w:spacing w:before="0" w:beforeLines="0" w:after="0"/>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1487CA66">
      <w:pPr>
        <w:keepNext w:val="0"/>
        <w:keepLines w:val="0"/>
        <w:widowControl w:val="0"/>
        <w:adjustRightInd/>
        <w:snapToGrid/>
        <w:spacing w:before="0" w:beforeLines="0" w:beforeAutospacing="0" w:after="0" w:afterLines="0" w:afterAutospacing="0" w:line="360" w:lineRule="auto"/>
        <w:ind w:firstLine="3132" w:firstLineChars="1300"/>
        <w:outlineLvl w:val="2"/>
        <w:rPr>
          <w:rFonts w:hint="eastAsia" w:ascii="宋体" w:hAnsi="宋体" w:eastAsia="宋体" w:cs="宋体"/>
          <w:b/>
          <w:kern w:val="2"/>
          <w:sz w:val="32"/>
          <w:szCs w:val="22"/>
          <w:highlight w:val="none"/>
          <w:lang w:val="en-US" w:eastAsia="zh-CN" w:bidi="ar-SA"/>
        </w:rPr>
      </w:pPr>
      <w:r>
        <w:rPr>
          <w:rFonts w:hint="eastAsia" w:ascii="宋体" w:hAnsi="宋体" w:eastAsia="宋体" w:cs="宋体"/>
          <w:b/>
          <w:kern w:val="2"/>
          <w:sz w:val="24"/>
          <w:szCs w:val="24"/>
          <w:highlight w:val="none"/>
          <w:lang w:val="en-US" w:eastAsia="zh-CN" w:bidi="ar-SA"/>
        </w:rPr>
        <w:t>（二）投标函附录</w:t>
      </w:r>
    </w:p>
    <w:tbl>
      <w:tblPr>
        <w:tblStyle w:val="2"/>
        <w:tblpPr w:leftFromText="180" w:rightFromText="180" w:vertAnchor="text" w:horzAnchor="page" w:tblpX="1430" w:tblpY="396"/>
        <w:tblOverlap w:val="never"/>
        <w:tblW w:w="8994" w:type="dxa"/>
        <w:tblInd w:w="0" w:type="dxa"/>
        <w:tblLayout w:type="fixed"/>
        <w:tblCellMar>
          <w:top w:w="0" w:type="dxa"/>
          <w:left w:w="10" w:type="dxa"/>
          <w:bottom w:w="0" w:type="dxa"/>
          <w:right w:w="10" w:type="dxa"/>
        </w:tblCellMar>
      </w:tblPr>
      <w:tblGrid>
        <w:gridCol w:w="2493"/>
        <w:gridCol w:w="1300"/>
        <w:gridCol w:w="1300"/>
        <w:gridCol w:w="1300"/>
        <w:gridCol w:w="1300"/>
        <w:gridCol w:w="1301"/>
      </w:tblGrid>
      <w:tr w14:paraId="6AA15C9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CE87394">
            <w:pPr>
              <w:widowControl/>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803C486">
            <w:pPr>
              <w:widowControl/>
              <w:spacing w:line="360" w:lineRule="auto"/>
              <w:jc w:val="left"/>
              <w:rPr>
                <w:rFonts w:hint="eastAsia" w:ascii="宋体" w:hAnsi="宋体" w:eastAsia="宋体" w:cs="宋体"/>
                <w:color w:val="auto"/>
                <w:sz w:val="21"/>
                <w:szCs w:val="21"/>
                <w:highlight w:val="none"/>
                <w:u w:val="single"/>
              </w:rPr>
            </w:pPr>
          </w:p>
        </w:tc>
      </w:tr>
      <w:tr w14:paraId="785019D5">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1D177231">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857E68A">
            <w:pPr>
              <w:widowControl/>
              <w:spacing w:line="360" w:lineRule="auto"/>
              <w:jc w:val="left"/>
              <w:rPr>
                <w:rFonts w:hint="eastAsia" w:ascii="宋体" w:hAnsi="宋体" w:eastAsia="宋体" w:cs="宋体"/>
                <w:color w:val="auto"/>
                <w:sz w:val="21"/>
                <w:szCs w:val="21"/>
                <w:highlight w:val="none"/>
                <w:u w:val="single"/>
              </w:rPr>
            </w:pPr>
          </w:p>
        </w:tc>
      </w:tr>
      <w:tr w14:paraId="538B8D63">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DFF65B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665EA4C">
            <w:pPr>
              <w:widowControl/>
              <w:spacing w:line="360" w:lineRule="auto"/>
              <w:jc w:val="left"/>
              <w:rPr>
                <w:rFonts w:hint="eastAsia" w:ascii="宋体" w:hAnsi="宋体" w:eastAsia="宋体" w:cs="宋体"/>
                <w:color w:val="auto"/>
                <w:sz w:val="21"/>
                <w:szCs w:val="21"/>
                <w:highlight w:val="none"/>
              </w:rPr>
            </w:pPr>
          </w:p>
        </w:tc>
      </w:tr>
      <w:tr w14:paraId="29809C7A">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580B6C19">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01C289C">
            <w:pPr>
              <w:widowControl/>
              <w:spacing w:line="360" w:lineRule="auto"/>
              <w:ind w:firstLine="840" w:firstLineChars="400"/>
              <w:jc w:val="left"/>
              <w:rPr>
                <w:rFonts w:hint="eastAsia" w:ascii="宋体" w:hAnsi="宋体" w:eastAsia="宋体" w:cs="宋体"/>
                <w:color w:val="auto"/>
                <w:sz w:val="21"/>
                <w:szCs w:val="21"/>
                <w:highlight w:val="none"/>
              </w:rPr>
            </w:pPr>
          </w:p>
        </w:tc>
      </w:tr>
      <w:tr w14:paraId="242E0AC9">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4B6FB604">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0A4FBA6">
            <w:pPr>
              <w:widowControl/>
              <w:spacing w:line="360" w:lineRule="auto"/>
              <w:jc w:val="left"/>
              <w:rPr>
                <w:rFonts w:hint="eastAsia" w:ascii="宋体" w:hAnsi="宋体" w:eastAsia="宋体" w:cs="宋体"/>
                <w:color w:val="auto"/>
                <w:sz w:val="21"/>
                <w:szCs w:val="21"/>
                <w:highlight w:val="none"/>
              </w:rPr>
            </w:pPr>
          </w:p>
          <w:p w14:paraId="45DCD681">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36A5DB72">
            <w:pPr>
              <w:widowControl/>
              <w:spacing w:line="360" w:lineRule="auto"/>
              <w:jc w:val="left"/>
              <w:rPr>
                <w:rFonts w:hint="eastAsia" w:ascii="宋体" w:hAnsi="宋体" w:eastAsia="宋体" w:cs="宋体"/>
                <w:color w:val="auto"/>
                <w:sz w:val="21"/>
                <w:szCs w:val="21"/>
                <w:highlight w:val="none"/>
                <w:lang w:val="zh-CN"/>
              </w:rPr>
            </w:pPr>
          </w:p>
          <w:p w14:paraId="2E58F8F1">
            <w:pPr>
              <w:widowControl/>
              <w:spacing w:line="360" w:lineRule="auto"/>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0F31ACFF">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F19C9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负责人</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937D626">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0A2D1E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职称</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5D88925">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B709B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477AB37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编号</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64F9421">
            <w:pPr>
              <w:widowControl/>
              <w:spacing w:line="360" w:lineRule="auto"/>
              <w:jc w:val="left"/>
              <w:rPr>
                <w:rFonts w:hint="eastAsia" w:ascii="宋体" w:hAnsi="宋体" w:eastAsia="宋体" w:cs="宋体"/>
                <w:color w:val="auto"/>
                <w:sz w:val="21"/>
                <w:szCs w:val="21"/>
                <w:highlight w:val="none"/>
                <w:lang w:val="zh-CN"/>
              </w:rPr>
            </w:pPr>
          </w:p>
        </w:tc>
      </w:tr>
      <w:tr w14:paraId="125CCD2F">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59D1E54">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供货期（服务期）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4F8054B">
            <w:pPr>
              <w:widowControl/>
              <w:spacing w:line="360" w:lineRule="auto"/>
              <w:jc w:val="left"/>
              <w:rPr>
                <w:rFonts w:hint="eastAsia" w:ascii="宋体" w:hAnsi="宋体" w:eastAsia="宋体" w:cs="宋体"/>
                <w:color w:val="auto"/>
                <w:sz w:val="21"/>
                <w:szCs w:val="21"/>
                <w:highlight w:val="none"/>
                <w:lang w:val="zh-CN"/>
              </w:rPr>
            </w:pPr>
          </w:p>
        </w:tc>
      </w:tr>
      <w:tr w14:paraId="22168A26">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349D6CF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79799916">
            <w:pPr>
              <w:widowControl/>
              <w:spacing w:line="360" w:lineRule="auto"/>
              <w:jc w:val="left"/>
              <w:rPr>
                <w:rFonts w:hint="eastAsia" w:ascii="宋体" w:hAnsi="宋体" w:eastAsia="宋体" w:cs="宋体"/>
                <w:color w:val="auto"/>
                <w:sz w:val="21"/>
                <w:szCs w:val="21"/>
                <w:highlight w:val="none"/>
              </w:rPr>
            </w:pPr>
          </w:p>
        </w:tc>
      </w:tr>
      <w:tr w14:paraId="0AF9B7B2">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77BD7541">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74BB2FCB">
            <w:pPr>
              <w:widowControl/>
              <w:spacing w:line="360" w:lineRule="auto"/>
              <w:jc w:val="left"/>
              <w:rPr>
                <w:rFonts w:hint="eastAsia" w:ascii="宋体" w:hAnsi="宋体" w:eastAsia="宋体" w:cs="宋体"/>
                <w:color w:val="auto"/>
                <w:sz w:val="21"/>
                <w:szCs w:val="21"/>
                <w:highlight w:val="none"/>
              </w:rPr>
            </w:pPr>
          </w:p>
        </w:tc>
      </w:tr>
      <w:tr w14:paraId="37A3C2F5">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C74CE6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136CCB2">
            <w:pPr>
              <w:widowControl/>
              <w:spacing w:line="360" w:lineRule="auto"/>
              <w:jc w:val="left"/>
              <w:rPr>
                <w:rFonts w:hint="eastAsia" w:ascii="宋体" w:hAnsi="宋体" w:eastAsia="宋体" w:cs="宋体"/>
                <w:color w:val="auto"/>
                <w:sz w:val="21"/>
                <w:szCs w:val="21"/>
                <w:highlight w:val="none"/>
              </w:rPr>
            </w:pPr>
          </w:p>
        </w:tc>
      </w:tr>
    </w:tbl>
    <w:p w14:paraId="4686BE26">
      <w:pPr>
        <w:widowControl/>
        <w:wordWrap w:val="0"/>
        <w:autoSpaceDE w:val="0"/>
        <w:autoSpaceDN w:val="0"/>
        <w:adjustRightInd w:val="0"/>
        <w:spacing w:line="360" w:lineRule="auto"/>
        <w:ind w:right="-34" w:rightChars="-16"/>
        <w:jc w:val="both"/>
        <w:rPr>
          <w:rFonts w:hint="eastAsia" w:ascii="宋体" w:hAnsi="宋体" w:eastAsia="宋体" w:cs="宋体"/>
          <w:b/>
          <w:color w:val="auto"/>
          <w:kern w:val="0"/>
          <w:sz w:val="21"/>
          <w:szCs w:val="21"/>
          <w:highlight w:val="none"/>
        </w:rPr>
      </w:pPr>
    </w:p>
    <w:p w14:paraId="34227B2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43E66966">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14:paraId="1A82B622">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220B4329">
      <w:pPr>
        <w:widowControl/>
        <w:spacing w:beforeLines="0" w:afterLines="0" w:line="360" w:lineRule="auto"/>
        <w:jc w:val="left"/>
        <w:rPr>
          <w:rFonts w:hint="eastAsia" w:ascii="宋体" w:hAnsi="宋体" w:eastAsia="宋体" w:cs="宋体"/>
          <w:kern w:val="0"/>
          <w:szCs w:val="21"/>
          <w:highlight w:val="none"/>
        </w:rPr>
      </w:pPr>
    </w:p>
    <w:p w14:paraId="6124587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3C1EF5F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3D2E75E6">
      <w:pPr>
        <w:widowControl w:val="0"/>
        <w:adjustRightInd w:val="0"/>
        <w:snapToGrid w:val="0"/>
        <w:spacing w:before="0" w:beforeLines="0" w:after="0" w:afterLines="0"/>
        <w:jc w:val="center"/>
        <w:rPr>
          <w:rFonts w:hint="eastAsia" w:ascii="宋体" w:hAnsi="宋体" w:eastAsia="宋体" w:cs="宋体"/>
          <w:b/>
          <w:sz w:val="28"/>
          <w:szCs w:val="28"/>
          <w:highlight w:val="none"/>
        </w:rPr>
      </w:pPr>
      <w:bookmarkStart w:id="879" w:name="_Toc62034587"/>
      <w:bookmarkStart w:id="880" w:name="_Toc30440"/>
      <w:bookmarkStart w:id="881" w:name="_Toc91345073"/>
      <w:r>
        <w:rPr>
          <w:rFonts w:hint="eastAsia" w:ascii="宋体" w:hAnsi="宋体" w:eastAsia="宋体" w:cs="宋体"/>
          <w:b/>
          <w:sz w:val="28"/>
          <w:szCs w:val="28"/>
          <w:highlight w:val="none"/>
        </w:rPr>
        <w:br w:type="page"/>
      </w:r>
    </w:p>
    <w:p w14:paraId="652F7952">
      <w:pPr>
        <w:keepNext/>
        <w:keepLines/>
        <w:widowControl w:val="0"/>
        <w:adjustRightInd w:val="0"/>
        <w:snapToGrid w:val="0"/>
        <w:spacing w:before="0" w:beforeLines="0" w:after="0" w:afterLines="0" w:line="416" w:lineRule="auto"/>
        <w:ind w:firstLine="2168" w:firstLineChars="900"/>
        <w:outlineLvl w:val="1"/>
        <w:rPr>
          <w:rFonts w:hint="eastAsia" w:ascii="宋体" w:hAnsi="宋体" w:eastAsia="宋体" w:cs="宋体"/>
          <w:b/>
          <w:bCs/>
          <w:kern w:val="0"/>
          <w:sz w:val="24"/>
          <w:szCs w:val="24"/>
          <w:highlight w:val="none"/>
          <w:lang w:val="en-US" w:eastAsia="zh-CN" w:bidi="ar-SA"/>
        </w:rPr>
      </w:pPr>
      <w:bookmarkStart w:id="882" w:name="_Toc25724"/>
      <w:r>
        <w:rPr>
          <w:rFonts w:hint="eastAsia" w:ascii="宋体" w:hAnsi="宋体" w:eastAsia="宋体" w:cs="宋体"/>
          <w:b/>
          <w:bCs/>
          <w:kern w:val="2"/>
          <w:sz w:val="24"/>
          <w:szCs w:val="24"/>
          <w:highlight w:val="none"/>
          <w:lang w:val="en-US" w:eastAsia="zh-CN" w:bidi="ar-SA"/>
        </w:rPr>
        <w:t>二、法定代表人（单位负责人）身份证明</w:t>
      </w:r>
      <w:bookmarkEnd w:id="871"/>
      <w:bookmarkEnd w:id="872"/>
      <w:bookmarkEnd w:id="879"/>
      <w:bookmarkEnd w:id="880"/>
      <w:bookmarkEnd w:id="881"/>
      <w:bookmarkEnd w:id="882"/>
    </w:p>
    <w:p w14:paraId="4AD88924">
      <w:pPr>
        <w:spacing w:beforeLines="0" w:after="0" w:afterLines="0" w:line="240" w:lineRule="auto"/>
        <w:rPr>
          <w:rFonts w:hint="eastAsia" w:ascii="宋体" w:hAnsi="宋体" w:eastAsia="宋体" w:cs="宋体"/>
          <w:kern w:val="2"/>
          <w:sz w:val="28"/>
          <w:szCs w:val="28"/>
          <w:highlight w:val="none"/>
          <w:lang w:val="en-US" w:eastAsia="zh-CN" w:bidi="ar-SA"/>
        </w:rPr>
      </w:pPr>
    </w:p>
    <w:p w14:paraId="6609921C">
      <w:pPr>
        <w:spacing w:before="0" w:beforeLines="0" w:after="0" w:afterLines="0" w:line="360" w:lineRule="auto"/>
        <w:ind w:firstLine="0" w:firstLineChars="0"/>
        <w:rPr>
          <w:rFonts w:hint="eastAsia" w:ascii="宋体" w:hAnsi="宋体" w:eastAsia="宋体" w:cs="宋体"/>
          <w:b/>
          <w:kern w:val="2"/>
          <w:sz w:val="25"/>
          <w:szCs w:val="22"/>
          <w:highlight w:val="none"/>
          <w:lang w:val="en-US" w:eastAsia="zh-CN" w:bidi="ar-SA"/>
        </w:rPr>
      </w:pPr>
    </w:p>
    <w:p w14:paraId="747CA1BD">
      <w:pPr>
        <w:tabs>
          <w:tab w:val="left" w:pos="3928"/>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投标人名称：</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64FC2695">
      <w:pPr>
        <w:tabs>
          <w:tab w:val="left" w:pos="2412"/>
          <w:tab w:val="left" w:pos="3883"/>
          <w:tab w:val="left" w:pos="5352"/>
          <w:tab w:val="left" w:pos="6869"/>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姓名：</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性别：</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年龄：</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职务：</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5911F16E">
      <w:pPr>
        <w:tabs>
          <w:tab w:val="left" w:pos="2832"/>
        </w:tabs>
        <w:spacing w:before="0" w:beforeLines="0" w:after="0" w:afterLines="0" w:line="360" w:lineRule="auto"/>
        <w:ind w:firstLine="416"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SA"/>
        </w:rPr>
        <w:t>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投</w:t>
      </w:r>
      <w:r>
        <w:rPr>
          <w:rFonts w:hint="eastAsia" w:ascii="宋体" w:hAnsi="宋体" w:eastAsia="宋体" w:cs="宋体"/>
          <w:spacing w:val="-3"/>
          <w:kern w:val="2"/>
          <w:sz w:val="21"/>
          <w:szCs w:val="21"/>
          <w:highlight w:val="none"/>
          <w:lang w:val="en-US" w:eastAsia="zh-CN" w:bidi="ar-SA"/>
        </w:rPr>
        <w:t>标</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名</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法定</w:t>
      </w:r>
      <w:r>
        <w:rPr>
          <w:rFonts w:hint="eastAsia" w:ascii="宋体" w:hAnsi="宋体" w:eastAsia="宋体" w:cs="宋体"/>
          <w:kern w:val="2"/>
          <w:sz w:val="21"/>
          <w:szCs w:val="21"/>
          <w:highlight w:val="none"/>
          <w:lang w:val="en-US" w:eastAsia="zh-CN" w:bidi="ar-SA"/>
        </w:rPr>
        <w:t>代表</w:t>
      </w:r>
      <w:r>
        <w:rPr>
          <w:rFonts w:hint="eastAsia" w:ascii="宋体" w:hAnsi="宋体" w:eastAsia="宋体" w:cs="宋体"/>
          <w:spacing w:val="-3"/>
          <w:kern w:val="2"/>
          <w:sz w:val="21"/>
          <w:szCs w:val="21"/>
          <w:highlight w:val="none"/>
          <w:lang w:val="en-US" w:eastAsia="zh-CN" w:bidi="ar-SA"/>
        </w:rPr>
        <w:t>人。</w:t>
      </w:r>
    </w:p>
    <w:p w14:paraId="2E38A89D">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特此证明。</w:t>
      </w:r>
    </w:p>
    <w:p w14:paraId="4D2CF341">
      <w:pPr>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附：法定代表人身份证原件扫描件。</w:t>
      </w:r>
    </w:p>
    <w:p w14:paraId="1BD35809">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5892F8F2">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1B3C4B72">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7A01423">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A0B9527">
      <w:pPr>
        <w:widowControl/>
        <w:spacing w:beforeLines="0" w:afterLines="0" w:line="360" w:lineRule="auto"/>
        <w:jc w:val="left"/>
        <w:rPr>
          <w:rFonts w:hint="eastAsia" w:ascii="宋体" w:hAnsi="宋体" w:eastAsia="宋体" w:cs="宋体"/>
          <w:kern w:val="0"/>
          <w:szCs w:val="21"/>
          <w:highlight w:val="none"/>
        </w:rPr>
      </w:pPr>
    </w:p>
    <w:p w14:paraId="20E8326C">
      <w:pPr>
        <w:widowControl/>
        <w:spacing w:beforeLines="0" w:afterLines="0" w:line="360" w:lineRule="auto"/>
        <w:ind w:firstLine="0" w:firstLineChars="0"/>
        <w:jc w:val="right"/>
        <w:rPr>
          <w:rFonts w:hint="eastAsia" w:ascii="宋体" w:hAnsi="宋体" w:eastAsia="宋体" w:cs="宋体"/>
          <w:sz w:val="21"/>
          <w:szCs w:val="21"/>
          <w:highlight w:val="none"/>
        </w:rPr>
      </w:pPr>
    </w:p>
    <w:p w14:paraId="0C51EFCD">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18E6D9E5">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36957E0F">
      <w:pPr>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sectPr>
          <w:footerReference r:id="rId6" w:type="default"/>
          <w:pgSz w:w="11905" w:h="16838"/>
          <w:pgMar w:top="1417" w:right="1417" w:bottom="1417" w:left="1417" w:header="794" w:footer="794" w:gutter="0"/>
          <w:pgNumType w:fmt="decimal" w:start="1"/>
          <w:cols w:space="720" w:num="1"/>
          <w:docGrid w:linePitch="286" w:charSpace="0"/>
        </w:sectPr>
      </w:pPr>
      <w:bookmarkStart w:id="883" w:name="_Toc62034588"/>
      <w:bookmarkStart w:id="884" w:name="_Toc54550869"/>
      <w:r>
        <w:rPr>
          <w:rFonts w:hint="eastAsia" w:ascii="宋体" w:hAnsi="宋体" w:eastAsia="宋体" w:cs="宋体"/>
          <w:szCs w:val="21"/>
          <w:highlight w:val="none"/>
        </w:rPr>
        <w:t>注：投标人如未授权代理人，则应在投标文件中提供本法定代表人身份证明。反之，则无需在投标文件中提供法定代表人身份证明。</w:t>
      </w:r>
      <w:bookmarkEnd w:id="883"/>
      <w:bookmarkEnd w:id="884"/>
    </w:p>
    <w:p w14:paraId="47B5CB82">
      <w:pPr>
        <w:keepNext/>
        <w:keepLines/>
        <w:widowControl w:val="0"/>
        <w:adjustRightInd w:val="0"/>
        <w:snapToGrid w:val="0"/>
        <w:spacing w:before="0" w:beforeLines="0" w:after="0" w:afterLines="0" w:line="416" w:lineRule="auto"/>
        <w:ind w:firstLine="3855" w:firstLineChars="1600"/>
        <w:outlineLvl w:val="1"/>
        <w:rPr>
          <w:rFonts w:hint="eastAsia" w:ascii="宋体" w:hAnsi="宋体" w:eastAsia="宋体" w:cs="宋体"/>
          <w:b/>
          <w:bCs/>
          <w:kern w:val="0"/>
          <w:sz w:val="24"/>
          <w:szCs w:val="24"/>
          <w:highlight w:val="none"/>
          <w:lang w:val="en-US" w:eastAsia="zh-CN" w:bidi="ar-SA"/>
        </w:rPr>
      </w:pPr>
      <w:bookmarkStart w:id="885" w:name="_Toc62034589"/>
      <w:bookmarkStart w:id="886" w:name="_Toc91345074"/>
      <w:bookmarkStart w:id="887" w:name="_Toc7874"/>
      <w:bookmarkStart w:id="888" w:name="_Toc3643"/>
      <w:r>
        <w:rPr>
          <w:rFonts w:hint="eastAsia" w:ascii="宋体" w:hAnsi="宋体" w:eastAsia="宋体" w:cs="宋体"/>
          <w:b/>
          <w:bCs/>
          <w:kern w:val="2"/>
          <w:sz w:val="24"/>
          <w:szCs w:val="24"/>
          <w:highlight w:val="none"/>
          <w:lang w:val="en-US" w:eastAsia="zh-CN" w:bidi="ar-SA"/>
        </w:rPr>
        <w:t>二、授权委托书</w:t>
      </w:r>
      <w:bookmarkEnd w:id="885"/>
      <w:bookmarkEnd w:id="886"/>
      <w:bookmarkEnd w:id="887"/>
      <w:bookmarkEnd w:id="888"/>
    </w:p>
    <w:p w14:paraId="2CD9E986">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707BDCD2">
      <w:pPr>
        <w:tabs>
          <w:tab w:val="left" w:pos="2421"/>
          <w:tab w:val="left" w:pos="5585"/>
        </w:tabs>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（投标人名称）的法定代表人（单位负责</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现</w:t>
      </w:r>
      <w:r>
        <w:rPr>
          <w:rFonts w:hint="eastAsia" w:ascii="宋体" w:hAnsi="宋体" w:eastAsia="宋体" w:cs="宋体"/>
          <w:kern w:val="2"/>
          <w:sz w:val="21"/>
          <w:szCs w:val="21"/>
          <w:highlight w:val="none"/>
          <w:lang w:val="en-US" w:eastAsia="zh-CN" w:bidi="ar-SA"/>
        </w:rPr>
        <w:t>委</w:t>
      </w:r>
      <w:r>
        <w:rPr>
          <w:rFonts w:hint="eastAsia" w:ascii="宋体" w:hAnsi="宋体" w:eastAsia="宋体" w:cs="宋体"/>
          <w:spacing w:val="-1"/>
          <w:kern w:val="2"/>
          <w:sz w:val="21"/>
          <w:szCs w:val="21"/>
          <w:highlight w:val="none"/>
          <w:lang w:val="en-US" w:eastAsia="zh-CN" w:bidi="ar-SA"/>
        </w:rPr>
        <w:t>托</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（姓名）为我</w:t>
      </w:r>
      <w:r>
        <w:rPr>
          <w:rFonts w:hint="eastAsia" w:ascii="宋体" w:hAnsi="宋体" w:eastAsia="宋体" w:cs="宋体"/>
          <w:spacing w:val="-3"/>
          <w:kern w:val="2"/>
          <w:sz w:val="21"/>
          <w:szCs w:val="21"/>
          <w:highlight w:val="none"/>
          <w:lang w:val="en-US" w:eastAsia="zh-CN" w:bidi="ar-SA"/>
        </w:rPr>
        <w:t>方代</w:t>
      </w:r>
      <w:r>
        <w:rPr>
          <w:rFonts w:hint="eastAsia" w:ascii="宋体" w:hAnsi="宋体" w:eastAsia="宋体" w:cs="宋体"/>
          <w:kern w:val="2"/>
          <w:sz w:val="21"/>
          <w:szCs w:val="21"/>
          <w:highlight w:val="none"/>
          <w:lang w:val="en-US" w:eastAsia="zh-CN" w:bidi="ar-SA"/>
        </w:rPr>
        <w:t>理人。代理</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根据授</w:t>
      </w:r>
      <w:r>
        <w:rPr>
          <w:rFonts w:hint="eastAsia" w:ascii="宋体" w:hAnsi="宋体" w:eastAsia="宋体" w:cs="宋体"/>
          <w:spacing w:val="-3"/>
          <w:kern w:val="2"/>
          <w:sz w:val="21"/>
          <w:szCs w:val="21"/>
          <w:highlight w:val="none"/>
          <w:lang w:val="en-US" w:eastAsia="zh-CN" w:bidi="ar-SA"/>
        </w:rPr>
        <w:t>权，</w:t>
      </w:r>
      <w:r>
        <w:rPr>
          <w:rFonts w:hint="eastAsia" w:ascii="宋体" w:hAnsi="宋体" w:eastAsia="宋体" w:cs="宋体"/>
          <w:kern w:val="2"/>
          <w:sz w:val="21"/>
          <w:szCs w:val="21"/>
          <w:highlight w:val="none"/>
          <w:lang w:val="en-US" w:eastAsia="zh-CN" w:bidi="ar-SA"/>
        </w:rPr>
        <w:t>以我方名义</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署、澄清确认、递交、撤回、修改设备采购招标项目投标文件、签订合同和处理有关事宜，其法律后果由我方承担。</w:t>
      </w:r>
    </w:p>
    <w:p w14:paraId="74B3818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委托期限：</w:t>
      </w:r>
      <w:bookmarkStart w:id="889" w:name="_Toc221952026"/>
      <w:r>
        <w:rPr>
          <w:rFonts w:hint="eastAsia" w:ascii="宋体" w:hAnsi="宋体" w:eastAsia="宋体" w:cs="宋体"/>
          <w:sz w:val="21"/>
          <w:szCs w:val="21"/>
          <w:highlight w:val="none"/>
          <w:u w:val="single"/>
        </w:rPr>
        <w:t>自本授权委托书签署之日起至本工程的投标有效期结束止</w:t>
      </w:r>
      <w:r>
        <w:rPr>
          <w:rFonts w:hint="eastAsia" w:ascii="宋体" w:hAnsi="宋体" w:eastAsia="宋体" w:cs="宋体"/>
          <w:sz w:val="21"/>
          <w:szCs w:val="21"/>
          <w:highlight w:val="none"/>
        </w:rPr>
        <w:t>。</w:t>
      </w:r>
      <w:bookmarkEnd w:id="889"/>
    </w:p>
    <w:p w14:paraId="35DF4DA5">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6E515374">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代理人无转委托权。</w:t>
      </w:r>
    </w:p>
    <w:p w14:paraId="58E993C9">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18F90E92">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76ADFFB1">
      <w:pPr>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p>
    <w:p w14:paraId="1BBCEC07">
      <w:pPr>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6AA3E813">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35C494A4">
      <w:pPr>
        <w:tabs>
          <w:tab w:val="left" w:pos="3216"/>
          <w:tab w:val="left" w:pos="3636"/>
          <w:tab w:val="left" w:pos="724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FECA3F5">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w:t>
      </w:r>
      <w:r>
        <w:rPr>
          <w:rFonts w:hint="eastAsia" w:ascii="宋体" w:hAnsi="宋体" w:eastAsia="宋体" w:cs="宋体"/>
          <w:spacing w:val="-3"/>
          <w:kern w:val="2"/>
          <w:sz w:val="21"/>
          <w:szCs w:val="21"/>
          <w:highlight w:val="none"/>
          <w:lang w:val="en-US" w:eastAsia="zh-CN" w:bidi="ar-SA"/>
        </w:rPr>
        <w:t>代</w:t>
      </w:r>
      <w:r>
        <w:rPr>
          <w:rFonts w:hint="eastAsia" w:ascii="宋体" w:hAnsi="宋体" w:eastAsia="宋体" w:cs="宋体"/>
          <w:kern w:val="2"/>
          <w:sz w:val="21"/>
          <w:szCs w:val="21"/>
          <w:highlight w:val="none"/>
          <w:lang w:val="en-US" w:eastAsia="zh-CN" w:bidi="ar-SA"/>
        </w:rPr>
        <w:t>表</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49C76F54">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524D9CAA">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委托代理人：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37D0BFC6">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60DE1D7B">
      <w:pPr>
        <w:tabs>
          <w:tab w:val="left" w:pos="5352"/>
          <w:tab w:val="left" w:pos="6192"/>
          <w:tab w:val="left" w:pos="7032"/>
        </w:tabs>
        <w:spacing w:before="0" w:beforeLines="0" w:after="0" w:afterLines="0" w:line="360" w:lineRule="auto"/>
        <w:ind w:lef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14:paraId="460DC2CA">
      <w:pPr>
        <w:widowControl/>
        <w:adjustRightInd w:val="0"/>
        <w:snapToGrid w:val="0"/>
        <w:spacing w:beforeLines="0" w:afterLines="0" w:line="360" w:lineRule="auto"/>
        <w:ind w:firstLine="420" w:firstLineChars="200"/>
        <w:jc w:val="both"/>
        <w:rPr>
          <w:rFonts w:hint="eastAsia" w:ascii="宋体" w:hAnsi="宋体" w:eastAsia="宋体" w:cs="宋体"/>
          <w:szCs w:val="21"/>
          <w:highlight w:val="none"/>
        </w:rPr>
      </w:pPr>
      <w:bookmarkStart w:id="890" w:name="_Toc54550871"/>
      <w:bookmarkStart w:id="891" w:name="_Toc62034590"/>
    </w:p>
    <w:p w14:paraId="2506F93F">
      <w:pPr>
        <w:widowControl/>
        <w:adjustRightInd w:val="0"/>
        <w:snapToGrid w:val="0"/>
        <w:spacing w:beforeLines="0" w:afterLines="0" w:line="360" w:lineRule="auto"/>
        <w:ind w:firstLine="420" w:firstLineChars="200"/>
        <w:jc w:val="both"/>
        <w:rPr>
          <w:rFonts w:hint="eastAsia" w:ascii="宋体" w:hAnsi="宋体" w:eastAsia="宋体" w:cs="宋体"/>
          <w:b w:val="0"/>
          <w:bCs/>
          <w:szCs w:val="21"/>
          <w:highlight w:val="none"/>
        </w:rPr>
      </w:pPr>
      <w:r>
        <w:rPr>
          <w:rFonts w:hint="eastAsia" w:ascii="宋体" w:hAnsi="宋体" w:eastAsia="宋体" w:cs="宋体"/>
          <w:b w:val="0"/>
          <w:bCs/>
          <w:szCs w:val="21"/>
          <w:highlight w:val="none"/>
        </w:rPr>
        <w:t>注：1、投标人如授权代理人，则应在投标文件中需提供本授权委托书，并后附委托代理人身份证、劳动合同、依法缴纳社会保险证明，法定代表人身份证明等材料原件扫描件。反之，则无需在投标文件中提供本授权委托书及其要求的相关证明材料。</w:t>
      </w:r>
      <w:bookmarkEnd w:id="890"/>
      <w:bookmarkEnd w:id="891"/>
    </w:p>
    <w:p w14:paraId="6C201EDC">
      <w:pPr>
        <w:adjustRightInd w:val="0"/>
        <w:snapToGrid w:val="0"/>
        <w:spacing w:beforeLines="0" w:afterLines="0" w:line="360" w:lineRule="auto"/>
        <w:ind w:firstLine="420" w:firstLineChars="200"/>
        <w:jc w:val="both"/>
        <w:rPr>
          <w:rFonts w:hint="eastAsia" w:ascii="宋体" w:hAnsi="宋体" w:eastAsia="宋体" w:cs="宋体"/>
          <w:b/>
          <w:szCs w:val="21"/>
          <w:highlight w:val="none"/>
        </w:rPr>
        <w:sectPr>
          <w:pgSz w:w="11905" w:h="16838"/>
          <w:pgMar w:top="1417" w:right="1417" w:bottom="1417" w:left="1417" w:header="794" w:footer="794" w:gutter="0"/>
          <w:pgNumType w:fmt="decimal"/>
          <w:cols w:space="720" w:num="1"/>
          <w:docGrid w:linePitch="286" w:charSpace="0"/>
        </w:sectPr>
      </w:pPr>
      <w:r>
        <w:rPr>
          <w:rFonts w:hint="eastAsia" w:ascii="宋体" w:hAnsi="宋体" w:eastAsia="宋体" w:cs="宋体"/>
          <w:b w:val="0"/>
          <w:bCs/>
          <w:szCs w:val="21"/>
          <w:highlight w:val="none"/>
        </w:rPr>
        <w:t>2、投标人制作电子投标文件时，上传签字、盖章后的授权委托书扫描件</w:t>
      </w:r>
      <w:r>
        <w:rPr>
          <w:rFonts w:hint="eastAsia" w:ascii="宋体" w:hAnsi="宋体" w:eastAsia="宋体" w:cs="宋体"/>
          <w:b/>
          <w:szCs w:val="21"/>
          <w:highlight w:val="none"/>
        </w:rPr>
        <w:t>。</w:t>
      </w:r>
    </w:p>
    <w:p w14:paraId="7B99711C">
      <w:pPr>
        <w:widowControl w:val="0"/>
        <w:autoSpaceDE w:val="0"/>
        <w:autoSpaceDN w:val="0"/>
        <w:bidi w:val="0"/>
        <w:adjustRightInd w:val="0"/>
        <w:spacing w:line="360" w:lineRule="auto"/>
        <w:ind w:left="100" w:right="113"/>
        <w:jc w:val="center"/>
        <w:outlineLvl w:val="1"/>
        <w:rPr>
          <w:rFonts w:hint="eastAsia" w:ascii="Microsoft JhengHei" w:hAnsi="Microsoft JhengHei" w:eastAsia="宋体" w:cs="Microsoft JhengHei"/>
          <w:b/>
          <w:bCs/>
          <w:sz w:val="24"/>
          <w:szCs w:val="32"/>
          <w:highlight w:val="none"/>
          <w:lang w:val="en-US" w:eastAsia="zh-CN" w:bidi="ar-SA"/>
        </w:rPr>
      </w:pPr>
      <w:r>
        <w:rPr>
          <w:rFonts w:hint="eastAsia" w:ascii="Microsoft JhengHei" w:hAnsi="Microsoft JhengHei" w:eastAsia="宋体" w:cs="Microsoft JhengHei"/>
          <w:b/>
          <w:bCs/>
          <w:sz w:val="24"/>
          <w:szCs w:val="32"/>
          <w:highlight w:val="none"/>
          <w:lang w:val="en-US" w:eastAsia="zh-CN" w:bidi="ar-SA"/>
        </w:rPr>
        <w:t>三、投标保证金交纳证明</w:t>
      </w:r>
    </w:p>
    <w:p w14:paraId="20DD2989">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u w:val="single"/>
        </w:rPr>
      </w:pPr>
    </w:p>
    <w:p w14:paraId="0609123C">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61B7D9FA">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49EBE5C5">
      <w:pPr>
        <w:pageBreakBefore w:val="0"/>
        <w:widowControl w:val="0"/>
        <w:kinsoku/>
        <w:wordWrap w:val="0"/>
        <w:overflowPunct/>
        <w:topLinePunct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00E1C2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5FAB5FDB">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C861EEA">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7C3770B6">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30CD79D3">
      <w:pPr>
        <w:pageBreakBefore w:val="0"/>
        <w:widowControl w:val="0"/>
        <w:kinsoku/>
        <w:wordWrap w:val="0"/>
        <w:overflowPunct/>
        <w:topLinePunct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69E0575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5" name="矩形 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6pz71wAAAAcBAAAPAAAA&#10;AAAAAAEAIAAAACIAAABkcnMvZG93bnJldi54bWxQSwECFAAUAAAACACHTuJApHMD/xYCAABJBAAA&#10;DgAAAAAAAAABACAAAAAmAQAAZHJzL2Uyb0RvYy54bWxQSwUGAAAAAAYABgBZAQAArgUAAAAA&#10;">
                <v:fill on="t" focussize="0,0"/>
                <v:stroke weight="1.5pt" color="#000000" joinstyle="miter" dashstyle="dashDot"/>
                <v:imagedata o:title=""/>
                <o:lock v:ext="edit" aspectratio="f"/>
                <v:textbo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76E8F00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472FB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15BD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866ED9A">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D01D4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726D8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3708D2A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9A6D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2D337F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E7B4B2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C1DB0E0">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6F1B7C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23163D1">
      <w:pPr>
        <w:widowControl/>
        <w:spacing w:beforeLines="0" w:afterLines="0" w:line="240" w:lineRule="auto"/>
        <w:jc w:val="left"/>
        <w:rPr>
          <w:rFonts w:hint="eastAsia" w:ascii="宋体" w:hAnsi="宋体" w:eastAsia="宋体" w:cs="宋体"/>
          <w:kern w:val="0"/>
          <w:szCs w:val="21"/>
          <w:highlight w:val="none"/>
        </w:rPr>
      </w:pPr>
    </w:p>
    <w:p w14:paraId="2799687E">
      <w:pPr>
        <w:widowControl/>
        <w:spacing w:beforeLines="0" w:afterLines="0" w:line="240" w:lineRule="auto"/>
        <w:jc w:val="left"/>
        <w:rPr>
          <w:rFonts w:hint="eastAsia" w:ascii="宋体" w:hAnsi="宋体" w:eastAsia="宋体" w:cs="宋体"/>
          <w:kern w:val="0"/>
          <w:szCs w:val="21"/>
          <w:highlight w:val="none"/>
        </w:rPr>
      </w:pPr>
    </w:p>
    <w:p w14:paraId="51CA058F">
      <w:pPr>
        <w:widowControl/>
        <w:spacing w:beforeLines="0" w:afterLines="0" w:line="240" w:lineRule="auto"/>
        <w:jc w:val="left"/>
        <w:rPr>
          <w:rFonts w:hint="eastAsia" w:ascii="宋体" w:hAnsi="宋体" w:eastAsia="宋体" w:cs="宋体"/>
          <w:kern w:val="0"/>
          <w:szCs w:val="21"/>
          <w:highlight w:val="none"/>
        </w:rPr>
      </w:pPr>
    </w:p>
    <w:p w14:paraId="13EA23F8">
      <w:pPr>
        <w:widowControl/>
        <w:spacing w:beforeLines="0" w:afterLines="0" w:line="240" w:lineRule="auto"/>
        <w:jc w:val="left"/>
        <w:rPr>
          <w:rFonts w:hint="eastAsia" w:ascii="宋体" w:hAnsi="宋体" w:eastAsia="宋体" w:cs="宋体"/>
          <w:kern w:val="0"/>
          <w:szCs w:val="21"/>
          <w:highlight w:val="none"/>
        </w:rPr>
      </w:pPr>
    </w:p>
    <w:p w14:paraId="4C3E4272">
      <w:pPr>
        <w:widowControl/>
        <w:spacing w:beforeLines="0" w:afterLines="0" w:line="240" w:lineRule="auto"/>
        <w:jc w:val="left"/>
        <w:rPr>
          <w:rFonts w:hint="eastAsia" w:ascii="宋体" w:hAnsi="宋体" w:eastAsia="宋体" w:cs="宋体"/>
          <w:kern w:val="0"/>
          <w:szCs w:val="21"/>
          <w:highlight w:val="none"/>
        </w:rPr>
      </w:pPr>
    </w:p>
    <w:p w14:paraId="5CE8D76D">
      <w:pPr>
        <w:widowControl/>
        <w:spacing w:beforeLines="0" w:afterLines="0" w:line="240" w:lineRule="auto"/>
        <w:jc w:val="left"/>
        <w:rPr>
          <w:rFonts w:hint="eastAsia" w:ascii="宋体" w:hAnsi="宋体" w:eastAsia="宋体" w:cs="宋体"/>
          <w:kern w:val="0"/>
          <w:szCs w:val="21"/>
          <w:highlight w:val="none"/>
        </w:rPr>
      </w:pPr>
    </w:p>
    <w:p w14:paraId="2C37B158">
      <w:pPr>
        <w:widowControl/>
        <w:spacing w:beforeLines="0" w:afterLines="0" w:line="240" w:lineRule="auto"/>
        <w:jc w:val="left"/>
        <w:rPr>
          <w:rFonts w:hint="eastAsia" w:ascii="宋体" w:hAnsi="宋体" w:eastAsia="宋体" w:cs="宋体"/>
          <w:kern w:val="0"/>
          <w:szCs w:val="21"/>
          <w:highlight w:val="none"/>
        </w:rPr>
      </w:pPr>
    </w:p>
    <w:p w14:paraId="581E8C68">
      <w:pPr>
        <w:widowControl/>
        <w:spacing w:beforeLines="0" w:afterLines="0" w:line="240" w:lineRule="auto"/>
        <w:jc w:val="left"/>
        <w:rPr>
          <w:rFonts w:hint="eastAsia" w:ascii="宋体" w:hAnsi="宋体" w:eastAsia="宋体" w:cs="宋体"/>
          <w:b/>
          <w:bCs/>
          <w:sz w:val="24"/>
          <w:szCs w:val="22"/>
          <w:highlight w:val="none"/>
        </w:rPr>
      </w:pPr>
    </w:p>
    <w:p w14:paraId="0DC1D5CF">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4D56BB">
      <w:pPr>
        <w:widowControl/>
        <w:spacing w:beforeLines="-2147483648" w:afterLines="-2147483648" w:line="240" w:lineRule="auto"/>
        <w:jc w:val="left"/>
        <w:rPr>
          <w:rFonts w:hint="eastAsia" w:ascii="宋体" w:hAnsi="宋体" w:eastAsia="宋体" w:cs="宋体"/>
          <w:b/>
          <w:bCs/>
          <w:sz w:val="24"/>
          <w:szCs w:val="22"/>
          <w:highlight w:val="none"/>
        </w:rPr>
      </w:pPr>
    </w:p>
    <w:p w14:paraId="1CE3D459">
      <w:pPr>
        <w:keepNext/>
        <w:keepLines/>
        <w:widowControl w:val="0"/>
        <w:adjustRightInd w:val="0"/>
        <w:snapToGrid w:val="0"/>
        <w:spacing w:before="0" w:beforeLines="0" w:after="0" w:afterLines="0" w:line="416" w:lineRule="auto"/>
        <w:ind w:firstLine="3132" w:firstLineChars="1300"/>
        <w:outlineLvl w:val="1"/>
        <w:rPr>
          <w:rFonts w:hint="eastAsia" w:ascii="宋体" w:hAnsi="宋体" w:eastAsia="宋体" w:cs="宋体"/>
          <w:b/>
          <w:bCs/>
          <w:kern w:val="0"/>
          <w:sz w:val="28"/>
          <w:szCs w:val="28"/>
          <w:highlight w:val="none"/>
          <w:lang w:val="en-US" w:eastAsia="zh-CN" w:bidi="ar-SA"/>
        </w:rPr>
      </w:pPr>
      <w:bookmarkStart w:id="892" w:name="_Toc62034592"/>
      <w:bookmarkStart w:id="893" w:name="_Toc3383"/>
      <w:bookmarkStart w:id="894" w:name="_Toc91345076"/>
      <w:bookmarkStart w:id="895" w:name="_Toc3923"/>
      <w:r>
        <w:rPr>
          <w:rFonts w:hint="eastAsia" w:ascii="宋体" w:hAnsi="宋体" w:eastAsia="宋体" w:cs="宋体"/>
          <w:b/>
          <w:bCs/>
          <w:kern w:val="2"/>
          <w:sz w:val="24"/>
          <w:szCs w:val="24"/>
          <w:highlight w:val="none"/>
          <w:lang w:val="en-US" w:eastAsia="zh-CN" w:bidi="ar-SA"/>
        </w:rPr>
        <w:t>四、技术偏差表</w:t>
      </w:r>
      <w:bookmarkEnd w:id="892"/>
      <w:bookmarkEnd w:id="893"/>
      <w:bookmarkEnd w:id="894"/>
      <w:bookmarkEnd w:id="895"/>
    </w:p>
    <w:p w14:paraId="6BAECC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6E61F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center"/>
          </w:tcPr>
          <w:p w14:paraId="6D90E689">
            <w:pPr>
              <w:widowControl w:val="0"/>
              <w:spacing w:before="0" w:beforeLines="0" w:afterLines="0" w:line="240" w:lineRule="auto"/>
              <w:ind w:right="0"/>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zh-CN" w:bidi="ar-SA"/>
              </w:rPr>
              <w:t>序号</w:t>
            </w:r>
          </w:p>
        </w:tc>
        <w:tc>
          <w:tcPr>
            <w:tcW w:w="2693" w:type="dxa"/>
            <w:noWrap w:val="0"/>
            <w:vAlign w:val="center"/>
          </w:tcPr>
          <w:p w14:paraId="70F8C2F2">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招标文件章节及条款号</w:t>
            </w:r>
          </w:p>
        </w:tc>
        <w:tc>
          <w:tcPr>
            <w:tcW w:w="2979" w:type="dxa"/>
            <w:noWrap w:val="0"/>
            <w:vAlign w:val="center"/>
          </w:tcPr>
          <w:p w14:paraId="5A8E629D">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投标文件章节及条款号</w:t>
            </w:r>
          </w:p>
        </w:tc>
        <w:tc>
          <w:tcPr>
            <w:tcW w:w="1625" w:type="dxa"/>
            <w:noWrap w:val="0"/>
            <w:vAlign w:val="center"/>
          </w:tcPr>
          <w:p w14:paraId="696A3282">
            <w:pPr>
              <w:widowControl w:val="0"/>
              <w:spacing w:before="0" w:beforeLines="0" w:afterLines="0" w:line="240" w:lineRule="auto"/>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en-US" w:bidi="ar-SA"/>
              </w:rPr>
              <w:t>偏差说明</w:t>
            </w:r>
          </w:p>
        </w:tc>
      </w:tr>
      <w:tr w14:paraId="135D9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exact"/>
          <w:jc w:val="center"/>
        </w:trPr>
        <w:tc>
          <w:tcPr>
            <w:tcW w:w="926" w:type="dxa"/>
            <w:noWrap w:val="0"/>
            <w:vAlign w:val="top"/>
          </w:tcPr>
          <w:p w14:paraId="10FDF8E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96F8B10">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1</w:t>
            </w:r>
          </w:p>
        </w:tc>
        <w:tc>
          <w:tcPr>
            <w:tcW w:w="2693" w:type="dxa"/>
            <w:noWrap w:val="0"/>
            <w:vAlign w:val="top"/>
          </w:tcPr>
          <w:p w14:paraId="67608698">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FC39882">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71BB0F10">
            <w:pPr>
              <w:widowControl/>
              <w:spacing w:beforeLines="0" w:afterLines="0" w:line="240" w:lineRule="auto"/>
              <w:jc w:val="left"/>
              <w:rPr>
                <w:rFonts w:hint="eastAsia" w:ascii="宋体" w:hAnsi="宋体" w:eastAsia="宋体" w:cs="宋体"/>
                <w:sz w:val="21"/>
                <w:szCs w:val="21"/>
                <w:highlight w:val="none"/>
              </w:rPr>
            </w:pPr>
          </w:p>
        </w:tc>
      </w:tr>
      <w:tr w14:paraId="6632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top"/>
          </w:tcPr>
          <w:p w14:paraId="137C935E">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1B6E231B">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2</w:t>
            </w:r>
          </w:p>
        </w:tc>
        <w:tc>
          <w:tcPr>
            <w:tcW w:w="2693" w:type="dxa"/>
            <w:noWrap w:val="0"/>
            <w:vAlign w:val="top"/>
          </w:tcPr>
          <w:p w14:paraId="2F0E6FA2">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E94ED79">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992B6E9">
            <w:pPr>
              <w:widowControl/>
              <w:spacing w:beforeLines="0" w:afterLines="0" w:line="240" w:lineRule="auto"/>
              <w:jc w:val="left"/>
              <w:rPr>
                <w:rFonts w:hint="eastAsia" w:ascii="宋体" w:hAnsi="宋体" w:eastAsia="宋体" w:cs="宋体"/>
                <w:sz w:val="21"/>
                <w:szCs w:val="21"/>
                <w:highlight w:val="none"/>
              </w:rPr>
            </w:pPr>
          </w:p>
        </w:tc>
      </w:tr>
      <w:tr w14:paraId="424FF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551A27C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5FE3CC96">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3</w:t>
            </w:r>
          </w:p>
        </w:tc>
        <w:tc>
          <w:tcPr>
            <w:tcW w:w="2693" w:type="dxa"/>
            <w:noWrap w:val="0"/>
            <w:vAlign w:val="top"/>
          </w:tcPr>
          <w:p w14:paraId="2F04F936">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61BD32B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7890A86">
            <w:pPr>
              <w:widowControl/>
              <w:spacing w:beforeLines="0" w:afterLines="0" w:line="240" w:lineRule="auto"/>
              <w:jc w:val="left"/>
              <w:rPr>
                <w:rFonts w:hint="eastAsia" w:ascii="宋体" w:hAnsi="宋体" w:eastAsia="宋体" w:cs="宋体"/>
                <w:sz w:val="21"/>
                <w:szCs w:val="21"/>
                <w:highlight w:val="none"/>
              </w:rPr>
            </w:pPr>
          </w:p>
        </w:tc>
      </w:tr>
      <w:tr w14:paraId="33A9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4A253D91">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B5DA632">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4</w:t>
            </w:r>
          </w:p>
        </w:tc>
        <w:tc>
          <w:tcPr>
            <w:tcW w:w="2693" w:type="dxa"/>
            <w:noWrap w:val="0"/>
            <w:vAlign w:val="top"/>
          </w:tcPr>
          <w:p w14:paraId="6F7A5F70">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8784A96">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5208916">
            <w:pPr>
              <w:widowControl/>
              <w:spacing w:beforeLines="0" w:afterLines="0" w:line="240" w:lineRule="auto"/>
              <w:jc w:val="left"/>
              <w:rPr>
                <w:rFonts w:hint="eastAsia" w:ascii="宋体" w:hAnsi="宋体" w:eastAsia="宋体" w:cs="宋体"/>
                <w:sz w:val="21"/>
                <w:szCs w:val="21"/>
                <w:highlight w:val="none"/>
              </w:rPr>
            </w:pPr>
          </w:p>
        </w:tc>
      </w:tr>
      <w:tr w14:paraId="6933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exact"/>
          <w:jc w:val="center"/>
        </w:trPr>
        <w:tc>
          <w:tcPr>
            <w:tcW w:w="926" w:type="dxa"/>
            <w:noWrap w:val="0"/>
            <w:vAlign w:val="top"/>
          </w:tcPr>
          <w:p w14:paraId="4DD8F4D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31DF5425">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5</w:t>
            </w:r>
          </w:p>
        </w:tc>
        <w:tc>
          <w:tcPr>
            <w:tcW w:w="2693" w:type="dxa"/>
            <w:noWrap w:val="0"/>
            <w:vAlign w:val="top"/>
          </w:tcPr>
          <w:p w14:paraId="7162A4FC">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FDBF3BD">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00B209F">
            <w:pPr>
              <w:widowControl/>
              <w:spacing w:beforeLines="0" w:afterLines="0" w:line="240" w:lineRule="auto"/>
              <w:jc w:val="left"/>
              <w:rPr>
                <w:rFonts w:hint="eastAsia" w:ascii="宋体" w:hAnsi="宋体" w:eastAsia="宋体" w:cs="宋体"/>
                <w:sz w:val="21"/>
                <w:szCs w:val="21"/>
                <w:highlight w:val="none"/>
              </w:rPr>
            </w:pPr>
          </w:p>
        </w:tc>
      </w:tr>
      <w:tr w14:paraId="68572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exact"/>
          <w:jc w:val="center"/>
        </w:trPr>
        <w:tc>
          <w:tcPr>
            <w:tcW w:w="926" w:type="dxa"/>
            <w:noWrap w:val="0"/>
            <w:vAlign w:val="top"/>
          </w:tcPr>
          <w:p w14:paraId="148F257D">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4E601335">
            <w:pPr>
              <w:widowControl w:val="0"/>
              <w:spacing w:beforeLines="0" w:afterLines="0" w:line="240" w:lineRule="auto"/>
              <w:ind w:left="0" w:right="0"/>
              <w:jc w:val="center"/>
              <w:rPr>
                <w:rFonts w:hint="eastAsia" w:ascii="宋体" w:hAnsi="宋体" w:eastAsia="宋体" w:cs="宋体"/>
                <w:i/>
                <w:kern w:val="0"/>
                <w:sz w:val="21"/>
                <w:szCs w:val="21"/>
                <w:highlight w:val="none"/>
                <w:lang w:val="en-US" w:eastAsia="en-US" w:bidi="ar-SA"/>
              </w:rPr>
            </w:pPr>
            <w:r>
              <w:rPr>
                <w:rFonts w:hint="eastAsia" w:ascii="宋体" w:hAnsi="宋体" w:eastAsia="宋体" w:cs="宋体"/>
                <w:i/>
                <w:w w:val="115"/>
                <w:kern w:val="0"/>
                <w:sz w:val="21"/>
                <w:szCs w:val="21"/>
                <w:highlight w:val="none"/>
                <w:lang w:val="en-US" w:eastAsia="en-US" w:bidi="ar-SA"/>
              </w:rPr>
              <w:t>……</w:t>
            </w:r>
          </w:p>
        </w:tc>
        <w:tc>
          <w:tcPr>
            <w:tcW w:w="2693" w:type="dxa"/>
            <w:noWrap w:val="0"/>
            <w:vAlign w:val="top"/>
          </w:tcPr>
          <w:p w14:paraId="5BC2E6B1">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598938B">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3E279440">
            <w:pPr>
              <w:widowControl/>
              <w:spacing w:beforeLines="0" w:afterLines="0" w:line="240" w:lineRule="auto"/>
              <w:jc w:val="left"/>
              <w:rPr>
                <w:rFonts w:hint="eastAsia" w:ascii="宋体" w:hAnsi="宋体" w:eastAsia="宋体" w:cs="宋体"/>
                <w:sz w:val="21"/>
                <w:szCs w:val="21"/>
                <w:highlight w:val="none"/>
              </w:rPr>
            </w:pPr>
          </w:p>
        </w:tc>
      </w:tr>
    </w:tbl>
    <w:p w14:paraId="0145531E">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63F33CAA">
      <w:pPr>
        <w:spacing w:before="0" w:beforeLines="0" w:after="0" w:afterLines="0" w:line="240" w:lineRule="auto"/>
        <w:ind w:left="0"/>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投标人保证：除技术偏差表列出的偏差外，投标人响应招标文件的全部要求。</w:t>
      </w:r>
    </w:p>
    <w:p w14:paraId="14F537C9">
      <w:pPr>
        <w:widowControl/>
        <w:spacing w:beforeLines="0" w:afterLines="0" w:line="240" w:lineRule="auto"/>
        <w:jc w:val="left"/>
        <w:rPr>
          <w:rFonts w:hint="eastAsia" w:ascii="宋体" w:hAnsi="宋体" w:eastAsia="宋体" w:cs="宋体"/>
          <w:szCs w:val="22"/>
          <w:highlight w:val="none"/>
        </w:rPr>
      </w:pPr>
    </w:p>
    <w:p w14:paraId="54EC976F">
      <w:pPr>
        <w:widowControl/>
        <w:spacing w:beforeLines="0" w:afterLines="0" w:line="240" w:lineRule="auto"/>
        <w:jc w:val="left"/>
        <w:rPr>
          <w:rFonts w:hint="eastAsia" w:ascii="宋体" w:hAnsi="宋体" w:eastAsia="宋体" w:cs="宋体"/>
          <w:szCs w:val="22"/>
          <w:highlight w:val="none"/>
        </w:rPr>
      </w:pPr>
    </w:p>
    <w:p w14:paraId="6A1F1400">
      <w:pPr>
        <w:widowControl/>
        <w:spacing w:beforeLines="0" w:afterLines="0" w:line="240" w:lineRule="auto"/>
        <w:jc w:val="left"/>
        <w:rPr>
          <w:rFonts w:hint="eastAsia" w:ascii="宋体" w:hAnsi="宋体" w:eastAsia="宋体" w:cs="宋体"/>
          <w:szCs w:val="22"/>
          <w:highlight w:val="none"/>
        </w:rPr>
      </w:pPr>
    </w:p>
    <w:p w14:paraId="44239FF8">
      <w:pPr>
        <w:widowControl/>
        <w:spacing w:beforeLines="0" w:afterLines="0" w:line="240" w:lineRule="auto"/>
        <w:jc w:val="left"/>
        <w:rPr>
          <w:rFonts w:hint="eastAsia" w:ascii="宋体" w:hAnsi="宋体" w:eastAsia="宋体" w:cs="宋体"/>
          <w:szCs w:val="22"/>
          <w:highlight w:val="none"/>
        </w:rPr>
      </w:pPr>
    </w:p>
    <w:p w14:paraId="2D86EA34">
      <w:pPr>
        <w:widowControl/>
        <w:spacing w:beforeLines="0" w:afterLines="0" w:line="240" w:lineRule="auto"/>
        <w:jc w:val="left"/>
        <w:rPr>
          <w:rFonts w:hint="eastAsia" w:ascii="宋体" w:hAnsi="宋体" w:eastAsia="宋体" w:cs="宋体"/>
          <w:szCs w:val="22"/>
          <w:highlight w:val="none"/>
        </w:rPr>
      </w:pPr>
    </w:p>
    <w:p w14:paraId="377A4BEC">
      <w:pPr>
        <w:widowControl/>
        <w:spacing w:beforeLines="0" w:afterLines="0" w:line="240" w:lineRule="auto"/>
        <w:jc w:val="left"/>
        <w:rPr>
          <w:rFonts w:hint="eastAsia" w:ascii="宋体" w:hAnsi="宋体" w:eastAsia="宋体" w:cs="宋体"/>
          <w:szCs w:val="22"/>
          <w:highlight w:val="none"/>
        </w:rPr>
      </w:pPr>
    </w:p>
    <w:p w14:paraId="41EF550C">
      <w:pPr>
        <w:widowControl/>
        <w:spacing w:beforeLines="0" w:afterLines="0" w:line="240" w:lineRule="auto"/>
        <w:jc w:val="left"/>
        <w:rPr>
          <w:rFonts w:hint="eastAsia" w:ascii="宋体" w:hAnsi="宋体" w:eastAsia="宋体" w:cs="宋体"/>
          <w:szCs w:val="22"/>
          <w:highlight w:val="none"/>
        </w:rPr>
      </w:pPr>
    </w:p>
    <w:p w14:paraId="10AAE1F9">
      <w:pPr>
        <w:widowControl/>
        <w:spacing w:beforeLines="0" w:afterLines="0" w:line="240" w:lineRule="auto"/>
        <w:jc w:val="left"/>
        <w:rPr>
          <w:rFonts w:hint="eastAsia" w:ascii="宋体" w:hAnsi="宋体" w:eastAsia="宋体" w:cs="宋体"/>
          <w:szCs w:val="22"/>
          <w:highlight w:val="none"/>
        </w:rPr>
      </w:pPr>
    </w:p>
    <w:p w14:paraId="705B5086">
      <w:pPr>
        <w:widowControl/>
        <w:spacing w:beforeLines="0" w:afterLines="0" w:line="240" w:lineRule="auto"/>
        <w:jc w:val="left"/>
        <w:rPr>
          <w:rFonts w:hint="eastAsia" w:ascii="宋体" w:hAnsi="宋体" w:eastAsia="宋体" w:cs="宋体"/>
          <w:szCs w:val="22"/>
          <w:highlight w:val="none"/>
        </w:rPr>
      </w:pPr>
    </w:p>
    <w:p w14:paraId="20225F30">
      <w:pPr>
        <w:widowControl/>
        <w:spacing w:beforeLines="0" w:afterLines="0" w:line="240" w:lineRule="auto"/>
        <w:jc w:val="left"/>
        <w:rPr>
          <w:rFonts w:hint="eastAsia" w:ascii="宋体" w:hAnsi="宋体" w:eastAsia="宋体" w:cs="宋体"/>
          <w:szCs w:val="22"/>
          <w:highlight w:val="none"/>
        </w:rPr>
      </w:pPr>
    </w:p>
    <w:p w14:paraId="116B81BE">
      <w:pPr>
        <w:widowControl/>
        <w:spacing w:beforeLines="0" w:afterLines="0" w:line="240" w:lineRule="auto"/>
        <w:jc w:val="left"/>
        <w:rPr>
          <w:rFonts w:hint="eastAsia" w:ascii="宋体" w:hAnsi="宋体" w:eastAsia="宋体" w:cs="宋体"/>
          <w:szCs w:val="22"/>
          <w:highlight w:val="none"/>
        </w:rPr>
      </w:pPr>
    </w:p>
    <w:p w14:paraId="41EBBC2A">
      <w:pPr>
        <w:widowControl/>
        <w:spacing w:beforeLines="0" w:afterLines="0" w:line="240" w:lineRule="auto"/>
        <w:jc w:val="left"/>
        <w:rPr>
          <w:rFonts w:hint="eastAsia" w:ascii="宋体" w:hAnsi="宋体" w:eastAsia="宋体" w:cs="宋体"/>
          <w:szCs w:val="22"/>
          <w:highlight w:val="none"/>
        </w:rPr>
      </w:pPr>
    </w:p>
    <w:p w14:paraId="03D1E98C">
      <w:pPr>
        <w:widowControl/>
        <w:spacing w:beforeLines="0" w:afterLines="0" w:line="240" w:lineRule="auto"/>
        <w:jc w:val="left"/>
        <w:rPr>
          <w:rFonts w:hint="eastAsia" w:ascii="宋体" w:hAnsi="宋体" w:eastAsia="宋体" w:cs="宋体"/>
          <w:szCs w:val="22"/>
          <w:highlight w:val="none"/>
        </w:rPr>
      </w:pPr>
    </w:p>
    <w:p w14:paraId="00ADF645">
      <w:pPr>
        <w:widowControl/>
        <w:spacing w:beforeLines="0" w:afterLines="0" w:line="240" w:lineRule="auto"/>
        <w:jc w:val="left"/>
        <w:rPr>
          <w:rFonts w:hint="eastAsia" w:ascii="宋体" w:hAnsi="宋体" w:eastAsia="宋体" w:cs="宋体"/>
          <w:szCs w:val="22"/>
          <w:highlight w:val="none"/>
        </w:rPr>
      </w:pPr>
    </w:p>
    <w:p w14:paraId="0F62038F">
      <w:pPr>
        <w:widowControl/>
        <w:spacing w:beforeLines="0" w:afterLines="0" w:line="240" w:lineRule="auto"/>
        <w:jc w:val="left"/>
        <w:rPr>
          <w:rFonts w:hint="eastAsia" w:ascii="宋体" w:hAnsi="宋体" w:eastAsia="宋体" w:cs="宋体"/>
          <w:szCs w:val="22"/>
          <w:highlight w:val="none"/>
        </w:rPr>
      </w:pPr>
    </w:p>
    <w:p w14:paraId="7393294B">
      <w:pPr>
        <w:widowControl/>
        <w:spacing w:beforeLines="0" w:afterLines="0" w:line="240" w:lineRule="auto"/>
        <w:jc w:val="left"/>
        <w:rPr>
          <w:rFonts w:hint="eastAsia" w:ascii="宋体" w:hAnsi="宋体" w:eastAsia="宋体" w:cs="宋体"/>
          <w:szCs w:val="22"/>
          <w:highlight w:val="none"/>
        </w:rPr>
      </w:pPr>
    </w:p>
    <w:p w14:paraId="50E0D6B4">
      <w:pPr>
        <w:widowControl/>
        <w:spacing w:beforeLines="0" w:afterLines="0" w:line="240" w:lineRule="auto"/>
        <w:jc w:val="left"/>
        <w:rPr>
          <w:rFonts w:hint="eastAsia" w:ascii="宋体" w:hAnsi="宋体" w:eastAsia="宋体" w:cs="宋体"/>
          <w:szCs w:val="22"/>
          <w:highlight w:val="none"/>
        </w:rPr>
      </w:pPr>
    </w:p>
    <w:p w14:paraId="705BD796">
      <w:pPr>
        <w:widowControl/>
        <w:spacing w:beforeLines="0" w:afterLines="0" w:line="240" w:lineRule="auto"/>
        <w:jc w:val="left"/>
        <w:rPr>
          <w:rFonts w:hint="eastAsia" w:ascii="宋体" w:hAnsi="宋体" w:eastAsia="宋体" w:cs="宋体"/>
          <w:szCs w:val="22"/>
          <w:highlight w:val="none"/>
        </w:rPr>
      </w:pPr>
    </w:p>
    <w:p w14:paraId="259522B5">
      <w:pPr>
        <w:widowControl/>
        <w:spacing w:beforeLines="0" w:afterLines="0" w:line="240" w:lineRule="auto"/>
        <w:jc w:val="left"/>
        <w:rPr>
          <w:rFonts w:hint="eastAsia" w:ascii="宋体" w:hAnsi="宋体" w:eastAsia="宋体" w:cs="宋体"/>
          <w:szCs w:val="22"/>
          <w:highlight w:val="none"/>
        </w:rPr>
      </w:pPr>
    </w:p>
    <w:p w14:paraId="29CF3603">
      <w:pPr>
        <w:widowControl/>
        <w:spacing w:beforeLines="0" w:afterLines="0" w:line="240" w:lineRule="auto"/>
        <w:jc w:val="left"/>
        <w:rPr>
          <w:rFonts w:hint="eastAsia" w:ascii="宋体" w:hAnsi="宋体" w:eastAsia="宋体" w:cs="宋体"/>
          <w:szCs w:val="22"/>
          <w:highlight w:val="none"/>
        </w:rPr>
      </w:pPr>
    </w:p>
    <w:p w14:paraId="06A603D0">
      <w:pPr>
        <w:widowControl/>
        <w:spacing w:beforeLines="0" w:afterLines="0" w:line="240" w:lineRule="auto"/>
        <w:jc w:val="left"/>
        <w:rPr>
          <w:rFonts w:hint="eastAsia" w:ascii="宋体" w:hAnsi="宋体" w:eastAsia="宋体" w:cs="宋体"/>
          <w:szCs w:val="22"/>
          <w:highlight w:val="none"/>
        </w:rPr>
      </w:pPr>
    </w:p>
    <w:p w14:paraId="493D6F23">
      <w:pPr>
        <w:widowControl/>
        <w:spacing w:beforeLines="0" w:afterLines="0" w:line="240" w:lineRule="auto"/>
        <w:jc w:val="left"/>
        <w:rPr>
          <w:rFonts w:hint="eastAsia" w:ascii="宋体" w:hAnsi="宋体" w:eastAsia="宋体" w:cs="宋体"/>
          <w:szCs w:val="22"/>
          <w:highlight w:val="none"/>
        </w:rPr>
      </w:pPr>
    </w:p>
    <w:p w14:paraId="153AF940">
      <w:pPr>
        <w:widowControl/>
        <w:spacing w:beforeLines="0" w:afterLines="0" w:line="240" w:lineRule="auto"/>
        <w:jc w:val="left"/>
        <w:rPr>
          <w:rFonts w:hint="eastAsia" w:ascii="宋体" w:hAnsi="宋体" w:eastAsia="宋体" w:cs="宋体"/>
          <w:szCs w:val="22"/>
          <w:highlight w:val="none"/>
        </w:rPr>
      </w:pPr>
    </w:p>
    <w:p w14:paraId="02E2BF19">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2F8D1B60">
      <w:pPr>
        <w:keepNext/>
        <w:keepLines/>
        <w:widowControl w:val="0"/>
        <w:adjustRightInd w:val="0"/>
        <w:snapToGrid w:val="0"/>
        <w:spacing w:before="0" w:beforeLines="0" w:after="0" w:afterLines="0" w:line="416" w:lineRule="auto"/>
        <w:ind w:firstLine="3373" w:firstLineChars="1400"/>
        <w:outlineLvl w:val="1"/>
        <w:rPr>
          <w:rFonts w:hint="eastAsia" w:ascii="宋体" w:hAnsi="宋体" w:eastAsia="宋体" w:cs="宋体"/>
          <w:b/>
          <w:bCs/>
          <w:kern w:val="0"/>
          <w:sz w:val="28"/>
          <w:szCs w:val="28"/>
          <w:highlight w:val="none"/>
          <w:lang w:val="en-US" w:eastAsia="zh-CN" w:bidi="ar-SA"/>
        </w:rPr>
      </w:pPr>
      <w:bookmarkStart w:id="896" w:name="_Toc25416"/>
      <w:bookmarkStart w:id="897" w:name="_Toc62034593"/>
      <w:bookmarkStart w:id="898" w:name="_Toc16500"/>
      <w:bookmarkStart w:id="899" w:name="_Toc534572433"/>
      <w:bookmarkStart w:id="900" w:name="_Toc30928"/>
      <w:bookmarkStart w:id="901" w:name="_Toc91345077"/>
      <w:r>
        <w:rPr>
          <w:rFonts w:hint="eastAsia" w:ascii="宋体" w:hAnsi="宋体" w:eastAsia="宋体" w:cs="宋体"/>
          <w:b/>
          <w:bCs/>
          <w:kern w:val="2"/>
          <w:sz w:val="24"/>
          <w:szCs w:val="24"/>
          <w:highlight w:val="none"/>
          <w:lang w:val="en-US" w:eastAsia="zh-CN" w:bidi="ar-SA"/>
        </w:rPr>
        <w:t>五、分项报价表</w:t>
      </w:r>
      <w:bookmarkEnd w:id="896"/>
      <w:bookmarkEnd w:id="897"/>
      <w:bookmarkEnd w:id="898"/>
      <w:bookmarkEnd w:id="899"/>
      <w:bookmarkEnd w:id="900"/>
      <w:bookmarkEnd w:id="901"/>
    </w:p>
    <w:p w14:paraId="0FC64475">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902" w:name="_Toc3311"/>
      <w:bookmarkStart w:id="903" w:name="_Toc4650"/>
      <w:bookmarkStart w:id="904" w:name="_Toc15581"/>
      <w:bookmarkStart w:id="905" w:name="_Toc8594"/>
      <w:r>
        <w:rPr>
          <w:rFonts w:hint="eastAsia" w:ascii="宋体" w:hAnsi="宋体" w:eastAsia="宋体" w:cs="宋体"/>
          <w:b/>
          <w:bCs/>
          <w:sz w:val="21"/>
          <w:szCs w:val="21"/>
          <w:highlight w:val="none"/>
        </w:rPr>
        <w:t>1.分项报价表说明</w:t>
      </w:r>
      <w:bookmarkEnd w:id="902"/>
      <w:bookmarkEnd w:id="903"/>
      <w:bookmarkEnd w:id="904"/>
      <w:bookmarkEnd w:id="905"/>
    </w:p>
    <w:p w14:paraId="4D6CF3D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1.1 分项报价表应与招标文件中的投标人须知、通用合同条款、专用合同条款、供货要求等一起阅读和理解。</w:t>
      </w:r>
    </w:p>
    <w:p w14:paraId="5F7DABF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1.2分项报价表中各项目的工作内容和要求应符合相关供货要求的规定。</w:t>
      </w:r>
    </w:p>
    <w:p w14:paraId="7DBFB73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1.3合同价款的支付遵循合同条款的约定。</w:t>
      </w:r>
    </w:p>
    <w:p w14:paraId="20274A2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1.4除招标文件另有约定外，投标人不得随意增加、删除或涂改招标文件分项报价表中的任何内容。分项报价表中列明的所有需要填写的单价和合价，投标人均应填写；未填写的单价和合价，视为已包括在分项报价表的其他单价和合价中。</w:t>
      </w:r>
    </w:p>
    <w:p w14:paraId="2FA2673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1.5分项报价表中的单价是采购完成分项报价表中一个质量合格的产品所必需的设计、制造、工厂试验、包装、保险、运输和交货（不含工地卸货）以及生产产品所必需设备费、材料费、利润、保险和税金（增值税），并考虑到风险因素。</w:t>
      </w:r>
    </w:p>
    <w:p w14:paraId="12FB090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1.6投标金额（价格）均应以人民币表示，保留两位小数。</w:t>
      </w:r>
    </w:p>
    <w:p w14:paraId="443DCB4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1.7已标价工程量清单中每一个项目，都需填入单价及合价，且只允许有一个报价。</w:t>
      </w:r>
    </w:p>
    <w:p w14:paraId="15514D0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bookmarkStart w:id="906" w:name="_Toc62034594"/>
      <w:bookmarkStart w:id="907" w:name="_Toc54550875"/>
      <w:r>
        <w:rPr>
          <w:rFonts w:hint="eastAsia" w:ascii="宋体" w:hAnsi="宋体" w:eastAsia="宋体" w:cs="宋体"/>
          <w:sz w:val="21"/>
          <w:szCs w:val="21"/>
          <w:highlight w:val="none"/>
        </w:rPr>
        <w:t>1.8算术修正</w:t>
      </w:r>
      <w:bookmarkEnd w:id="906"/>
      <w:bookmarkEnd w:id="907"/>
      <w:r>
        <w:rPr>
          <w:rFonts w:hint="eastAsia" w:ascii="宋体" w:hAnsi="宋体" w:eastAsia="宋体" w:cs="宋体"/>
          <w:sz w:val="21"/>
          <w:szCs w:val="21"/>
          <w:highlight w:val="none"/>
        </w:rPr>
        <w:t xml:space="preserve"> </w:t>
      </w:r>
    </w:p>
    <w:p w14:paraId="588B954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报价有算术错误的，评审小组按以下原则对报价进行修正，修正的价格经投标人确认后具有约束力。卖方不接受修正价格的，评审小组应否决其投标； </w:t>
      </w:r>
    </w:p>
    <w:p w14:paraId="25D3E3A1">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(1)总价中的大写金额与小写金额不一致的，以大写金额为准； </w:t>
      </w:r>
    </w:p>
    <w:p w14:paraId="1320AE2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(2)总价金额与依据单价计算出的结果不一致的，以单价金额为准修正总价，但单价金额小数点有明显错误的除外； </w:t>
      </w:r>
    </w:p>
    <w:p w14:paraId="76926A9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(3)当单价与数量相乗不等于合价时，以单价计算为准，如果单价有明显的小数点位置差错，应以标出的合价为准，同时对单价予以修正； </w:t>
      </w:r>
    </w:p>
    <w:p w14:paraId="08ECEE5E">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(4)当各子目的合价累计不等于总价时，应以各子目合价累计数为准，修正总价。 </w:t>
      </w:r>
    </w:p>
    <w:p w14:paraId="542491CC">
      <w:pPr>
        <w:widowControl/>
        <w:adjustRightInd w:val="0"/>
        <w:snapToGrid w:val="0"/>
        <w:spacing w:beforeLines="0" w:afterLines="0" w:line="360" w:lineRule="auto"/>
        <w:ind w:firstLine="420" w:firstLineChars="200"/>
        <w:jc w:val="both"/>
        <w:rPr>
          <w:rFonts w:hint="eastAsia" w:ascii="宋体" w:hAnsi="宋体" w:eastAsia="宋体" w:cs="宋体"/>
          <w:sz w:val="24"/>
          <w:szCs w:val="24"/>
          <w:highlight w:val="none"/>
        </w:rPr>
      </w:pPr>
      <w:r>
        <w:rPr>
          <w:rFonts w:hint="eastAsia" w:ascii="宋体" w:hAnsi="宋体" w:eastAsia="宋体" w:cs="宋体"/>
          <w:sz w:val="21"/>
          <w:szCs w:val="21"/>
          <w:highlight w:val="none"/>
        </w:rPr>
        <w:t>1.8.2修正后的最终报价若超过最高投标限价(如有)，评审小组应否决其投标</w:t>
      </w:r>
      <w:r>
        <w:rPr>
          <w:rFonts w:hint="eastAsia" w:ascii="宋体" w:hAnsi="宋体" w:eastAsia="宋体" w:cs="宋体"/>
          <w:sz w:val="24"/>
          <w:szCs w:val="24"/>
          <w:highlight w:val="none"/>
        </w:rPr>
        <w:t>。</w:t>
      </w:r>
    </w:p>
    <w:p w14:paraId="37845B34">
      <w:pPr>
        <w:widowControl/>
        <w:adjustRightInd/>
        <w:snapToGrid/>
        <w:spacing w:beforeLines="-2147483648" w:afterLines="-2147483648" w:line="240" w:lineRule="auto"/>
        <w:jc w:val="left"/>
        <w:outlineLvl w:val="9"/>
        <w:rPr>
          <w:rFonts w:hint="eastAsia" w:ascii="宋体" w:hAnsi="宋体" w:eastAsia="宋体" w:cs="宋体"/>
          <w:b/>
          <w:sz w:val="24"/>
          <w:szCs w:val="24"/>
          <w:highlight w:val="none"/>
        </w:rPr>
      </w:pPr>
      <w:bookmarkStart w:id="908" w:name="_Toc215"/>
      <w:r>
        <w:rPr>
          <w:rFonts w:hint="eastAsia" w:ascii="宋体" w:hAnsi="宋体" w:eastAsia="宋体" w:cs="宋体"/>
          <w:b/>
          <w:sz w:val="24"/>
          <w:szCs w:val="24"/>
          <w:highlight w:val="none"/>
        </w:rPr>
        <w:br w:type="page"/>
      </w:r>
    </w:p>
    <w:p w14:paraId="6758EE39">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909" w:name="_Toc4671"/>
      <w:bookmarkStart w:id="910" w:name="_Toc11380"/>
      <w:bookmarkStart w:id="911" w:name="_Toc12473"/>
      <w:r>
        <w:rPr>
          <w:rFonts w:hint="eastAsia" w:ascii="宋体" w:hAnsi="宋体" w:eastAsia="宋体" w:cs="宋体"/>
          <w:b/>
          <w:bCs/>
          <w:sz w:val="21"/>
          <w:szCs w:val="21"/>
          <w:highlight w:val="none"/>
        </w:rPr>
        <w:t>2.分项报价表</w:t>
      </w:r>
      <w:bookmarkEnd w:id="908"/>
      <w:bookmarkEnd w:id="909"/>
      <w:bookmarkEnd w:id="910"/>
      <w:bookmarkEnd w:id="911"/>
    </w:p>
    <w:p w14:paraId="5F9621B2">
      <w:pPr>
        <w:widowControl/>
        <w:overflowPunct w:val="0"/>
        <w:adjustRightInd w:val="0"/>
        <w:snapToGrid w:val="0"/>
        <w:spacing w:beforeLines="0" w:afterLines="0" w:line="240" w:lineRule="auto"/>
        <w:jc w:val="right"/>
        <w:rPr>
          <w:rFonts w:hint="eastAsia" w:ascii="宋体" w:hAnsi="宋体" w:eastAsia="宋体" w:cs="宋体"/>
          <w:b/>
          <w:sz w:val="21"/>
          <w:szCs w:val="21"/>
          <w:highlight w:val="none"/>
        </w:rPr>
      </w:pPr>
      <w:r>
        <w:rPr>
          <w:rFonts w:hint="eastAsia" w:ascii="宋体" w:hAnsi="宋体" w:eastAsia="宋体" w:cs="宋体"/>
          <w:b/>
          <w:sz w:val="21"/>
          <w:szCs w:val="21"/>
          <w:highlight w:val="none"/>
        </w:rPr>
        <w:t>单位：人民币元</w:t>
      </w:r>
    </w:p>
    <w:tbl>
      <w:tblPr>
        <w:tblStyle w:val="2"/>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4"/>
        <w:gridCol w:w="3609"/>
        <w:gridCol w:w="976"/>
        <w:gridCol w:w="891"/>
        <w:gridCol w:w="933"/>
        <w:gridCol w:w="1006"/>
        <w:gridCol w:w="768"/>
      </w:tblGrid>
      <w:tr w14:paraId="0022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0F49A897">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编号</w:t>
            </w:r>
          </w:p>
        </w:tc>
        <w:tc>
          <w:tcPr>
            <w:tcW w:w="3609" w:type="dxa"/>
            <w:shd w:val="clear" w:color="auto" w:fill="FFFFFF"/>
            <w:noWrap w:val="0"/>
            <w:tcMar>
              <w:top w:w="15" w:type="dxa"/>
              <w:left w:w="15" w:type="dxa"/>
              <w:right w:w="15" w:type="dxa"/>
            </w:tcMar>
            <w:vAlign w:val="center"/>
          </w:tcPr>
          <w:p w14:paraId="0BF3452F">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项目或费用名称</w:t>
            </w:r>
          </w:p>
        </w:tc>
        <w:tc>
          <w:tcPr>
            <w:tcW w:w="976" w:type="dxa"/>
            <w:shd w:val="clear" w:color="auto" w:fill="FFFFFF"/>
            <w:noWrap w:val="0"/>
            <w:tcMar>
              <w:top w:w="15" w:type="dxa"/>
              <w:left w:w="15" w:type="dxa"/>
              <w:right w:w="15" w:type="dxa"/>
            </w:tcMar>
            <w:vAlign w:val="center"/>
          </w:tcPr>
          <w:p w14:paraId="2C573EB4">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计量单位</w:t>
            </w:r>
          </w:p>
        </w:tc>
        <w:tc>
          <w:tcPr>
            <w:tcW w:w="891" w:type="dxa"/>
            <w:shd w:val="clear" w:color="auto" w:fill="FFFFFF"/>
            <w:noWrap w:val="0"/>
            <w:tcMar>
              <w:top w:w="15" w:type="dxa"/>
              <w:left w:w="15" w:type="dxa"/>
              <w:right w:w="15" w:type="dxa"/>
            </w:tcMar>
            <w:vAlign w:val="center"/>
          </w:tcPr>
          <w:p w14:paraId="1E014A4B">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数量</w:t>
            </w:r>
          </w:p>
        </w:tc>
        <w:tc>
          <w:tcPr>
            <w:tcW w:w="933" w:type="dxa"/>
            <w:shd w:val="clear" w:color="auto" w:fill="FFFFFF"/>
            <w:noWrap w:val="0"/>
            <w:tcMar>
              <w:top w:w="15" w:type="dxa"/>
              <w:left w:w="15" w:type="dxa"/>
              <w:right w:w="15" w:type="dxa"/>
            </w:tcMar>
            <w:vAlign w:val="center"/>
          </w:tcPr>
          <w:p w14:paraId="2366020A">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单价(元)</w:t>
            </w:r>
          </w:p>
        </w:tc>
        <w:tc>
          <w:tcPr>
            <w:tcW w:w="1006" w:type="dxa"/>
            <w:shd w:val="clear" w:color="auto" w:fill="FFFFFF"/>
            <w:noWrap w:val="0"/>
            <w:tcMar>
              <w:top w:w="15" w:type="dxa"/>
              <w:left w:w="15" w:type="dxa"/>
              <w:right w:w="15" w:type="dxa"/>
            </w:tcMar>
            <w:vAlign w:val="center"/>
          </w:tcPr>
          <w:p w14:paraId="0835E5E5">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合价(元)</w:t>
            </w:r>
          </w:p>
        </w:tc>
        <w:tc>
          <w:tcPr>
            <w:tcW w:w="768" w:type="dxa"/>
            <w:shd w:val="clear" w:color="auto" w:fill="FFFFFF"/>
            <w:noWrap w:val="0"/>
            <w:tcMar>
              <w:top w:w="15" w:type="dxa"/>
              <w:left w:w="15" w:type="dxa"/>
              <w:right w:w="15" w:type="dxa"/>
            </w:tcMar>
            <w:vAlign w:val="center"/>
          </w:tcPr>
          <w:p w14:paraId="516556C5">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备注</w:t>
            </w:r>
          </w:p>
        </w:tc>
      </w:tr>
      <w:tr w14:paraId="4181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4EF6D4A6">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4A745144">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6F7D5513">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435FBA2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76CF2187">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691BC0C4">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5E1253D4">
            <w:pPr>
              <w:widowControl/>
              <w:spacing w:beforeLines="0" w:afterLines="0" w:line="240" w:lineRule="auto"/>
              <w:jc w:val="center"/>
              <w:rPr>
                <w:rFonts w:hint="eastAsia" w:ascii="宋体" w:hAnsi="宋体" w:eastAsia="宋体" w:cs="宋体"/>
                <w:b w:val="0"/>
                <w:bCs/>
                <w:sz w:val="21"/>
                <w:szCs w:val="21"/>
                <w:highlight w:val="none"/>
              </w:rPr>
            </w:pPr>
          </w:p>
        </w:tc>
      </w:tr>
      <w:tr w14:paraId="5768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7461450C">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02E303ED">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0C338C28">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3244C38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0F6B8979">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770F5804">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13AF6DEF">
            <w:pPr>
              <w:widowControl/>
              <w:spacing w:beforeLines="0" w:afterLines="0" w:line="240" w:lineRule="auto"/>
              <w:jc w:val="center"/>
              <w:rPr>
                <w:rFonts w:hint="eastAsia" w:ascii="宋体" w:hAnsi="宋体" w:eastAsia="宋体" w:cs="宋体"/>
                <w:b w:val="0"/>
                <w:bCs/>
                <w:sz w:val="21"/>
                <w:szCs w:val="21"/>
                <w:highlight w:val="none"/>
              </w:rPr>
            </w:pPr>
          </w:p>
        </w:tc>
      </w:tr>
      <w:tr w14:paraId="4224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5C182D5B">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134043EC">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5190BB0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5FBE5BA2">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466F149F">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C1BC5CD">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15CAD5A7">
            <w:pPr>
              <w:widowControl/>
              <w:spacing w:beforeLines="0" w:afterLines="0" w:line="240" w:lineRule="auto"/>
              <w:jc w:val="center"/>
              <w:rPr>
                <w:rFonts w:hint="eastAsia" w:ascii="宋体" w:hAnsi="宋体" w:eastAsia="宋体" w:cs="宋体"/>
                <w:b w:val="0"/>
                <w:bCs/>
                <w:sz w:val="21"/>
                <w:szCs w:val="21"/>
                <w:highlight w:val="none"/>
              </w:rPr>
            </w:pPr>
          </w:p>
        </w:tc>
      </w:tr>
      <w:tr w14:paraId="6DD8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616A6051">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08E29FA7">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7005255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72C1E462">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34AC7A60">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C077AD5">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7BB3C451">
            <w:pPr>
              <w:widowControl/>
              <w:spacing w:beforeLines="0" w:afterLines="0" w:line="240" w:lineRule="auto"/>
              <w:jc w:val="center"/>
              <w:rPr>
                <w:rFonts w:hint="eastAsia" w:ascii="宋体" w:hAnsi="宋体" w:eastAsia="宋体" w:cs="宋体"/>
                <w:b w:val="0"/>
                <w:bCs/>
                <w:sz w:val="21"/>
                <w:szCs w:val="21"/>
                <w:highlight w:val="none"/>
              </w:rPr>
            </w:pPr>
          </w:p>
        </w:tc>
      </w:tr>
      <w:tr w14:paraId="6FA0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217" w:type="dxa"/>
            <w:gridSpan w:val="7"/>
            <w:shd w:val="clear" w:color="auto" w:fill="FFFFFF"/>
            <w:noWrap w:val="0"/>
            <w:tcMar>
              <w:top w:w="15" w:type="dxa"/>
              <w:left w:w="15" w:type="dxa"/>
              <w:right w:w="15" w:type="dxa"/>
            </w:tcMar>
            <w:vAlign w:val="center"/>
          </w:tcPr>
          <w:p w14:paraId="0020DEF1">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合计报价（小写）：</w:t>
            </w:r>
          </w:p>
        </w:tc>
      </w:tr>
      <w:tr w14:paraId="6E84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4" w:hRule="atLeast"/>
          <w:jc w:val="center"/>
        </w:trPr>
        <w:tc>
          <w:tcPr>
            <w:tcW w:w="9217" w:type="dxa"/>
            <w:gridSpan w:val="7"/>
            <w:shd w:val="clear" w:color="auto" w:fill="FFFFFF"/>
            <w:noWrap w:val="0"/>
            <w:tcMar>
              <w:top w:w="15" w:type="dxa"/>
              <w:left w:w="15" w:type="dxa"/>
              <w:right w:w="15" w:type="dxa"/>
            </w:tcMar>
            <w:vAlign w:val="center"/>
          </w:tcPr>
          <w:p w14:paraId="45A5E97E">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合计报价（大写）：</w:t>
            </w:r>
          </w:p>
        </w:tc>
      </w:tr>
    </w:tbl>
    <w:p w14:paraId="574950DA">
      <w:pPr>
        <w:widowControl/>
        <w:spacing w:beforeLines="0" w:afterLines="0" w:line="240" w:lineRule="auto"/>
        <w:ind w:firstLine="0" w:firstLineChars="0"/>
        <w:jc w:val="left"/>
        <w:rPr>
          <w:rFonts w:hint="eastAsia" w:ascii="宋体" w:hAnsi="宋体" w:eastAsia="宋体" w:cs="宋体"/>
          <w:sz w:val="24"/>
          <w:szCs w:val="24"/>
          <w:highlight w:val="none"/>
        </w:rPr>
      </w:pPr>
    </w:p>
    <w:p w14:paraId="59F28191">
      <w:pPr>
        <w:widowControl/>
        <w:adjustRightInd w:val="0"/>
        <w:snapToGrid w:val="0"/>
        <w:spacing w:beforeLines="0" w:afterLines="0" w:line="360" w:lineRule="auto"/>
        <w:jc w:val="both"/>
        <w:outlineLvl w:val="9"/>
        <w:rPr>
          <w:rFonts w:hint="eastAsia" w:ascii="宋体" w:hAnsi="宋体" w:eastAsia="宋体" w:cs="宋体"/>
          <w:b/>
          <w:sz w:val="24"/>
          <w:szCs w:val="24"/>
          <w:highlight w:val="none"/>
        </w:rPr>
      </w:pPr>
      <w:bookmarkStart w:id="912" w:name="_Toc91345078"/>
      <w:r>
        <w:rPr>
          <w:rFonts w:hint="eastAsia" w:ascii="宋体" w:hAnsi="宋体" w:eastAsia="宋体" w:cs="宋体"/>
          <w:b/>
          <w:sz w:val="24"/>
          <w:szCs w:val="24"/>
          <w:highlight w:val="none"/>
        </w:rPr>
        <w:br w:type="page"/>
      </w:r>
      <w:bookmarkStart w:id="913" w:name="_Toc13110"/>
      <w:bookmarkStart w:id="914" w:name="_Toc24478"/>
      <w:bookmarkStart w:id="915" w:name="_Toc19288"/>
      <w:bookmarkStart w:id="916" w:name="_Toc13635"/>
      <w:r>
        <w:rPr>
          <w:rFonts w:hint="eastAsia" w:ascii="宋体" w:hAnsi="宋体" w:eastAsia="宋体" w:cs="宋体"/>
          <w:b/>
          <w:sz w:val="24"/>
          <w:szCs w:val="24"/>
          <w:highlight w:val="none"/>
        </w:rPr>
        <w:t>3.单价分析表</w:t>
      </w:r>
      <w:bookmarkEnd w:id="912"/>
      <w:bookmarkEnd w:id="913"/>
      <w:bookmarkEnd w:id="914"/>
      <w:bookmarkEnd w:id="915"/>
      <w:bookmarkEnd w:id="916"/>
    </w:p>
    <w:p w14:paraId="23558BC6">
      <w:pPr>
        <w:widowControl/>
        <w:tabs>
          <w:tab w:val="left" w:pos="140"/>
        </w:tabs>
        <w:spacing w:beforeLines="0" w:afterLines="0" w:line="360" w:lineRule="auto"/>
        <w:ind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投标人应按下列表格格式编制设备清单中主要项目的单价分析表，每种单价一份，项目名称应与设备清单一致。</w:t>
      </w:r>
    </w:p>
    <w:p w14:paraId="2283090E">
      <w:pPr>
        <w:widowControl w:val="0"/>
        <w:adjustRightInd w:val="0"/>
        <w:spacing w:beforeLines="0" w:afterLines="0" w:line="24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单 价 分 析 表</w:t>
      </w:r>
    </w:p>
    <w:p w14:paraId="5E8475EF">
      <w:pPr>
        <w:widowControl w:val="0"/>
        <w:adjustRightInd w:val="0"/>
        <w:spacing w:beforeLines="0" w:afterLines="0" w:line="360"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设备名称：                                设备单价：</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7"/>
        <w:gridCol w:w="1693"/>
        <w:gridCol w:w="912"/>
        <w:gridCol w:w="1464"/>
        <w:gridCol w:w="1245"/>
        <w:gridCol w:w="1245"/>
        <w:gridCol w:w="1302"/>
      </w:tblGrid>
      <w:tr w14:paraId="4575A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12" w:space="0"/>
              <w:bottom w:val="single" w:color="auto" w:sz="6" w:space="0"/>
            </w:tcBorders>
            <w:noWrap w:val="0"/>
            <w:vAlign w:val="center"/>
          </w:tcPr>
          <w:p w14:paraId="6EDB76C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序号</w:t>
            </w:r>
          </w:p>
        </w:tc>
        <w:tc>
          <w:tcPr>
            <w:tcW w:w="1693" w:type="dxa"/>
            <w:tcBorders>
              <w:top w:val="single" w:color="auto" w:sz="12" w:space="0"/>
              <w:bottom w:val="single" w:color="auto" w:sz="6" w:space="0"/>
            </w:tcBorders>
            <w:noWrap w:val="0"/>
            <w:vAlign w:val="center"/>
          </w:tcPr>
          <w:p w14:paraId="73045BB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项目及规格</w:t>
            </w:r>
          </w:p>
        </w:tc>
        <w:tc>
          <w:tcPr>
            <w:tcW w:w="912" w:type="dxa"/>
            <w:tcBorders>
              <w:top w:val="single" w:color="auto" w:sz="12" w:space="0"/>
              <w:bottom w:val="single" w:color="auto" w:sz="6" w:space="0"/>
            </w:tcBorders>
            <w:noWrap w:val="0"/>
            <w:vAlign w:val="center"/>
          </w:tcPr>
          <w:p w14:paraId="366CCF0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w:t>
            </w:r>
          </w:p>
        </w:tc>
        <w:tc>
          <w:tcPr>
            <w:tcW w:w="1464" w:type="dxa"/>
            <w:tcBorders>
              <w:top w:val="single" w:color="auto" w:sz="12" w:space="0"/>
              <w:bottom w:val="single" w:color="auto" w:sz="6" w:space="0"/>
            </w:tcBorders>
            <w:noWrap w:val="0"/>
            <w:vAlign w:val="center"/>
          </w:tcPr>
          <w:p w14:paraId="2C05D57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单价（元）</w:t>
            </w:r>
          </w:p>
        </w:tc>
        <w:tc>
          <w:tcPr>
            <w:tcW w:w="1245" w:type="dxa"/>
            <w:tcBorders>
              <w:top w:val="single" w:color="auto" w:sz="12" w:space="0"/>
              <w:bottom w:val="single" w:color="auto" w:sz="6" w:space="0"/>
            </w:tcBorders>
            <w:noWrap w:val="0"/>
            <w:vAlign w:val="center"/>
          </w:tcPr>
          <w:p w14:paraId="400F219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耗用数量</w:t>
            </w:r>
          </w:p>
        </w:tc>
        <w:tc>
          <w:tcPr>
            <w:tcW w:w="1245" w:type="dxa"/>
            <w:tcBorders>
              <w:top w:val="single" w:color="auto" w:sz="12" w:space="0"/>
              <w:bottom w:val="single" w:color="auto" w:sz="6" w:space="0"/>
            </w:tcBorders>
            <w:noWrap w:val="0"/>
            <w:vAlign w:val="center"/>
          </w:tcPr>
          <w:p w14:paraId="04DF339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合计（元）</w:t>
            </w:r>
          </w:p>
        </w:tc>
        <w:tc>
          <w:tcPr>
            <w:tcW w:w="1302" w:type="dxa"/>
            <w:tcBorders>
              <w:top w:val="single" w:color="auto" w:sz="12" w:space="0"/>
              <w:bottom w:val="single" w:color="auto" w:sz="6" w:space="0"/>
            </w:tcBorders>
            <w:noWrap w:val="0"/>
            <w:vAlign w:val="center"/>
          </w:tcPr>
          <w:p w14:paraId="20803FDA">
            <w:pPr>
              <w:tabs>
                <w:tab w:val="left" w:pos="140"/>
              </w:tabs>
              <w:spacing w:beforeLines="0" w:afterLines="0" w:line="360" w:lineRule="auto"/>
              <w:ind w:left="0" w:leftChars="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备注</w:t>
            </w:r>
          </w:p>
        </w:tc>
      </w:tr>
      <w:tr w14:paraId="7A550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5332C80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w:t>
            </w:r>
          </w:p>
        </w:tc>
        <w:tc>
          <w:tcPr>
            <w:tcW w:w="1693" w:type="dxa"/>
            <w:tcBorders>
              <w:top w:val="single" w:color="auto" w:sz="6" w:space="0"/>
              <w:bottom w:val="single" w:color="auto" w:sz="6" w:space="0"/>
            </w:tcBorders>
            <w:noWrap w:val="0"/>
            <w:vAlign w:val="center"/>
          </w:tcPr>
          <w:p w14:paraId="553F0B4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1C944A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4775CC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20E316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91499F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146DC99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B31E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72D75F6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w:t>
            </w:r>
          </w:p>
        </w:tc>
        <w:tc>
          <w:tcPr>
            <w:tcW w:w="1693" w:type="dxa"/>
            <w:tcBorders>
              <w:top w:val="single" w:color="auto" w:sz="6" w:space="0"/>
              <w:bottom w:val="single" w:color="auto" w:sz="6" w:space="0"/>
            </w:tcBorders>
            <w:noWrap w:val="0"/>
            <w:vAlign w:val="center"/>
          </w:tcPr>
          <w:p w14:paraId="4AA0146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1B3B995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36927D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4CFBC47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1E2013E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022F21B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409FF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45D28A8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w:t>
            </w:r>
          </w:p>
        </w:tc>
        <w:tc>
          <w:tcPr>
            <w:tcW w:w="1693" w:type="dxa"/>
            <w:tcBorders>
              <w:top w:val="single" w:color="auto" w:sz="6" w:space="0"/>
              <w:bottom w:val="single" w:color="auto" w:sz="6" w:space="0"/>
            </w:tcBorders>
            <w:noWrap w:val="0"/>
            <w:vAlign w:val="center"/>
          </w:tcPr>
          <w:p w14:paraId="6EC64CF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2417377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1FB7DD7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070E27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F398BB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77E4E59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D4734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2F4C9DC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693" w:type="dxa"/>
            <w:tcBorders>
              <w:top w:val="single" w:color="auto" w:sz="6" w:space="0"/>
              <w:bottom w:val="single" w:color="auto" w:sz="6" w:space="0"/>
            </w:tcBorders>
            <w:noWrap w:val="0"/>
            <w:vAlign w:val="center"/>
          </w:tcPr>
          <w:p w14:paraId="6A9F460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491EEB1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13CF4C8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27500E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59ADC7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01AEF6A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0EF94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3DD6A6B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693" w:type="dxa"/>
            <w:tcBorders>
              <w:top w:val="single" w:color="auto" w:sz="6" w:space="0"/>
              <w:bottom w:val="single" w:color="auto" w:sz="6" w:space="0"/>
            </w:tcBorders>
            <w:noWrap w:val="0"/>
            <w:vAlign w:val="center"/>
          </w:tcPr>
          <w:p w14:paraId="0FD8CA2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4C0BDA9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62E723B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362E81B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3F6C11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6F5F535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2027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05" w:type="dxa"/>
            <w:tcBorders>
              <w:top w:val="single" w:color="auto" w:sz="6" w:space="0"/>
              <w:bottom w:val="single" w:color="auto" w:sz="12" w:space="0"/>
              <w:right w:val="single" w:color="auto" w:sz="4" w:space="0"/>
            </w:tcBorders>
            <w:noWrap w:val="0"/>
            <w:vAlign w:val="center"/>
          </w:tcPr>
          <w:p w14:paraId="097E78D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700" w:type="dxa"/>
            <w:gridSpan w:val="2"/>
            <w:tcBorders>
              <w:top w:val="single" w:color="auto" w:sz="6" w:space="0"/>
              <w:left w:val="single" w:color="auto" w:sz="4" w:space="0"/>
              <w:bottom w:val="single" w:color="auto" w:sz="12" w:space="0"/>
            </w:tcBorders>
            <w:noWrap w:val="0"/>
            <w:vAlign w:val="center"/>
          </w:tcPr>
          <w:p w14:paraId="5BA9E8F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w:t>
            </w:r>
          </w:p>
        </w:tc>
        <w:tc>
          <w:tcPr>
            <w:tcW w:w="912" w:type="dxa"/>
            <w:tcBorders>
              <w:top w:val="single" w:color="auto" w:sz="6" w:space="0"/>
              <w:bottom w:val="single" w:color="auto" w:sz="12" w:space="0"/>
            </w:tcBorders>
            <w:noWrap w:val="0"/>
            <w:vAlign w:val="center"/>
          </w:tcPr>
          <w:p w14:paraId="3212B84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12" w:space="0"/>
            </w:tcBorders>
            <w:noWrap w:val="0"/>
            <w:vAlign w:val="center"/>
          </w:tcPr>
          <w:p w14:paraId="0754ADC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4172BA5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737DE26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12" w:space="0"/>
            </w:tcBorders>
            <w:noWrap w:val="0"/>
            <w:vAlign w:val="center"/>
          </w:tcPr>
          <w:p w14:paraId="6563CFA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bl>
    <w:p w14:paraId="4F1AB0AB">
      <w:pPr>
        <w:widowControl/>
        <w:spacing w:beforeLines="0" w:afterLines="0"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rPr>
        <w:t>注：每台设备价格包括成本、包装费、运输费、保险费、税金、利润、附件及专用工具和技术服务费等所有费用。</w:t>
      </w:r>
    </w:p>
    <w:p w14:paraId="28A5A2A3">
      <w:pPr>
        <w:widowControl w:val="0"/>
        <w:adjustRightInd w:val="0"/>
        <w:spacing w:beforeLines="0" w:afterLines="0" w:line="360" w:lineRule="auto"/>
        <w:jc w:val="both"/>
        <w:rPr>
          <w:rFonts w:hint="eastAsia" w:ascii="宋体" w:hAnsi="宋体" w:eastAsia="宋体" w:cs="宋体"/>
          <w:color w:val="000000"/>
          <w:kern w:val="0"/>
          <w:sz w:val="21"/>
          <w:szCs w:val="21"/>
          <w:highlight w:val="none"/>
          <w:lang w:val="en-US" w:eastAsia="zh-CN" w:bidi="ar-SA"/>
        </w:rPr>
      </w:pPr>
    </w:p>
    <w:p w14:paraId="6C1CE509">
      <w:pPr>
        <w:widowControl/>
        <w:spacing w:beforeLines="0" w:afterLines="0" w:line="360" w:lineRule="auto"/>
        <w:jc w:val="right"/>
        <w:rPr>
          <w:rFonts w:hint="eastAsia" w:ascii="宋体" w:hAnsi="宋体" w:eastAsia="宋体" w:cs="宋体"/>
          <w:sz w:val="21"/>
          <w:szCs w:val="21"/>
          <w:highlight w:val="none"/>
        </w:rPr>
      </w:pPr>
    </w:p>
    <w:p w14:paraId="2679F900">
      <w:pPr>
        <w:tabs>
          <w:tab w:val="left" w:pos="6521"/>
        </w:tabs>
        <w:spacing w:before="0" w:beforeLines="0" w:after="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356ABA44">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08DC8E5">
      <w:pPr>
        <w:adjustRightInd w:val="0"/>
        <w:snapToGrid w:val="0"/>
        <w:spacing w:before="0" w:beforeLines="0" w:after="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14:paraId="70FE7001">
      <w:pPr>
        <w:widowControl/>
        <w:spacing w:before="0" w:after="0"/>
        <w:jc w:val="left"/>
        <w:rPr>
          <w:rFonts w:hint="eastAsia" w:ascii="宋体" w:hAnsi="宋体" w:eastAsia="宋体" w:cs="宋体"/>
          <w:bCs/>
          <w:spacing w:val="8"/>
          <w:szCs w:val="21"/>
          <w:highlight w:val="none"/>
        </w:rPr>
      </w:pPr>
      <w:r>
        <w:rPr>
          <w:rFonts w:hint="eastAsia" w:ascii="宋体" w:hAnsi="宋体" w:eastAsia="宋体" w:cs="宋体"/>
          <w:bCs/>
          <w:spacing w:val="8"/>
          <w:szCs w:val="21"/>
          <w:highlight w:val="none"/>
        </w:rPr>
        <w:br w:type="page"/>
      </w:r>
    </w:p>
    <w:p w14:paraId="0797BFDE">
      <w:pPr>
        <w:keepNext/>
        <w:keepLines/>
        <w:spacing w:before="0" w:after="0" w:line="360" w:lineRule="auto"/>
        <w:ind w:firstLine="3614" w:firstLineChars="1500"/>
        <w:jc w:val="both"/>
        <w:outlineLvl w:val="1"/>
        <w:rPr>
          <w:rFonts w:hint="eastAsia" w:ascii="宋体" w:hAnsi="宋体" w:eastAsia="宋体" w:cs="宋体"/>
          <w:b/>
          <w:bCs/>
          <w:kern w:val="0"/>
          <w:sz w:val="28"/>
          <w:szCs w:val="28"/>
          <w:highlight w:val="none"/>
          <w:lang w:val="en-US" w:eastAsia="zh-CN" w:bidi="ar-SA"/>
        </w:rPr>
      </w:pPr>
      <w:bookmarkStart w:id="917" w:name="_Toc32447"/>
      <w:bookmarkStart w:id="918" w:name="_Toc91345079"/>
      <w:bookmarkStart w:id="919" w:name="_Toc21252"/>
      <w:bookmarkStart w:id="920" w:name="_Toc534572435"/>
      <w:r>
        <w:rPr>
          <w:rFonts w:hint="eastAsia" w:ascii="宋体" w:hAnsi="宋体" w:eastAsia="宋体" w:cs="宋体"/>
          <w:b/>
          <w:bCs/>
          <w:kern w:val="2"/>
          <w:sz w:val="24"/>
          <w:szCs w:val="24"/>
          <w:highlight w:val="none"/>
          <w:lang w:val="en-US" w:eastAsia="zh-CN" w:bidi="ar-SA"/>
        </w:rPr>
        <w:t>六、资格审查资料</w:t>
      </w:r>
      <w:bookmarkEnd w:id="917"/>
      <w:bookmarkEnd w:id="918"/>
      <w:bookmarkEnd w:id="919"/>
    </w:p>
    <w:p w14:paraId="3666F5B2">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（一）基本情况表</w:t>
      </w:r>
    </w:p>
    <w:tbl>
      <w:tblPr>
        <w:tblStyle w:val="2"/>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2"/>
        <w:gridCol w:w="1215"/>
        <w:gridCol w:w="1916"/>
        <w:gridCol w:w="1260"/>
        <w:gridCol w:w="2186"/>
      </w:tblGrid>
      <w:tr w14:paraId="4916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72C470E5">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投标人名称</w:t>
            </w:r>
          </w:p>
        </w:tc>
        <w:tc>
          <w:tcPr>
            <w:tcW w:w="6577" w:type="dxa"/>
            <w:gridSpan w:val="4"/>
            <w:noWrap w:val="0"/>
            <w:vAlign w:val="center"/>
          </w:tcPr>
          <w:p w14:paraId="35875ACB">
            <w:pPr>
              <w:widowControl/>
              <w:spacing w:beforeLines="0" w:afterLines="0" w:line="360" w:lineRule="auto"/>
              <w:jc w:val="center"/>
              <w:rPr>
                <w:rFonts w:hint="eastAsia" w:ascii="宋体" w:hAnsi="宋体" w:eastAsia="宋体" w:cs="宋体"/>
                <w:sz w:val="21"/>
                <w:szCs w:val="21"/>
                <w:highlight w:val="none"/>
              </w:rPr>
            </w:pPr>
          </w:p>
        </w:tc>
      </w:tr>
      <w:tr w14:paraId="540F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FB78BD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注册资金</w:t>
            </w:r>
          </w:p>
        </w:tc>
        <w:tc>
          <w:tcPr>
            <w:tcW w:w="3131" w:type="dxa"/>
            <w:gridSpan w:val="2"/>
            <w:noWrap w:val="0"/>
            <w:vAlign w:val="center"/>
          </w:tcPr>
          <w:p w14:paraId="39A97F03">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1C62B10">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成立时间</w:t>
            </w:r>
          </w:p>
        </w:tc>
        <w:tc>
          <w:tcPr>
            <w:tcW w:w="2186" w:type="dxa"/>
            <w:noWrap w:val="0"/>
            <w:vAlign w:val="center"/>
          </w:tcPr>
          <w:p w14:paraId="57284126">
            <w:pPr>
              <w:widowControl/>
              <w:spacing w:beforeLines="0" w:afterLines="0" w:line="360" w:lineRule="auto"/>
              <w:jc w:val="center"/>
              <w:rPr>
                <w:rFonts w:hint="eastAsia" w:ascii="宋体" w:hAnsi="宋体" w:eastAsia="宋体" w:cs="宋体"/>
                <w:sz w:val="21"/>
                <w:szCs w:val="21"/>
                <w:highlight w:val="none"/>
              </w:rPr>
            </w:pPr>
          </w:p>
        </w:tc>
      </w:tr>
      <w:tr w14:paraId="14DB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59BBD3C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注册地址</w:t>
            </w:r>
          </w:p>
        </w:tc>
        <w:tc>
          <w:tcPr>
            <w:tcW w:w="6577" w:type="dxa"/>
            <w:gridSpan w:val="4"/>
            <w:noWrap w:val="0"/>
            <w:vAlign w:val="center"/>
          </w:tcPr>
          <w:p w14:paraId="1DC090C7">
            <w:pPr>
              <w:widowControl/>
              <w:spacing w:beforeLines="0" w:afterLines="0" w:line="360" w:lineRule="auto"/>
              <w:jc w:val="center"/>
              <w:rPr>
                <w:rFonts w:hint="eastAsia" w:ascii="宋体" w:hAnsi="宋体" w:eastAsia="宋体" w:cs="宋体"/>
                <w:sz w:val="21"/>
                <w:szCs w:val="21"/>
                <w:highlight w:val="none"/>
              </w:rPr>
            </w:pPr>
          </w:p>
        </w:tc>
      </w:tr>
      <w:tr w14:paraId="5E62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0780CC21">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邮政编码</w:t>
            </w:r>
          </w:p>
        </w:tc>
        <w:tc>
          <w:tcPr>
            <w:tcW w:w="3131" w:type="dxa"/>
            <w:gridSpan w:val="2"/>
            <w:noWrap w:val="0"/>
            <w:vAlign w:val="center"/>
          </w:tcPr>
          <w:p w14:paraId="2D2D0029">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636B1C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员工总数</w:t>
            </w:r>
          </w:p>
        </w:tc>
        <w:tc>
          <w:tcPr>
            <w:tcW w:w="2186" w:type="dxa"/>
            <w:noWrap w:val="0"/>
            <w:vAlign w:val="center"/>
          </w:tcPr>
          <w:p w14:paraId="5024F955">
            <w:pPr>
              <w:widowControl/>
              <w:spacing w:beforeLines="0" w:afterLines="0" w:line="360" w:lineRule="auto"/>
              <w:jc w:val="center"/>
              <w:rPr>
                <w:rFonts w:hint="eastAsia" w:ascii="宋体" w:hAnsi="宋体" w:eastAsia="宋体" w:cs="宋体"/>
                <w:sz w:val="21"/>
                <w:szCs w:val="21"/>
                <w:highlight w:val="none"/>
              </w:rPr>
            </w:pPr>
          </w:p>
        </w:tc>
      </w:tr>
      <w:tr w14:paraId="47F0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vMerge w:val="restart"/>
            <w:noWrap w:val="0"/>
            <w:vAlign w:val="center"/>
          </w:tcPr>
          <w:p w14:paraId="4E7FBD3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215" w:type="dxa"/>
            <w:noWrap w:val="0"/>
            <w:vAlign w:val="center"/>
          </w:tcPr>
          <w:p w14:paraId="260D615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1916" w:type="dxa"/>
            <w:noWrap w:val="0"/>
            <w:vAlign w:val="center"/>
          </w:tcPr>
          <w:p w14:paraId="28FE5021">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295675D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2186" w:type="dxa"/>
            <w:noWrap w:val="0"/>
            <w:vAlign w:val="center"/>
          </w:tcPr>
          <w:p w14:paraId="43090625">
            <w:pPr>
              <w:widowControl/>
              <w:spacing w:beforeLines="0" w:afterLines="0" w:line="360" w:lineRule="auto"/>
              <w:jc w:val="center"/>
              <w:rPr>
                <w:rFonts w:hint="eastAsia" w:ascii="宋体" w:hAnsi="宋体" w:eastAsia="宋体" w:cs="宋体"/>
                <w:sz w:val="21"/>
                <w:szCs w:val="21"/>
                <w:highlight w:val="none"/>
              </w:rPr>
            </w:pPr>
          </w:p>
        </w:tc>
      </w:tr>
      <w:tr w14:paraId="1ED7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vMerge w:val="continue"/>
            <w:noWrap w:val="0"/>
            <w:vAlign w:val="center"/>
          </w:tcPr>
          <w:p w14:paraId="4E8D6BA1">
            <w:pPr>
              <w:widowControl/>
              <w:spacing w:beforeLines="0" w:afterLines="0" w:line="360" w:lineRule="auto"/>
              <w:jc w:val="center"/>
              <w:rPr>
                <w:rFonts w:hint="eastAsia" w:ascii="宋体" w:hAnsi="宋体" w:eastAsia="宋体" w:cs="宋体"/>
                <w:sz w:val="21"/>
                <w:szCs w:val="21"/>
                <w:highlight w:val="none"/>
              </w:rPr>
            </w:pPr>
          </w:p>
        </w:tc>
        <w:tc>
          <w:tcPr>
            <w:tcW w:w="1215" w:type="dxa"/>
            <w:noWrap w:val="0"/>
            <w:vAlign w:val="center"/>
          </w:tcPr>
          <w:p w14:paraId="6CD56A7D">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网址</w:t>
            </w:r>
          </w:p>
        </w:tc>
        <w:tc>
          <w:tcPr>
            <w:tcW w:w="1916" w:type="dxa"/>
            <w:noWrap w:val="0"/>
            <w:vAlign w:val="center"/>
          </w:tcPr>
          <w:p w14:paraId="2593EF40">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F4FFEB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tc>
        <w:tc>
          <w:tcPr>
            <w:tcW w:w="2186" w:type="dxa"/>
            <w:noWrap w:val="0"/>
            <w:vAlign w:val="center"/>
          </w:tcPr>
          <w:p w14:paraId="61971A33">
            <w:pPr>
              <w:widowControl/>
              <w:spacing w:beforeLines="0" w:afterLines="0" w:line="360" w:lineRule="auto"/>
              <w:jc w:val="center"/>
              <w:rPr>
                <w:rFonts w:hint="eastAsia" w:ascii="宋体" w:hAnsi="宋体" w:eastAsia="宋体" w:cs="宋体"/>
                <w:sz w:val="21"/>
                <w:szCs w:val="21"/>
                <w:highlight w:val="none"/>
              </w:rPr>
            </w:pPr>
          </w:p>
        </w:tc>
      </w:tr>
      <w:tr w14:paraId="34A3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exact"/>
          <w:jc w:val="center"/>
        </w:trPr>
        <w:tc>
          <w:tcPr>
            <w:tcW w:w="2462" w:type="dxa"/>
            <w:noWrap w:val="0"/>
            <w:vAlign w:val="center"/>
          </w:tcPr>
          <w:p w14:paraId="57A66F3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法定代表人</w:t>
            </w:r>
          </w:p>
          <w:p w14:paraId="5A0DF17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（单位负责人）</w:t>
            </w:r>
          </w:p>
        </w:tc>
        <w:tc>
          <w:tcPr>
            <w:tcW w:w="1215" w:type="dxa"/>
            <w:noWrap w:val="0"/>
            <w:vAlign w:val="center"/>
          </w:tcPr>
          <w:p w14:paraId="392E62B7">
            <w:pPr>
              <w:widowControl w:val="0"/>
              <w:spacing w:beforeLines="0" w:afterLines="0" w:line="360" w:lineRule="auto"/>
              <w:jc w:val="center"/>
              <w:rPr>
                <w:rFonts w:hint="eastAsia" w:ascii="宋体" w:hAnsi="宋体" w:eastAsia="宋体" w:cs="宋体"/>
                <w:kern w:val="0"/>
                <w:sz w:val="21"/>
                <w:szCs w:val="21"/>
                <w:highlight w:val="none"/>
                <w:lang w:val="en-US" w:eastAsia="zh-CN" w:bidi="ar-SA"/>
              </w:rPr>
            </w:pPr>
          </w:p>
          <w:p w14:paraId="7A728C6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姓名</w:t>
            </w:r>
          </w:p>
        </w:tc>
        <w:tc>
          <w:tcPr>
            <w:tcW w:w="1916" w:type="dxa"/>
            <w:noWrap w:val="0"/>
            <w:vAlign w:val="center"/>
          </w:tcPr>
          <w:p w14:paraId="0C8EE9F6">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3B45EE2">
            <w:pPr>
              <w:widowControl w:val="0"/>
              <w:spacing w:beforeLines="0" w:afterLines="0" w:line="360" w:lineRule="auto"/>
              <w:jc w:val="center"/>
              <w:rPr>
                <w:rFonts w:hint="eastAsia" w:ascii="宋体" w:hAnsi="宋体" w:eastAsia="宋体" w:cs="宋体"/>
                <w:kern w:val="0"/>
                <w:sz w:val="21"/>
                <w:szCs w:val="21"/>
                <w:highlight w:val="none"/>
                <w:lang w:val="en-US" w:eastAsia="en-US" w:bidi="ar-SA"/>
              </w:rPr>
            </w:pPr>
          </w:p>
          <w:p w14:paraId="1593E28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电话</w:t>
            </w:r>
          </w:p>
        </w:tc>
        <w:tc>
          <w:tcPr>
            <w:tcW w:w="2186" w:type="dxa"/>
            <w:noWrap w:val="0"/>
            <w:vAlign w:val="center"/>
          </w:tcPr>
          <w:p w14:paraId="1ACA3C48">
            <w:pPr>
              <w:widowControl/>
              <w:spacing w:beforeLines="0" w:afterLines="0" w:line="360" w:lineRule="auto"/>
              <w:jc w:val="center"/>
              <w:rPr>
                <w:rFonts w:hint="eastAsia" w:ascii="宋体" w:hAnsi="宋体" w:eastAsia="宋体" w:cs="宋体"/>
                <w:sz w:val="21"/>
                <w:szCs w:val="21"/>
                <w:highlight w:val="none"/>
              </w:rPr>
            </w:pPr>
          </w:p>
        </w:tc>
      </w:tr>
      <w:tr w14:paraId="3139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exact"/>
          <w:jc w:val="center"/>
        </w:trPr>
        <w:tc>
          <w:tcPr>
            <w:tcW w:w="2462" w:type="dxa"/>
            <w:noWrap w:val="0"/>
            <w:vAlign w:val="center"/>
          </w:tcPr>
          <w:p w14:paraId="2B32873F">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投标人须知要求投标人需具有的资质证书</w:t>
            </w:r>
          </w:p>
        </w:tc>
        <w:tc>
          <w:tcPr>
            <w:tcW w:w="6577" w:type="dxa"/>
            <w:gridSpan w:val="4"/>
            <w:noWrap w:val="0"/>
            <w:vAlign w:val="center"/>
          </w:tcPr>
          <w:p w14:paraId="0BDB8BBE">
            <w:pPr>
              <w:widowControl w:val="0"/>
              <w:tabs>
                <w:tab w:val="left" w:pos="2309"/>
                <w:tab w:val="left" w:pos="4409"/>
              </w:tabs>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类型：</w:t>
            </w:r>
            <w:r>
              <w:rPr>
                <w:rFonts w:hint="eastAsia" w:ascii="宋体" w:hAnsi="宋体" w:eastAsia="宋体" w:cs="宋体"/>
                <w:kern w:val="0"/>
                <w:sz w:val="21"/>
                <w:szCs w:val="21"/>
                <w:highlight w:val="none"/>
                <w:lang w:val="en-US" w:eastAsia="zh-CN" w:bidi="ar-SA"/>
              </w:rPr>
              <w:tab/>
            </w:r>
            <w:r>
              <w:rPr>
                <w:rFonts w:hint="eastAsia" w:ascii="宋体" w:hAnsi="宋体" w:eastAsia="宋体" w:cs="宋体"/>
                <w:kern w:val="0"/>
                <w:sz w:val="21"/>
                <w:szCs w:val="21"/>
                <w:highlight w:val="none"/>
                <w:lang w:val="en-US" w:eastAsia="zh-CN" w:bidi="ar-SA"/>
              </w:rPr>
              <w:t>等级：</w:t>
            </w:r>
            <w:r>
              <w:rPr>
                <w:rFonts w:hint="eastAsia" w:ascii="宋体" w:hAnsi="宋体" w:eastAsia="宋体" w:cs="宋体"/>
                <w:kern w:val="0"/>
                <w:sz w:val="21"/>
                <w:szCs w:val="21"/>
                <w:highlight w:val="none"/>
                <w:lang w:val="en-US" w:eastAsia="zh-CN" w:bidi="ar-SA"/>
              </w:rPr>
              <w:tab/>
            </w:r>
            <w:r>
              <w:rPr>
                <w:rFonts w:hint="eastAsia" w:ascii="宋体" w:hAnsi="宋体" w:eastAsia="宋体" w:cs="宋体"/>
                <w:kern w:val="0"/>
                <w:sz w:val="21"/>
                <w:szCs w:val="21"/>
                <w:highlight w:val="none"/>
                <w:lang w:val="en-US" w:eastAsia="zh-CN" w:bidi="ar-SA"/>
              </w:rPr>
              <w:t>证书号：</w:t>
            </w:r>
          </w:p>
        </w:tc>
      </w:tr>
      <w:tr w14:paraId="33A0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2EE01FD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基本账户开户银行</w:t>
            </w:r>
          </w:p>
        </w:tc>
        <w:tc>
          <w:tcPr>
            <w:tcW w:w="6577" w:type="dxa"/>
            <w:gridSpan w:val="4"/>
            <w:noWrap w:val="0"/>
            <w:vAlign w:val="top"/>
          </w:tcPr>
          <w:p w14:paraId="716ED116">
            <w:pPr>
              <w:widowControl/>
              <w:spacing w:beforeLines="0" w:afterLines="0" w:line="360" w:lineRule="auto"/>
              <w:jc w:val="left"/>
              <w:rPr>
                <w:rFonts w:hint="eastAsia" w:ascii="宋体" w:hAnsi="宋体" w:eastAsia="宋体" w:cs="宋体"/>
                <w:sz w:val="21"/>
                <w:szCs w:val="21"/>
                <w:highlight w:val="none"/>
              </w:rPr>
            </w:pPr>
          </w:p>
        </w:tc>
      </w:tr>
      <w:tr w14:paraId="72C1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B28433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基本账户银行账号</w:t>
            </w:r>
          </w:p>
        </w:tc>
        <w:tc>
          <w:tcPr>
            <w:tcW w:w="6577" w:type="dxa"/>
            <w:gridSpan w:val="4"/>
            <w:noWrap w:val="0"/>
            <w:vAlign w:val="top"/>
          </w:tcPr>
          <w:p w14:paraId="517EA122">
            <w:pPr>
              <w:widowControl/>
              <w:spacing w:beforeLines="0" w:afterLines="0" w:line="360" w:lineRule="auto"/>
              <w:jc w:val="left"/>
              <w:rPr>
                <w:rFonts w:hint="eastAsia" w:ascii="宋体" w:hAnsi="宋体" w:eastAsia="宋体" w:cs="宋体"/>
                <w:sz w:val="21"/>
                <w:szCs w:val="21"/>
                <w:highlight w:val="none"/>
              </w:rPr>
            </w:pPr>
          </w:p>
        </w:tc>
      </w:tr>
      <w:tr w14:paraId="0637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0" w:hRule="exact"/>
          <w:jc w:val="center"/>
        </w:trPr>
        <w:tc>
          <w:tcPr>
            <w:tcW w:w="2462" w:type="dxa"/>
            <w:noWrap w:val="0"/>
            <w:vAlign w:val="center"/>
          </w:tcPr>
          <w:p w14:paraId="742BA179">
            <w:pPr>
              <w:widowControl w:val="0"/>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投标人关联企业情况</w:t>
            </w:r>
          </w:p>
          <w:p w14:paraId="62BEEE41">
            <w:pPr>
              <w:widowControl w:val="0"/>
              <w:spacing w:beforeLines="0" w:afterLines="0" w:line="360" w:lineRule="auto"/>
              <w:ind w:left="0" w:righ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（包括但不限于与投标人法定代表人（单位负责人）为同一人或者存在控股、管理</w:t>
            </w:r>
            <w:r>
              <w:rPr>
                <w:rFonts w:hint="eastAsia" w:ascii="宋体" w:hAnsi="宋体" w:eastAsia="宋体" w:cs="宋体"/>
                <w:kern w:val="0"/>
                <w:sz w:val="21"/>
                <w:szCs w:val="21"/>
                <w:highlight w:val="none"/>
                <w:lang w:val="en-US" w:eastAsia="en-US" w:bidi="ar-SA"/>
              </w:rPr>
              <w:t>关系的不同单位</w:t>
            </w:r>
          </w:p>
        </w:tc>
        <w:tc>
          <w:tcPr>
            <w:tcW w:w="6577" w:type="dxa"/>
            <w:gridSpan w:val="4"/>
            <w:noWrap w:val="0"/>
            <w:vAlign w:val="top"/>
          </w:tcPr>
          <w:p w14:paraId="58B4F34D">
            <w:pPr>
              <w:widowControl/>
              <w:spacing w:beforeLines="0" w:afterLines="0" w:line="360" w:lineRule="auto"/>
              <w:jc w:val="left"/>
              <w:rPr>
                <w:rFonts w:hint="eastAsia" w:ascii="宋体" w:hAnsi="宋体" w:eastAsia="宋体" w:cs="宋体"/>
                <w:sz w:val="21"/>
                <w:szCs w:val="21"/>
                <w:highlight w:val="none"/>
              </w:rPr>
            </w:pPr>
          </w:p>
        </w:tc>
      </w:tr>
      <w:tr w14:paraId="55CBD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exact"/>
          <w:jc w:val="center"/>
        </w:trPr>
        <w:tc>
          <w:tcPr>
            <w:tcW w:w="2462" w:type="dxa"/>
            <w:noWrap w:val="0"/>
            <w:vAlign w:val="center"/>
          </w:tcPr>
          <w:p w14:paraId="0BEBAFFE">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投标设备制造商名称</w:t>
            </w:r>
          </w:p>
        </w:tc>
        <w:tc>
          <w:tcPr>
            <w:tcW w:w="6577" w:type="dxa"/>
            <w:gridSpan w:val="4"/>
            <w:noWrap w:val="0"/>
            <w:vAlign w:val="top"/>
          </w:tcPr>
          <w:p w14:paraId="1338AB22">
            <w:pPr>
              <w:widowControl/>
              <w:spacing w:beforeLines="0" w:afterLines="0" w:line="360" w:lineRule="auto"/>
              <w:jc w:val="left"/>
              <w:rPr>
                <w:rFonts w:hint="eastAsia" w:ascii="宋体" w:hAnsi="宋体" w:eastAsia="宋体" w:cs="宋体"/>
                <w:sz w:val="21"/>
                <w:szCs w:val="21"/>
                <w:highlight w:val="none"/>
              </w:rPr>
            </w:pPr>
          </w:p>
        </w:tc>
      </w:tr>
      <w:tr w14:paraId="64FD4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exact"/>
          <w:jc w:val="center"/>
        </w:trPr>
        <w:tc>
          <w:tcPr>
            <w:tcW w:w="2462" w:type="dxa"/>
            <w:noWrap w:val="0"/>
            <w:vAlign w:val="top"/>
          </w:tcPr>
          <w:p w14:paraId="51A7C2D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备注</w:t>
            </w:r>
          </w:p>
        </w:tc>
        <w:tc>
          <w:tcPr>
            <w:tcW w:w="6577" w:type="dxa"/>
            <w:gridSpan w:val="4"/>
            <w:noWrap w:val="0"/>
            <w:vAlign w:val="top"/>
          </w:tcPr>
          <w:p w14:paraId="56CFA027">
            <w:pPr>
              <w:widowControl/>
              <w:spacing w:beforeLines="0" w:afterLines="0" w:line="360" w:lineRule="auto"/>
              <w:jc w:val="left"/>
              <w:rPr>
                <w:rFonts w:hint="eastAsia" w:ascii="宋体" w:hAnsi="宋体" w:eastAsia="宋体" w:cs="宋体"/>
                <w:sz w:val="21"/>
                <w:szCs w:val="21"/>
                <w:highlight w:val="none"/>
              </w:rPr>
            </w:pPr>
          </w:p>
        </w:tc>
      </w:tr>
    </w:tbl>
    <w:p w14:paraId="7C69029D">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bCs/>
          <w:szCs w:val="21"/>
          <w:highlight w:val="none"/>
        </w:rPr>
      </w:pPr>
      <w:r>
        <w:rPr>
          <w:rFonts w:hint="eastAsia" w:ascii="宋体" w:hAnsi="宋体" w:eastAsia="宋体" w:cs="宋体"/>
          <w:b w:val="0"/>
          <w:bCs w:val="0"/>
          <w:sz w:val="21"/>
          <w:szCs w:val="21"/>
          <w:highlight w:val="none"/>
        </w:rPr>
        <w:t>注：本表后附营业执照等相关证明材料的原件扫描件。</w:t>
      </w:r>
    </w:p>
    <w:p w14:paraId="46D34697">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rPr>
      </w:pPr>
    </w:p>
    <w:p w14:paraId="3D8AFF2E">
      <w:pPr>
        <w:widowControl/>
        <w:jc w:val="left"/>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br w:type="page"/>
      </w:r>
    </w:p>
    <w:p w14:paraId="6792AA7E">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（二）近年财务状况</w:t>
      </w:r>
    </w:p>
    <w:p w14:paraId="03C23B1F">
      <w:pPr>
        <w:widowControl/>
        <w:spacing w:beforeLines="0" w:afterLines="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财务状况表</w:t>
      </w:r>
    </w:p>
    <w:tbl>
      <w:tblPr>
        <w:tblStyle w:val="2"/>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5"/>
        <w:gridCol w:w="1755"/>
        <w:gridCol w:w="1755"/>
        <w:gridCol w:w="1755"/>
        <w:gridCol w:w="1756"/>
      </w:tblGrid>
      <w:tr w14:paraId="2754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1DA197A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755" w:type="dxa"/>
            <w:noWrap w:val="0"/>
            <w:vAlign w:val="center"/>
          </w:tcPr>
          <w:p w14:paraId="4AB73B0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755" w:type="dxa"/>
            <w:noWrap w:val="0"/>
            <w:vAlign w:val="center"/>
          </w:tcPr>
          <w:p w14:paraId="1047572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年度</w:t>
            </w:r>
          </w:p>
        </w:tc>
        <w:tc>
          <w:tcPr>
            <w:tcW w:w="1755" w:type="dxa"/>
            <w:noWrap w:val="0"/>
            <w:vAlign w:val="center"/>
          </w:tcPr>
          <w:p w14:paraId="254D450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年度</w:t>
            </w:r>
          </w:p>
        </w:tc>
        <w:tc>
          <w:tcPr>
            <w:tcW w:w="1756" w:type="dxa"/>
            <w:noWrap w:val="0"/>
            <w:vAlign w:val="center"/>
          </w:tcPr>
          <w:p w14:paraId="29F5C0C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年度</w:t>
            </w:r>
          </w:p>
        </w:tc>
      </w:tr>
      <w:tr w14:paraId="7210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668FBFA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一、注册资金</w:t>
            </w:r>
          </w:p>
        </w:tc>
        <w:tc>
          <w:tcPr>
            <w:tcW w:w="1755" w:type="dxa"/>
            <w:noWrap w:val="0"/>
            <w:vAlign w:val="center"/>
          </w:tcPr>
          <w:p w14:paraId="540D6DD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EF4D92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6200B1A7">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19D7819">
            <w:pPr>
              <w:widowControl/>
              <w:spacing w:beforeLines="0" w:afterLines="0" w:line="360" w:lineRule="auto"/>
              <w:jc w:val="center"/>
              <w:rPr>
                <w:rFonts w:hint="eastAsia" w:ascii="宋体" w:hAnsi="宋体" w:eastAsia="宋体" w:cs="宋体"/>
                <w:sz w:val="21"/>
                <w:szCs w:val="21"/>
                <w:highlight w:val="none"/>
              </w:rPr>
            </w:pPr>
          </w:p>
        </w:tc>
      </w:tr>
      <w:tr w14:paraId="0E7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6A4A736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二、净资产</w:t>
            </w:r>
          </w:p>
        </w:tc>
        <w:tc>
          <w:tcPr>
            <w:tcW w:w="1755" w:type="dxa"/>
            <w:noWrap w:val="0"/>
            <w:vAlign w:val="center"/>
          </w:tcPr>
          <w:p w14:paraId="6D9D6B7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FE0E10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A240AE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0BEDD2E">
            <w:pPr>
              <w:widowControl/>
              <w:spacing w:beforeLines="0" w:afterLines="0" w:line="360" w:lineRule="auto"/>
              <w:jc w:val="center"/>
              <w:rPr>
                <w:rFonts w:hint="eastAsia" w:ascii="宋体" w:hAnsi="宋体" w:eastAsia="宋体" w:cs="宋体"/>
                <w:sz w:val="21"/>
                <w:szCs w:val="21"/>
                <w:highlight w:val="none"/>
              </w:rPr>
            </w:pPr>
          </w:p>
        </w:tc>
      </w:tr>
      <w:tr w14:paraId="6954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462AA28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三、总资产</w:t>
            </w:r>
          </w:p>
        </w:tc>
        <w:tc>
          <w:tcPr>
            <w:tcW w:w="1755" w:type="dxa"/>
            <w:noWrap w:val="0"/>
            <w:vAlign w:val="center"/>
          </w:tcPr>
          <w:p w14:paraId="0D7D8A94">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5ACB5A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D39C82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3D52C23">
            <w:pPr>
              <w:widowControl/>
              <w:spacing w:beforeLines="0" w:afterLines="0" w:line="360" w:lineRule="auto"/>
              <w:jc w:val="center"/>
              <w:rPr>
                <w:rFonts w:hint="eastAsia" w:ascii="宋体" w:hAnsi="宋体" w:eastAsia="宋体" w:cs="宋体"/>
                <w:sz w:val="21"/>
                <w:szCs w:val="21"/>
                <w:highlight w:val="none"/>
              </w:rPr>
            </w:pPr>
          </w:p>
        </w:tc>
      </w:tr>
      <w:tr w14:paraId="7CFE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4EB232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四、固定资产</w:t>
            </w:r>
          </w:p>
        </w:tc>
        <w:tc>
          <w:tcPr>
            <w:tcW w:w="1755" w:type="dxa"/>
            <w:noWrap w:val="0"/>
            <w:vAlign w:val="center"/>
          </w:tcPr>
          <w:p w14:paraId="0259785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75F660C">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320628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7FA6764A">
            <w:pPr>
              <w:widowControl/>
              <w:spacing w:beforeLines="0" w:afterLines="0" w:line="360" w:lineRule="auto"/>
              <w:jc w:val="center"/>
              <w:rPr>
                <w:rFonts w:hint="eastAsia" w:ascii="宋体" w:hAnsi="宋体" w:eastAsia="宋体" w:cs="宋体"/>
                <w:sz w:val="21"/>
                <w:szCs w:val="21"/>
                <w:highlight w:val="none"/>
              </w:rPr>
            </w:pPr>
          </w:p>
        </w:tc>
      </w:tr>
      <w:tr w14:paraId="6E6F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5176118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五、流动资产</w:t>
            </w:r>
          </w:p>
        </w:tc>
        <w:tc>
          <w:tcPr>
            <w:tcW w:w="1755" w:type="dxa"/>
            <w:noWrap w:val="0"/>
            <w:vAlign w:val="center"/>
          </w:tcPr>
          <w:p w14:paraId="612ACF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59DC6A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A60841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BB9B673">
            <w:pPr>
              <w:widowControl/>
              <w:spacing w:beforeLines="0" w:afterLines="0" w:line="360" w:lineRule="auto"/>
              <w:jc w:val="center"/>
              <w:rPr>
                <w:rFonts w:hint="eastAsia" w:ascii="宋体" w:hAnsi="宋体" w:eastAsia="宋体" w:cs="宋体"/>
                <w:sz w:val="21"/>
                <w:szCs w:val="21"/>
                <w:highlight w:val="none"/>
              </w:rPr>
            </w:pPr>
          </w:p>
        </w:tc>
      </w:tr>
      <w:tr w14:paraId="7B4B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276CCE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六、流动负债</w:t>
            </w:r>
          </w:p>
        </w:tc>
        <w:tc>
          <w:tcPr>
            <w:tcW w:w="1755" w:type="dxa"/>
            <w:noWrap w:val="0"/>
            <w:vAlign w:val="center"/>
          </w:tcPr>
          <w:p w14:paraId="5A698F3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D08E08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9AA1729">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5D13C9E">
            <w:pPr>
              <w:widowControl/>
              <w:spacing w:beforeLines="0" w:afterLines="0" w:line="360" w:lineRule="auto"/>
              <w:jc w:val="center"/>
              <w:rPr>
                <w:rFonts w:hint="eastAsia" w:ascii="宋体" w:hAnsi="宋体" w:eastAsia="宋体" w:cs="宋体"/>
                <w:sz w:val="21"/>
                <w:szCs w:val="21"/>
                <w:highlight w:val="none"/>
              </w:rPr>
            </w:pPr>
          </w:p>
        </w:tc>
      </w:tr>
      <w:tr w14:paraId="2A1E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3701547">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七、负债合计</w:t>
            </w:r>
          </w:p>
        </w:tc>
        <w:tc>
          <w:tcPr>
            <w:tcW w:w="1755" w:type="dxa"/>
            <w:noWrap w:val="0"/>
            <w:vAlign w:val="center"/>
          </w:tcPr>
          <w:p w14:paraId="03F3056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0C0615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253F4D9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E0C27F7">
            <w:pPr>
              <w:widowControl/>
              <w:spacing w:beforeLines="0" w:afterLines="0" w:line="360" w:lineRule="auto"/>
              <w:jc w:val="center"/>
              <w:rPr>
                <w:rFonts w:hint="eastAsia" w:ascii="宋体" w:hAnsi="宋体" w:eastAsia="宋体" w:cs="宋体"/>
                <w:sz w:val="21"/>
                <w:szCs w:val="21"/>
                <w:highlight w:val="none"/>
              </w:rPr>
            </w:pPr>
          </w:p>
        </w:tc>
      </w:tr>
      <w:tr w14:paraId="4D2F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73CE5C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八、营业收入</w:t>
            </w:r>
          </w:p>
        </w:tc>
        <w:tc>
          <w:tcPr>
            <w:tcW w:w="1755" w:type="dxa"/>
            <w:noWrap w:val="0"/>
            <w:vAlign w:val="center"/>
          </w:tcPr>
          <w:p w14:paraId="2B58121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B2E36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A0C08E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3F6EA4E0">
            <w:pPr>
              <w:widowControl/>
              <w:spacing w:beforeLines="0" w:afterLines="0" w:line="360" w:lineRule="auto"/>
              <w:jc w:val="center"/>
              <w:rPr>
                <w:rFonts w:hint="eastAsia" w:ascii="宋体" w:hAnsi="宋体" w:eastAsia="宋体" w:cs="宋体"/>
                <w:sz w:val="21"/>
                <w:szCs w:val="21"/>
                <w:highlight w:val="none"/>
              </w:rPr>
            </w:pPr>
          </w:p>
        </w:tc>
      </w:tr>
      <w:tr w14:paraId="0737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775EF64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九、净利润</w:t>
            </w:r>
          </w:p>
        </w:tc>
        <w:tc>
          <w:tcPr>
            <w:tcW w:w="1755" w:type="dxa"/>
            <w:noWrap w:val="0"/>
            <w:vAlign w:val="center"/>
          </w:tcPr>
          <w:p w14:paraId="150D3DE9">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27E20C8">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056FABE">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98A8B72">
            <w:pPr>
              <w:widowControl/>
              <w:spacing w:beforeLines="0" w:afterLines="0" w:line="360" w:lineRule="auto"/>
              <w:jc w:val="center"/>
              <w:rPr>
                <w:rFonts w:hint="eastAsia" w:ascii="宋体" w:hAnsi="宋体" w:eastAsia="宋体" w:cs="宋体"/>
                <w:sz w:val="21"/>
                <w:szCs w:val="21"/>
                <w:highlight w:val="none"/>
              </w:rPr>
            </w:pPr>
          </w:p>
        </w:tc>
      </w:tr>
      <w:tr w14:paraId="798E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755" w:type="dxa"/>
            <w:noWrap w:val="0"/>
            <w:vAlign w:val="center"/>
          </w:tcPr>
          <w:p w14:paraId="5A88F55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755" w:type="dxa"/>
            <w:noWrap w:val="0"/>
            <w:vAlign w:val="center"/>
          </w:tcPr>
          <w:p w14:paraId="3036375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E3C05FF">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676145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588FE325">
            <w:pPr>
              <w:widowControl/>
              <w:spacing w:beforeLines="0" w:afterLines="0" w:line="360" w:lineRule="auto"/>
              <w:jc w:val="center"/>
              <w:rPr>
                <w:rFonts w:hint="eastAsia" w:ascii="宋体" w:hAnsi="宋体" w:eastAsia="宋体" w:cs="宋体"/>
                <w:sz w:val="21"/>
                <w:szCs w:val="21"/>
                <w:highlight w:val="none"/>
              </w:rPr>
            </w:pPr>
          </w:p>
        </w:tc>
      </w:tr>
    </w:tbl>
    <w:p w14:paraId="195095EE">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 提供近三年（20</w:t>
      </w:r>
      <w:r>
        <w:rPr>
          <w:rFonts w:hint="eastAsia" w:ascii="宋体" w:hAnsi="宋体" w:eastAsia="宋体" w:cs="宋体"/>
          <w:b w:val="0"/>
          <w:bCs w:val="0"/>
          <w:szCs w:val="21"/>
          <w:highlight w:val="none"/>
          <w:lang w:val="en-US" w:eastAsia="zh-CN"/>
        </w:rPr>
        <w:t>23</w:t>
      </w:r>
      <w:r>
        <w:rPr>
          <w:rFonts w:hint="eastAsia" w:ascii="宋体" w:hAnsi="宋体" w:eastAsia="宋体" w:cs="宋体"/>
          <w:b w:val="0"/>
          <w:bCs w:val="0"/>
          <w:szCs w:val="21"/>
          <w:highlight w:val="none"/>
        </w:rPr>
        <w:t>、20</w:t>
      </w:r>
      <w:r>
        <w:rPr>
          <w:rFonts w:hint="eastAsia" w:ascii="宋体" w:hAnsi="宋体" w:eastAsia="宋体" w:cs="宋体"/>
          <w:b w:val="0"/>
          <w:bCs w:val="0"/>
          <w:szCs w:val="21"/>
          <w:highlight w:val="none"/>
          <w:lang w:val="en-US" w:eastAsia="zh-CN"/>
        </w:rPr>
        <w:t>24</w:t>
      </w:r>
      <w:r>
        <w:rPr>
          <w:rFonts w:hint="eastAsia" w:ascii="宋体" w:hAnsi="宋体" w:eastAsia="宋体" w:cs="宋体"/>
          <w:b w:val="0"/>
          <w:bCs w:val="0"/>
          <w:szCs w:val="21"/>
          <w:highlight w:val="none"/>
        </w:rPr>
        <w:t>、202</w:t>
      </w:r>
      <w:r>
        <w:rPr>
          <w:rFonts w:hint="eastAsia" w:ascii="宋体" w:hAnsi="宋体" w:eastAsia="宋体" w:cs="宋体"/>
          <w:b w:val="0"/>
          <w:bCs w:val="0"/>
          <w:szCs w:val="21"/>
          <w:highlight w:val="none"/>
          <w:lang w:val="en-US" w:eastAsia="zh-CN"/>
        </w:rPr>
        <w:t>5</w:t>
      </w:r>
      <w:r>
        <w:rPr>
          <w:rFonts w:hint="eastAsia" w:ascii="宋体" w:hAnsi="宋体" w:eastAsia="宋体" w:cs="宋体"/>
          <w:b w:val="0"/>
          <w:bCs w:val="0"/>
          <w:szCs w:val="21"/>
          <w:highlight w:val="none"/>
        </w:rPr>
        <w:t>）经会计师事务所或审计机构审计的财务</w:t>
      </w:r>
      <w:r>
        <w:rPr>
          <w:rFonts w:hint="eastAsia" w:ascii="宋体" w:hAnsi="宋体" w:eastAsia="宋体" w:cs="宋体"/>
          <w:b w:val="0"/>
          <w:bCs w:val="0"/>
          <w:szCs w:val="21"/>
          <w:highlight w:val="none"/>
          <w:lang w:val="en-US" w:eastAsia="zh-CN"/>
        </w:rPr>
        <w:t>审计</w:t>
      </w:r>
      <w:r>
        <w:rPr>
          <w:rFonts w:hint="eastAsia" w:ascii="宋体" w:hAnsi="宋体" w:eastAsia="宋体" w:cs="宋体"/>
          <w:b w:val="0"/>
          <w:bCs w:val="0"/>
          <w:szCs w:val="21"/>
          <w:highlight w:val="none"/>
        </w:rPr>
        <w:t>报告。</w:t>
      </w:r>
    </w:p>
    <w:p w14:paraId="21AFE7FB">
      <w:pPr>
        <w:widowControl/>
        <w:spacing w:before="0" w:beforeLines="0" w:afterLines="0" w:line="240" w:lineRule="auto"/>
        <w:ind w:left="0" w:leftChars="0" w:firstLine="0" w:firstLineChars="0"/>
        <w:jc w:val="left"/>
        <w:rPr>
          <w:rFonts w:hint="eastAsia" w:ascii="宋体" w:hAnsi="宋体" w:eastAsia="宋体" w:cs="宋体"/>
          <w:sz w:val="24"/>
          <w:szCs w:val="24"/>
          <w:highlight w:val="none"/>
        </w:rPr>
      </w:pPr>
    </w:p>
    <w:p w14:paraId="16565956">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2CB87761">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rPr>
      </w:pPr>
      <w:r>
        <w:rPr>
          <w:rFonts w:hint="eastAsia" w:ascii="宋体" w:hAnsi="宋体" w:eastAsia="宋体" w:cs="宋体"/>
          <w:b/>
          <w:szCs w:val="22"/>
          <w:highlight w:val="none"/>
        </w:rPr>
        <w:br w:type="page"/>
      </w:r>
      <w:r>
        <w:rPr>
          <w:rFonts w:hint="eastAsia" w:ascii="宋体" w:hAnsi="宋体" w:eastAsia="宋体" w:cs="宋体"/>
          <w:b/>
          <w:bCs w:val="0"/>
          <w:color w:val="auto"/>
          <w:kern w:val="0"/>
          <w:sz w:val="24"/>
          <w:szCs w:val="24"/>
          <w:highlight w:val="none"/>
          <w:lang w:val="en-US" w:eastAsia="zh-CN" w:bidi="ar-SA"/>
        </w:rPr>
        <w:t>（三）类似项目情况表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169"/>
        <w:gridCol w:w="1505"/>
        <w:gridCol w:w="1505"/>
        <w:gridCol w:w="1506"/>
        <w:gridCol w:w="1514"/>
      </w:tblGrid>
      <w:tr w14:paraId="4A11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40" w:type="dxa"/>
            <w:gridSpan w:val="6"/>
            <w:noWrap w:val="0"/>
            <w:vAlign w:val="top"/>
          </w:tcPr>
          <w:p w14:paraId="3E7C76E7">
            <w:pPr>
              <w:keepNext w:val="0"/>
              <w:keepLines w:val="0"/>
              <w:widowControl/>
              <w:suppressLineNumbers w:val="0"/>
              <w:spacing w:before="0" w:beforeLines="0" w:beforeAutospacing="0" w:after="0" w:afterLines="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类似项目汇总表</w:t>
            </w:r>
          </w:p>
        </w:tc>
      </w:tr>
      <w:tr w14:paraId="5F4A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4E5B9B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vertAlign w:val="baseline"/>
                <w:lang w:val="en-US" w:eastAsia="zh-CN"/>
              </w:rPr>
              <w:t>序号</w:t>
            </w:r>
          </w:p>
        </w:tc>
        <w:tc>
          <w:tcPr>
            <w:tcW w:w="2169" w:type="dxa"/>
            <w:noWrap w:val="0"/>
            <w:vAlign w:val="top"/>
          </w:tcPr>
          <w:p w14:paraId="1F61EDC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项目名称</w:t>
            </w:r>
          </w:p>
        </w:tc>
        <w:tc>
          <w:tcPr>
            <w:tcW w:w="1505" w:type="dxa"/>
            <w:noWrap w:val="0"/>
            <w:vAlign w:val="top"/>
          </w:tcPr>
          <w:p w14:paraId="0B7902B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发包人</w:t>
            </w:r>
          </w:p>
        </w:tc>
        <w:tc>
          <w:tcPr>
            <w:tcW w:w="1505" w:type="dxa"/>
            <w:noWrap w:val="0"/>
            <w:vAlign w:val="top"/>
          </w:tcPr>
          <w:p w14:paraId="65D6EE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合同金额</w:t>
            </w:r>
          </w:p>
        </w:tc>
        <w:tc>
          <w:tcPr>
            <w:tcW w:w="1506" w:type="dxa"/>
            <w:noWrap w:val="0"/>
            <w:vAlign w:val="top"/>
          </w:tcPr>
          <w:p w14:paraId="522BDD9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签订时间</w:t>
            </w:r>
          </w:p>
        </w:tc>
        <w:tc>
          <w:tcPr>
            <w:tcW w:w="1514" w:type="dxa"/>
            <w:noWrap w:val="0"/>
            <w:vAlign w:val="top"/>
          </w:tcPr>
          <w:p w14:paraId="6A35E5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项目负责人</w:t>
            </w:r>
          </w:p>
        </w:tc>
      </w:tr>
      <w:tr w14:paraId="043B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69BF195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68F0AC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7152B7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91AD66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6F6492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CE085E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43A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3CE6A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778A3A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2FCE44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DFF3BC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7CE6A0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AB85D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4318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D0BB13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808EDF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FE15D7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D20D64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B63544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749A413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3AE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E4720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541477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816390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84495D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B80947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7D94B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5E1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46BC2E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0BC3885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217FD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BA8F8D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0742F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4818220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7DAB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602804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D89926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357751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2AE5C7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5E41C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5C99551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1F9E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20E4DA0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27A4EE4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90B698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7D98DC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61D5B5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62B8E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031C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41" w:type="dxa"/>
            <w:noWrap w:val="0"/>
            <w:vAlign w:val="top"/>
          </w:tcPr>
          <w:p w14:paraId="3874225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3566EBB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413682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A4AE4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44F9919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08AA9BD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bl>
    <w:p w14:paraId="41EA6E10">
      <w:pPr>
        <w:widowControl/>
        <w:spacing w:beforeLines="0" w:afterLines="0"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注：后附单项情况表。</w:t>
      </w:r>
    </w:p>
    <w:p w14:paraId="000013AB">
      <w:pPr>
        <w:widowControl/>
        <w:spacing w:beforeLines="0" w:afterLines="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2"/>
          <w:highlight w:val="none"/>
        </w:rPr>
        <w:br w:type="page"/>
      </w:r>
      <w:r>
        <w:rPr>
          <w:rFonts w:hint="eastAsia" w:ascii="宋体" w:hAnsi="宋体" w:eastAsia="宋体" w:cs="宋体"/>
          <w:color w:val="auto"/>
          <w:sz w:val="21"/>
          <w:szCs w:val="21"/>
          <w:highlight w:val="none"/>
          <w:lang w:val="en-US" w:eastAsia="zh-CN"/>
        </w:rPr>
        <w:t>序号：</w:t>
      </w:r>
    </w:p>
    <w:tbl>
      <w:tblPr>
        <w:tblStyle w:val="2"/>
        <w:tblW w:w="8499"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1"/>
        <w:gridCol w:w="6148"/>
      </w:tblGrid>
      <w:tr w14:paraId="071C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exact"/>
        </w:trPr>
        <w:tc>
          <w:tcPr>
            <w:tcW w:w="2351" w:type="dxa"/>
            <w:noWrap w:val="0"/>
            <w:vAlign w:val="center"/>
          </w:tcPr>
          <w:p w14:paraId="2F82758B">
            <w:pPr>
              <w:widowControl/>
              <w:jc w:val="left"/>
              <w:rPr>
                <w:rFonts w:ascii="Times New Roman" w:hAnsi="Times New Roman" w:eastAsia="宋体" w:cs="Times New Roman"/>
                <w:szCs w:val="22"/>
                <w:highlight w:val="none"/>
              </w:rPr>
            </w:pPr>
          </w:p>
          <w:p w14:paraId="2DE4640E">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设备名称</w:t>
            </w:r>
          </w:p>
        </w:tc>
        <w:tc>
          <w:tcPr>
            <w:tcW w:w="6148" w:type="dxa"/>
            <w:noWrap w:val="0"/>
            <w:vAlign w:val="top"/>
          </w:tcPr>
          <w:p w14:paraId="296BA194">
            <w:pPr>
              <w:widowControl/>
              <w:spacing w:beforeLines="0" w:afterLines="0" w:line="360" w:lineRule="auto"/>
              <w:jc w:val="left"/>
              <w:rPr>
                <w:rFonts w:hint="eastAsia" w:ascii="宋体" w:hAnsi="宋体" w:eastAsia="宋体" w:cs="宋体"/>
                <w:color w:val="auto"/>
                <w:sz w:val="21"/>
                <w:szCs w:val="21"/>
                <w:highlight w:val="none"/>
              </w:rPr>
            </w:pPr>
          </w:p>
        </w:tc>
      </w:tr>
      <w:tr w14:paraId="2202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exact"/>
        </w:trPr>
        <w:tc>
          <w:tcPr>
            <w:tcW w:w="2351" w:type="dxa"/>
            <w:noWrap w:val="0"/>
            <w:vAlign w:val="center"/>
          </w:tcPr>
          <w:p w14:paraId="11A2D636">
            <w:pPr>
              <w:widowControl/>
              <w:jc w:val="left"/>
              <w:rPr>
                <w:rFonts w:ascii="Times New Roman" w:hAnsi="Times New Roman" w:eastAsia="宋体" w:cs="Times New Roman"/>
                <w:szCs w:val="22"/>
                <w:highlight w:val="none"/>
              </w:rPr>
            </w:pPr>
          </w:p>
          <w:p w14:paraId="50CCA959">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规格和型号</w:t>
            </w:r>
          </w:p>
        </w:tc>
        <w:tc>
          <w:tcPr>
            <w:tcW w:w="6148" w:type="dxa"/>
            <w:noWrap w:val="0"/>
            <w:vAlign w:val="top"/>
          </w:tcPr>
          <w:p w14:paraId="72FBBC61">
            <w:pPr>
              <w:widowControl/>
              <w:spacing w:beforeLines="0" w:afterLines="0" w:line="360" w:lineRule="auto"/>
              <w:jc w:val="left"/>
              <w:rPr>
                <w:rFonts w:hint="eastAsia" w:ascii="宋体" w:hAnsi="宋体" w:eastAsia="宋体" w:cs="宋体"/>
                <w:color w:val="auto"/>
                <w:sz w:val="21"/>
                <w:szCs w:val="21"/>
                <w:highlight w:val="none"/>
              </w:rPr>
            </w:pPr>
          </w:p>
        </w:tc>
      </w:tr>
      <w:tr w14:paraId="64EA8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exact"/>
        </w:trPr>
        <w:tc>
          <w:tcPr>
            <w:tcW w:w="2351" w:type="dxa"/>
            <w:noWrap w:val="0"/>
            <w:vAlign w:val="center"/>
          </w:tcPr>
          <w:p w14:paraId="6ECC707C">
            <w:pPr>
              <w:widowControl/>
              <w:jc w:val="left"/>
              <w:rPr>
                <w:rFonts w:ascii="Times New Roman" w:hAnsi="Times New Roman" w:eastAsia="宋体" w:cs="Times New Roman"/>
                <w:szCs w:val="22"/>
                <w:highlight w:val="none"/>
              </w:rPr>
            </w:pPr>
          </w:p>
          <w:p w14:paraId="6941C823">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项目名称</w:t>
            </w:r>
          </w:p>
        </w:tc>
        <w:tc>
          <w:tcPr>
            <w:tcW w:w="6148" w:type="dxa"/>
            <w:noWrap w:val="0"/>
            <w:vAlign w:val="top"/>
          </w:tcPr>
          <w:p w14:paraId="3204AC7D">
            <w:pPr>
              <w:widowControl/>
              <w:spacing w:beforeLines="0" w:afterLines="0" w:line="360" w:lineRule="auto"/>
              <w:jc w:val="left"/>
              <w:rPr>
                <w:rFonts w:hint="eastAsia" w:ascii="宋体" w:hAnsi="宋体" w:eastAsia="宋体" w:cs="宋体"/>
                <w:color w:val="auto"/>
                <w:sz w:val="21"/>
                <w:szCs w:val="21"/>
                <w:highlight w:val="none"/>
              </w:rPr>
            </w:pPr>
          </w:p>
        </w:tc>
      </w:tr>
      <w:tr w14:paraId="0C0C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exact"/>
        </w:trPr>
        <w:tc>
          <w:tcPr>
            <w:tcW w:w="2351" w:type="dxa"/>
            <w:noWrap w:val="0"/>
            <w:vAlign w:val="center"/>
          </w:tcPr>
          <w:p w14:paraId="597504DF">
            <w:pPr>
              <w:widowControl/>
              <w:jc w:val="left"/>
              <w:rPr>
                <w:rFonts w:ascii="Times New Roman" w:hAnsi="Times New Roman" w:eastAsia="宋体" w:cs="Times New Roman"/>
                <w:szCs w:val="22"/>
                <w:highlight w:val="none"/>
              </w:rPr>
            </w:pPr>
          </w:p>
          <w:p w14:paraId="3C50958F">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买方名称</w:t>
            </w:r>
          </w:p>
        </w:tc>
        <w:tc>
          <w:tcPr>
            <w:tcW w:w="6148" w:type="dxa"/>
            <w:noWrap w:val="0"/>
            <w:vAlign w:val="top"/>
          </w:tcPr>
          <w:p w14:paraId="552627DF">
            <w:pPr>
              <w:widowControl/>
              <w:spacing w:beforeLines="0" w:afterLines="0" w:line="360" w:lineRule="auto"/>
              <w:jc w:val="left"/>
              <w:rPr>
                <w:rFonts w:hint="eastAsia" w:ascii="宋体" w:hAnsi="宋体" w:eastAsia="宋体" w:cs="宋体"/>
                <w:color w:val="auto"/>
                <w:sz w:val="21"/>
                <w:szCs w:val="21"/>
                <w:highlight w:val="none"/>
              </w:rPr>
            </w:pPr>
          </w:p>
        </w:tc>
      </w:tr>
      <w:tr w14:paraId="4645E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88" w:hRule="exact"/>
        </w:trPr>
        <w:tc>
          <w:tcPr>
            <w:tcW w:w="2351" w:type="dxa"/>
            <w:noWrap w:val="0"/>
            <w:vAlign w:val="center"/>
          </w:tcPr>
          <w:p w14:paraId="2B9D79BC">
            <w:pPr>
              <w:widowControl/>
              <w:jc w:val="left"/>
              <w:rPr>
                <w:rFonts w:ascii="Times New Roman" w:hAnsi="Times New Roman" w:eastAsia="宋体" w:cs="Times New Roman"/>
                <w:szCs w:val="22"/>
                <w:highlight w:val="none"/>
              </w:rPr>
            </w:pPr>
          </w:p>
          <w:p w14:paraId="5AB85AB0">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买方联系人及电话</w:t>
            </w:r>
          </w:p>
        </w:tc>
        <w:tc>
          <w:tcPr>
            <w:tcW w:w="6148" w:type="dxa"/>
            <w:noWrap w:val="0"/>
            <w:vAlign w:val="top"/>
          </w:tcPr>
          <w:p w14:paraId="48B5089F">
            <w:pPr>
              <w:widowControl/>
              <w:spacing w:beforeLines="0" w:afterLines="0" w:line="360" w:lineRule="auto"/>
              <w:jc w:val="left"/>
              <w:rPr>
                <w:rFonts w:hint="eastAsia" w:ascii="宋体" w:hAnsi="宋体" w:eastAsia="宋体" w:cs="宋体"/>
                <w:color w:val="auto"/>
                <w:sz w:val="21"/>
                <w:szCs w:val="21"/>
                <w:highlight w:val="none"/>
              </w:rPr>
            </w:pPr>
          </w:p>
        </w:tc>
      </w:tr>
      <w:tr w14:paraId="65DC0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trPr>
        <w:tc>
          <w:tcPr>
            <w:tcW w:w="2351" w:type="dxa"/>
            <w:noWrap w:val="0"/>
            <w:vAlign w:val="center"/>
          </w:tcPr>
          <w:p w14:paraId="156B94C2">
            <w:pPr>
              <w:widowControl/>
              <w:jc w:val="left"/>
              <w:rPr>
                <w:rFonts w:ascii="Times New Roman" w:hAnsi="Times New Roman" w:eastAsia="宋体" w:cs="Times New Roman"/>
                <w:szCs w:val="22"/>
                <w:highlight w:val="none"/>
              </w:rPr>
            </w:pPr>
          </w:p>
          <w:p w14:paraId="377AEEC6">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签约合同价</w:t>
            </w:r>
          </w:p>
        </w:tc>
        <w:tc>
          <w:tcPr>
            <w:tcW w:w="6148" w:type="dxa"/>
            <w:noWrap w:val="0"/>
            <w:vAlign w:val="top"/>
          </w:tcPr>
          <w:p w14:paraId="42EF9365">
            <w:pPr>
              <w:widowControl/>
              <w:spacing w:beforeLines="0" w:afterLines="0" w:line="360" w:lineRule="auto"/>
              <w:jc w:val="left"/>
              <w:rPr>
                <w:rFonts w:hint="eastAsia" w:ascii="宋体" w:hAnsi="宋体" w:eastAsia="宋体" w:cs="宋体"/>
                <w:color w:val="auto"/>
                <w:sz w:val="21"/>
                <w:szCs w:val="21"/>
                <w:highlight w:val="none"/>
              </w:rPr>
            </w:pPr>
          </w:p>
        </w:tc>
      </w:tr>
      <w:tr w14:paraId="153F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2" w:hRule="exact"/>
        </w:trPr>
        <w:tc>
          <w:tcPr>
            <w:tcW w:w="2351" w:type="dxa"/>
            <w:noWrap w:val="0"/>
            <w:vAlign w:val="center"/>
          </w:tcPr>
          <w:p w14:paraId="5A4D8B6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4AD4915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028BB9F8">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65565C46">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199CAD02">
            <w:pPr>
              <w:widowControl w:val="0"/>
              <w:spacing w:before="0" w:beforeLines="0" w:afterLines="0" w:line="360" w:lineRule="auto"/>
              <w:ind w:left="0" w:right="0" w:firstLine="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项目概况及投标人履 约情况</w:t>
            </w:r>
          </w:p>
        </w:tc>
        <w:tc>
          <w:tcPr>
            <w:tcW w:w="6148" w:type="dxa"/>
            <w:noWrap w:val="0"/>
            <w:vAlign w:val="top"/>
          </w:tcPr>
          <w:p w14:paraId="39C7684E">
            <w:pPr>
              <w:widowControl/>
              <w:spacing w:beforeLines="0" w:afterLines="0" w:line="360" w:lineRule="auto"/>
              <w:jc w:val="left"/>
              <w:rPr>
                <w:rFonts w:hint="eastAsia" w:ascii="宋体" w:hAnsi="宋体" w:eastAsia="宋体" w:cs="宋体"/>
                <w:color w:val="auto"/>
                <w:sz w:val="21"/>
                <w:szCs w:val="21"/>
                <w:highlight w:val="none"/>
              </w:rPr>
            </w:pPr>
          </w:p>
        </w:tc>
      </w:tr>
      <w:tr w14:paraId="12181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exact"/>
        </w:trPr>
        <w:tc>
          <w:tcPr>
            <w:tcW w:w="2351" w:type="dxa"/>
            <w:noWrap w:val="0"/>
            <w:vAlign w:val="center"/>
          </w:tcPr>
          <w:p w14:paraId="1B50BE4F">
            <w:pPr>
              <w:widowControl/>
              <w:jc w:val="left"/>
              <w:rPr>
                <w:rFonts w:ascii="Times New Roman" w:hAnsi="Times New Roman" w:eastAsia="宋体" w:cs="Times New Roman"/>
                <w:szCs w:val="22"/>
                <w:highlight w:val="none"/>
              </w:rPr>
            </w:pPr>
          </w:p>
          <w:p w14:paraId="1860FDA1">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备注</w:t>
            </w:r>
          </w:p>
        </w:tc>
        <w:tc>
          <w:tcPr>
            <w:tcW w:w="6148" w:type="dxa"/>
            <w:noWrap w:val="0"/>
            <w:vAlign w:val="top"/>
          </w:tcPr>
          <w:p w14:paraId="2FC47538">
            <w:pPr>
              <w:widowControl/>
              <w:spacing w:beforeLines="0" w:afterLines="0" w:line="360" w:lineRule="auto"/>
              <w:jc w:val="left"/>
              <w:rPr>
                <w:rFonts w:hint="eastAsia" w:ascii="宋体" w:hAnsi="宋体" w:eastAsia="宋体" w:cs="宋体"/>
                <w:color w:val="auto"/>
                <w:sz w:val="21"/>
                <w:szCs w:val="21"/>
                <w:highlight w:val="none"/>
              </w:rPr>
            </w:pPr>
          </w:p>
        </w:tc>
      </w:tr>
    </w:tbl>
    <w:p w14:paraId="02891EA9">
      <w:pPr>
        <w:spacing w:before="0" w:beforeLines="0" w:after="0" w:afterLines="0" w:line="360" w:lineRule="auto"/>
        <w:ind w:left="0" w:right="0" w:firstLine="0"/>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注：投标人如实填写表格中内容并在本表后附中标通知书、合同协议书原件的扫描件（或照片）</w:t>
      </w:r>
      <w:r>
        <w:rPr>
          <w:rFonts w:hint="eastAsia" w:ascii="宋体" w:hAnsi="宋体" w:eastAsia="宋体" w:cs="宋体"/>
          <w:b/>
          <w:bCs/>
          <w:kern w:val="2"/>
          <w:sz w:val="21"/>
          <w:szCs w:val="21"/>
          <w:highlight w:val="none"/>
          <w:lang w:val="en-US" w:eastAsia="zh-CN" w:bidi="ar-SA"/>
        </w:rPr>
        <w:t>。</w:t>
      </w:r>
    </w:p>
    <w:p w14:paraId="7BD54250">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557E1AA5">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szCs w:val="22"/>
          <w:highlight w:val="none"/>
        </w:rPr>
        <w:br w:type="page"/>
      </w:r>
      <w:bookmarkStart w:id="921" w:name="_Toc32663"/>
      <w:r>
        <w:rPr>
          <w:rFonts w:hint="eastAsia" w:ascii="宋体" w:hAnsi="宋体" w:eastAsia="宋体" w:cs="宋体"/>
          <w:b/>
          <w:bCs w:val="0"/>
          <w:color w:val="auto"/>
          <w:kern w:val="0"/>
          <w:sz w:val="24"/>
          <w:szCs w:val="24"/>
          <w:highlight w:val="none"/>
          <w:lang w:val="en-US" w:eastAsia="zh-CN" w:bidi="ar-SA"/>
        </w:rPr>
        <w:t>（四）项目实施团队人员配置表</w:t>
      </w:r>
      <w:bookmarkEnd w:id="921"/>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1B3F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034" w:type="dxa"/>
            <w:noWrap w:val="0"/>
            <w:vAlign w:val="center"/>
          </w:tcPr>
          <w:p w14:paraId="7725C38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序号</w:t>
            </w:r>
          </w:p>
        </w:tc>
        <w:tc>
          <w:tcPr>
            <w:tcW w:w="1034" w:type="dxa"/>
            <w:noWrap w:val="0"/>
            <w:vAlign w:val="center"/>
          </w:tcPr>
          <w:p w14:paraId="7F3BF9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noWrap w:val="0"/>
            <w:vAlign w:val="center"/>
          </w:tcPr>
          <w:p w14:paraId="4B12E5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1157" w:type="dxa"/>
            <w:noWrap w:val="0"/>
            <w:vAlign w:val="center"/>
          </w:tcPr>
          <w:p w14:paraId="65A1CB0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证书名称</w:t>
            </w:r>
          </w:p>
        </w:tc>
        <w:tc>
          <w:tcPr>
            <w:tcW w:w="913" w:type="dxa"/>
            <w:noWrap w:val="0"/>
            <w:vAlign w:val="center"/>
          </w:tcPr>
          <w:p w14:paraId="1AE5DB4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级别</w:t>
            </w:r>
          </w:p>
        </w:tc>
        <w:tc>
          <w:tcPr>
            <w:tcW w:w="1035" w:type="dxa"/>
            <w:noWrap w:val="0"/>
            <w:vAlign w:val="center"/>
          </w:tcPr>
          <w:p w14:paraId="2E076C9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证书编号</w:t>
            </w:r>
          </w:p>
        </w:tc>
        <w:tc>
          <w:tcPr>
            <w:tcW w:w="1035" w:type="dxa"/>
            <w:noWrap w:val="0"/>
            <w:vAlign w:val="center"/>
          </w:tcPr>
          <w:p w14:paraId="1502DB4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w:t>
            </w:r>
          </w:p>
        </w:tc>
        <w:tc>
          <w:tcPr>
            <w:tcW w:w="1169" w:type="dxa"/>
            <w:noWrap w:val="0"/>
            <w:vAlign w:val="center"/>
          </w:tcPr>
          <w:p w14:paraId="0F80C73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54CF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949A2A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978D15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246C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2967C4F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131EAD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E871B2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4E8D6B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0FAD803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E5E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BA2DC2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9AFFD1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D85216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4A863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28040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96C737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6A7E1F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B03D0A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C05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14F349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7A200AC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BD81C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5430CD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0829E7E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558784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F4FC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02FA0A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951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3382A5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C7828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59C23E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98B7B6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B64FA9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F46D9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648C94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F4C762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7F8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CA988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35D05E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B5B33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F2E16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35AE6A6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68872F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BC90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D4D3DB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87B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2DDD7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501C6D9">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ADAE47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16154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4647085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BE012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74FE48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4CA996A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B28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C0362A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10E56F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3E8E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0AA5B17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1888BC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9FBCA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D2DDBC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7194E05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DE0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F0585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2BA8177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92836A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3EEF58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29CC8C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D4C9D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0B0C7E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3480F1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1CC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42C5F3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5F97E1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989D35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C9665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6C5F55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86A3C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46FCF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A91B8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1658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E927CA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C73C9B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C19B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6BDEE3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901ED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54C73F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20FF0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B98BEE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bl>
    <w:p w14:paraId="599392BD">
      <w:pPr>
        <w:widowControl w:val="0"/>
        <w:autoSpaceDE w:val="0"/>
        <w:autoSpaceDN w:val="0"/>
        <w:adjustRightInd w:val="0"/>
        <w:spacing w:beforeLines="0" w:afterLines="0" w:line="360" w:lineRule="auto"/>
        <w:ind w:left="120" w:hanging="120"/>
        <w:jc w:val="left"/>
        <w:rPr>
          <w:rFonts w:hint="eastAsia" w:ascii="宋体" w:hAnsi="宋体" w:eastAsia="宋体" w:cs="宋体"/>
          <w:b w:val="0"/>
          <w:bCs w:val="0"/>
          <w:color w:val="000000"/>
          <w:kern w:val="0"/>
          <w:sz w:val="21"/>
          <w:szCs w:val="21"/>
          <w:highlight w:val="none"/>
          <w:lang w:val="en-US" w:eastAsia="zh-CN" w:bidi="ar-SA"/>
        </w:rPr>
      </w:pPr>
      <w:r>
        <w:rPr>
          <w:rFonts w:hint="eastAsia" w:ascii="宋体" w:hAnsi="宋体" w:eastAsia="宋体" w:cs="宋体"/>
          <w:b w:val="0"/>
          <w:bCs w:val="0"/>
          <w:color w:val="000000"/>
          <w:kern w:val="0"/>
          <w:sz w:val="21"/>
          <w:szCs w:val="21"/>
          <w:highlight w:val="none"/>
          <w:lang w:val="en-US" w:eastAsia="zh-CN" w:bidi="ar-SA"/>
        </w:rPr>
        <w:t>注：本表投标人须附人员有效身份证正反面、对应资格证书、2025年9月1日以来任意一个月社保证明。</w:t>
      </w:r>
    </w:p>
    <w:p w14:paraId="30128EC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21E067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8B26E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D63051">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6E13A14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0DEF8F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069BAE05">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14:paraId="021E74A3">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（五）投标资料真实性承诺书</w:t>
      </w:r>
    </w:p>
    <w:p w14:paraId="6885C823">
      <w:pPr>
        <w:keepNext/>
        <w:keepLines/>
        <w:pageBreakBefore w:val="0"/>
        <w:widowControl w:val="0"/>
        <w:kinsoku/>
        <w:wordWrap/>
        <w:overflowPunct/>
        <w:topLinePunct w:val="0"/>
        <w:autoSpaceDE/>
        <w:autoSpaceDN/>
        <w:bidi w:val="0"/>
        <w:adjustRightInd/>
        <w:snapToGrid/>
        <w:spacing w:before="0" w:beforeLines="0" w:after="0" w:afterLines="0" w:line="360" w:lineRule="auto"/>
        <w:jc w:val="center"/>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投标资料真实性承诺书</w:t>
      </w:r>
    </w:p>
    <w:p w14:paraId="0C3FD6BD">
      <w:pPr>
        <w:widowControl/>
        <w:spacing w:beforeLines="0" w:afterLines="0" w:line="360" w:lineRule="auto"/>
        <w:ind w:left="0" w:firstLine="0" w:firstLineChars="0"/>
        <w:jc w:val="left"/>
        <w:rPr>
          <w:rFonts w:hint="eastAsia" w:ascii="宋体" w:hAnsi="宋体" w:eastAsia="宋体" w:cs="宋体"/>
          <w:color w:val="auto"/>
          <w:sz w:val="21"/>
          <w:szCs w:val="21"/>
          <w:highlight w:val="none"/>
        </w:rPr>
      </w:pPr>
    </w:p>
    <w:p w14:paraId="59A7738F">
      <w:pPr>
        <w:widowControl/>
        <w:spacing w:beforeLines="0" w:afterLines="0"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42F2D014">
      <w:pPr>
        <w:keepNext w:val="0"/>
        <w:keepLines w:val="0"/>
        <w:pageBreakBefore w:val="0"/>
        <w:widowControl w:val="0"/>
        <w:kinsoku/>
        <w:wordWrap/>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6B9E2861">
      <w:pPr>
        <w:widowControl/>
        <w:spacing w:before="0" w:beforeLines="0" w:after="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（项目名称、标段名称）</w:t>
      </w:r>
      <w:r>
        <w:rPr>
          <w:rFonts w:hint="eastAsia" w:ascii="宋体" w:hAnsi="宋体" w:eastAsia="宋体" w:cs="宋体"/>
          <w:color w:val="auto"/>
          <w:sz w:val="21"/>
          <w:szCs w:val="21"/>
          <w:highlight w:val="none"/>
        </w:rPr>
        <w:t>招标项目投标活动中，我公司提交投标文件所有的投标资料都是真实的，如有虚假，本单位愿意接受招标人做出的取消投标资格、中标资格及没收投标保证金等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1496D380">
      <w:pPr>
        <w:widowControl/>
        <w:spacing w:beforeLines="0" w:afterLines="0" w:line="360" w:lineRule="auto"/>
        <w:ind w:firstLine="0"/>
        <w:jc w:val="left"/>
        <w:rPr>
          <w:rFonts w:hint="eastAsia" w:ascii="宋体" w:hAnsi="宋体" w:eastAsia="宋体" w:cs="宋体"/>
          <w:color w:val="auto"/>
          <w:sz w:val="21"/>
          <w:szCs w:val="21"/>
          <w:highlight w:val="none"/>
        </w:rPr>
      </w:pPr>
    </w:p>
    <w:p w14:paraId="72695CC1">
      <w:pPr>
        <w:widowControl/>
        <w:spacing w:beforeLines="0" w:afterLines="0" w:line="360" w:lineRule="auto"/>
        <w:ind w:firstLine="0"/>
        <w:jc w:val="left"/>
        <w:rPr>
          <w:rFonts w:hint="eastAsia" w:ascii="宋体" w:hAnsi="宋体" w:eastAsia="宋体" w:cs="宋体"/>
          <w:color w:val="auto"/>
          <w:sz w:val="21"/>
          <w:szCs w:val="21"/>
          <w:highlight w:val="none"/>
        </w:rPr>
      </w:pPr>
    </w:p>
    <w:p w14:paraId="6E6C334A">
      <w:pPr>
        <w:widowControl/>
        <w:spacing w:beforeLines="0" w:afterLines="0" w:line="360" w:lineRule="auto"/>
        <w:ind w:firstLine="0"/>
        <w:jc w:val="left"/>
        <w:rPr>
          <w:rFonts w:hint="eastAsia" w:ascii="宋体" w:hAnsi="宋体" w:eastAsia="宋体" w:cs="宋体"/>
          <w:color w:val="auto"/>
          <w:sz w:val="21"/>
          <w:szCs w:val="21"/>
          <w:highlight w:val="none"/>
        </w:rPr>
      </w:pPr>
    </w:p>
    <w:p w14:paraId="216FA691">
      <w:pPr>
        <w:widowControl/>
        <w:spacing w:beforeLines="0" w:afterLines="0" w:line="360" w:lineRule="auto"/>
        <w:ind w:firstLine="0"/>
        <w:jc w:val="left"/>
        <w:rPr>
          <w:rFonts w:hint="eastAsia" w:ascii="宋体" w:hAnsi="宋体" w:eastAsia="宋体" w:cs="宋体"/>
          <w:color w:val="auto"/>
          <w:sz w:val="21"/>
          <w:szCs w:val="21"/>
          <w:highlight w:val="none"/>
        </w:rPr>
      </w:pPr>
    </w:p>
    <w:p w14:paraId="54D69DD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030807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0F6EAE3E">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8EB977A">
      <w:pPr>
        <w:widowControl/>
        <w:spacing w:beforeLines="0" w:afterLines="0" w:line="360" w:lineRule="auto"/>
        <w:jc w:val="left"/>
        <w:rPr>
          <w:rFonts w:hint="eastAsia" w:ascii="宋体" w:hAnsi="宋体" w:eastAsia="宋体" w:cs="宋体"/>
          <w:kern w:val="0"/>
          <w:szCs w:val="21"/>
          <w:highlight w:val="none"/>
        </w:rPr>
      </w:pPr>
    </w:p>
    <w:p w14:paraId="32C8FB7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22BD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B9BD5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37F63D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9019DE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0ABC79">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5C2D4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B213F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BF225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804DEA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C7BE18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B9FF41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EE7DDC">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70856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38F9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F53BC4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FE727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2501116">
      <w:pPr>
        <w:widowControl/>
        <w:spacing w:beforeLines="0" w:afterLines="0" w:line="24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3549A1AA">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（六）信用信誉查询</w:t>
      </w:r>
    </w:p>
    <w:p w14:paraId="77F5D97C">
      <w:pPr>
        <w:widowControl w:val="0"/>
        <w:numPr>
          <w:ilvl w:val="0"/>
          <w:numId w:val="0"/>
        </w:numPr>
        <w:spacing w:beforeLines="0" w:afterLines="0" w:line="360" w:lineRule="auto"/>
        <w:jc w:val="both"/>
        <w:rPr>
          <w:rFonts w:hint="eastAsia" w:ascii="宋体" w:hAnsi="宋体" w:eastAsia="宋体" w:cs="宋体"/>
          <w:szCs w:val="21"/>
          <w:highlight w:val="none"/>
        </w:rPr>
      </w:pPr>
    </w:p>
    <w:p w14:paraId="71E55981">
      <w:pPr>
        <w:keepNext w:val="0"/>
        <w:keepLines w:val="0"/>
        <w:pageBreakBefore w:val="0"/>
        <w:widowControl/>
        <w:numPr>
          <w:ilvl w:val="0"/>
          <w:numId w:val="2"/>
        </w:numPr>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全国</w:t>
      </w:r>
      <w:r>
        <w:rPr>
          <w:rFonts w:hint="eastAsia" w:ascii="宋体" w:hAnsi="宋体" w:eastAsia="宋体" w:cs="宋体"/>
          <w:b w:val="0"/>
          <w:bCs w:val="0"/>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查询包含投标人的行政处罚等网页查询证明材料</w:t>
      </w:r>
      <w:r>
        <w:rPr>
          <w:rFonts w:hint="eastAsia" w:ascii="宋体" w:hAnsi="宋体" w:eastAsia="宋体" w:cs="宋体"/>
          <w:b w:val="0"/>
          <w:bCs w:val="0"/>
          <w:color w:val="auto"/>
          <w:sz w:val="21"/>
          <w:szCs w:val="21"/>
          <w:highlight w:val="none"/>
        </w:rPr>
        <w:t>）；</w:t>
      </w:r>
    </w:p>
    <w:p w14:paraId="320003F9">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5371B3E7">
      <w:pPr>
        <w:keepNext w:val="0"/>
        <w:keepLines w:val="0"/>
        <w:pageBreakBefore w:val="0"/>
        <w:widowControl/>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p>
    <w:p w14:paraId="2CE52365">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br w:type="page"/>
      </w:r>
      <w:r>
        <w:rPr>
          <w:rFonts w:hint="eastAsia" w:ascii="宋体" w:hAnsi="宋体" w:eastAsia="宋体" w:cs="宋体"/>
          <w:b/>
          <w:bCs w:val="0"/>
          <w:color w:val="auto"/>
          <w:kern w:val="0"/>
          <w:sz w:val="24"/>
          <w:szCs w:val="24"/>
          <w:highlight w:val="none"/>
          <w:lang w:val="en-US" w:eastAsia="zh-CN" w:bidi="ar-SA"/>
        </w:rPr>
        <w:t>（七）资信承诺书</w:t>
      </w:r>
    </w:p>
    <w:p w14:paraId="1DE80A69">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p>
    <w:p w14:paraId="2F161A01">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color w:val="auto"/>
          <w:sz w:val="21"/>
          <w:szCs w:val="21"/>
          <w:highlight w:val="none"/>
          <w:u w:val="none"/>
          <w:lang w:val="en-US" w:eastAsia="zh-CN" w:bidi="ar"/>
        </w:rPr>
        <w:t>至：</w:t>
      </w:r>
      <w:r>
        <w:rPr>
          <w:rFonts w:hint="eastAsia" w:ascii="宋体" w:hAnsi="宋体" w:eastAsia="宋体" w:cs="宋体"/>
          <w:color w:val="auto"/>
          <w:sz w:val="21"/>
          <w:szCs w:val="21"/>
          <w:highlight w:val="none"/>
          <w:u w:val="single"/>
          <w:lang w:val="en-US" w:eastAsia="zh-CN" w:bidi="ar"/>
        </w:rPr>
        <w:t xml:space="preserve">   （招标人）    </w:t>
      </w:r>
    </w:p>
    <w:p w14:paraId="530C8678">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我单位如下承诺：</w:t>
      </w:r>
    </w:p>
    <w:p w14:paraId="7906354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（1）我单位近三年财务状况良好，未处于财产被接管、冻结和破产状态；</w:t>
      </w:r>
    </w:p>
    <w:p w14:paraId="34F59BE2">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（2）我单位、法定代表人、拟派项目经理，近三年不存在行贿犯罪行为；</w:t>
      </w:r>
    </w:p>
    <w:p w14:paraId="26EB0A7F">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（3）我单位、法定代表人及拟派项目负责人未被列入“中国执行信息公开网—全国法院失信被执行人名单信息公布与查询平台-失信被执行人”；</w:t>
      </w:r>
    </w:p>
    <w:p w14:paraId="04DBC96A">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（4） 我单位未被列入“中国政府采购网—政府采购严重违法失信行为记录名单”；</w:t>
      </w:r>
    </w:p>
    <w:p w14:paraId="11EFA15D">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（5） 我单位未被列入“国家税务总局—重大税收违法失信案件信息公布栏—重大税收违法失信主体”；</w:t>
      </w:r>
    </w:p>
    <w:p w14:paraId="189C28F4">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（6）我单位未被列入“信用中国—严重失信主体名单”；</w:t>
      </w:r>
    </w:p>
    <w:p w14:paraId="3DD109A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（7）我单位未被列入“信用河南—失信惩戒对象名单”；</w:t>
      </w:r>
    </w:p>
    <w:p w14:paraId="7A4D1453">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（8）我单位不存在“单位负责人为同一人或者存在控股、管理关系的不同单位，参加同一标段投标或者未划分标段的同一招标项目投标”的情况；</w:t>
      </w:r>
    </w:p>
    <w:p w14:paraId="51A0AFAE">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（9）我单位不存在招标文件“1.4.3 投标人不得存在下列情形之一”中的任意情形。</w:t>
      </w:r>
    </w:p>
    <w:p w14:paraId="1F9BEE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360" w:lineRule="auto"/>
        <w:ind w:right="0" w:firstLine="420" w:firstLineChars="200"/>
        <w:jc w:val="both"/>
        <w:textAlignment w:val="auto"/>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t>特此承诺</w:t>
      </w:r>
    </w:p>
    <w:p w14:paraId="75141756">
      <w:pPr>
        <w:widowControl/>
        <w:spacing w:beforeLines="0" w:afterLines="0" w:line="360" w:lineRule="auto"/>
        <w:jc w:val="left"/>
        <w:rPr>
          <w:rFonts w:hint="eastAsia" w:ascii="宋体" w:hAnsi="宋体" w:eastAsia="宋体" w:cs="宋体"/>
          <w:color w:val="auto"/>
          <w:sz w:val="21"/>
          <w:szCs w:val="21"/>
          <w:highlight w:val="none"/>
          <w:u w:val="none"/>
        </w:rPr>
      </w:pPr>
    </w:p>
    <w:p w14:paraId="628F8D4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03F3140D">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D7ABE1B">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5F0F303">
      <w:pPr>
        <w:widowControl/>
        <w:spacing w:beforeLines="0" w:afterLines="0" w:line="360" w:lineRule="auto"/>
        <w:jc w:val="left"/>
        <w:rPr>
          <w:rFonts w:hint="eastAsia" w:ascii="宋体" w:hAnsi="宋体" w:eastAsia="宋体" w:cs="宋体"/>
          <w:kern w:val="0"/>
          <w:szCs w:val="21"/>
          <w:highlight w:val="none"/>
        </w:rPr>
      </w:pPr>
    </w:p>
    <w:p w14:paraId="3760F91D">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1"/>
          <w:szCs w:val="21"/>
          <w:highlight w:val="none"/>
        </w:rPr>
      </w:pPr>
      <w:r>
        <w:rPr>
          <w:rFonts w:hint="eastAsia" w:ascii="宋体" w:hAnsi="宋体" w:eastAsia="宋体" w:cs="宋体"/>
          <w:b/>
          <w:bCs/>
          <w:sz w:val="24"/>
          <w:szCs w:val="24"/>
          <w:highlight w:val="none"/>
        </w:rPr>
        <w:br w:type="page"/>
      </w:r>
      <w:r>
        <w:rPr>
          <w:rFonts w:hint="eastAsia" w:ascii="宋体" w:hAnsi="宋体" w:eastAsia="宋体" w:cs="宋体"/>
          <w:b/>
          <w:bCs w:val="0"/>
          <w:color w:val="auto"/>
          <w:kern w:val="0"/>
          <w:sz w:val="24"/>
          <w:szCs w:val="24"/>
          <w:highlight w:val="none"/>
          <w:lang w:val="en-US" w:eastAsia="zh-CN" w:bidi="ar-SA"/>
        </w:rPr>
        <w:t>（八）近年发生的诉讼及仲裁情况</w:t>
      </w:r>
    </w:p>
    <w:tbl>
      <w:tblPr>
        <w:tblStyle w:val="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1910"/>
        <w:gridCol w:w="1758"/>
        <w:gridCol w:w="1289"/>
        <w:gridCol w:w="1146"/>
        <w:gridCol w:w="1767"/>
      </w:tblGrid>
      <w:tr w14:paraId="000D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146" w:type="dxa"/>
            <w:noWrap w:val="0"/>
            <w:vAlign w:val="center"/>
          </w:tcPr>
          <w:p w14:paraId="4C55BDD1">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910" w:type="dxa"/>
            <w:noWrap w:val="0"/>
            <w:vAlign w:val="center"/>
          </w:tcPr>
          <w:p w14:paraId="098457E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诉讼及仲裁内容</w:t>
            </w:r>
          </w:p>
        </w:tc>
        <w:tc>
          <w:tcPr>
            <w:tcW w:w="1758" w:type="dxa"/>
            <w:noWrap w:val="0"/>
            <w:vAlign w:val="center"/>
          </w:tcPr>
          <w:p w14:paraId="1E3C51D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诉讼及仲裁中的地位</w:t>
            </w:r>
          </w:p>
        </w:tc>
        <w:tc>
          <w:tcPr>
            <w:tcW w:w="1289" w:type="dxa"/>
            <w:noWrap w:val="0"/>
            <w:vAlign w:val="center"/>
          </w:tcPr>
          <w:p w14:paraId="7F3DD95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缘由</w:t>
            </w:r>
          </w:p>
        </w:tc>
        <w:tc>
          <w:tcPr>
            <w:tcW w:w="1146" w:type="dxa"/>
            <w:noWrap w:val="0"/>
            <w:vAlign w:val="center"/>
          </w:tcPr>
          <w:p w14:paraId="5D27FF9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结果</w:t>
            </w:r>
          </w:p>
        </w:tc>
        <w:tc>
          <w:tcPr>
            <w:tcW w:w="1767" w:type="dxa"/>
            <w:noWrap w:val="0"/>
            <w:vAlign w:val="center"/>
          </w:tcPr>
          <w:p w14:paraId="18FAFFB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3E65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5320B10C">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一</w:t>
            </w:r>
          </w:p>
        </w:tc>
        <w:tc>
          <w:tcPr>
            <w:tcW w:w="1910" w:type="dxa"/>
            <w:noWrap w:val="0"/>
            <w:vAlign w:val="center"/>
          </w:tcPr>
          <w:p w14:paraId="40E71AD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诉讼事项</w:t>
            </w:r>
          </w:p>
        </w:tc>
        <w:tc>
          <w:tcPr>
            <w:tcW w:w="1758" w:type="dxa"/>
            <w:noWrap w:val="0"/>
            <w:vAlign w:val="center"/>
          </w:tcPr>
          <w:p w14:paraId="313555F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1384EDD">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1DE691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13952CE">
            <w:pPr>
              <w:widowControl/>
              <w:spacing w:beforeLines="0" w:afterLines="0" w:line="360" w:lineRule="auto"/>
              <w:jc w:val="center"/>
              <w:rPr>
                <w:rFonts w:hint="eastAsia" w:ascii="宋体" w:hAnsi="宋体" w:eastAsia="宋体" w:cs="宋体"/>
                <w:szCs w:val="21"/>
                <w:highlight w:val="none"/>
              </w:rPr>
            </w:pPr>
          </w:p>
        </w:tc>
      </w:tr>
      <w:tr w14:paraId="0D2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648B8D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4A60DC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D112CFD">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B42B87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75401F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435A52A">
            <w:pPr>
              <w:widowControl/>
              <w:spacing w:beforeLines="0" w:afterLines="0" w:line="360" w:lineRule="auto"/>
              <w:jc w:val="center"/>
              <w:rPr>
                <w:rFonts w:hint="eastAsia" w:ascii="宋体" w:hAnsi="宋体" w:eastAsia="宋体" w:cs="宋体"/>
                <w:szCs w:val="21"/>
                <w:highlight w:val="none"/>
              </w:rPr>
            </w:pPr>
          </w:p>
        </w:tc>
      </w:tr>
      <w:tr w14:paraId="56A6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0398A8D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6E154A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650C6C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A5B9844">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5F7379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11F8A">
            <w:pPr>
              <w:widowControl/>
              <w:spacing w:beforeLines="0" w:afterLines="0" w:line="360" w:lineRule="auto"/>
              <w:jc w:val="center"/>
              <w:rPr>
                <w:rFonts w:hint="eastAsia" w:ascii="宋体" w:hAnsi="宋体" w:eastAsia="宋体" w:cs="宋体"/>
                <w:szCs w:val="21"/>
                <w:highlight w:val="none"/>
              </w:rPr>
            </w:pPr>
          </w:p>
        </w:tc>
      </w:tr>
      <w:tr w14:paraId="71F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46" w:type="dxa"/>
            <w:noWrap w:val="0"/>
            <w:vAlign w:val="center"/>
          </w:tcPr>
          <w:p w14:paraId="4A117A4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7EF4FB14">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7A7ECB26">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491FFCE2">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EA4985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7059866">
            <w:pPr>
              <w:widowControl/>
              <w:spacing w:beforeLines="0" w:afterLines="0" w:line="360" w:lineRule="auto"/>
              <w:jc w:val="center"/>
              <w:rPr>
                <w:rFonts w:hint="eastAsia" w:ascii="宋体" w:hAnsi="宋体" w:eastAsia="宋体" w:cs="宋体"/>
                <w:szCs w:val="21"/>
                <w:highlight w:val="none"/>
              </w:rPr>
            </w:pPr>
          </w:p>
        </w:tc>
      </w:tr>
      <w:tr w14:paraId="38BB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7EA9C29F">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3CF64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66A7D6E">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D4BD7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B1B872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211A80B0">
            <w:pPr>
              <w:widowControl/>
              <w:spacing w:beforeLines="0" w:afterLines="0" w:line="360" w:lineRule="auto"/>
              <w:jc w:val="center"/>
              <w:rPr>
                <w:rFonts w:hint="eastAsia" w:ascii="宋体" w:hAnsi="宋体" w:eastAsia="宋体" w:cs="宋体"/>
                <w:szCs w:val="21"/>
                <w:highlight w:val="none"/>
              </w:rPr>
            </w:pPr>
          </w:p>
        </w:tc>
      </w:tr>
      <w:tr w14:paraId="0F9A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A1C44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二</w:t>
            </w:r>
          </w:p>
        </w:tc>
        <w:tc>
          <w:tcPr>
            <w:tcW w:w="1910" w:type="dxa"/>
            <w:noWrap w:val="0"/>
            <w:vAlign w:val="center"/>
          </w:tcPr>
          <w:p w14:paraId="2921839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仲裁事项</w:t>
            </w:r>
          </w:p>
        </w:tc>
        <w:tc>
          <w:tcPr>
            <w:tcW w:w="1758" w:type="dxa"/>
            <w:noWrap w:val="0"/>
            <w:vAlign w:val="center"/>
          </w:tcPr>
          <w:p w14:paraId="673858B9">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DAC4B5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6250C9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E136255">
            <w:pPr>
              <w:widowControl/>
              <w:spacing w:beforeLines="0" w:afterLines="0" w:line="360" w:lineRule="auto"/>
              <w:jc w:val="center"/>
              <w:rPr>
                <w:rFonts w:hint="eastAsia" w:ascii="宋体" w:hAnsi="宋体" w:eastAsia="宋体" w:cs="宋体"/>
                <w:szCs w:val="21"/>
                <w:highlight w:val="none"/>
              </w:rPr>
            </w:pPr>
          </w:p>
        </w:tc>
      </w:tr>
      <w:tr w14:paraId="34E8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0AC2A9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53EB05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8E54AD5">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598BB0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F8DC5E2">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1F3F41E">
            <w:pPr>
              <w:widowControl/>
              <w:spacing w:beforeLines="0" w:afterLines="0" w:line="360" w:lineRule="auto"/>
              <w:jc w:val="center"/>
              <w:rPr>
                <w:rFonts w:hint="eastAsia" w:ascii="宋体" w:hAnsi="宋体" w:eastAsia="宋体" w:cs="宋体"/>
                <w:szCs w:val="21"/>
                <w:highlight w:val="none"/>
              </w:rPr>
            </w:pPr>
          </w:p>
        </w:tc>
      </w:tr>
      <w:tr w14:paraId="54A9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341D1D14">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132BC4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F0F8B33">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0FA7F01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3F4E9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3D00ED11">
            <w:pPr>
              <w:widowControl/>
              <w:spacing w:beforeLines="0" w:afterLines="0" w:line="360" w:lineRule="auto"/>
              <w:jc w:val="center"/>
              <w:rPr>
                <w:rFonts w:hint="eastAsia" w:ascii="宋体" w:hAnsi="宋体" w:eastAsia="宋体" w:cs="宋体"/>
                <w:szCs w:val="21"/>
                <w:highlight w:val="none"/>
              </w:rPr>
            </w:pPr>
          </w:p>
        </w:tc>
      </w:tr>
      <w:tr w14:paraId="7F4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7F54F1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BF4156F">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8F0F01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6BD9E1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F017D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0CEA4DD">
            <w:pPr>
              <w:widowControl/>
              <w:spacing w:beforeLines="0" w:afterLines="0" w:line="360" w:lineRule="auto"/>
              <w:jc w:val="center"/>
              <w:rPr>
                <w:rFonts w:hint="eastAsia" w:ascii="宋体" w:hAnsi="宋体" w:eastAsia="宋体" w:cs="宋体"/>
                <w:szCs w:val="21"/>
                <w:highlight w:val="none"/>
              </w:rPr>
            </w:pPr>
          </w:p>
        </w:tc>
      </w:tr>
      <w:tr w14:paraId="4223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146" w:type="dxa"/>
            <w:noWrap w:val="0"/>
            <w:vAlign w:val="center"/>
          </w:tcPr>
          <w:p w14:paraId="4B88F61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771F45">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D7654E4">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6161445">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ECB58F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CD336">
            <w:pPr>
              <w:widowControl/>
              <w:spacing w:beforeLines="0" w:afterLines="0" w:line="360" w:lineRule="auto"/>
              <w:jc w:val="center"/>
              <w:rPr>
                <w:rFonts w:hint="eastAsia" w:ascii="宋体" w:hAnsi="宋体" w:eastAsia="宋体" w:cs="宋体"/>
                <w:szCs w:val="21"/>
                <w:highlight w:val="none"/>
              </w:rPr>
            </w:pPr>
          </w:p>
        </w:tc>
      </w:tr>
      <w:tr w14:paraId="4A2B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46" w:type="dxa"/>
            <w:noWrap w:val="0"/>
            <w:vAlign w:val="center"/>
          </w:tcPr>
          <w:p w14:paraId="2E7040C6">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18FCA0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0EA196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AD4D696">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75FCD48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6742C98F">
            <w:pPr>
              <w:widowControl/>
              <w:spacing w:beforeLines="0" w:afterLines="0" w:line="360" w:lineRule="auto"/>
              <w:jc w:val="center"/>
              <w:rPr>
                <w:rFonts w:hint="eastAsia" w:ascii="宋体" w:hAnsi="宋体" w:eastAsia="宋体" w:cs="宋体"/>
                <w:szCs w:val="21"/>
                <w:highlight w:val="none"/>
              </w:rPr>
            </w:pPr>
          </w:p>
        </w:tc>
      </w:tr>
      <w:tr w14:paraId="3C38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13557705">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4E206B1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4F23962">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F846E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300602A4">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680CB6">
            <w:pPr>
              <w:widowControl/>
              <w:spacing w:beforeLines="0" w:afterLines="0" w:line="360" w:lineRule="auto"/>
              <w:jc w:val="center"/>
              <w:rPr>
                <w:rFonts w:hint="eastAsia" w:ascii="宋体" w:hAnsi="宋体" w:eastAsia="宋体" w:cs="宋体"/>
                <w:szCs w:val="21"/>
                <w:highlight w:val="none"/>
              </w:rPr>
            </w:pPr>
          </w:p>
        </w:tc>
      </w:tr>
      <w:tr w14:paraId="3F17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46" w:type="dxa"/>
            <w:noWrap w:val="0"/>
            <w:vAlign w:val="center"/>
          </w:tcPr>
          <w:p w14:paraId="4B5D5F7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A05ED8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1920B44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4A60B6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D7CBF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FCAE501">
            <w:pPr>
              <w:widowControl/>
              <w:spacing w:beforeLines="0" w:afterLines="0" w:line="360" w:lineRule="auto"/>
              <w:jc w:val="center"/>
              <w:rPr>
                <w:rFonts w:hint="eastAsia" w:ascii="宋体" w:hAnsi="宋体" w:eastAsia="宋体" w:cs="宋体"/>
                <w:szCs w:val="21"/>
                <w:highlight w:val="none"/>
              </w:rPr>
            </w:pPr>
          </w:p>
        </w:tc>
      </w:tr>
      <w:tr w14:paraId="42DE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59BCBC3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D277C83">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3DFD95A">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3A6E5A8">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27E020E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E348C91">
            <w:pPr>
              <w:widowControl/>
              <w:spacing w:beforeLines="0" w:afterLines="0" w:line="360" w:lineRule="auto"/>
              <w:jc w:val="center"/>
              <w:rPr>
                <w:rFonts w:hint="eastAsia" w:ascii="宋体" w:hAnsi="宋体" w:eastAsia="宋体" w:cs="宋体"/>
                <w:szCs w:val="21"/>
                <w:highlight w:val="none"/>
              </w:rPr>
            </w:pPr>
          </w:p>
        </w:tc>
      </w:tr>
      <w:tr w14:paraId="5991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46" w:type="dxa"/>
            <w:noWrap w:val="0"/>
            <w:vAlign w:val="center"/>
          </w:tcPr>
          <w:p w14:paraId="468222E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0BCC9696">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32EE5F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8F22FC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10A8E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766EE3">
            <w:pPr>
              <w:widowControl/>
              <w:spacing w:beforeLines="0" w:afterLines="0" w:line="360" w:lineRule="auto"/>
              <w:jc w:val="center"/>
              <w:rPr>
                <w:rFonts w:hint="eastAsia" w:ascii="宋体" w:hAnsi="宋体" w:eastAsia="宋体" w:cs="宋体"/>
                <w:szCs w:val="21"/>
                <w:highlight w:val="none"/>
              </w:rPr>
            </w:pPr>
          </w:p>
        </w:tc>
      </w:tr>
    </w:tbl>
    <w:p w14:paraId="73535557">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注：1.近3年如发生工程诉讼或仲裁事项仅限于投标人败诉的设备买卖合同的相关情况，并附法院或仲裁机构作出的判决、裁决等有关法律文书复印件。</w:t>
      </w:r>
    </w:p>
    <w:p w14:paraId="2E5CDB82">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2.近3年如无发生诉讼或仲裁事项，则应在本表格中以“/”注明无诉讼或仲裁事项发生</w:t>
      </w:r>
    </w:p>
    <w:p w14:paraId="183B1C9D">
      <w:pPr>
        <w:spacing w:before="0" w:beforeLines="0" w:after="0" w:afterLines="0" w:line="360" w:lineRule="auto"/>
        <w:ind w:left="0"/>
        <w:rPr>
          <w:rFonts w:hint="eastAsia" w:ascii="宋体" w:hAnsi="宋体" w:eastAsia="宋体" w:cs="宋体"/>
          <w:kern w:val="2"/>
          <w:sz w:val="21"/>
          <w:szCs w:val="21"/>
          <w:highlight w:val="none"/>
          <w:lang w:val="en-US" w:eastAsia="zh-CN" w:bidi="ar-SA"/>
        </w:rPr>
      </w:pPr>
    </w:p>
    <w:p w14:paraId="6E7A938A">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CE82B8F">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8EF4FC2">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78A97615">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（九）</w:t>
      </w:r>
      <w:bookmarkStart w:id="922" w:name="_Toc22769"/>
      <w:bookmarkStart w:id="923" w:name="_Toc9565"/>
      <w:bookmarkStart w:id="924" w:name="_Toc5693"/>
      <w:r>
        <w:rPr>
          <w:rFonts w:hint="eastAsia" w:ascii="宋体" w:hAnsi="宋体" w:eastAsia="宋体" w:cs="宋体"/>
          <w:b/>
          <w:bCs w:val="0"/>
          <w:color w:val="auto"/>
          <w:kern w:val="2"/>
          <w:sz w:val="24"/>
          <w:szCs w:val="24"/>
          <w:highlight w:val="none"/>
          <w:lang w:val="en-US" w:eastAsia="zh-CN" w:bidi="ar-SA"/>
        </w:rPr>
        <w:t>反商业贿赂承诺书</w:t>
      </w:r>
      <w:bookmarkEnd w:id="922"/>
      <w:bookmarkEnd w:id="923"/>
      <w:bookmarkEnd w:id="924"/>
    </w:p>
    <w:p w14:paraId="6B7BC25E">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05FA1740">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925" w:name="_Toc267581298"/>
      <w:bookmarkEnd w:id="925"/>
      <w:bookmarkStart w:id="926" w:name="_Toc6171"/>
      <w:bookmarkEnd w:id="926"/>
      <w:bookmarkStart w:id="927" w:name="_Toc267581738"/>
      <w:bookmarkEnd w:id="927"/>
      <w:bookmarkStart w:id="928" w:name="_Toc301454138"/>
      <w:bookmarkEnd w:id="928"/>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30E3ACF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29" w:name="_Toc28518"/>
      <w:bookmarkEnd w:id="929"/>
      <w:bookmarkStart w:id="930" w:name="_Toc267581299"/>
      <w:bookmarkEnd w:id="930"/>
      <w:bookmarkStart w:id="931" w:name="_Toc267581739"/>
      <w:bookmarkEnd w:id="931"/>
      <w:bookmarkStart w:id="932" w:name="_Toc301454139"/>
      <w:bookmarkEnd w:id="932"/>
      <w:r>
        <w:rPr>
          <w:rFonts w:hint="eastAsia" w:ascii="Times New Roman" w:hAnsi="Times New Roman" w:eastAsia="宋体" w:cs="Times New Roman"/>
          <w:color w:val="auto"/>
          <w:kern w:val="1"/>
          <w:szCs w:val="21"/>
          <w:highlight w:val="none"/>
        </w:rPr>
        <w:t>一、公平竞争参加本次招标活动。</w:t>
      </w:r>
    </w:p>
    <w:p w14:paraId="0E7489C4">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33" w:name="_Toc28474"/>
      <w:bookmarkEnd w:id="933"/>
      <w:bookmarkStart w:id="934" w:name="_Toc301454140"/>
      <w:bookmarkEnd w:id="934"/>
      <w:bookmarkStart w:id="935" w:name="_Toc267581300"/>
      <w:bookmarkEnd w:id="935"/>
      <w:bookmarkStart w:id="936" w:name="_Toc267581740"/>
      <w:bookmarkEnd w:id="936"/>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5A6F4B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37" w:name="_Toc301454141"/>
      <w:bookmarkEnd w:id="937"/>
      <w:bookmarkStart w:id="938" w:name="_Toc267581741"/>
      <w:bookmarkEnd w:id="938"/>
      <w:bookmarkStart w:id="939" w:name="_Toc267581301"/>
      <w:bookmarkEnd w:id="939"/>
      <w:bookmarkStart w:id="940" w:name="_Toc29331"/>
      <w:bookmarkEnd w:id="940"/>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04F832A2">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074BE265">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D79C274">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C7F5F86">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333AED7F">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941" w:name="_Toc267581742"/>
      <w:bookmarkEnd w:id="941"/>
      <w:bookmarkStart w:id="942" w:name="_Toc25660"/>
      <w:bookmarkEnd w:id="942"/>
      <w:bookmarkStart w:id="943" w:name="_Toc301454142"/>
      <w:bookmarkEnd w:id="943"/>
      <w:bookmarkStart w:id="944" w:name="_Toc267581302"/>
      <w:bookmarkEnd w:id="944"/>
      <w:bookmarkStart w:id="945" w:name="_Toc267581743"/>
      <w:bookmarkEnd w:id="945"/>
      <w:bookmarkStart w:id="946" w:name="_Toc267581303"/>
      <w:bookmarkEnd w:id="946"/>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6C9E14F8">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947" w:name="_Toc301454143"/>
      <w:bookmarkEnd w:id="947"/>
      <w:bookmarkStart w:id="948" w:name="_Toc20368"/>
      <w:bookmarkEnd w:id="948"/>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72EAEB0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55D4985D">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bookmarkStart w:id="949" w:name="_Toc301454144"/>
      <w:bookmarkEnd w:id="949"/>
      <w:bookmarkStart w:id="950" w:name="_Toc29275"/>
      <w:bookmarkEnd w:id="950"/>
      <w:bookmarkStart w:id="951" w:name="_Toc267581304"/>
      <w:bookmarkEnd w:id="951"/>
      <w:bookmarkStart w:id="952" w:name="_Toc267581744"/>
      <w:bookmarkEnd w:id="952"/>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4AFE0627">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11E0B87E">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6F65D5C5">
      <w:pPr>
        <w:widowControl/>
        <w:spacing w:beforeLines="0" w:afterLines="0" w:line="240" w:lineRule="auto"/>
        <w:jc w:val="center"/>
        <w:rPr>
          <w:rFonts w:hint="eastAsia" w:ascii="宋体" w:hAnsi="宋体" w:eastAsia="宋体" w:cs="宋体"/>
          <w:b/>
          <w:bCs/>
          <w:sz w:val="24"/>
          <w:szCs w:val="24"/>
          <w:highlight w:val="none"/>
        </w:rPr>
      </w:pPr>
      <w:bookmarkStart w:id="953" w:name="_Toc534572436"/>
      <w:bookmarkStart w:id="954" w:name="_Toc62034598"/>
      <w:bookmarkStart w:id="955" w:name="_Toc16817"/>
      <w:bookmarkStart w:id="956" w:name="_Toc13723"/>
    </w:p>
    <w:p w14:paraId="27BBBB84">
      <w:pPr>
        <w:widowControl/>
        <w:spacing w:beforeLines="-2147483648" w:afterLines="-2147483648" w:line="240" w:lineRule="auto"/>
        <w:jc w:val="left"/>
        <w:outlineLvl w:val="9"/>
        <w:rPr>
          <w:rFonts w:hint="eastAsia" w:ascii="宋体" w:hAnsi="宋体" w:eastAsia="宋体" w:cs="宋体"/>
          <w:b/>
          <w:bCs/>
          <w:sz w:val="24"/>
          <w:szCs w:val="24"/>
          <w:highlight w:val="none"/>
        </w:rPr>
      </w:pPr>
      <w:bookmarkStart w:id="957" w:name="_Toc9303"/>
      <w:r>
        <w:rPr>
          <w:rFonts w:hint="eastAsia" w:ascii="宋体" w:hAnsi="宋体" w:eastAsia="宋体" w:cs="宋体"/>
          <w:b/>
          <w:bCs/>
          <w:sz w:val="24"/>
          <w:szCs w:val="24"/>
          <w:highlight w:val="none"/>
        </w:rPr>
        <w:br w:type="page"/>
      </w:r>
    </w:p>
    <w:bookmarkEnd w:id="957"/>
    <w:p w14:paraId="52AB1A4C">
      <w:pPr>
        <w:widowControl w:val="0"/>
        <w:adjustRightInd w:val="0"/>
        <w:snapToGrid w:val="0"/>
        <w:spacing w:before="0" w:beforeLines="-2147483648" w:after="0" w:afterLines="-2147483648"/>
        <w:ind w:firstLine="3614" w:firstLineChars="1500"/>
        <w:jc w:val="left"/>
        <w:outlineLvl w:val="1"/>
        <w:rPr>
          <w:rFonts w:hint="eastAsia" w:ascii="宋体" w:hAnsi="宋体" w:eastAsia="宋体" w:cs="宋体"/>
          <w:b/>
          <w:sz w:val="24"/>
          <w:szCs w:val="24"/>
          <w:highlight w:val="none"/>
        </w:rPr>
      </w:pPr>
      <w:bookmarkStart w:id="958" w:name="_Toc91345080"/>
      <w:bookmarkStart w:id="959" w:name="_Toc32479"/>
      <w:bookmarkStart w:id="960" w:name="_Toc8781"/>
      <w:r>
        <w:rPr>
          <w:rFonts w:hint="eastAsia" w:ascii="宋体" w:hAnsi="宋体" w:eastAsia="宋体" w:cs="宋体"/>
          <w:b/>
          <w:sz w:val="24"/>
          <w:szCs w:val="24"/>
          <w:highlight w:val="none"/>
          <w:lang w:eastAsia="zh-CN"/>
        </w:rPr>
        <w:t>七</w:t>
      </w:r>
      <w:r>
        <w:rPr>
          <w:rFonts w:hint="eastAsia" w:ascii="宋体" w:hAnsi="宋体" w:eastAsia="宋体" w:cs="宋体"/>
          <w:b/>
          <w:sz w:val="24"/>
          <w:szCs w:val="24"/>
          <w:highlight w:val="none"/>
        </w:rPr>
        <w:t>、技术资料</w:t>
      </w:r>
      <w:bookmarkEnd w:id="953"/>
      <w:bookmarkEnd w:id="954"/>
      <w:bookmarkEnd w:id="955"/>
      <w:bookmarkEnd w:id="956"/>
      <w:bookmarkEnd w:id="958"/>
      <w:bookmarkEnd w:id="959"/>
      <w:bookmarkEnd w:id="960"/>
    </w:p>
    <w:p w14:paraId="63077967">
      <w:pPr>
        <w:widowControl/>
        <w:spacing w:beforeLines="0" w:afterLines="0" w:line="240" w:lineRule="auto"/>
        <w:jc w:val="left"/>
        <w:rPr>
          <w:rFonts w:hint="eastAsia" w:ascii="宋体" w:hAnsi="宋体" w:eastAsia="宋体" w:cs="宋体"/>
          <w:szCs w:val="21"/>
          <w:highlight w:val="none"/>
        </w:rPr>
      </w:pPr>
    </w:p>
    <w:p w14:paraId="622B5E97">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bookmarkStart w:id="961" w:name="_Toc10569"/>
      <w:r>
        <w:rPr>
          <w:rFonts w:hint="eastAsia" w:ascii="宋体" w:hAnsi="宋体" w:eastAsia="宋体" w:cs="宋体"/>
          <w:sz w:val="21"/>
          <w:szCs w:val="21"/>
          <w:highlight w:val="none"/>
        </w:rPr>
        <w:t>投标人依据招标文件和评标办法编制技术文件，包括但不限于以下内容：</w:t>
      </w:r>
    </w:p>
    <w:p w14:paraId="0900B907">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（1）组织机构及主要人员</w:t>
      </w:r>
    </w:p>
    <w:p w14:paraId="09C7C749">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（2）技术部分的响应性、符合性及完整性</w:t>
      </w:r>
    </w:p>
    <w:p w14:paraId="33D9C07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（3）设备的技术特性</w:t>
      </w:r>
    </w:p>
    <w:p w14:paraId="0CE6A02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（4）生产工艺</w:t>
      </w:r>
    </w:p>
    <w:p w14:paraId="59BAE1BC">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（5）设备制造的质量和安全保证体系</w:t>
      </w:r>
    </w:p>
    <w:p w14:paraId="1DB07149">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（6）组装和出厂试验</w:t>
      </w:r>
    </w:p>
    <w:p w14:paraId="3C26ED66">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（7）运输、保管方案</w:t>
      </w:r>
    </w:p>
    <w:p w14:paraId="471D499A">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（8）技术服务方案</w:t>
      </w:r>
    </w:p>
    <w:p w14:paraId="2A415EA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（9）备品备件</w:t>
      </w:r>
    </w:p>
    <w:p w14:paraId="767D0681">
      <w:pPr>
        <w:widowControl/>
        <w:jc w:val="left"/>
        <w:rPr>
          <w:rFonts w:hint="eastAsia" w:ascii="宋体" w:hAnsi="宋体" w:eastAsia="宋体" w:cs="宋体"/>
          <w:b/>
          <w:bCs w:val="0"/>
          <w:color w:val="auto"/>
          <w:kern w:val="2"/>
          <w:sz w:val="24"/>
          <w:szCs w:val="24"/>
          <w:highlight w:val="none"/>
          <w:lang w:val="en-US" w:eastAsia="zh-CN" w:bidi="ar-SA"/>
        </w:rPr>
      </w:pPr>
      <w:bookmarkStart w:id="962" w:name="_Toc13675"/>
      <w:r>
        <w:rPr>
          <w:rFonts w:hint="eastAsia" w:ascii="宋体" w:hAnsi="宋体" w:eastAsia="宋体" w:cs="宋体"/>
          <w:b/>
          <w:bCs w:val="0"/>
          <w:color w:val="auto"/>
          <w:kern w:val="2"/>
          <w:sz w:val="24"/>
          <w:szCs w:val="24"/>
          <w:highlight w:val="none"/>
          <w:lang w:val="en-US" w:eastAsia="zh-CN" w:bidi="ar-SA"/>
        </w:rPr>
        <w:br w:type="page"/>
      </w:r>
    </w:p>
    <w:p w14:paraId="345F3E7D">
      <w:pPr>
        <w:keepNext w:val="0"/>
        <w:keepLines w:val="0"/>
        <w:widowControl w:val="0"/>
        <w:numPr>
          <w:ilvl w:val="0"/>
          <w:numId w:val="0"/>
        </w:numPr>
        <w:wordWrap w:val="0"/>
        <w:spacing w:before="0" w:after="0" w:line="360" w:lineRule="auto"/>
        <w:jc w:val="center"/>
        <w:outlineLvl w:val="1"/>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八、</w:t>
      </w:r>
      <w:bookmarkEnd w:id="962"/>
      <w:r>
        <w:rPr>
          <w:rFonts w:hint="eastAsia" w:ascii="宋体" w:hAnsi="宋体" w:eastAsia="宋体" w:cs="宋体"/>
          <w:b/>
          <w:bCs w:val="0"/>
          <w:color w:val="auto"/>
          <w:kern w:val="2"/>
          <w:sz w:val="24"/>
          <w:szCs w:val="24"/>
          <w:highlight w:val="none"/>
          <w:lang w:val="en-US" w:eastAsia="zh-CN" w:bidi="ar-SA"/>
        </w:rPr>
        <w:t>惩罚记录查询信息</w:t>
      </w:r>
    </w:p>
    <w:p w14:paraId="603D5A79">
      <w:pPr>
        <w:widowControl w:val="0"/>
        <w:numPr>
          <w:ilvl w:val="-1"/>
          <w:numId w:val="0"/>
        </w:numPr>
        <w:wordWrap w:val="0"/>
        <w:spacing w:line="360" w:lineRule="auto"/>
        <w:ind w:firstLine="420" w:firstLineChars="200"/>
        <w:jc w:val="left"/>
        <w:rPr>
          <w:rFonts w:hint="eastAsia" w:ascii="Calibri" w:hAnsi="Calibri" w:eastAsia="宋体" w:cs="Times New Roman"/>
          <w:b w:val="0"/>
          <w:bCs w:val="0"/>
          <w:color w:val="auto"/>
          <w:szCs w:val="22"/>
          <w:highlight w:val="none"/>
          <w:lang w:val="en-US" w:eastAsia="zh-CN"/>
        </w:rPr>
      </w:pPr>
      <w:r>
        <w:rPr>
          <w:rFonts w:hint="eastAsia" w:ascii="Calibri" w:hAnsi="Calibri" w:eastAsia="宋体" w:cs="Times New Roman"/>
          <w:b w:val="0"/>
          <w:bCs w:val="0"/>
          <w:color w:val="auto"/>
          <w:szCs w:val="22"/>
          <w:highlight w:val="none"/>
          <w:lang w:val="en-US" w:eastAsia="zh-CN"/>
        </w:rPr>
        <w:t>若无评分办法中规定的不良行为记录，提供承诺书。</w:t>
      </w:r>
    </w:p>
    <w:p w14:paraId="1A2B243E">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p>
    <w:p w14:paraId="2C481026">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C27CA1B">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1A1962A">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683069B">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sectPr>
          <w:pgSz w:w="11905" w:h="16838"/>
          <w:pgMar w:top="1417" w:right="1417" w:bottom="1417" w:left="1417" w:header="794" w:footer="794" w:gutter="0"/>
          <w:pgNumType w:fmt="decimal"/>
          <w:cols w:space="720" w:num="1"/>
          <w:docGrid w:linePitch="286" w:charSpace="0"/>
        </w:sectPr>
      </w:pPr>
    </w:p>
    <w:bookmarkEnd w:id="961"/>
    <w:p w14:paraId="6AEB688A">
      <w:pPr>
        <w:keepNext/>
        <w:keepLines/>
        <w:widowControl w:val="0"/>
        <w:adjustRightInd w:val="0"/>
        <w:snapToGrid w:val="0"/>
        <w:spacing w:before="0" w:after="0" w:line="416" w:lineRule="auto"/>
        <w:ind w:firstLine="3373" w:firstLineChars="1400"/>
        <w:outlineLvl w:val="1"/>
        <w:rPr>
          <w:rFonts w:hint="eastAsia" w:ascii="宋体" w:hAnsi="宋体" w:eastAsia="宋体" w:cs="宋体"/>
          <w:b/>
          <w:bCs/>
          <w:kern w:val="0"/>
          <w:sz w:val="24"/>
          <w:szCs w:val="24"/>
          <w:highlight w:val="none"/>
          <w:lang w:val="en-US" w:eastAsia="zh-CN" w:bidi="ar-SA"/>
        </w:rPr>
      </w:pPr>
      <w:bookmarkStart w:id="963" w:name="_Toc534572444"/>
      <w:bookmarkStart w:id="964" w:name="_Toc21741"/>
      <w:bookmarkStart w:id="965" w:name="_Toc15357"/>
      <w:bookmarkStart w:id="966" w:name="_Toc91345081"/>
      <w:bookmarkStart w:id="967" w:name="_Toc62034599"/>
      <w:bookmarkStart w:id="968" w:name="_Toc14237"/>
      <w:bookmarkStart w:id="969" w:name="_Toc4004"/>
      <w:r>
        <w:rPr>
          <w:rFonts w:hint="eastAsia" w:ascii="宋体" w:hAnsi="宋体" w:eastAsia="宋体" w:cs="宋体"/>
          <w:b/>
          <w:bCs/>
          <w:kern w:val="2"/>
          <w:sz w:val="24"/>
          <w:szCs w:val="24"/>
          <w:highlight w:val="none"/>
          <w:lang w:val="en-US" w:eastAsia="zh-CN" w:bidi="ar-SA"/>
        </w:rPr>
        <w:t>九、其他资料</w:t>
      </w:r>
      <w:bookmarkEnd w:id="963"/>
      <w:bookmarkEnd w:id="964"/>
      <w:bookmarkEnd w:id="965"/>
      <w:bookmarkEnd w:id="966"/>
      <w:bookmarkEnd w:id="967"/>
      <w:bookmarkEnd w:id="968"/>
    </w:p>
    <w:bookmarkEnd w:id="969"/>
    <w:p w14:paraId="7621C6AC">
      <w:pPr>
        <w:widowControl/>
        <w:spacing w:beforeLines="0" w:afterLines="0" w:line="240" w:lineRule="auto"/>
        <w:jc w:val="left"/>
        <w:rPr>
          <w:rFonts w:hint="eastAsia" w:ascii="宋体" w:hAnsi="宋体" w:eastAsia="宋体" w:cs="宋体"/>
          <w:b/>
          <w:bCs/>
          <w:sz w:val="24"/>
          <w:szCs w:val="24"/>
          <w:highlight w:val="none"/>
        </w:rPr>
      </w:pPr>
    </w:p>
    <w:p w14:paraId="000A8737">
      <w:pPr>
        <w:widowControl/>
        <w:spacing w:beforeLines="0" w:afterLines="0" w:line="240" w:lineRule="auto"/>
        <w:jc w:val="left"/>
        <w:rPr>
          <w:rFonts w:hint="eastAsia" w:ascii="宋体" w:hAnsi="宋体" w:eastAsia="宋体" w:cs="宋体"/>
          <w:b/>
          <w:bCs/>
          <w:sz w:val="24"/>
          <w:szCs w:val="24"/>
          <w:highlight w:val="none"/>
        </w:rPr>
      </w:pPr>
    </w:p>
    <w:p w14:paraId="3845D27E">
      <w:pPr>
        <w:widowControl/>
        <w:spacing w:beforeLines="0" w:afterLines="0" w:line="240" w:lineRule="auto"/>
        <w:jc w:val="left"/>
        <w:rPr>
          <w:rFonts w:hint="eastAsia" w:ascii="宋体" w:hAnsi="宋体" w:eastAsia="宋体" w:cs="宋体"/>
          <w:sz w:val="24"/>
          <w:szCs w:val="24"/>
          <w:highlight w:val="none"/>
        </w:rPr>
      </w:pPr>
    </w:p>
    <w:p w14:paraId="6CED724E">
      <w:pPr>
        <w:widowControl/>
        <w:spacing w:beforeLines="0" w:afterLines="0" w:line="240" w:lineRule="auto"/>
        <w:jc w:val="left"/>
        <w:rPr>
          <w:rFonts w:hint="eastAsia" w:ascii="宋体" w:hAnsi="宋体" w:eastAsia="宋体" w:cs="宋体"/>
          <w:sz w:val="24"/>
          <w:szCs w:val="24"/>
          <w:highlight w:val="none"/>
        </w:rPr>
      </w:pPr>
    </w:p>
    <w:p w14:paraId="02760E2E">
      <w:pPr>
        <w:widowControl/>
        <w:spacing w:beforeLines="0" w:afterLines="0" w:line="240" w:lineRule="auto"/>
        <w:jc w:val="left"/>
        <w:rPr>
          <w:rFonts w:hint="eastAsia" w:ascii="宋体" w:hAnsi="宋体" w:eastAsia="宋体" w:cs="宋体"/>
          <w:sz w:val="24"/>
          <w:szCs w:val="24"/>
          <w:highlight w:val="none"/>
        </w:rPr>
      </w:pPr>
    </w:p>
    <w:p w14:paraId="32F85F2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A3B6551">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97A0CE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71D40B1">
      <w:pPr>
        <w:widowControl/>
        <w:spacing w:beforeLines="0" w:afterLines="0" w:line="240" w:lineRule="auto"/>
        <w:jc w:val="left"/>
        <w:rPr>
          <w:rFonts w:hint="eastAsia" w:ascii="宋体" w:hAnsi="宋体" w:eastAsia="宋体" w:cs="宋体"/>
          <w:szCs w:val="22"/>
          <w:highlight w:val="none"/>
        </w:rPr>
      </w:pPr>
    </w:p>
    <w:p w14:paraId="7236EEE1">
      <w:pPr>
        <w:widowControl/>
        <w:spacing w:beforeLines="0" w:afterLines="0" w:line="240" w:lineRule="auto"/>
        <w:jc w:val="left"/>
        <w:rPr>
          <w:rFonts w:hint="eastAsia" w:ascii="宋体" w:hAnsi="宋体" w:eastAsia="宋体" w:cs="宋体"/>
          <w:szCs w:val="22"/>
          <w:highlight w:val="none"/>
        </w:rPr>
      </w:pPr>
    </w:p>
    <w:p w14:paraId="2987BCCA">
      <w:pPr>
        <w:widowControl/>
        <w:spacing w:beforeLines="0" w:afterLines="0" w:line="240" w:lineRule="auto"/>
        <w:jc w:val="left"/>
        <w:rPr>
          <w:rFonts w:hint="eastAsia" w:ascii="宋体" w:hAnsi="宋体" w:eastAsia="宋体" w:cs="宋体"/>
          <w:szCs w:val="22"/>
          <w:highlight w:val="none"/>
        </w:rPr>
      </w:pPr>
    </w:p>
    <w:p w14:paraId="5951207C">
      <w:pPr>
        <w:widowControl/>
        <w:spacing w:beforeLines="0" w:afterLines="0" w:line="240" w:lineRule="auto"/>
        <w:jc w:val="left"/>
        <w:rPr>
          <w:rFonts w:hint="eastAsia" w:ascii="宋体" w:hAnsi="宋体" w:eastAsia="宋体" w:cs="宋体"/>
          <w:szCs w:val="22"/>
          <w:highlight w:val="none"/>
        </w:rPr>
      </w:pPr>
    </w:p>
    <w:p w14:paraId="3FA52351">
      <w:pPr>
        <w:widowControl/>
        <w:spacing w:beforeLines="0" w:afterLines="0" w:line="240" w:lineRule="auto"/>
        <w:jc w:val="left"/>
        <w:rPr>
          <w:rFonts w:hint="eastAsia" w:ascii="宋体" w:hAnsi="宋体" w:eastAsia="宋体" w:cs="宋体"/>
          <w:szCs w:val="22"/>
          <w:highlight w:val="none"/>
        </w:rPr>
      </w:pPr>
    </w:p>
    <w:bookmarkEnd w:id="920"/>
    <w:p w14:paraId="28D6C77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58443A4">
      <w:pPr>
        <w:widowControl/>
        <w:jc w:val="left"/>
        <w:rPr>
          <w:rFonts w:hint="eastAsia" w:ascii="Times New Roman" w:hAnsi="Times New Roman" w:eastAsia="宋体" w:cs="Times New Roman"/>
          <w:szCs w:val="22"/>
          <w:highlight w:val="none"/>
        </w:rPr>
      </w:pPr>
    </w:p>
    <w:p w14:paraId="3DA441E0">
      <w:pPr>
        <w:rPr>
          <w:highlight w:val="none"/>
        </w:rPr>
      </w:pPr>
    </w:p>
    <w:sectPr>
      <w:headerReference r:id="rId7" w:type="default"/>
      <w:footerReference r:id="rId8" w:type="default"/>
      <w:pgSz w:w="11905" w:h="16838"/>
      <w:pgMar w:top="1417" w:right="1417" w:bottom="1417" w:left="1417" w:header="794" w:footer="794"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crosoft JhengHei">
    <w:panose1 w:val="020B0604030504040204"/>
    <w:charset w:val="88"/>
    <w:family w:val="swiss"/>
    <w:pitch w:val="default"/>
    <w:sig w:usb0="000002A7" w:usb1="28CF4400" w:usb2="00000016" w:usb3="00000000" w:csb0="00100009"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07AA6">
    <w:pPr>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FDCF">
    <w:pPr>
      <w:tabs>
        <w:tab w:val="center" w:pos="4535"/>
        <w:tab w:val="right" w:pos="8306"/>
      </w:tabs>
      <w:snapToGrid w:val="0"/>
      <w:jc w:val="left"/>
      <w:rPr>
        <w:rFonts w:hint="eastAsia" w:ascii="Cambria" w:hAnsi="Cambria" w:eastAsia="宋体" w:cs="Times New Roman"/>
        <w:kern w:val="2"/>
        <w:sz w:val="18"/>
        <w:szCs w:val="18"/>
        <w:lang w:val="en-US" w:eastAsia="zh-CN" w:bidi="ar-SA"/>
      </w:rPr>
    </w:pPr>
    <w:r>
      <w:rPr>
        <w:rFonts w:hint="eastAsia" w:ascii="Cambria" w:hAnsi="Cambria" w:eastAsia="宋体" w:cs="Times New Roman"/>
        <w:kern w:val="2"/>
        <w:sz w:val="18"/>
        <w:szCs w:val="18"/>
        <w:lang w:val="en-US" w:eastAsia="zh-CN" w:bidi="ar-S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BD877">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69964">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DF69964">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ED466">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gW3MPLAQAAnAMAAA4AAAAAAAAAAQAgAAAAHgEAAGRycy9lMm9E&#10;b2MueG1sUEsFBgAAAAAGAAYAWQEAAFsFAAAAAA==&#10;">
              <v:fill on="f" focussize="0,0"/>
              <v:stroke on="f"/>
              <v:imagedata o:title=""/>
              <o:lock v:ext="edit" aspectratio="f"/>
              <v:textbox inset="0mm,0mm,0mm,0mm" style="mso-fit-shape-to-text:t;">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9ED69">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49EA">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FB560"/>
    <w:multiLevelType w:val="singleLevel"/>
    <w:tmpl w:val="EC7FB560"/>
    <w:lvl w:ilvl="0" w:tentative="0">
      <w:start w:val="1"/>
      <w:numFmt w:val="decimal"/>
      <w:suff w:val="nothing"/>
      <w:lvlText w:val="（%1）"/>
      <w:lvlJc w:val="left"/>
    </w:lvl>
  </w:abstractNum>
  <w:abstractNum w:abstractNumId="1">
    <w:nsid w:val="08B81924"/>
    <w:multiLevelType w:val="singleLevel"/>
    <w:tmpl w:val="08B81924"/>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AD45F0"/>
    <w:rsid w:val="004B1020"/>
    <w:rsid w:val="00E346A0"/>
    <w:rsid w:val="018E7B86"/>
    <w:rsid w:val="02B03C0C"/>
    <w:rsid w:val="030F75A7"/>
    <w:rsid w:val="0413562B"/>
    <w:rsid w:val="059E6D9A"/>
    <w:rsid w:val="062139CF"/>
    <w:rsid w:val="06886360"/>
    <w:rsid w:val="085034CC"/>
    <w:rsid w:val="08C26622"/>
    <w:rsid w:val="08E26C00"/>
    <w:rsid w:val="099A527B"/>
    <w:rsid w:val="0A7D4828"/>
    <w:rsid w:val="0B460AB5"/>
    <w:rsid w:val="0B8643EA"/>
    <w:rsid w:val="0C5E5EFE"/>
    <w:rsid w:val="0CDA62F2"/>
    <w:rsid w:val="0CDC3B9F"/>
    <w:rsid w:val="0EBD5B29"/>
    <w:rsid w:val="0F2652BC"/>
    <w:rsid w:val="0F493195"/>
    <w:rsid w:val="0FDD2DE3"/>
    <w:rsid w:val="10210623"/>
    <w:rsid w:val="10727C56"/>
    <w:rsid w:val="12364B3D"/>
    <w:rsid w:val="12B91B6C"/>
    <w:rsid w:val="12C71AFC"/>
    <w:rsid w:val="136B7571"/>
    <w:rsid w:val="144C719D"/>
    <w:rsid w:val="15451DDD"/>
    <w:rsid w:val="15EB3A55"/>
    <w:rsid w:val="16297009"/>
    <w:rsid w:val="16AD45F0"/>
    <w:rsid w:val="17E56F60"/>
    <w:rsid w:val="187674B3"/>
    <w:rsid w:val="1B2C7D13"/>
    <w:rsid w:val="1B774608"/>
    <w:rsid w:val="1B981BAD"/>
    <w:rsid w:val="1C234F0C"/>
    <w:rsid w:val="1CF77F44"/>
    <w:rsid w:val="1D2D6F02"/>
    <w:rsid w:val="1D8666D1"/>
    <w:rsid w:val="210668C5"/>
    <w:rsid w:val="216D5BD1"/>
    <w:rsid w:val="217A723F"/>
    <w:rsid w:val="22F758FA"/>
    <w:rsid w:val="24C54C65"/>
    <w:rsid w:val="25867EF4"/>
    <w:rsid w:val="270978D4"/>
    <w:rsid w:val="29A860AC"/>
    <w:rsid w:val="2A471C50"/>
    <w:rsid w:val="2AFD1EAA"/>
    <w:rsid w:val="2B136F1C"/>
    <w:rsid w:val="2B150770"/>
    <w:rsid w:val="2C477D91"/>
    <w:rsid w:val="2E9A064C"/>
    <w:rsid w:val="2F2F0392"/>
    <w:rsid w:val="2F632B06"/>
    <w:rsid w:val="2F6D2868"/>
    <w:rsid w:val="39417C1C"/>
    <w:rsid w:val="3957402E"/>
    <w:rsid w:val="3C4B1A4E"/>
    <w:rsid w:val="3C4B44FD"/>
    <w:rsid w:val="3D5F4115"/>
    <w:rsid w:val="3E0E2FF2"/>
    <w:rsid w:val="4077259B"/>
    <w:rsid w:val="44165DA6"/>
    <w:rsid w:val="4562702B"/>
    <w:rsid w:val="48483C88"/>
    <w:rsid w:val="49A50424"/>
    <w:rsid w:val="4CF2120A"/>
    <w:rsid w:val="4DE805A0"/>
    <w:rsid w:val="4FA135D3"/>
    <w:rsid w:val="4FF97471"/>
    <w:rsid w:val="51ED6B61"/>
    <w:rsid w:val="525E073E"/>
    <w:rsid w:val="553A5BF0"/>
    <w:rsid w:val="57BD2FAB"/>
    <w:rsid w:val="59E32B32"/>
    <w:rsid w:val="5B953DC6"/>
    <w:rsid w:val="5B9B50D2"/>
    <w:rsid w:val="5CF36DA7"/>
    <w:rsid w:val="5DA6723A"/>
    <w:rsid w:val="5DAF4A56"/>
    <w:rsid w:val="5FDE4AA7"/>
    <w:rsid w:val="5FEB5A4D"/>
    <w:rsid w:val="602244E3"/>
    <w:rsid w:val="616B35FF"/>
    <w:rsid w:val="6315188C"/>
    <w:rsid w:val="652E32C1"/>
    <w:rsid w:val="65704175"/>
    <w:rsid w:val="657271D2"/>
    <w:rsid w:val="673E62FC"/>
    <w:rsid w:val="67BC7290"/>
    <w:rsid w:val="685145B7"/>
    <w:rsid w:val="690C688E"/>
    <w:rsid w:val="6E665ACE"/>
    <w:rsid w:val="702B28BE"/>
    <w:rsid w:val="70BB14F9"/>
    <w:rsid w:val="7110492F"/>
    <w:rsid w:val="719F5BDF"/>
    <w:rsid w:val="71CA53CD"/>
    <w:rsid w:val="728D7D7F"/>
    <w:rsid w:val="740A14C1"/>
    <w:rsid w:val="74E0072E"/>
    <w:rsid w:val="74F11C15"/>
    <w:rsid w:val="75956F2E"/>
    <w:rsid w:val="75C51CEF"/>
    <w:rsid w:val="781F3285"/>
    <w:rsid w:val="78C31EC3"/>
    <w:rsid w:val="79F70BF1"/>
    <w:rsid w:val="7CB47F6B"/>
    <w:rsid w:val="7D7614C5"/>
    <w:rsid w:val="7E897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188</Words>
  <Characters>243</Characters>
  <Lines>0</Lines>
  <Paragraphs>0</Paragraphs>
  <TotalTime>20</TotalTime>
  <ScaleCrop>false</ScaleCrop>
  <LinksUpToDate>false</LinksUpToDate>
  <CharactersWithSpaces>261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2026-08-26T04:03:00Z</dcterms:created>
  <dc:creator>马强</dc:creator>
  <cp:lastModifiedBy>Administrator</cp:lastModifiedBy>
  <cp:lastPrinted>2026-09-23T07:49:00Z</cp:lastPrinted>
  <dcterms:modified xsi:type="dcterms:W3CDTF">2026-10-27T02:39:22Z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71EFC34DD6EA437F948DDF664D1009F0_13</vt:lpwstr>
  </property>
  <property fmtid="{D5CDD505-2E9C-101B-9397-08002B2CF9AE}" pid="4" name="KSOTemplateDocerSaveRecord">
    <vt:lpwstr>eyJoZGlkIjoiNTQ2NWNlZWJiMTAwZjNhMmNlZDg3MThmYzFlMGZjN2IiLCJ1c2VySWQiOiI0MjAyMzM1MTcifQ==</vt:lpwstr>
  </property>
</Properties>
</file>