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C54485">
      <w:pPr>
        <w:keepNext w:val="0"/>
        <w:keepLines w:val="0"/>
        <w:pageBreakBefore w:val="0"/>
        <w:widowControl w:val="0"/>
        <w:kinsoku/>
        <w:wordWrap/>
        <w:overflowPunct/>
        <w:topLinePunct w:val="0"/>
        <w:autoSpaceDE/>
        <w:autoSpaceDN/>
        <w:bidi w:val="0"/>
        <w:adjustRightInd w:val="0"/>
        <w:snapToGrid w:val="0"/>
        <w:spacing w:after="313" w:afterLines="100"/>
        <w:jc w:val="center"/>
        <w:textAlignment w:val="auto"/>
        <w:rPr>
          <w:rFonts w:hint="eastAsia" w:ascii="宋体" w:hAnsi="宋体" w:eastAsia="宋体"/>
          <w:b/>
          <w:color w:val="auto"/>
          <w:sz w:val="56"/>
          <w:szCs w:val="56"/>
          <w:highlight w:val="none"/>
          <w:lang w:eastAsia="zh-CN"/>
        </w:rPr>
      </w:pPr>
    </w:p>
    <w:p w14:paraId="6A45BA34">
      <w:pPr>
        <w:adjustRightInd w:val="0"/>
        <w:snapToGrid w:val="0"/>
        <w:jc w:val="center"/>
        <w:rPr>
          <w:rFonts w:hint="default" w:ascii="宋体" w:hAnsi="宋体" w:eastAsia="宋体" w:cs="Times New Roman"/>
          <w:b/>
          <w:strike w:val="0"/>
          <w:dstrike w:val="0"/>
          <w:color w:val="auto"/>
          <w:kern w:val="2"/>
          <w:sz w:val="44"/>
          <w:szCs w:val="44"/>
          <w:highlight w:val="none"/>
          <w:lang w:val="en-US" w:eastAsia="zh-CN" w:bidi="ar-SA"/>
        </w:rPr>
      </w:pPr>
      <w:r>
        <w:rPr>
          <w:rFonts w:hint="eastAsia" w:ascii="宋体" w:hAnsi="宋体"/>
          <w:b/>
          <w:color w:val="auto"/>
          <w:sz w:val="44"/>
          <w:szCs w:val="44"/>
          <w:highlight w:val="none"/>
          <w:lang w:val="en-US" w:eastAsia="zh-CN"/>
        </w:rPr>
        <w:t>省道225平舆县城区绕城道路一期改建工程（续建项目）</w:t>
      </w:r>
      <w:r>
        <w:rPr>
          <w:rFonts w:hint="eastAsia" w:ascii="宋体" w:hAnsi="宋体"/>
          <w:b/>
          <w:strike w:val="0"/>
          <w:dstrike w:val="0"/>
          <w:color w:val="auto"/>
          <w:sz w:val="44"/>
          <w:szCs w:val="44"/>
          <w:highlight w:val="none"/>
          <w:lang w:val="en-US" w:eastAsia="zh-CN"/>
        </w:rPr>
        <w:t>施工及监理</w:t>
      </w:r>
    </w:p>
    <w:p w14:paraId="0043C03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
          <w:color w:val="auto"/>
          <w:sz w:val="36"/>
          <w:szCs w:val="36"/>
          <w:highlight w:val="none"/>
          <w:lang w:eastAsia="zh-CN"/>
        </w:rPr>
      </w:pPr>
    </w:p>
    <w:p w14:paraId="46A0D25D">
      <w:pPr>
        <w:pStyle w:val="3"/>
        <w:rPr>
          <w:rFonts w:hint="eastAsia"/>
          <w:color w:val="auto"/>
          <w:highlight w:val="none"/>
        </w:rPr>
      </w:pPr>
      <w:bookmarkStart w:id="540" w:name="_GoBack"/>
      <w:bookmarkEnd w:id="540"/>
    </w:p>
    <w:p w14:paraId="3E6F79CE">
      <w:pPr>
        <w:rPr>
          <w:rFonts w:hint="eastAsia"/>
          <w:color w:val="auto"/>
          <w:highlight w:val="none"/>
        </w:rPr>
      </w:pPr>
    </w:p>
    <w:p w14:paraId="043850B6">
      <w:pPr>
        <w:rPr>
          <w:rFonts w:hint="eastAsia"/>
          <w:color w:val="auto"/>
          <w:highlight w:val="none"/>
        </w:rPr>
      </w:pPr>
    </w:p>
    <w:p w14:paraId="556BE606">
      <w:pPr>
        <w:pStyle w:val="21"/>
        <w:ind w:firstLine="240"/>
        <w:rPr>
          <w:rFonts w:ascii="宋体"/>
          <w:color w:val="auto"/>
          <w:highlight w:val="none"/>
        </w:rPr>
      </w:pPr>
      <w:r>
        <w:rPr>
          <w:rFonts w:hint="eastAsia" w:ascii="宋体"/>
          <w:color w:val="auto"/>
          <w:highlight w:val="none"/>
        </w:rPr>
        <w:t xml:space="preserve"> </w:t>
      </w:r>
    </w:p>
    <w:p w14:paraId="0D2B66C3">
      <w:pPr>
        <w:adjustRightInd w:val="0"/>
        <w:snapToGrid w:val="0"/>
        <w:jc w:val="center"/>
        <w:rPr>
          <w:rFonts w:ascii="宋体" w:hAnsi="宋体"/>
          <w:b/>
          <w:color w:val="auto"/>
          <w:sz w:val="52"/>
          <w:szCs w:val="52"/>
          <w:highlight w:val="none"/>
        </w:rPr>
      </w:pPr>
      <w:r>
        <w:rPr>
          <w:rFonts w:hint="eastAsia" w:ascii="宋体" w:hAnsi="宋体"/>
          <w:b/>
          <w:color w:val="auto"/>
          <w:sz w:val="72"/>
          <w:szCs w:val="72"/>
          <w:highlight w:val="none"/>
        </w:rPr>
        <w:t xml:space="preserve"> </w:t>
      </w:r>
      <w:r>
        <w:rPr>
          <w:rFonts w:hint="eastAsia" w:ascii="宋体" w:hAnsi="宋体"/>
          <w:b/>
          <w:color w:val="auto"/>
          <w:sz w:val="72"/>
          <w:szCs w:val="72"/>
          <w:highlight w:val="none"/>
          <w:lang w:val="en-US" w:eastAsia="zh-CN"/>
        </w:rPr>
        <w:t>施工招标</w:t>
      </w:r>
      <w:r>
        <w:rPr>
          <w:rFonts w:hint="eastAsia" w:ascii="宋体" w:hAnsi="宋体"/>
          <w:b/>
          <w:color w:val="auto"/>
          <w:sz w:val="72"/>
          <w:szCs w:val="72"/>
          <w:highlight w:val="none"/>
        </w:rPr>
        <w:t>文件</w:t>
      </w:r>
    </w:p>
    <w:p w14:paraId="37B4D3BD">
      <w:pPr>
        <w:adjustRightInd w:val="0"/>
        <w:snapToGrid w:val="0"/>
        <w:jc w:val="center"/>
        <w:rPr>
          <w:rFonts w:ascii="宋体" w:hAnsi="宋体"/>
          <w:b/>
          <w:bCs/>
          <w:color w:val="auto"/>
          <w:sz w:val="44"/>
          <w:szCs w:val="44"/>
          <w:highlight w:val="none"/>
        </w:rPr>
      </w:pPr>
      <w:r>
        <w:rPr>
          <w:rFonts w:hint="eastAsia" w:ascii="宋体" w:hAnsi="宋体"/>
          <w:b/>
          <w:bCs/>
          <w:color w:val="auto"/>
          <w:sz w:val="44"/>
          <w:szCs w:val="44"/>
          <w:highlight w:val="none"/>
        </w:rPr>
        <w:t xml:space="preserve"> </w:t>
      </w:r>
    </w:p>
    <w:p w14:paraId="405FFC82">
      <w:pPr>
        <w:adjustRightInd w:val="0"/>
        <w:snapToGrid w:val="0"/>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w:t>
      </w:r>
    </w:p>
    <w:p w14:paraId="229DBCEE">
      <w:pPr>
        <w:pStyle w:val="3"/>
        <w:rPr>
          <w:rFonts w:hint="eastAsia" w:ascii="宋体" w:hAnsi="宋体"/>
          <w:b/>
          <w:bCs/>
          <w:color w:val="auto"/>
          <w:sz w:val="44"/>
          <w:szCs w:val="44"/>
          <w:highlight w:val="none"/>
        </w:rPr>
      </w:pPr>
    </w:p>
    <w:p w14:paraId="1CD8EA2F">
      <w:pPr>
        <w:rPr>
          <w:rFonts w:hint="eastAsia"/>
          <w:color w:val="auto"/>
          <w:highlight w:val="none"/>
        </w:rPr>
      </w:pPr>
    </w:p>
    <w:p w14:paraId="31FFB565">
      <w:pPr>
        <w:pStyle w:val="3"/>
        <w:ind w:left="0" w:leftChars="0" w:firstLine="0" w:firstLineChars="0"/>
        <w:rPr>
          <w:color w:val="auto"/>
          <w:highlight w:val="none"/>
        </w:rPr>
      </w:pPr>
    </w:p>
    <w:p w14:paraId="2C171020">
      <w:pPr>
        <w:rPr>
          <w:color w:val="auto"/>
          <w:highlight w:val="none"/>
        </w:rPr>
      </w:pPr>
    </w:p>
    <w:p w14:paraId="3E3D4274">
      <w:pPr>
        <w:rPr>
          <w:color w:val="auto"/>
          <w:highlight w:val="none"/>
        </w:rPr>
      </w:pPr>
    </w:p>
    <w:p w14:paraId="0877B21E">
      <w:pPr>
        <w:adjustRightInd w:val="0"/>
        <w:snapToGrid w:val="0"/>
        <w:spacing w:line="360" w:lineRule="auto"/>
        <w:ind w:firstLine="723" w:firstLineChars="200"/>
        <w:rPr>
          <w:rFonts w:ascii="宋体" w:hAnsi="宋体"/>
          <w:b/>
          <w:bCs/>
          <w:color w:val="auto"/>
          <w:kern w:val="10"/>
          <w:sz w:val="36"/>
          <w:szCs w:val="36"/>
          <w:highlight w:val="none"/>
        </w:rPr>
      </w:pPr>
      <w:r>
        <w:rPr>
          <w:rFonts w:hint="eastAsia" w:ascii="宋体" w:hAnsi="宋体"/>
          <w:b/>
          <w:bCs/>
          <w:color w:val="auto"/>
          <w:kern w:val="10"/>
          <w:sz w:val="36"/>
          <w:szCs w:val="36"/>
          <w:highlight w:val="none"/>
        </w:rPr>
        <w:t xml:space="preserve"> </w:t>
      </w:r>
    </w:p>
    <w:p w14:paraId="3443FA03">
      <w:pPr>
        <w:adjustRightInd w:val="0"/>
        <w:snapToGrid w:val="0"/>
        <w:spacing w:line="360" w:lineRule="auto"/>
        <w:ind w:firstLine="1285" w:firstLineChars="400"/>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kern w:val="10"/>
          <w:sz w:val="32"/>
          <w:szCs w:val="32"/>
          <w:highlight w:val="none"/>
        </w:rPr>
        <w:t>招</w:t>
      </w:r>
      <w:r>
        <w:rPr>
          <w:rFonts w:hint="eastAsia" w:ascii="宋体" w:hAnsi="宋体" w:cs="宋体"/>
          <w:b/>
          <w:bCs/>
          <w:color w:val="auto"/>
          <w:kern w:val="10"/>
          <w:sz w:val="32"/>
          <w:szCs w:val="32"/>
          <w:highlight w:val="none"/>
          <w:lang w:val="en-US" w:eastAsia="zh-CN"/>
        </w:rPr>
        <w:t xml:space="preserve">  </w:t>
      </w:r>
      <w:r>
        <w:rPr>
          <w:rFonts w:hint="eastAsia" w:ascii="宋体" w:hAnsi="宋体" w:eastAsia="宋体" w:cs="宋体"/>
          <w:b/>
          <w:bCs/>
          <w:color w:val="auto"/>
          <w:kern w:val="10"/>
          <w:sz w:val="32"/>
          <w:szCs w:val="32"/>
          <w:highlight w:val="none"/>
        </w:rPr>
        <w:t xml:space="preserve"> 标</w:t>
      </w:r>
      <w:r>
        <w:rPr>
          <w:rFonts w:hint="eastAsia" w:ascii="宋体" w:hAnsi="宋体" w:cs="宋体"/>
          <w:b/>
          <w:bCs/>
          <w:color w:val="auto"/>
          <w:kern w:val="10"/>
          <w:sz w:val="32"/>
          <w:szCs w:val="32"/>
          <w:highlight w:val="none"/>
          <w:lang w:val="en-US" w:eastAsia="zh-CN"/>
        </w:rPr>
        <w:t xml:space="preserve">  </w:t>
      </w:r>
      <w:r>
        <w:rPr>
          <w:rFonts w:hint="eastAsia" w:ascii="宋体" w:hAnsi="宋体" w:eastAsia="宋体" w:cs="宋体"/>
          <w:b/>
          <w:bCs/>
          <w:color w:val="auto"/>
          <w:kern w:val="10"/>
          <w:sz w:val="32"/>
          <w:szCs w:val="32"/>
          <w:highlight w:val="none"/>
        </w:rPr>
        <w:t xml:space="preserve"> 人</w:t>
      </w:r>
      <w:r>
        <w:rPr>
          <w:rFonts w:hint="eastAsia" w:ascii="宋体" w:hAnsi="宋体" w:eastAsia="宋体" w:cs="宋体"/>
          <w:b/>
          <w:bCs/>
          <w:color w:val="auto"/>
          <w:sz w:val="32"/>
          <w:szCs w:val="32"/>
          <w:highlight w:val="none"/>
        </w:rPr>
        <w:t>：</w:t>
      </w:r>
      <w:r>
        <w:rPr>
          <w:rFonts w:hint="eastAsia" w:ascii="宋体" w:hAnsi="宋体" w:cs="宋体"/>
          <w:b/>
          <w:bCs/>
          <w:color w:val="auto"/>
          <w:sz w:val="32"/>
          <w:szCs w:val="32"/>
          <w:highlight w:val="none"/>
          <w:u w:val="single"/>
          <w:lang w:val="en-US" w:eastAsia="zh-CN"/>
        </w:rPr>
        <w:t>平舆</w:t>
      </w:r>
      <w:r>
        <w:rPr>
          <w:rFonts w:hint="eastAsia" w:ascii="宋体" w:hAnsi="宋体" w:cs="宋体"/>
          <w:b/>
          <w:bCs/>
          <w:color w:val="auto"/>
          <w:sz w:val="32"/>
          <w:szCs w:val="32"/>
          <w:highlight w:val="none"/>
          <w:u w:val="single"/>
          <w:lang w:eastAsia="zh-CN"/>
        </w:rPr>
        <w:t>县公路事业发展中心</w:t>
      </w:r>
    </w:p>
    <w:p w14:paraId="0D867CDB">
      <w:pPr>
        <w:adjustRightInd w:val="0"/>
        <w:snapToGrid w:val="0"/>
        <w:spacing w:beforeLines="50" w:afterLines="50" w:line="360" w:lineRule="auto"/>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rPr>
        <w:t>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招标代理机构：</w:t>
      </w:r>
      <w:r>
        <w:rPr>
          <w:rFonts w:hint="eastAsia" w:ascii="宋体" w:hAnsi="宋体"/>
          <w:b/>
          <w:bCs/>
          <w:color w:val="auto"/>
          <w:sz w:val="32"/>
          <w:szCs w:val="32"/>
          <w:highlight w:val="none"/>
          <w:u w:val="single"/>
          <w:lang w:eastAsia="zh-CN"/>
        </w:rPr>
        <w:t>中韵天隆工程集团有限公司</w:t>
      </w:r>
    </w:p>
    <w:p w14:paraId="77377496">
      <w:pPr>
        <w:adjustRightInd w:val="0"/>
        <w:snapToGrid w:val="0"/>
        <w:spacing w:line="360" w:lineRule="auto"/>
        <w:ind w:firstLine="1285" w:firstLineChars="400"/>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日        期：</w:t>
      </w:r>
      <w:r>
        <w:rPr>
          <w:rFonts w:hint="eastAsia" w:ascii="宋体" w:hAnsi="宋体" w:eastAsia="宋体" w:cs="宋体"/>
          <w:b/>
          <w:bCs/>
          <w:color w:val="auto"/>
          <w:sz w:val="32"/>
          <w:szCs w:val="32"/>
          <w:highlight w:val="none"/>
          <w:u w:val="single"/>
        </w:rPr>
        <w:t>202</w:t>
      </w:r>
      <w:r>
        <w:rPr>
          <w:rFonts w:hint="eastAsia" w:ascii="宋体" w:hAnsi="宋体" w:cs="宋体"/>
          <w:b/>
          <w:bCs/>
          <w:color w:val="auto"/>
          <w:sz w:val="32"/>
          <w:szCs w:val="32"/>
          <w:highlight w:val="none"/>
          <w:u w:val="single"/>
          <w:lang w:val="en-US" w:eastAsia="zh-CN"/>
        </w:rPr>
        <w:t>6</w:t>
      </w:r>
      <w:r>
        <w:rPr>
          <w:rFonts w:hint="eastAsia" w:ascii="宋体" w:hAnsi="宋体" w:eastAsia="宋体" w:cs="宋体"/>
          <w:b/>
          <w:bCs/>
          <w:color w:val="auto"/>
          <w:sz w:val="32"/>
          <w:szCs w:val="32"/>
          <w:highlight w:val="none"/>
        </w:rPr>
        <w:t>年</w:t>
      </w:r>
      <w:r>
        <w:rPr>
          <w:rFonts w:hint="eastAsia" w:ascii="宋体" w:hAnsi="宋体" w:cs="宋体"/>
          <w:b/>
          <w:bCs/>
          <w:color w:val="auto"/>
          <w:sz w:val="32"/>
          <w:szCs w:val="32"/>
          <w:highlight w:val="none"/>
          <w:u w:val="single"/>
          <w:lang w:val="en-US" w:eastAsia="zh-CN"/>
        </w:rPr>
        <w:t>10</w:t>
      </w:r>
      <w:r>
        <w:rPr>
          <w:rFonts w:hint="eastAsia" w:ascii="宋体" w:hAnsi="宋体" w:eastAsia="宋体" w:cs="宋体"/>
          <w:b/>
          <w:bCs/>
          <w:color w:val="auto"/>
          <w:sz w:val="32"/>
          <w:szCs w:val="32"/>
          <w:highlight w:val="none"/>
          <w:u w:val="single"/>
        </w:rPr>
        <w:t>月</w:t>
      </w:r>
    </w:p>
    <w:p w14:paraId="35D8AC11">
      <w:pPr>
        <w:widowControl/>
        <w:spacing w:line="360" w:lineRule="auto"/>
        <w:jc w:val="left"/>
        <w:rPr>
          <w:rFonts w:hint="eastAsia" w:ascii="宋体" w:hAnsi="宋体" w:eastAsia="宋体" w:cs="宋体"/>
          <w:b/>
          <w:bCs/>
          <w:color w:val="auto"/>
          <w:sz w:val="32"/>
          <w:szCs w:val="32"/>
          <w:highlight w:val="none"/>
        </w:rPr>
        <w:sectPr>
          <w:footerReference r:id="rId5" w:type="first"/>
          <w:headerReference r:id="rId3" w:type="even"/>
          <w:footerReference r:id="rId4" w:type="even"/>
          <w:pgSz w:w="11906" w:h="16838"/>
          <w:pgMar w:top="1587" w:right="1417" w:bottom="1417" w:left="1417" w:header="851" w:footer="992" w:gutter="0"/>
          <w:pgBorders>
            <w:top w:val="none" w:sz="0" w:space="0"/>
            <w:left w:val="none" w:sz="0" w:space="0"/>
            <w:bottom w:val="none" w:sz="0" w:space="0"/>
            <w:right w:val="none" w:sz="0" w:space="0"/>
          </w:pgBorders>
          <w:cols w:space="720" w:num="1"/>
          <w:titlePg/>
          <w:docGrid w:type="lines" w:linePitch="312" w:charSpace="0"/>
        </w:sectPr>
      </w:pPr>
    </w:p>
    <w:p w14:paraId="6B3FA582">
      <w:pPr>
        <w:jc w:val="center"/>
        <w:outlineLvl w:val="0"/>
        <w:rPr>
          <w:rFonts w:ascii="宋体" w:hAnsi="宋体" w:cs="宋体"/>
          <w:b/>
          <w:color w:val="auto"/>
          <w:sz w:val="36"/>
          <w:highlight w:val="none"/>
        </w:rPr>
      </w:pPr>
      <w:r>
        <w:rPr>
          <w:rFonts w:hint="eastAsia" w:ascii="宋体" w:hAnsi="宋体" w:cs="宋体"/>
          <w:b/>
          <w:color w:val="auto"/>
          <w:sz w:val="36"/>
          <w:highlight w:val="none"/>
        </w:rPr>
        <w:t>招标代理项目部人员组成</w:t>
      </w:r>
    </w:p>
    <w:p w14:paraId="1D7CC71F">
      <w:pPr>
        <w:pStyle w:val="14"/>
        <w:rPr>
          <w:rFonts w:ascii="宋体" w:hAnsi="宋体" w:cs="宋体"/>
          <w:color w:val="auto"/>
          <w:highlight w:val="none"/>
        </w:rPr>
      </w:pPr>
    </w:p>
    <w:p w14:paraId="6BC23CA4">
      <w:pPr>
        <w:rPr>
          <w:rFonts w:ascii="宋体" w:hAnsi="宋体" w:cs="宋体"/>
          <w:color w:val="auto"/>
          <w:highlight w:val="none"/>
        </w:rPr>
      </w:pPr>
    </w:p>
    <w:p w14:paraId="15C34254">
      <w:pPr>
        <w:numPr>
          <w:ilvl w:val="0"/>
          <w:numId w:val="0"/>
        </w:numPr>
        <w:wordWrap w:val="0"/>
        <w:spacing w:line="480" w:lineRule="auto"/>
        <w:ind w:firstLine="560" w:firstLineChars="200"/>
        <w:rPr>
          <w:rFonts w:ascii="宋体" w:hAnsi="宋体" w:cs="宋体"/>
          <w:color w:val="auto"/>
          <w:sz w:val="28"/>
          <w:szCs w:val="28"/>
          <w:highlight w:val="none"/>
        </w:rPr>
      </w:pPr>
      <w:r>
        <w:rPr>
          <w:rFonts w:hint="eastAsia" w:ascii="宋体" w:hAnsi="宋体" w:eastAsia="宋体" w:cs="宋体"/>
          <w:color w:val="auto"/>
          <w:kern w:val="2"/>
          <w:sz w:val="28"/>
          <w:szCs w:val="28"/>
          <w:highlight w:val="none"/>
          <w:lang w:val="en-US" w:eastAsia="zh-CN" w:bidi="ar-SA"/>
        </w:rPr>
        <w:t>一、</w:t>
      </w:r>
      <w:r>
        <w:rPr>
          <w:rFonts w:hint="eastAsia" w:ascii="宋体" w:hAnsi="宋体" w:cs="宋体"/>
          <w:color w:val="auto"/>
          <w:sz w:val="28"/>
          <w:szCs w:val="28"/>
          <w:highlight w:val="none"/>
        </w:rPr>
        <w:t>项目负责人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刘世喆</w:t>
      </w:r>
      <w:r>
        <w:rPr>
          <w:rFonts w:hint="eastAsia" w:ascii="宋体" w:hAnsi="宋体" w:cs="宋体"/>
          <w:color w:val="auto"/>
          <w:sz w:val="28"/>
          <w:szCs w:val="28"/>
          <w:highlight w:val="none"/>
        </w:rPr>
        <w:t>（建设类注册执业（职业）资格证号：</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Z4501015343</w:t>
      </w:r>
      <w:r>
        <w:rPr>
          <w:rFonts w:hint="eastAsia" w:ascii="宋体" w:hAnsi="宋体" w:cs="宋体"/>
          <w:color w:val="auto"/>
          <w:sz w:val="28"/>
          <w:szCs w:val="28"/>
          <w:highlight w:val="none"/>
        </w:rPr>
        <w:t>）</w:t>
      </w:r>
    </w:p>
    <w:p w14:paraId="7AE6D6D2">
      <w:pPr>
        <w:wordWrap w:val="0"/>
        <w:spacing w:line="48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二、其他人员</w:t>
      </w:r>
    </w:p>
    <w:p w14:paraId="0BD1D756">
      <w:pPr>
        <w:wordWrap w:val="0"/>
        <w:spacing w:line="48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1、姓名：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王京拴</w:t>
      </w:r>
      <w:r>
        <w:rPr>
          <w:rFonts w:hint="eastAsia" w:ascii="宋体" w:hAnsi="宋体" w:cs="宋体"/>
          <w:color w:val="auto"/>
          <w:sz w:val="28"/>
          <w:szCs w:val="28"/>
          <w:highlight w:val="none"/>
        </w:rPr>
        <w:t>（职业资格或岗位证号Z4501008637）</w:t>
      </w:r>
    </w:p>
    <w:p w14:paraId="1C203F5E">
      <w:pPr>
        <w:wordWrap w:val="0"/>
        <w:spacing w:line="48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2、姓名： </w:t>
      </w:r>
      <w:r>
        <w:rPr>
          <w:rFonts w:hint="eastAsia" w:ascii="宋体" w:hAnsi="宋体" w:cs="宋体"/>
          <w:color w:val="auto"/>
          <w:sz w:val="28"/>
          <w:szCs w:val="28"/>
          <w:highlight w:val="none"/>
          <w:u w:val="single"/>
          <w:lang w:val="en-US" w:eastAsia="zh-CN"/>
        </w:rPr>
        <w:t>刘少博</w:t>
      </w:r>
      <w:r>
        <w:rPr>
          <w:rFonts w:hint="eastAsia" w:ascii="宋体" w:hAnsi="宋体" w:cs="宋体"/>
          <w:color w:val="auto"/>
          <w:sz w:val="28"/>
          <w:szCs w:val="28"/>
          <w:highlight w:val="none"/>
        </w:rPr>
        <w:t>（职业资格或岗位证号Z4501006150）</w:t>
      </w:r>
    </w:p>
    <w:p w14:paraId="464705C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1A0EF01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4FB98E2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753DBE8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41254EF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439A7FF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287B07E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1252540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4E8DDEE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4A46AD92">
      <w:pPr>
        <w:pStyle w:val="28"/>
        <w:rPr>
          <w:rFonts w:hint="eastAsia" w:ascii="宋体" w:hAnsi="宋体"/>
          <w:color w:val="auto"/>
          <w:sz w:val="32"/>
          <w:szCs w:val="32"/>
          <w:highlight w:val="none"/>
        </w:rPr>
      </w:pPr>
    </w:p>
    <w:p w14:paraId="20D77D17">
      <w:pPr>
        <w:pStyle w:val="28"/>
        <w:rPr>
          <w:rFonts w:hint="eastAsia" w:ascii="宋体" w:hAnsi="宋体"/>
          <w:color w:val="auto"/>
          <w:sz w:val="32"/>
          <w:szCs w:val="32"/>
          <w:highlight w:val="none"/>
        </w:rPr>
      </w:pPr>
    </w:p>
    <w:p w14:paraId="0AF75CE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79230BC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1AD4CCC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43FA9839">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r>
    </w:p>
    <w:p w14:paraId="5851811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总  目  录</w:t>
      </w:r>
    </w:p>
    <w:p w14:paraId="58B60A41">
      <w:pPr>
        <w:tabs>
          <w:tab w:val="left" w:pos="1950"/>
        </w:tabs>
        <w:spacing w:line="480" w:lineRule="auto"/>
        <w:rPr>
          <w:rFonts w:hint="eastAsia" w:ascii="宋体" w:hAnsi="宋体" w:eastAsia="宋体" w:cs="宋体"/>
          <w:b/>
          <w:bCs/>
          <w:color w:val="auto"/>
          <w:sz w:val="36"/>
          <w:szCs w:val="36"/>
          <w:highlight w:val="none"/>
        </w:rPr>
      </w:pPr>
    </w:p>
    <w:p w14:paraId="37F2F66A">
      <w:pPr>
        <w:spacing w:line="360" w:lineRule="auto"/>
        <w:ind w:firstLine="482" w:firstLineChars="150"/>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第一卷</w:t>
      </w:r>
    </w:p>
    <w:p w14:paraId="1F84AF20">
      <w:pPr>
        <w:spacing w:line="360" w:lineRule="auto"/>
        <w:ind w:firstLine="422" w:firstLineChars="150"/>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第一章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招标公告·····································</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4</w:t>
      </w:r>
    </w:p>
    <w:p w14:paraId="15F9E127">
      <w:pPr>
        <w:spacing w:line="360" w:lineRule="auto"/>
        <w:ind w:firstLine="422" w:firstLineChars="15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第二章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投标人须知···································</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9</w:t>
      </w:r>
    </w:p>
    <w:p w14:paraId="1BCC0405">
      <w:pPr>
        <w:spacing w:line="360" w:lineRule="auto"/>
        <w:ind w:firstLine="422" w:firstLineChars="15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第三章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评标办法····································</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3</w:t>
      </w:r>
      <w:r>
        <w:rPr>
          <w:rFonts w:hint="eastAsia" w:ascii="宋体" w:hAnsi="宋体" w:cs="宋体"/>
          <w:b/>
          <w:bCs/>
          <w:color w:val="auto"/>
          <w:sz w:val="28"/>
          <w:szCs w:val="28"/>
          <w:highlight w:val="none"/>
          <w:lang w:val="en-US" w:eastAsia="zh-CN"/>
        </w:rPr>
        <w:t>7</w:t>
      </w:r>
    </w:p>
    <w:p w14:paraId="48856148">
      <w:pPr>
        <w:spacing w:line="360" w:lineRule="auto"/>
        <w:ind w:firstLine="422" w:firstLineChars="150"/>
        <w:jc w:val="lef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第四章</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定标办法（随</w:t>
      </w:r>
      <w:r>
        <w:rPr>
          <w:rFonts w:hint="eastAsia" w:ascii="宋体" w:hAnsi="宋体" w:cs="宋体"/>
          <w:b/>
          <w:bCs/>
          <w:color w:val="auto"/>
          <w:sz w:val="28"/>
          <w:szCs w:val="28"/>
          <w:highlight w:val="none"/>
          <w:lang w:val="en-US" w:eastAsia="zh-CN"/>
        </w:rPr>
        <w:t>机</w:t>
      </w:r>
      <w:r>
        <w:rPr>
          <w:rFonts w:hint="eastAsia" w:ascii="宋体" w:hAnsi="宋体" w:eastAsia="宋体" w:cs="宋体"/>
          <w:b/>
          <w:bCs/>
          <w:color w:val="auto"/>
          <w:sz w:val="28"/>
          <w:szCs w:val="28"/>
          <w:highlight w:val="none"/>
          <w:lang w:val="en-US" w:eastAsia="zh-CN"/>
        </w:rPr>
        <w:t>法）</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4</w:t>
      </w:r>
      <w:r>
        <w:rPr>
          <w:rFonts w:hint="eastAsia" w:ascii="宋体" w:hAnsi="宋体" w:cs="宋体"/>
          <w:b/>
          <w:bCs/>
          <w:color w:val="auto"/>
          <w:sz w:val="28"/>
          <w:szCs w:val="28"/>
          <w:highlight w:val="none"/>
          <w:lang w:val="en-US" w:eastAsia="zh-CN"/>
        </w:rPr>
        <w:t>4</w:t>
      </w:r>
    </w:p>
    <w:p w14:paraId="6B60E814">
      <w:pPr>
        <w:spacing w:line="360" w:lineRule="auto"/>
        <w:ind w:firstLine="422" w:firstLineChars="150"/>
        <w:jc w:val="lef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合同条款及格式······························</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4</w:t>
      </w:r>
      <w:r>
        <w:rPr>
          <w:rFonts w:hint="eastAsia" w:ascii="宋体" w:hAnsi="宋体" w:cs="宋体"/>
          <w:b/>
          <w:bCs/>
          <w:color w:val="auto"/>
          <w:sz w:val="28"/>
          <w:szCs w:val="28"/>
          <w:highlight w:val="none"/>
          <w:lang w:val="en-US" w:eastAsia="zh-CN"/>
        </w:rPr>
        <w:t>8</w:t>
      </w:r>
    </w:p>
    <w:p w14:paraId="2CFBFE29">
      <w:pPr>
        <w:spacing w:line="360" w:lineRule="auto"/>
        <w:ind w:firstLine="422" w:firstLineChars="15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工程量清单</w:t>
      </w:r>
      <w:r>
        <w:rPr>
          <w:rFonts w:hint="eastAsia" w:ascii="宋体" w:hAnsi="宋体" w:eastAsia="宋体" w:cs="宋体"/>
          <w:b/>
          <w:bCs/>
          <w:color w:val="auto"/>
          <w:sz w:val="28"/>
          <w:szCs w:val="28"/>
          <w:highlight w:val="none"/>
          <w:lang w:eastAsia="zh-CN"/>
        </w:rPr>
        <w:t>（另册）</w:t>
      </w: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9</w:t>
      </w:r>
      <w:r>
        <w:rPr>
          <w:rFonts w:hint="eastAsia" w:ascii="宋体" w:hAnsi="宋体" w:cs="宋体"/>
          <w:b/>
          <w:bCs/>
          <w:color w:val="auto"/>
          <w:sz w:val="28"/>
          <w:szCs w:val="28"/>
          <w:highlight w:val="none"/>
          <w:lang w:val="en-US" w:eastAsia="zh-CN"/>
        </w:rPr>
        <w:t>5</w:t>
      </w:r>
    </w:p>
    <w:p w14:paraId="3A624275">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2" w:firstLineChars="150"/>
        <w:jc w:val="lef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第二卷</w:t>
      </w:r>
    </w:p>
    <w:p w14:paraId="010F720E">
      <w:pPr>
        <w:spacing w:line="360" w:lineRule="auto"/>
        <w:ind w:left="48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图纸（另册）····························</w:t>
      </w:r>
      <w:r>
        <w:rPr>
          <w:rFonts w:hint="eastAsia" w:ascii="宋体" w:hAnsi="宋体" w:cs="宋体"/>
          <w:b/>
          <w:bCs/>
          <w:color w:val="auto"/>
          <w:sz w:val="28"/>
          <w:szCs w:val="28"/>
          <w:highlight w:val="none"/>
          <w:lang w:val="en-US" w:eastAsia="zh-CN"/>
        </w:rPr>
        <w:t xml:space="preserve">  100</w:t>
      </w:r>
    </w:p>
    <w:p w14:paraId="2E4A3A87">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482"/>
        <w:jc w:val="lef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第三卷</w:t>
      </w:r>
    </w:p>
    <w:p w14:paraId="70547533">
      <w:pPr>
        <w:spacing w:line="360" w:lineRule="auto"/>
        <w:ind w:left="48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cs="宋体"/>
          <w:b/>
          <w:bCs/>
          <w:color w:val="auto"/>
          <w:sz w:val="28"/>
          <w:szCs w:val="28"/>
          <w:highlight w:val="none"/>
          <w:lang w:val="en-US" w:eastAsia="zh-CN"/>
        </w:rPr>
        <w:t>八</w:t>
      </w:r>
      <w:r>
        <w:rPr>
          <w:rFonts w:hint="eastAsia" w:ascii="宋体" w:hAnsi="宋体" w:eastAsia="宋体" w:cs="宋体"/>
          <w:b/>
          <w:bCs/>
          <w:color w:val="auto"/>
          <w:sz w:val="28"/>
          <w:szCs w:val="28"/>
          <w:highlight w:val="none"/>
        </w:rPr>
        <w:t>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技术规范（另册）····························</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10</w:t>
      </w:r>
      <w:r>
        <w:rPr>
          <w:rFonts w:hint="eastAsia" w:ascii="宋体" w:hAnsi="宋体" w:cs="宋体"/>
          <w:b/>
          <w:bCs/>
          <w:color w:val="auto"/>
          <w:sz w:val="28"/>
          <w:szCs w:val="28"/>
          <w:highlight w:val="none"/>
          <w:lang w:val="en-US" w:eastAsia="zh-CN"/>
        </w:rPr>
        <w:t>2</w:t>
      </w:r>
    </w:p>
    <w:p w14:paraId="2689F5EE">
      <w:pPr>
        <w:spacing w:line="360" w:lineRule="auto"/>
        <w:ind w:left="48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rPr>
        <w:t>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工程量清单计量规则（另册）··················</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10</w:t>
      </w:r>
      <w:r>
        <w:rPr>
          <w:rFonts w:hint="eastAsia" w:ascii="宋体" w:hAnsi="宋体" w:cs="宋体"/>
          <w:b/>
          <w:bCs/>
          <w:color w:val="auto"/>
          <w:sz w:val="28"/>
          <w:szCs w:val="28"/>
          <w:highlight w:val="none"/>
          <w:lang w:val="en-US" w:eastAsia="zh-CN"/>
        </w:rPr>
        <w:t>3</w:t>
      </w:r>
    </w:p>
    <w:p w14:paraId="01B90527">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482"/>
        <w:jc w:val="lef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第四卷</w:t>
      </w:r>
    </w:p>
    <w:p w14:paraId="56EEBD94">
      <w:pPr>
        <w:tabs>
          <w:tab w:val="left" w:pos="1701"/>
        </w:tabs>
        <w:spacing w:line="520" w:lineRule="exact"/>
        <w:ind w:firstLine="562" w:firstLineChars="200"/>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cs="宋体"/>
          <w:b/>
          <w:bCs/>
          <w:color w:val="auto"/>
          <w:sz w:val="28"/>
          <w:szCs w:val="28"/>
          <w:highlight w:val="none"/>
          <w:lang w:val="en-US" w:eastAsia="zh-CN"/>
        </w:rPr>
        <w:t>十</w:t>
      </w:r>
      <w:r>
        <w:rPr>
          <w:rFonts w:hint="eastAsia" w:ascii="宋体" w:hAnsi="宋体" w:eastAsia="宋体" w:cs="宋体"/>
          <w:b/>
          <w:bCs/>
          <w:color w:val="auto"/>
          <w:sz w:val="28"/>
          <w:szCs w:val="28"/>
          <w:highlight w:val="none"/>
        </w:rPr>
        <w:t>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投标文件格式·······························</w:t>
      </w:r>
      <w:r>
        <w:rPr>
          <w:rFonts w:hint="eastAsia" w:ascii="宋体" w:hAnsi="宋体" w:eastAsia="宋体" w:cs="宋体"/>
          <w:b/>
          <w:bCs/>
          <w:color w:val="auto"/>
          <w:sz w:val="28"/>
          <w:szCs w:val="28"/>
          <w:highlight w:val="none"/>
          <w:lang w:val="en-US" w:eastAsia="zh-CN"/>
        </w:rPr>
        <w:t xml:space="preserve"> 10</w:t>
      </w:r>
      <w:r>
        <w:rPr>
          <w:rFonts w:hint="eastAsia" w:ascii="宋体" w:hAnsi="宋体" w:cs="宋体"/>
          <w:b/>
          <w:bCs/>
          <w:color w:val="auto"/>
          <w:sz w:val="28"/>
          <w:szCs w:val="28"/>
          <w:highlight w:val="none"/>
          <w:lang w:val="en-US" w:eastAsia="zh-CN"/>
        </w:rPr>
        <w:t>5</w:t>
      </w:r>
    </w:p>
    <w:p w14:paraId="70064A6E">
      <w:pPr>
        <w:tabs>
          <w:tab w:val="left" w:pos="1701"/>
        </w:tabs>
        <w:spacing w:line="520" w:lineRule="exact"/>
        <w:ind w:firstLine="640" w:firstLineChars="200"/>
        <w:rPr>
          <w:rFonts w:hint="eastAsia" w:ascii="宋体" w:hAnsi="宋体" w:eastAsia="宋体" w:cs="宋体"/>
          <w:b w:val="0"/>
          <w:bCs/>
          <w:color w:val="auto"/>
          <w:sz w:val="32"/>
          <w:szCs w:val="32"/>
          <w:highlight w:val="none"/>
        </w:rPr>
        <w:sectPr>
          <w:footerReference r:id="rId7" w:type="first"/>
          <w:footerReference r:id="rId6" w:type="default"/>
          <w:footnotePr>
            <w:numFmt w:val="decimalEnclosedCircleChinese"/>
          </w:footnotePr>
          <w:pgSz w:w="11906" w:h="16838"/>
          <w:pgMar w:top="1587" w:right="1418" w:bottom="1417" w:left="1418" w:header="851" w:footer="992" w:gutter="0"/>
          <w:pgNumType w:fmt="decimal" w:start="1"/>
          <w:cols w:space="720" w:num="1"/>
          <w:titlePg/>
          <w:docGrid w:type="lines" w:linePitch="312" w:charSpace="0"/>
        </w:sectPr>
      </w:pPr>
    </w:p>
    <w:p w14:paraId="4240302D">
      <w:pPr>
        <w:keepNext w:val="0"/>
        <w:keepLines w:val="0"/>
        <w:pageBreakBefore w:val="0"/>
        <w:widowControl w:val="0"/>
        <w:kinsoku/>
        <w:wordWrap/>
        <w:overflowPunct/>
        <w:topLinePunct w:val="0"/>
        <w:autoSpaceDE/>
        <w:autoSpaceDN/>
        <w:bidi w:val="0"/>
        <w:adjustRightInd w:val="0"/>
        <w:snapToGrid w:val="0"/>
        <w:spacing w:before="5305" w:beforeLines="1700" w:line="360" w:lineRule="auto"/>
        <w:jc w:val="center"/>
        <w:textAlignment w:val="auto"/>
        <w:rPr>
          <w:rFonts w:ascii="宋体" w:hAnsi="宋体"/>
          <w:b/>
          <w:bCs/>
          <w:color w:val="auto"/>
          <w:sz w:val="56"/>
          <w:szCs w:val="56"/>
          <w:highlight w:val="none"/>
        </w:rPr>
      </w:pPr>
      <w:r>
        <w:rPr>
          <w:rFonts w:hint="eastAsia" w:ascii="宋体" w:hAnsi="宋体"/>
          <w:color w:val="auto"/>
          <w:highlight w:val="none"/>
        </w:rPr>
        <w:t xml:space="preserve">  </w:t>
      </w:r>
      <w:bookmarkStart w:id="0" w:name="_Toc132601549"/>
      <w:bookmarkEnd w:id="0"/>
      <w:bookmarkStart w:id="1" w:name="_Toc132601550"/>
      <w:bookmarkEnd w:id="1"/>
      <w:bookmarkStart w:id="2" w:name="_Hlt111980651"/>
      <w:r>
        <w:rPr>
          <w:rFonts w:hint="eastAsia" w:ascii="宋体" w:hAnsi="宋体"/>
          <w:b/>
          <w:bCs/>
          <w:color w:val="auto"/>
          <w:sz w:val="56"/>
          <w:szCs w:val="56"/>
          <w:highlight w:val="none"/>
          <w:lang w:eastAsia="zh-CN"/>
        </w:rPr>
        <w:t>第</w:t>
      </w:r>
      <w:r>
        <w:rPr>
          <w:rFonts w:hint="eastAsia" w:ascii="宋体" w:hAnsi="宋体"/>
          <w:b/>
          <w:bCs/>
          <w:color w:val="auto"/>
          <w:sz w:val="56"/>
          <w:szCs w:val="56"/>
          <w:highlight w:val="none"/>
          <w:lang w:val="en-US" w:eastAsia="zh-CN"/>
        </w:rPr>
        <w:t xml:space="preserve"> </w:t>
      </w:r>
      <w:r>
        <w:rPr>
          <w:rFonts w:hint="eastAsia" w:ascii="宋体" w:hAnsi="宋体"/>
          <w:b/>
          <w:bCs/>
          <w:color w:val="auto"/>
          <w:sz w:val="56"/>
          <w:szCs w:val="56"/>
          <w:highlight w:val="none"/>
          <w:lang w:eastAsia="zh-CN"/>
        </w:rPr>
        <w:t>一</w:t>
      </w:r>
      <w:r>
        <w:rPr>
          <w:rFonts w:hint="eastAsia" w:ascii="宋体" w:hAnsi="宋体"/>
          <w:b/>
          <w:bCs/>
          <w:color w:val="auto"/>
          <w:sz w:val="56"/>
          <w:szCs w:val="56"/>
          <w:highlight w:val="none"/>
          <w:lang w:val="en-US" w:eastAsia="zh-CN"/>
        </w:rPr>
        <w:t xml:space="preserve"> </w:t>
      </w:r>
      <w:r>
        <w:rPr>
          <w:rFonts w:hint="eastAsia" w:ascii="宋体" w:hAnsi="宋体"/>
          <w:b/>
          <w:bCs/>
          <w:color w:val="auto"/>
          <w:sz w:val="56"/>
          <w:szCs w:val="56"/>
          <w:highlight w:val="none"/>
          <w:lang w:eastAsia="zh-CN"/>
        </w:rPr>
        <w:t>卷</w:t>
      </w:r>
      <w:r>
        <w:rPr>
          <w:rFonts w:hint="eastAsia" w:ascii="宋体" w:hAnsi="宋体"/>
          <w:b/>
          <w:bCs/>
          <w:color w:val="auto"/>
          <w:sz w:val="56"/>
          <w:szCs w:val="56"/>
          <w:highlight w:val="none"/>
        </w:rPr>
        <w:t xml:space="preserve"> </w:t>
      </w:r>
      <w:bookmarkEnd w:id="2"/>
    </w:p>
    <w:p w14:paraId="1ABD438C">
      <w:pPr>
        <w:keepNext w:val="0"/>
        <w:keepLines w:val="0"/>
        <w:pageBreakBefore w:val="0"/>
        <w:widowControl w:val="0"/>
        <w:kinsoku/>
        <w:wordWrap/>
        <w:overflowPunct/>
        <w:topLinePunct w:val="0"/>
        <w:autoSpaceDE/>
        <w:autoSpaceDN/>
        <w:bidi w:val="0"/>
        <w:adjustRightInd w:val="0"/>
        <w:snapToGrid w:val="0"/>
        <w:spacing w:before="5305" w:beforeLines="1700" w:line="240" w:lineRule="auto"/>
        <w:jc w:val="center"/>
        <w:textAlignment w:val="auto"/>
        <w:rPr>
          <w:rFonts w:hint="eastAsia" w:ascii="宋体" w:hAnsi="宋体"/>
          <w:b/>
          <w:color w:val="auto"/>
          <w:kern w:val="44"/>
          <w:sz w:val="48"/>
          <w:szCs w:val="48"/>
          <w:highlight w:val="none"/>
        </w:rPr>
      </w:pPr>
      <w:bookmarkStart w:id="3" w:name="_Toc24402"/>
      <w:bookmarkEnd w:id="3"/>
    </w:p>
    <w:p w14:paraId="618A145F">
      <w:pPr>
        <w:keepNext w:val="0"/>
        <w:keepLines w:val="0"/>
        <w:pageBreakBefore w:val="0"/>
        <w:widowControl w:val="0"/>
        <w:kinsoku/>
        <w:wordWrap/>
        <w:overflowPunct/>
        <w:topLinePunct w:val="0"/>
        <w:autoSpaceDE/>
        <w:autoSpaceDN/>
        <w:bidi w:val="0"/>
        <w:adjustRightInd w:val="0"/>
        <w:snapToGrid w:val="0"/>
        <w:spacing w:before="5305" w:beforeLines="1700" w:line="240" w:lineRule="auto"/>
        <w:jc w:val="center"/>
        <w:textAlignment w:val="auto"/>
        <w:rPr>
          <w:b/>
          <w:color w:val="auto"/>
          <w:kern w:val="44"/>
          <w:sz w:val="48"/>
          <w:szCs w:val="48"/>
          <w:highlight w:val="none"/>
        </w:rPr>
      </w:pPr>
      <w:r>
        <w:rPr>
          <w:rFonts w:hint="eastAsia" w:ascii="宋体" w:hAnsi="宋体"/>
          <w:b/>
          <w:color w:val="auto"/>
          <w:kern w:val="44"/>
          <w:sz w:val="48"/>
          <w:szCs w:val="48"/>
          <w:highlight w:val="none"/>
        </w:rPr>
        <w:t>第一章  招标公告</w:t>
      </w:r>
      <w:bookmarkStart w:id="4" w:name="OLE_LINK4"/>
      <w:bookmarkEnd w:id="4"/>
      <w:bookmarkStart w:id="5" w:name="OLE_LINK1"/>
      <w:bookmarkEnd w:id="5"/>
      <w:bookmarkStart w:id="6" w:name="OLE_LINK2"/>
      <w:bookmarkEnd w:id="6"/>
      <w:bookmarkStart w:id="7" w:name="OLE_LINK3"/>
      <w:bookmarkEnd w:id="7"/>
    </w:p>
    <w:p w14:paraId="168521E9">
      <w:pPr>
        <w:keepNext w:val="0"/>
        <w:keepLines w:val="0"/>
        <w:pageBreakBefore w:val="0"/>
        <w:widowControl w:val="0"/>
        <w:kinsoku/>
        <w:wordWrap w:val="0"/>
        <w:overflowPunct/>
        <w:topLinePunct w:val="0"/>
        <w:autoSpaceDE/>
        <w:autoSpaceDN/>
        <w:bidi w:val="0"/>
        <w:adjustRightInd w:val="0"/>
        <w:snapToGrid w:val="0"/>
        <w:spacing w:line="400" w:lineRule="exact"/>
        <w:ind w:right="0"/>
        <w:jc w:val="center"/>
        <w:textAlignment w:val="auto"/>
        <w:rPr>
          <w:rFonts w:ascii="宋体" w:hAnsi="宋体"/>
          <w:b/>
          <w:color w:val="auto"/>
          <w:sz w:val="36"/>
          <w:szCs w:val="36"/>
          <w:highlight w:val="none"/>
        </w:rPr>
      </w:pPr>
      <w:r>
        <w:rPr>
          <w:rFonts w:hint="eastAsia" w:ascii="宋体" w:hAnsi="宋体"/>
          <w:b/>
          <w:color w:val="auto"/>
          <w:sz w:val="36"/>
          <w:szCs w:val="36"/>
          <w:highlight w:val="none"/>
          <w:lang w:val="en-US" w:eastAsia="zh-CN"/>
        </w:rPr>
        <w:t>省道225平舆县城区绕城道路一期改建工程（续建项目）施工及监理</w:t>
      </w:r>
      <w:r>
        <w:rPr>
          <w:rFonts w:hint="eastAsia" w:ascii="宋体" w:hAnsi="宋体"/>
          <w:b/>
          <w:color w:val="auto"/>
          <w:sz w:val="36"/>
          <w:szCs w:val="36"/>
          <w:highlight w:val="none"/>
        </w:rPr>
        <w:t>招标公告</w:t>
      </w:r>
    </w:p>
    <w:p w14:paraId="76A8E20A">
      <w:pPr>
        <w:pStyle w:val="21"/>
        <w:keepNext w:val="0"/>
        <w:keepLines w:val="0"/>
        <w:pageBreakBefore w:val="0"/>
        <w:widowControl w:val="0"/>
        <w:kinsoku/>
        <w:wordWrap w:val="0"/>
        <w:overflowPunct/>
        <w:topLinePunct w:val="0"/>
        <w:autoSpaceDE/>
        <w:autoSpaceDN/>
        <w:bidi w:val="0"/>
        <w:adjustRightInd/>
        <w:snapToGrid/>
        <w:spacing w:after="0" w:line="400" w:lineRule="exact"/>
        <w:ind w:right="0" w:firstLine="3614" w:firstLineChars="1500"/>
        <w:textAlignment w:val="auto"/>
        <w:rPr>
          <w:rFonts w:hint="default" w:ascii="宋体" w:eastAsia="宋体"/>
          <w:b/>
          <w:color w:val="auto"/>
          <w:highlight w:val="none"/>
          <w:u w:val="single"/>
          <w:lang w:val="en-US" w:eastAsia="zh-CN"/>
        </w:rPr>
      </w:pPr>
      <w:r>
        <w:rPr>
          <w:rFonts w:hint="eastAsia" w:ascii="宋体"/>
          <w:b/>
          <w:color w:val="auto"/>
          <w:highlight w:val="none"/>
          <w:lang w:eastAsia="zh-CN"/>
        </w:rPr>
        <w:t>招标</w:t>
      </w:r>
      <w:r>
        <w:rPr>
          <w:rFonts w:hint="eastAsia" w:ascii="宋体"/>
          <w:b/>
          <w:color w:val="auto"/>
          <w:highlight w:val="none"/>
        </w:rPr>
        <w:t>编号</w:t>
      </w:r>
      <w:r>
        <w:rPr>
          <w:rFonts w:hint="eastAsia" w:ascii="宋体"/>
          <w:b/>
          <w:color w:val="auto"/>
          <w:highlight w:val="none"/>
          <w:lang w:val="en-US" w:eastAsia="zh-CN"/>
        </w:rPr>
        <w:t>:2026-GC-G-013</w:t>
      </w:r>
    </w:p>
    <w:p w14:paraId="69CB3E63">
      <w:pPr>
        <w:keepNext w:val="0"/>
        <w:keepLines w:val="0"/>
        <w:pageBreakBefore w:val="0"/>
        <w:widowControl w:val="0"/>
        <w:kinsoku/>
        <w:wordWrap w:val="0"/>
        <w:overflowPunct/>
        <w:topLinePunct w:val="0"/>
        <w:autoSpaceDE/>
        <w:autoSpaceDN/>
        <w:bidi w:val="0"/>
        <w:adjustRightInd/>
        <w:snapToGrid/>
        <w:spacing w:line="360" w:lineRule="auto"/>
        <w:ind w:right="0"/>
        <w:textAlignment w:val="auto"/>
        <w:rPr>
          <w:rFonts w:ascii="宋体" w:hAnsi="宋体"/>
          <w:color w:val="auto"/>
          <w:sz w:val="24"/>
          <w:szCs w:val="24"/>
          <w:highlight w:val="none"/>
        </w:rPr>
      </w:pPr>
      <w:bookmarkStart w:id="8" w:name="_Toc288741553"/>
      <w:bookmarkEnd w:id="8"/>
      <w:bookmarkStart w:id="9" w:name="_Toc16778731"/>
      <w:r>
        <w:rPr>
          <w:rFonts w:hint="eastAsia" w:ascii="宋体" w:hAnsi="宋体"/>
          <w:b/>
          <w:color w:val="auto"/>
          <w:sz w:val="24"/>
          <w:szCs w:val="24"/>
          <w:highlight w:val="none"/>
        </w:rPr>
        <w:t>1</w:t>
      </w:r>
      <w:bookmarkEnd w:id="9"/>
      <w:r>
        <w:rPr>
          <w:rFonts w:hint="eastAsia" w:ascii="宋体" w:hAnsi="宋体"/>
          <w:b/>
          <w:color w:val="auto"/>
          <w:sz w:val="24"/>
          <w:szCs w:val="24"/>
          <w:highlight w:val="none"/>
        </w:rPr>
        <w:t>.招标条件</w:t>
      </w:r>
    </w:p>
    <w:p w14:paraId="561DA216">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ascii="宋体" w:hAnsi="宋体"/>
          <w:color w:val="auto"/>
          <w:highlight w:val="none"/>
        </w:rPr>
      </w:pPr>
      <w:r>
        <w:rPr>
          <w:rFonts w:hint="eastAsia" w:ascii="宋体" w:hAnsi="宋体" w:eastAsia="宋体" w:cs="宋体"/>
          <w:color w:val="auto"/>
          <w:kern w:val="2"/>
          <w:sz w:val="21"/>
          <w:szCs w:val="21"/>
          <w:highlight w:val="none"/>
          <w:lang w:val="en-US" w:eastAsia="zh-CN" w:bidi="ar-SA"/>
        </w:rPr>
        <w:t>本招标项目</w:t>
      </w:r>
      <w:r>
        <w:rPr>
          <w:rFonts w:hint="eastAsia" w:ascii="宋体" w:hAnsi="宋体" w:cs="宋体"/>
          <w:color w:val="auto"/>
          <w:kern w:val="2"/>
          <w:sz w:val="21"/>
          <w:szCs w:val="21"/>
          <w:highlight w:val="none"/>
          <w:u w:val="single"/>
          <w:lang w:val="en-US" w:eastAsia="zh-CN" w:bidi="ar-SA"/>
        </w:rPr>
        <w:t>省道225平舆县城区绕城道路一期改建工程（续建项目）施工及监理</w:t>
      </w:r>
      <w:r>
        <w:rPr>
          <w:rFonts w:hint="eastAsia" w:ascii="宋体" w:hAnsi="宋体" w:eastAsia="宋体" w:cs="宋体"/>
          <w:color w:val="auto"/>
          <w:kern w:val="2"/>
          <w:sz w:val="21"/>
          <w:szCs w:val="21"/>
          <w:highlight w:val="none"/>
          <w:lang w:val="en-US" w:eastAsia="zh-CN" w:bidi="ar-SA"/>
        </w:rPr>
        <w:t>已由</w:t>
      </w:r>
      <w:r>
        <w:rPr>
          <w:rFonts w:hint="eastAsia" w:ascii="宋体" w:hAnsi="宋体" w:cs="宋体"/>
          <w:color w:val="auto"/>
          <w:kern w:val="2"/>
          <w:sz w:val="21"/>
          <w:szCs w:val="21"/>
          <w:highlight w:val="none"/>
          <w:u w:val="none"/>
          <w:lang w:val="en-US" w:eastAsia="zh-CN" w:bidi="ar-SA"/>
        </w:rPr>
        <w:t>驻马店市发展和改革委员会</w:t>
      </w:r>
      <w:r>
        <w:rPr>
          <w:rFonts w:hint="eastAsia" w:ascii="宋体" w:hAnsi="宋体" w:cs="宋体"/>
          <w:color w:val="auto"/>
          <w:kern w:val="2"/>
          <w:sz w:val="21"/>
          <w:szCs w:val="21"/>
          <w:highlight w:val="none"/>
          <w:u w:val="single"/>
          <w:lang w:val="en-US" w:eastAsia="zh-CN" w:bidi="ar-SA"/>
        </w:rPr>
        <w:t>驻</w:t>
      </w:r>
      <w:r>
        <w:rPr>
          <w:rFonts w:hint="eastAsia" w:ascii="宋体" w:hAnsi="宋体" w:eastAsia="宋体" w:cs="宋体"/>
          <w:color w:val="auto"/>
          <w:kern w:val="2"/>
          <w:sz w:val="21"/>
          <w:szCs w:val="21"/>
          <w:highlight w:val="none"/>
          <w:u w:val="single"/>
          <w:lang w:val="en-US" w:eastAsia="zh-CN" w:bidi="ar-SA"/>
        </w:rPr>
        <w:t>发改</w:t>
      </w:r>
      <w:r>
        <w:rPr>
          <w:rFonts w:hint="eastAsia" w:ascii="宋体" w:hAnsi="宋体" w:cs="宋体"/>
          <w:color w:val="auto"/>
          <w:kern w:val="2"/>
          <w:sz w:val="21"/>
          <w:szCs w:val="21"/>
          <w:highlight w:val="none"/>
          <w:u w:val="single"/>
          <w:lang w:val="en-US" w:eastAsia="zh-CN" w:bidi="ar-SA"/>
        </w:rPr>
        <w:t>交通</w:t>
      </w:r>
      <w:r>
        <w:rPr>
          <w:rFonts w:hint="eastAsia" w:ascii="宋体" w:hAnsi="宋体" w:eastAsia="宋体" w:cs="宋体"/>
          <w:color w:val="auto"/>
          <w:kern w:val="2"/>
          <w:sz w:val="21"/>
          <w:szCs w:val="21"/>
          <w:highlight w:val="none"/>
          <w:u w:val="single"/>
          <w:lang w:val="en-US" w:eastAsia="zh-CN" w:bidi="ar-SA"/>
        </w:rPr>
        <w:t>〔20</w:t>
      </w:r>
      <w:r>
        <w:rPr>
          <w:rFonts w:hint="eastAsia" w:ascii="宋体" w:hAnsi="宋体" w:cs="宋体"/>
          <w:color w:val="auto"/>
          <w:kern w:val="2"/>
          <w:sz w:val="21"/>
          <w:szCs w:val="21"/>
          <w:highlight w:val="none"/>
          <w:u w:val="single"/>
          <w:lang w:val="en-US" w:eastAsia="zh-CN" w:bidi="ar-SA"/>
        </w:rPr>
        <w:t>18</w:t>
      </w:r>
      <w:r>
        <w:rPr>
          <w:rFonts w:hint="eastAsia" w:ascii="宋体" w:hAnsi="宋体" w:eastAsia="宋体" w:cs="宋体"/>
          <w:color w:val="auto"/>
          <w:kern w:val="2"/>
          <w:sz w:val="21"/>
          <w:szCs w:val="21"/>
          <w:highlight w:val="none"/>
          <w:u w:val="single"/>
          <w:lang w:val="en-US" w:eastAsia="zh-CN" w:bidi="ar-SA"/>
        </w:rPr>
        <w:t>〕</w:t>
      </w:r>
      <w:r>
        <w:rPr>
          <w:rFonts w:hint="eastAsia" w:ascii="宋体" w:hAnsi="宋体" w:cs="宋体"/>
          <w:color w:val="auto"/>
          <w:kern w:val="2"/>
          <w:sz w:val="21"/>
          <w:szCs w:val="21"/>
          <w:highlight w:val="none"/>
          <w:u w:val="single"/>
          <w:lang w:val="en-US" w:eastAsia="zh-CN" w:bidi="ar-SA"/>
        </w:rPr>
        <w:t>274</w:t>
      </w:r>
      <w:r>
        <w:rPr>
          <w:rFonts w:hint="eastAsia" w:ascii="宋体" w:hAnsi="宋体" w:eastAsia="宋体" w:cs="宋体"/>
          <w:color w:val="auto"/>
          <w:kern w:val="2"/>
          <w:sz w:val="21"/>
          <w:szCs w:val="21"/>
          <w:highlight w:val="none"/>
          <w:u w:val="single"/>
          <w:lang w:val="en-US" w:eastAsia="zh-CN" w:bidi="ar-SA"/>
        </w:rPr>
        <w:t>号</w:t>
      </w:r>
      <w:r>
        <w:rPr>
          <w:rFonts w:hint="eastAsia" w:ascii="宋体" w:hAnsi="宋体" w:eastAsia="宋体" w:cs="宋体"/>
          <w:color w:val="auto"/>
          <w:kern w:val="2"/>
          <w:sz w:val="21"/>
          <w:szCs w:val="21"/>
          <w:highlight w:val="none"/>
          <w:lang w:val="en-US" w:eastAsia="zh-CN" w:bidi="ar-SA"/>
        </w:rPr>
        <w:t>批准</w:t>
      </w:r>
      <w:r>
        <w:rPr>
          <w:rFonts w:hint="eastAsia" w:ascii="宋体" w:hAnsi="宋体" w:cs="宋体"/>
          <w:color w:val="auto"/>
          <w:kern w:val="2"/>
          <w:sz w:val="21"/>
          <w:szCs w:val="21"/>
          <w:highlight w:val="none"/>
          <w:lang w:val="en-US" w:eastAsia="zh-CN" w:bidi="ar-SA"/>
        </w:rPr>
        <w:t>实施</w:t>
      </w:r>
      <w:r>
        <w:rPr>
          <w:rFonts w:hint="eastAsia" w:ascii="宋体" w:hAnsi="宋体" w:eastAsia="宋体" w:cs="宋体"/>
          <w:color w:val="auto"/>
          <w:kern w:val="2"/>
          <w:sz w:val="21"/>
          <w:szCs w:val="21"/>
          <w:highlight w:val="none"/>
          <w:lang w:val="en-US" w:eastAsia="zh-CN" w:bidi="ar-SA"/>
        </w:rPr>
        <w:t>，项目代码：</w:t>
      </w:r>
      <w:r>
        <w:rPr>
          <w:rFonts w:hint="eastAsia" w:ascii="宋体" w:hAnsi="宋体" w:cs="宋体"/>
          <w:color w:val="auto"/>
          <w:kern w:val="2"/>
          <w:sz w:val="21"/>
          <w:szCs w:val="21"/>
          <w:highlight w:val="none"/>
          <w:u w:val="single"/>
          <w:lang w:val="en-US" w:eastAsia="zh-CN" w:bidi="ar-SA"/>
        </w:rPr>
        <w:t xml:space="preserve"> 2018-411723-54-01-039714 </w:t>
      </w:r>
      <w:r>
        <w:rPr>
          <w:rFonts w:hint="eastAsia" w:ascii="宋体" w:hAnsi="宋体" w:eastAsia="宋体" w:cs="宋体"/>
          <w:color w:val="auto"/>
          <w:kern w:val="2"/>
          <w:sz w:val="21"/>
          <w:szCs w:val="21"/>
          <w:highlight w:val="none"/>
          <w:lang w:val="en-US" w:eastAsia="zh-CN" w:bidi="ar-SA"/>
        </w:rPr>
        <w:t>。建设资金来源为</w:t>
      </w:r>
      <w:r>
        <w:rPr>
          <w:rFonts w:hint="eastAsia" w:ascii="宋体" w:hAnsi="宋体" w:cs="宋体"/>
          <w:color w:val="auto"/>
          <w:kern w:val="2"/>
          <w:sz w:val="21"/>
          <w:szCs w:val="21"/>
          <w:highlight w:val="none"/>
          <w:lang w:val="en-US" w:eastAsia="zh-CN" w:bidi="ar-SA"/>
        </w:rPr>
        <w:t>财政资金</w:t>
      </w:r>
      <w:r>
        <w:rPr>
          <w:rFonts w:hint="eastAsia" w:ascii="宋体" w:hAnsi="宋体" w:eastAsia="宋体" w:cs="宋体"/>
          <w:color w:val="auto"/>
          <w:kern w:val="2"/>
          <w:sz w:val="21"/>
          <w:szCs w:val="21"/>
          <w:highlight w:val="none"/>
          <w:lang w:val="en-US" w:eastAsia="zh-CN" w:bidi="ar-SA"/>
        </w:rPr>
        <w:t>，招标人为</w:t>
      </w:r>
      <w:r>
        <w:rPr>
          <w:rFonts w:hint="eastAsia" w:ascii="宋体" w:hAnsi="宋体" w:cs="宋体"/>
          <w:color w:val="auto"/>
          <w:kern w:val="2"/>
          <w:sz w:val="21"/>
          <w:szCs w:val="21"/>
          <w:highlight w:val="none"/>
          <w:u w:val="single"/>
          <w:lang w:val="en-US" w:eastAsia="zh-CN" w:bidi="ar-SA"/>
        </w:rPr>
        <w:t>平舆县公路事业发展中心</w:t>
      </w:r>
      <w:r>
        <w:rPr>
          <w:rFonts w:hint="eastAsia" w:ascii="宋体" w:hAnsi="宋体" w:eastAsia="宋体" w:cs="宋体"/>
          <w:color w:val="auto"/>
          <w:kern w:val="2"/>
          <w:sz w:val="21"/>
          <w:szCs w:val="21"/>
          <w:highlight w:val="none"/>
          <w:lang w:val="en-US" w:eastAsia="zh-CN" w:bidi="ar-SA"/>
        </w:rPr>
        <w:t>。项目已具备招标条件，现对该项目的施工及监理标段进行公开招标。</w:t>
      </w:r>
    </w:p>
    <w:p w14:paraId="301B238D">
      <w:pPr>
        <w:keepNext w:val="0"/>
        <w:keepLines w:val="0"/>
        <w:pageBreakBefore w:val="0"/>
        <w:widowControl w:val="0"/>
        <w:kinsoku/>
        <w:wordWrap w:val="0"/>
        <w:overflowPunct/>
        <w:topLinePunct w:val="0"/>
        <w:autoSpaceDE/>
        <w:autoSpaceDN/>
        <w:bidi w:val="0"/>
        <w:adjustRightInd/>
        <w:snapToGrid/>
        <w:spacing w:line="360" w:lineRule="auto"/>
        <w:ind w:right="0"/>
        <w:textAlignment w:val="auto"/>
        <w:rPr>
          <w:rFonts w:hint="eastAsia" w:ascii="宋体" w:hAnsi="宋体" w:cs="Times New Roman"/>
          <w:b/>
          <w:color w:val="auto"/>
          <w:sz w:val="24"/>
          <w:szCs w:val="24"/>
          <w:highlight w:val="none"/>
        </w:rPr>
      </w:pPr>
      <w:bookmarkStart w:id="10" w:name="_Toc288741555"/>
      <w:bookmarkEnd w:id="10"/>
      <w:bookmarkStart w:id="11" w:name="_Toc16778732"/>
      <w:bookmarkEnd w:id="11"/>
      <w:bookmarkStart w:id="12" w:name="_Toc288741554"/>
      <w:bookmarkEnd w:id="12"/>
      <w:bookmarkStart w:id="13" w:name="_Toc16778733"/>
      <w:r>
        <w:rPr>
          <w:rFonts w:hint="eastAsia" w:ascii="宋体" w:hAnsi="宋体" w:cs="Times New Roman"/>
          <w:b/>
          <w:color w:val="auto"/>
          <w:sz w:val="24"/>
          <w:szCs w:val="24"/>
          <w:highlight w:val="none"/>
        </w:rPr>
        <w:t>2</w:t>
      </w:r>
      <w:bookmarkEnd w:id="13"/>
      <w:r>
        <w:rPr>
          <w:rFonts w:hint="eastAsia" w:ascii="宋体" w:hAnsi="宋体" w:cs="Times New Roman"/>
          <w:b/>
          <w:color w:val="auto"/>
          <w:sz w:val="24"/>
          <w:szCs w:val="24"/>
          <w:highlight w:val="none"/>
        </w:rPr>
        <w:t>.项目概况与招标范围</w:t>
      </w:r>
    </w:p>
    <w:p w14:paraId="4E767672">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2.1项目建设地点：</w:t>
      </w:r>
      <w:r>
        <w:rPr>
          <w:rFonts w:hint="eastAsia" w:ascii="宋体" w:hAnsi="宋体" w:cs="宋体"/>
          <w:color w:val="auto"/>
          <w:kern w:val="2"/>
          <w:sz w:val="21"/>
          <w:szCs w:val="21"/>
          <w:highlight w:val="none"/>
          <w:lang w:val="en-US" w:eastAsia="zh-CN" w:bidi="ar-SA"/>
        </w:rPr>
        <w:t>平舆县</w:t>
      </w:r>
      <w:r>
        <w:rPr>
          <w:rFonts w:hint="eastAsia" w:ascii="宋体" w:hAnsi="宋体" w:eastAsia="宋体" w:cs="宋体"/>
          <w:color w:val="auto"/>
          <w:kern w:val="2"/>
          <w:sz w:val="21"/>
          <w:szCs w:val="21"/>
          <w:highlight w:val="none"/>
          <w:lang w:val="en-US" w:eastAsia="zh-CN" w:bidi="ar-SA"/>
        </w:rPr>
        <w:t>境内。</w:t>
      </w:r>
    </w:p>
    <w:p w14:paraId="683DC334">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default" w:ascii="宋体" w:hAnsi="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2.2项目规模：</w:t>
      </w:r>
      <w:r>
        <w:rPr>
          <w:rFonts w:hint="eastAsia" w:ascii="宋体" w:hAnsi="宋体" w:cs="宋体"/>
          <w:color w:val="auto"/>
          <w:kern w:val="2"/>
          <w:sz w:val="21"/>
          <w:szCs w:val="21"/>
          <w:highlight w:val="none"/>
          <w:lang w:val="en-US" w:eastAsia="zh-CN" w:bidi="ar-SA"/>
        </w:rPr>
        <w:t>省道225平舆县城区绕城道路一期改建工程（续建项目）施工及监理项目全长21.195公里，建设里程19.842公里。</w:t>
      </w:r>
    </w:p>
    <w:p w14:paraId="0F8161B3">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2.3项目</w:t>
      </w:r>
      <w:r>
        <w:rPr>
          <w:rFonts w:hint="eastAsia" w:ascii="宋体" w:hAnsi="宋体" w:cs="宋体"/>
          <w:color w:val="auto"/>
          <w:kern w:val="2"/>
          <w:sz w:val="21"/>
          <w:szCs w:val="21"/>
          <w:highlight w:val="none"/>
          <w:lang w:val="en-US" w:eastAsia="zh-CN" w:bidi="ar-SA"/>
        </w:rPr>
        <w:t>施工</w:t>
      </w:r>
      <w:r>
        <w:rPr>
          <w:rFonts w:hint="eastAsia" w:ascii="宋体" w:hAnsi="宋体" w:eastAsia="宋体" w:cs="宋体"/>
          <w:color w:val="auto"/>
          <w:kern w:val="2"/>
          <w:sz w:val="21"/>
          <w:szCs w:val="21"/>
          <w:highlight w:val="none"/>
          <w:lang w:val="en-US" w:eastAsia="zh-CN" w:bidi="ar-SA"/>
        </w:rPr>
        <w:t>计划工期</w:t>
      </w:r>
      <w:r>
        <w:rPr>
          <w:rFonts w:hint="eastAsia" w:ascii="宋体" w:hAnsi="宋体" w:cs="宋体"/>
          <w:color w:val="auto"/>
          <w:kern w:val="2"/>
          <w:sz w:val="21"/>
          <w:szCs w:val="21"/>
          <w:highlight w:val="none"/>
          <w:lang w:val="en-US" w:eastAsia="zh-CN" w:bidi="ar-SA"/>
        </w:rPr>
        <w:t>：180 日历天，缺陷责任期12 个月</w:t>
      </w:r>
      <w:r>
        <w:rPr>
          <w:rFonts w:hint="eastAsia" w:ascii="宋体" w:hAnsi="宋体" w:eastAsia="宋体" w:cs="宋体"/>
          <w:color w:val="auto"/>
          <w:kern w:val="2"/>
          <w:sz w:val="21"/>
          <w:szCs w:val="21"/>
          <w:highlight w:val="none"/>
          <w:lang w:val="en-US" w:eastAsia="zh-CN" w:bidi="ar-SA"/>
        </w:rPr>
        <w:t>。</w:t>
      </w:r>
    </w:p>
    <w:p w14:paraId="2C785969">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监理服务期：签订合同之日起，至缺陷责任期期满止，包括施工准备阶段、施工阶段和验收结算阶段、配合结算审计阶段、保修阶段。</w:t>
      </w:r>
    </w:p>
    <w:p w14:paraId="09359687">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2.4、标段划分：本项目划分二个标段。</w:t>
      </w:r>
    </w:p>
    <w:p w14:paraId="11FF914D">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第一标段：施工标段</w:t>
      </w:r>
      <w:r>
        <w:rPr>
          <w:rFonts w:hint="eastAsia" w:ascii="宋体" w:hAnsi="宋体" w:cs="宋体"/>
          <w:color w:val="auto"/>
          <w:kern w:val="2"/>
          <w:sz w:val="21"/>
          <w:szCs w:val="21"/>
          <w:highlight w:val="none"/>
          <w:lang w:val="en-US" w:eastAsia="zh-CN" w:bidi="ar-SA"/>
        </w:rPr>
        <w:t>；</w:t>
      </w:r>
    </w:p>
    <w:p w14:paraId="6A6F785B">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第二标段：监理标段；</w:t>
      </w:r>
    </w:p>
    <w:p w14:paraId="5EBF9F76">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2.5、施工招标范围：招标文件所含全部内容（最终以工程量清单、施工图纸内容和施工招标答疑纪要为准）。</w:t>
      </w:r>
    </w:p>
    <w:p w14:paraId="7C2EE261">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监理招标范围：本工程施工及保修阶段监理工作。</w:t>
      </w:r>
    </w:p>
    <w:p w14:paraId="3096E87F">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6</w:t>
      </w:r>
      <w:r>
        <w:rPr>
          <w:rFonts w:hint="default" w:ascii="宋体" w:hAnsi="宋体" w:eastAsia="宋体" w:cs="宋体"/>
          <w:color w:val="auto"/>
          <w:kern w:val="2"/>
          <w:sz w:val="21"/>
          <w:szCs w:val="21"/>
          <w:highlight w:val="none"/>
          <w:lang w:val="en-US" w:eastAsia="zh-CN" w:bidi="ar-SA"/>
        </w:rPr>
        <w:t>、质量要求：合格</w:t>
      </w:r>
    </w:p>
    <w:p w14:paraId="1EDCD88A">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2.7</w:t>
      </w:r>
      <w:r>
        <w:rPr>
          <w:rFonts w:hint="eastAsia" w:ascii="宋体" w:hAnsi="宋体" w:eastAsia="宋体" w:cs="宋体"/>
          <w:color w:val="auto"/>
          <w:kern w:val="2"/>
          <w:sz w:val="21"/>
          <w:szCs w:val="21"/>
          <w:highlight w:val="none"/>
          <w:lang w:val="en-US" w:eastAsia="zh-CN" w:bidi="ar-SA"/>
        </w:rPr>
        <w:t>本项目采用评定分离方式确定中标人。</w:t>
      </w:r>
    </w:p>
    <w:p w14:paraId="634A9966">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3.投标人资格要求</w:t>
      </w:r>
    </w:p>
    <w:p w14:paraId="17D0CD1C">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w:t>
      </w:r>
      <w:r>
        <w:rPr>
          <w:rFonts w:hint="eastAsia" w:ascii="宋体" w:hAnsi="宋体" w:cs="宋体"/>
          <w:b/>
          <w:bCs/>
          <w:color w:val="auto"/>
          <w:kern w:val="2"/>
          <w:sz w:val="21"/>
          <w:szCs w:val="21"/>
          <w:highlight w:val="none"/>
          <w:lang w:val="en-US" w:eastAsia="zh-CN" w:bidi="ar-SA"/>
        </w:rPr>
        <w:t>施工标段</w:t>
      </w:r>
      <w:r>
        <w:rPr>
          <w:rFonts w:hint="eastAsia" w:ascii="宋体" w:hAnsi="宋体" w:eastAsia="宋体" w:cs="宋体"/>
          <w:b/>
          <w:bCs/>
          <w:color w:val="auto"/>
          <w:kern w:val="2"/>
          <w:sz w:val="21"/>
          <w:szCs w:val="21"/>
          <w:highlight w:val="none"/>
          <w:lang w:val="en-US" w:eastAsia="zh-CN" w:bidi="ar-SA"/>
        </w:rPr>
        <w:t>资质要求：</w:t>
      </w:r>
    </w:p>
    <w:p w14:paraId="1B2EE5E8">
      <w:pPr>
        <w:pStyle w:val="19"/>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leftChars="0" w:right="0" w:rightChars="0" w:firstLine="440" w:firstLineChars="0"/>
        <w:jc w:val="left"/>
        <w:textAlignment w:val="auto"/>
        <w:outlineLvl w:val="9"/>
        <w:rPr>
          <w:rFonts w:hint="eastAsia" w:ascii="宋体" w:hAnsi="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1）投标人须具备独立法人资</w:t>
      </w:r>
      <w:r>
        <w:rPr>
          <w:rFonts w:hint="eastAsia" w:ascii="宋体" w:hAnsi="宋体" w:cs="宋体"/>
          <w:color w:val="auto"/>
          <w:kern w:val="2"/>
          <w:sz w:val="21"/>
          <w:szCs w:val="21"/>
          <w:highlight w:val="none"/>
          <w:lang w:val="en-US" w:eastAsia="zh-CN" w:bidi="ar-SA"/>
        </w:rPr>
        <w:t>格，具有有效的营业执照、安全生产许可证，投标人须具备建设行政主管部门颁发的公路工程施工总承包二级及以上资质，并在人员、设备、资金等方面具备相应的施工能力。</w:t>
      </w:r>
    </w:p>
    <w:p w14:paraId="421F3076">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bookmarkStart w:id="14" w:name="OLE_LINK15"/>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拟派项目经理须具有建设行政主管部门颁发的公路工程专业</w:t>
      </w:r>
      <w:r>
        <w:rPr>
          <w:rFonts w:hint="eastAsia" w:ascii="宋体" w:hAnsi="宋体" w:cs="宋体"/>
          <w:color w:val="auto"/>
          <w:kern w:val="2"/>
          <w:sz w:val="21"/>
          <w:szCs w:val="21"/>
          <w:highlight w:val="none"/>
          <w:lang w:val="en-US" w:eastAsia="zh-CN" w:bidi="ar-SA"/>
        </w:rPr>
        <w:t>一级</w:t>
      </w:r>
      <w:r>
        <w:rPr>
          <w:rFonts w:hint="eastAsia" w:ascii="宋体" w:hAnsi="宋体" w:eastAsia="宋体" w:cs="宋体"/>
          <w:color w:val="auto"/>
          <w:kern w:val="2"/>
          <w:sz w:val="21"/>
          <w:szCs w:val="21"/>
          <w:highlight w:val="none"/>
          <w:lang w:val="en-US" w:eastAsia="zh-CN" w:bidi="ar-SA"/>
        </w:rPr>
        <w:t>建造师注册证书</w:t>
      </w:r>
      <w:r>
        <w:rPr>
          <w:rFonts w:hint="eastAsia" w:ascii="宋体" w:hAnsi="宋体" w:cs="宋体"/>
          <w:color w:val="auto"/>
          <w:kern w:val="2"/>
          <w:sz w:val="21"/>
          <w:szCs w:val="21"/>
          <w:highlight w:val="none"/>
          <w:lang w:val="en-US" w:eastAsia="zh-CN" w:bidi="ar-SA"/>
        </w:rPr>
        <w:t>及有效的</w:t>
      </w:r>
      <w:r>
        <w:rPr>
          <w:rFonts w:hint="eastAsia" w:ascii="宋体" w:hAnsi="宋体" w:eastAsia="宋体" w:cs="宋体"/>
          <w:color w:val="auto"/>
          <w:kern w:val="2"/>
          <w:sz w:val="21"/>
          <w:szCs w:val="21"/>
          <w:highlight w:val="none"/>
          <w:lang w:val="en-US" w:eastAsia="zh-CN" w:bidi="ar-SA"/>
        </w:rPr>
        <w:t>安全生产考核合格证书</w:t>
      </w:r>
      <w:r>
        <w:rPr>
          <w:rFonts w:hint="eastAsia" w:ascii="宋体" w:hAnsi="宋体" w:cs="宋体"/>
          <w:color w:val="auto"/>
          <w:kern w:val="2"/>
          <w:sz w:val="21"/>
          <w:szCs w:val="21"/>
          <w:highlight w:val="none"/>
          <w:lang w:val="en-US" w:eastAsia="zh-CN" w:bidi="ar-SA"/>
        </w:rPr>
        <w:t>，并具有</w:t>
      </w:r>
      <w:r>
        <w:rPr>
          <w:rFonts w:hint="eastAsia" w:ascii="宋体" w:hAnsi="宋体" w:eastAsia="宋体" w:cs="宋体"/>
          <w:color w:val="auto"/>
          <w:kern w:val="2"/>
          <w:sz w:val="21"/>
          <w:szCs w:val="21"/>
          <w:highlight w:val="none"/>
          <w:lang w:val="en-US" w:eastAsia="zh-CN" w:bidi="ar-SA"/>
        </w:rPr>
        <w:t>公路</w:t>
      </w:r>
      <w:r>
        <w:rPr>
          <w:rFonts w:hint="eastAsia" w:ascii="宋体" w:hAnsi="宋体" w:cs="宋体"/>
          <w:color w:val="auto"/>
          <w:kern w:val="2"/>
          <w:sz w:val="21"/>
          <w:szCs w:val="21"/>
          <w:highlight w:val="none"/>
          <w:lang w:val="en-US" w:eastAsia="zh-CN" w:bidi="ar-SA"/>
        </w:rPr>
        <w:t>工程</w:t>
      </w:r>
      <w:r>
        <w:rPr>
          <w:rFonts w:hint="eastAsia" w:ascii="宋体" w:hAnsi="宋体" w:eastAsia="宋体" w:cs="宋体"/>
          <w:color w:val="auto"/>
          <w:kern w:val="2"/>
          <w:sz w:val="21"/>
          <w:szCs w:val="21"/>
          <w:highlight w:val="none"/>
          <w:lang w:val="en-US" w:eastAsia="zh-CN" w:bidi="ar-SA"/>
        </w:rPr>
        <w:t>相关专业中级及以上技术职称证书，投标人应出具拟派项目经理无在建承诺书（格式自拟）</w:t>
      </w:r>
      <w:r>
        <w:rPr>
          <w:rFonts w:hint="eastAsia" w:ascii="宋体" w:hAnsi="宋体" w:cs="宋体"/>
          <w:color w:val="auto"/>
          <w:kern w:val="2"/>
          <w:sz w:val="21"/>
          <w:szCs w:val="21"/>
          <w:highlight w:val="none"/>
          <w:lang w:val="en-US" w:eastAsia="zh-CN" w:bidi="ar-SA"/>
        </w:rPr>
        <w:t>，提供劳动合同和近六个月社保缴纳证明材料。</w:t>
      </w:r>
    </w:p>
    <w:p w14:paraId="36A5DE96">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拟派项目总工须具有公路</w:t>
      </w:r>
      <w:r>
        <w:rPr>
          <w:rFonts w:hint="eastAsia" w:ascii="宋体" w:hAnsi="宋体" w:cs="宋体"/>
          <w:color w:val="auto"/>
          <w:kern w:val="2"/>
          <w:sz w:val="21"/>
          <w:szCs w:val="21"/>
          <w:highlight w:val="none"/>
          <w:lang w:val="en-US" w:eastAsia="zh-CN" w:bidi="ar-SA"/>
        </w:rPr>
        <w:t>工程</w:t>
      </w:r>
      <w:r>
        <w:rPr>
          <w:rFonts w:hint="eastAsia" w:ascii="宋体" w:hAnsi="宋体" w:eastAsia="宋体" w:cs="宋体"/>
          <w:color w:val="auto"/>
          <w:kern w:val="2"/>
          <w:sz w:val="21"/>
          <w:szCs w:val="21"/>
          <w:highlight w:val="none"/>
          <w:lang w:val="en-US" w:eastAsia="zh-CN" w:bidi="ar-SA"/>
        </w:rPr>
        <w:t>相关专业</w:t>
      </w:r>
      <w:r>
        <w:rPr>
          <w:rFonts w:hint="eastAsia" w:ascii="宋体" w:hAnsi="宋体" w:cs="宋体"/>
          <w:color w:val="auto"/>
          <w:kern w:val="2"/>
          <w:sz w:val="21"/>
          <w:szCs w:val="21"/>
          <w:highlight w:val="none"/>
          <w:lang w:val="en-US" w:eastAsia="zh-CN" w:bidi="ar-SA"/>
        </w:rPr>
        <w:t>中级或</w:t>
      </w:r>
      <w:r>
        <w:rPr>
          <w:rFonts w:hint="eastAsia" w:ascii="宋体" w:hAnsi="宋体" w:eastAsia="宋体" w:cs="宋体"/>
          <w:color w:val="auto"/>
          <w:kern w:val="2"/>
          <w:sz w:val="21"/>
          <w:szCs w:val="21"/>
          <w:highlight w:val="none"/>
          <w:lang w:val="en-US" w:eastAsia="zh-CN" w:bidi="ar-SA"/>
        </w:rPr>
        <w:t>以上</w:t>
      </w:r>
      <w:r>
        <w:rPr>
          <w:rFonts w:hint="eastAsia" w:ascii="宋体" w:hAnsi="宋体" w:cs="宋体"/>
          <w:color w:val="auto"/>
          <w:kern w:val="2"/>
          <w:sz w:val="21"/>
          <w:szCs w:val="21"/>
          <w:highlight w:val="none"/>
          <w:lang w:val="en-US" w:eastAsia="zh-CN" w:bidi="ar-SA"/>
        </w:rPr>
        <w:t>技术</w:t>
      </w:r>
      <w:r>
        <w:rPr>
          <w:rFonts w:hint="eastAsia" w:ascii="宋体" w:hAnsi="宋体" w:eastAsia="宋体" w:cs="宋体"/>
          <w:color w:val="auto"/>
          <w:kern w:val="2"/>
          <w:sz w:val="21"/>
          <w:szCs w:val="21"/>
          <w:highlight w:val="none"/>
          <w:lang w:val="en-US" w:eastAsia="zh-CN" w:bidi="ar-SA"/>
        </w:rPr>
        <w:t>职称证书</w:t>
      </w:r>
      <w:r>
        <w:rPr>
          <w:rFonts w:hint="eastAsia" w:ascii="宋体" w:hAnsi="宋体" w:cs="宋体"/>
          <w:color w:val="auto"/>
          <w:kern w:val="2"/>
          <w:sz w:val="21"/>
          <w:szCs w:val="21"/>
          <w:highlight w:val="none"/>
          <w:lang w:val="en-US" w:eastAsia="zh-CN" w:bidi="ar-SA"/>
        </w:rPr>
        <w:t>，提供劳动合同和近六个月社保缴纳证明材料</w:t>
      </w:r>
      <w:r>
        <w:rPr>
          <w:rFonts w:hint="eastAsia" w:ascii="宋体" w:hAnsi="宋体" w:eastAsia="宋体" w:cs="宋体"/>
          <w:color w:val="auto"/>
          <w:kern w:val="2"/>
          <w:sz w:val="21"/>
          <w:szCs w:val="21"/>
          <w:highlight w:val="none"/>
          <w:lang w:val="en-US" w:eastAsia="zh-CN" w:bidi="ar-SA"/>
        </w:rPr>
        <w:t>。</w:t>
      </w:r>
      <w:bookmarkEnd w:id="14"/>
    </w:p>
    <w:p w14:paraId="3A5B27AA">
      <w:pPr>
        <w:keepNext w:val="0"/>
        <w:keepLines w:val="0"/>
        <w:pageBreakBefore w:val="0"/>
        <w:kinsoku/>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3.2监理标段资质要求：</w:t>
      </w:r>
    </w:p>
    <w:p w14:paraId="164DA328">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1）投标人具有独立法人资格，具有有效的营业执照，投标人具备行政主管部门核发的</w:t>
      </w:r>
      <w:r>
        <w:rPr>
          <w:rFonts w:hint="eastAsia" w:ascii="宋体" w:hAnsi="宋体" w:eastAsia="宋体" w:cs="宋体"/>
          <w:b/>
          <w:bCs/>
          <w:color w:val="auto"/>
          <w:kern w:val="2"/>
          <w:sz w:val="21"/>
          <w:szCs w:val="21"/>
          <w:highlight w:val="none"/>
          <w:lang w:val="en-US" w:eastAsia="zh-CN" w:bidi="ar-SA"/>
        </w:rPr>
        <w:t>公路工程施工监理乙级（含）以上资质或工程监理综合资质</w:t>
      </w:r>
      <w:r>
        <w:rPr>
          <w:rFonts w:hint="eastAsia" w:ascii="宋体" w:hAnsi="宋体" w:eastAsia="宋体" w:cs="宋体"/>
          <w:color w:val="auto"/>
          <w:kern w:val="2"/>
          <w:sz w:val="21"/>
          <w:szCs w:val="21"/>
          <w:highlight w:val="none"/>
          <w:lang w:val="en-US" w:eastAsia="zh-CN" w:bidi="ar-SA"/>
        </w:rPr>
        <w:t>（且符合资质证书核定承揽范围的）独立法人的监理企业，并在人员、设备、资金等方面具有相应的监理能力。</w:t>
      </w:r>
    </w:p>
    <w:p w14:paraId="18F185C8">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2）拟派项目总监理工程师须具有公路工程专业监理工程师执业资格且具有中级及以上职称，提供劳动合同和近六个月社保缴纳证明材料。</w:t>
      </w:r>
    </w:p>
    <w:p w14:paraId="0303A56E">
      <w:pPr>
        <w:keepNext w:val="0"/>
        <w:keepLines w:val="0"/>
        <w:pageBreakBefore w:val="0"/>
        <w:kinsoku/>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3.3业绩要求</w:t>
      </w:r>
      <w:r>
        <w:rPr>
          <w:rFonts w:hint="eastAsia" w:ascii="宋体" w:hAnsi="宋体" w:eastAsia="宋体" w:cs="宋体"/>
          <w:color w:val="auto"/>
          <w:kern w:val="2"/>
          <w:sz w:val="21"/>
          <w:szCs w:val="21"/>
          <w:highlight w:val="none"/>
          <w:lang w:val="en-US" w:eastAsia="zh-CN" w:bidi="ar-SA"/>
        </w:rPr>
        <w:t>：2023年1月1日以来投标人至少提供1项交通或公路的类似工程业绩(提供合同、中标通知书、中标公示网页截图并提供查询网址，时间以合同签订日期为准)。</w:t>
      </w:r>
    </w:p>
    <w:p w14:paraId="7FDAED95">
      <w:pPr>
        <w:keepNext w:val="0"/>
        <w:keepLines w:val="0"/>
        <w:pageBreakBefore w:val="0"/>
        <w:kinsoku/>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3.4财务要求：</w:t>
      </w:r>
      <w:r>
        <w:rPr>
          <w:rFonts w:hint="eastAsia" w:ascii="宋体" w:hAnsi="宋体" w:eastAsia="宋体" w:cs="宋体"/>
          <w:color w:val="auto"/>
          <w:kern w:val="2"/>
          <w:sz w:val="21"/>
          <w:szCs w:val="21"/>
          <w:highlight w:val="none"/>
          <w:lang w:val="en-US" w:eastAsia="zh-CN" w:bidi="ar-SA"/>
        </w:rPr>
        <w:t>企业近三年财务状况良好、没有被接管、冻结、破产状态。</w:t>
      </w:r>
    </w:p>
    <w:p w14:paraId="767CB3ED">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（须提供2023年度、2024年度、2025年度经会计师事务所或审计机构审计的财务审计报告等相关证明材料，新成立的企业以成立之后的年份为准或提供银行出具的资信证明）。</w:t>
      </w:r>
    </w:p>
    <w:p w14:paraId="648BBB23">
      <w:pPr>
        <w:keepNext w:val="0"/>
        <w:keepLines w:val="0"/>
        <w:pageBreakBefore w:val="0"/>
        <w:kinsoku/>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3.5信誉要求：</w:t>
      </w:r>
      <w:r>
        <w:rPr>
          <w:rFonts w:hint="eastAsia" w:ascii="宋体" w:hAnsi="宋体" w:eastAsia="宋体" w:cs="宋体"/>
          <w:color w:val="auto"/>
          <w:kern w:val="2"/>
          <w:sz w:val="21"/>
          <w:szCs w:val="21"/>
          <w:highlight w:val="none"/>
          <w:lang w:val="en-US" w:eastAsia="zh-CN" w:bidi="ar-SA"/>
        </w:rPr>
        <w:t>对属于失信被执行人、被列入严重违法失信企业名单的投标人将被拒绝参与投标。通过“信用中国”跳转至“中国执行信息公开网”（http://zxgk.court.gov.cn/shixin/）查询投标人、法定代表人、项目经理或项目总监理工程师是否为失信被执行人，在国家企业信用信息公示系统（http://www.gsxt.gov.cn/）中查询投标人是否被列入严重违法失信企业名单。(投标人须提供网站查询打印页，打印页需包括查询日期，查询日期为公告发布之后至投标截止时间前)。</w:t>
      </w:r>
    </w:p>
    <w:p w14:paraId="0CD3A887">
      <w:pPr>
        <w:keepNext w:val="0"/>
        <w:keepLines w:val="0"/>
        <w:pageBreakBefore w:val="0"/>
        <w:kinsoku/>
        <w:overflowPunct/>
        <w:topLinePunct w:val="0"/>
        <w:autoSpaceDE/>
        <w:autoSpaceDN/>
        <w:bidi w:val="0"/>
        <w:adjustRightInd/>
        <w:snapToGrid/>
        <w:spacing w:line="360" w:lineRule="auto"/>
        <w:ind w:firstLine="422" w:firstLineChars="200"/>
        <w:jc w:val="left"/>
        <w:textAlignment w:val="auto"/>
        <w:rPr>
          <w:rFonts w:hint="eastAsia" w:ascii="宋体" w:hAnsi="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w:t>
      </w:r>
      <w:r>
        <w:rPr>
          <w:rFonts w:hint="eastAsia" w:ascii="宋体" w:hAnsi="宋体" w:cs="宋体"/>
          <w:b/>
          <w:bCs/>
          <w:color w:val="auto"/>
          <w:kern w:val="2"/>
          <w:sz w:val="21"/>
          <w:szCs w:val="21"/>
          <w:highlight w:val="none"/>
          <w:lang w:val="en-US" w:eastAsia="zh-CN" w:bidi="ar-SA"/>
        </w:rPr>
        <w:t>6</w:t>
      </w:r>
      <w:r>
        <w:rPr>
          <w:rFonts w:hint="eastAsia" w:ascii="宋体" w:hAnsi="宋体" w:eastAsia="宋体" w:cs="宋体"/>
          <w:b/>
          <w:bCs/>
          <w:color w:val="auto"/>
          <w:kern w:val="2"/>
          <w:sz w:val="21"/>
          <w:szCs w:val="21"/>
          <w:highlight w:val="none"/>
          <w:lang w:val="en-US" w:eastAsia="zh-CN" w:bidi="ar-SA"/>
        </w:rPr>
        <w:t>本次招标</w:t>
      </w:r>
      <w:r>
        <w:rPr>
          <w:rFonts w:hint="eastAsia" w:ascii="宋体" w:hAnsi="宋体" w:eastAsia="宋体" w:cs="宋体"/>
          <w:b/>
          <w:bCs/>
          <w:color w:val="auto"/>
          <w:kern w:val="2"/>
          <w:sz w:val="21"/>
          <w:szCs w:val="21"/>
          <w:highlight w:val="none"/>
          <w:u w:val="single"/>
          <w:lang w:val="en-US" w:eastAsia="zh-CN" w:bidi="ar-SA"/>
        </w:rPr>
        <w:t xml:space="preserve">  不接受  </w:t>
      </w:r>
      <w:r>
        <w:rPr>
          <w:rFonts w:hint="eastAsia" w:ascii="宋体" w:hAnsi="宋体" w:eastAsia="宋体" w:cs="宋体"/>
          <w:b/>
          <w:bCs/>
          <w:color w:val="auto"/>
          <w:kern w:val="2"/>
          <w:sz w:val="21"/>
          <w:szCs w:val="21"/>
          <w:highlight w:val="none"/>
          <w:lang w:val="en-US" w:eastAsia="zh-CN" w:bidi="ar-SA"/>
        </w:rPr>
        <w:t>联合体投标。</w:t>
      </w:r>
    </w:p>
    <w:p w14:paraId="3AD42303">
      <w:pPr>
        <w:keepNext w:val="0"/>
        <w:keepLines w:val="0"/>
        <w:pageBreakBefore w:val="0"/>
        <w:kinsoku/>
        <w:overflowPunct/>
        <w:topLinePunct w:val="0"/>
        <w:autoSpaceDE/>
        <w:autoSpaceDN/>
        <w:bidi w:val="0"/>
        <w:adjustRightInd/>
        <w:snapToGrid/>
        <w:spacing w:line="360" w:lineRule="auto"/>
        <w:ind w:firstLine="422" w:firstLineChars="200"/>
        <w:jc w:val="left"/>
        <w:textAlignment w:val="auto"/>
        <w:rPr>
          <w:rFonts w:hint="eastAsia" w:ascii="宋体" w:hAnsi="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w:t>
      </w:r>
      <w:r>
        <w:rPr>
          <w:rFonts w:hint="eastAsia" w:ascii="宋体" w:hAnsi="宋体" w:cs="宋体"/>
          <w:b/>
          <w:bCs/>
          <w:color w:val="auto"/>
          <w:kern w:val="2"/>
          <w:sz w:val="21"/>
          <w:szCs w:val="21"/>
          <w:highlight w:val="none"/>
          <w:lang w:val="en-US" w:eastAsia="zh-CN" w:bidi="ar-SA"/>
        </w:rPr>
        <w:t>7</w:t>
      </w:r>
      <w:r>
        <w:rPr>
          <w:rFonts w:hint="eastAsia" w:ascii="宋体" w:hAnsi="宋体" w:eastAsia="宋体" w:cs="宋体"/>
          <w:b/>
          <w:bCs/>
          <w:color w:val="auto"/>
          <w:kern w:val="2"/>
          <w:sz w:val="21"/>
          <w:szCs w:val="21"/>
          <w:highlight w:val="none"/>
          <w:lang w:val="en-US" w:eastAsia="zh-CN" w:bidi="ar-SA"/>
        </w:rPr>
        <w:t>其他要求</w:t>
      </w:r>
      <w:r>
        <w:rPr>
          <w:rFonts w:hint="eastAsia" w:ascii="宋体" w:hAnsi="宋体" w:cs="宋体"/>
          <w:b/>
          <w:bCs/>
          <w:color w:val="auto"/>
          <w:kern w:val="2"/>
          <w:sz w:val="21"/>
          <w:szCs w:val="21"/>
          <w:highlight w:val="none"/>
          <w:lang w:val="en-US" w:eastAsia="zh-CN" w:bidi="ar-SA"/>
        </w:rPr>
        <w:t>：</w:t>
      </w:r>
    </w:p>
    <w:p w14:paraId="2098DD2C">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1）单位负责人为同一人或存在控股、管理关系的不同单位，不得参加同一标段投标，否则，相关投标均无效。（投标人应自拟承诺，格式自拟，加盖单位公章）。</w:t>
      </w:r>
    </w:p>
    <w:p w14:paraId="31075877">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2）企业近三年没有处于被责令停产、停业或者投标资格被取消，没有骗取中标或者没有重大违约及重大工程质量、拖欠农民工工资、安全生产事故等问题；（投标人应自拟承诺，格式自拟，加盖单位公章）。</w:t>
      </w:r>
    </w:p>
    <w:p w14:paraId="6611F2F6">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3）企业近三年内没有被建设、公路、水利、土地等有关行政部门及相关监督部门通报有不良行为记录；（投标人应自拟承诺，格式自拟，加盖单位公章）。</w:t>
      </w:r>
    </w:p>
    <w:p w14:paraId="67F63592">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4）企业从中标到施工过程中如被发现有挂靠行为的，将没收</w:t>
      </w:r>
      <w:r>
        <w:rPr>
          <w:rFonts w:hint="eastAsia" w:ascii="宋体" w:hAnsi="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 xml:space="preserve">保证金及履约保证金，并终止合同清退出场，因合同无效给建设方造成经济损失的，应当由被挂靠企业来承担（投标人应自拟承诺，格式自拟，加盖单位公章）。 </w:t>
      </w:r>
    </w:p>
    <w:p w14:paraId="489DCB3C">
      <w:pPr>
        <w:keepNext w:val="0"/>
        <w:keepLines w:val="0"/>
        <w:pageBreakBefore w:val="0"/>
        <w:kinsoku/>
        <w:overflowPunct/>
        <w:topLinePunct w:val="0"/>
        <w:autoSpaceDE/>
        <w:autoSpaceDN/>
        <w:bidi w:val="0"/>
        <w:adjustRightInd/>
        <w:snapToGrid/>
        <w:spacing w:line="360" w:lineRule="auto"/>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4.企业注册</w:t>
      </w:r>
    </w:p>
    <w:p w14:paraId="0AC9AEB3">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4.1投标人首先通过驻马店市公共资源交易中心电子招投标交易平台网站(以下简称“交易平台网站”)（</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"https://ggzy.zhumadian.gov.cn/TPFront/"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https://ggzy.zhumadian.gov.cn/TPFront/</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）进行交易主体注册，然后按网站通知公告及下载中心有关要求填报企业信息和上传有关扫描件原件，提交并完善企业投标所需资料信息,由企业自行核验通过，最后自行选择办理“</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"https://www.bqpoint.com/epbzt/index.html"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标证通</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”手机证书或者实体CA数字证书。“标证通”办理见</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"https://www.bqpoint.com/epbzt/index.html"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https://www.bqpoint.com/epbzt/index.html</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。实体CA数字证书申请咨询电话(北京CA：4009197888、华测CA：4006202211、深圳CA：4001123838、信安CA：0371-96596 )。</w:t>
      </w:r>
    </w:p>
    <w:p w14:paraId="297A2130">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4.2凡有意参加投标者，请于202</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lang w:val="en-US" w:eastAsia="zh-CN" w:bidi="ar-SA"/>
        </w:rPr>
        <w:t>10</w:t>
      </w:r>
      <w:r>
        <w:rPr>
          <w:rFonts w:hint="eastAsia" w:ascii="宋体" w:hAnsi="宋体" w:eastAsia="宋体" w:cs="宋体"/>
          <w:color w:val="auto"/>
          <w:kern w:val="2"/>
          <w:sz w:val="21"/>
          <w:szCs w:val="21"/>
          <w:highlight w:val="none"/>
          <w:lang w:val="en-US" w:eastAsia="zh-CN" w:bidi="ar-SA"/>
        </w:rPr>
        <w:t>月</w:t>
      </w:r>
      <w:r>
        <w:rPr>
          <w:rFonts w:hint="eastAsia" w:ascii="宋体" w:hAnsi="宋体" w:cs="宋体"/>
          <w:color w:val="auto"/>
          <w:kern w:val="2"/>
          <w:sz w:val="21"/>
          <w:szCs w:val="21"/>
          <w:highlight w:val="none"/>
          <w:lang w:val="en-US" w:eastAsia="zh-CN" w:bidi="ar-SA"/>
        </w:rPr>
        <w:t>29</w:t>
      </w:r>
      <w:r>
        <w:rPr>
          <w:rFonts w:hint="eastAsia" w:ascii="宋体" w:hAnsi="宋体" w:eastAsia="宋体" w:cs="宋体"/>
          <w:color w:val="auto"/>
          <w:kern w:val="2"/>
          <w:sz w:val="21"/>
          <w:szCs w:val="21"/>
          <w:highlight w:val="none"/>
          <w:lang w:val="en-US" w:eastAsia="zh-CN" w:bidi="ar-SA"/>
        </w:rPr>
        <w:t>日8：00时至202</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lang w:val="en-US" w:eastAsia="zh-CN" w:bidi="ar-SA"/>
        </w:rPr>
        <w:t>11</w:t>
      </w:r>
      <w:r>
        <w:rPr>
          <w:rFonts w:hint="eastAsia" w:ascii="宋体" w:hAnsi="宋体" w:eastAsia="宋体" w:cs="宋体"/>
          <w:color w:val="auto"/>
          <w:kern w:val="2"/>
          <w:sz w:val="21"/>
          <w:szCs w:val="21"/>
          <w:highlight w:val="none"/>
          <w:lang w:val="en-US" w:eastAsia="zh-CN" w:bidi="ar-SA"/>
        </w:rPr>
        <w:t>月</w:t>
      </w:r>
      <w:r>
        <w:rPr>
          <w:rFonts w:hint="eastAsia" w:ascii="宋体" w:hAnsi="宋体" w:cs="宋体"/>
          <w:color w:val="auto"/>
          <w:kern w:val="2"/>
          <w:sz w:val="21"/>
          <w:szCs w:val="21"/>
          <w:highlight w:val="none"/>
          <w:lang w:val="en-US" w:eastAsia="zh-CN" w:bidi="ar-SA"/>
        </w:rPr>
        <w:t>04</w:t>
      </w:r>
      <w:r>
        <w:rPr>
          <w:rFonts w:hint="eastAsia" w:ascii="宋体" w:hAnsi="宋体" w:eastAsia="宋体" w:cs="宋体"/>
          <w:color w:val="auto"/>
          <w:kern w:val="2"/>
          <w:sz w:val="21"/>
          <w:szCs w:val="21"/>
          <w:highlight w:val="none"/>
          <w:lang w:val="en-US" w:eastAsia="zh-CN" w:bidi="ar-SA"/>
        </w:rPr>
        <w:t>日</w:t>
      </w:r>
      <w:r>
        <w:rPr>
          <w:rFonts w:hint="eastAsia" w:ascii="宋体" w:hAnsi="宋体" w:cs="宋体"/>
          <w:color w:val="auto"/>
          <w:kern w:val="2"/>
          <w:sz w:val="21"/>
          <w:szCs w:val="21"/>
          <w:highlight w:val="none"/>
          <w:lang w:val="en-US" w:eastAsia="zh-CN" w:bidi="ar-SA"/>
        </w:rPr>
        <w:t>18</w:t>
      </w: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00</w:t>
      </w:r>
      <w:r>
        <w:rPr>
          <w:rFonts w:hint="eastAsia" w:ascii="宋体" w:hAnsi="宋体" w:eastAsia="宋体" w:cs="宋体"/>
          <w:color w:val="auto"/>
          <w:kern w:val="2"/>
          <w:sz w:val="21"/>
          <w:szCs w:val="21"/>
          <w:highlight w:val="none"/>
          <w:lang w:val="en-US" w:eastAsia="zh-CN" w:bidi="ar-SA"/>
        </w:rPr>
        <w:t>时，登录“交易平台网站”（https://ggzy.zhumadian.gov.cn/TPFront/），凭领取的企业身份认证锁（CA密钥）登录系统进行网上投标。</w:t>
      </w:r>
    </w:p>
    <w:p w14:paraId="673B0CFB">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请各投标人网上</w:t>
      </w:r>
      <w:r>
        <w:rPr>
          <w:rFonts w:hint="eastAsia" w:ascii="宋体" w:hAnsi="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时注意完善主体信息（如开户银行及开户账号等），以免未填写或错误导致系统判定废标。</w:t>
      </w:r>
    </w:p>
    <w:p w14:paraId="280F6018">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bookmarkStart w:id="15" w:name="_Toc16778734"/>
      <w:r>
        <w:rPr>
          <w:rFonts w:hint="eastAsia" w:ascii="宋体" w:hAnsi="宋体" w:eastAsia="宋体" w:cs="宋体"/>
          <w:b/>
          <w:bCs/>
          <w:color w:val="auto"/>
          <w:kern w:val="2"/>
          <w:sz w:val="24"/>
          <w:szCs w:val="24"/>
          <w:highlight w:val="none"/>
          <w:lang w:val="en-US" w:eastAsia="zh-CN" w:bidi="ar-SA"/>
        </w:rPr>
        <w:t>5.招标文件的获取</w:t>
      </w:r>
      <w:bookmarkEnd w:id="15"/>
    </w:p>
    <w:p w14:paraId="4DF8A20D">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5.1 招标文件获取时间：请于</w:t>
      </w:r>
      <w:r>
        <w:rPr>
          <w:rFonts w:hint="eastAsia" w:ascii="宋体" w:hAnsi="宋体" w:eastAsia="宋体" w:cs="宋体"/>
          <w:color w:val="auto"/>
          <w:kern w:val="2"/>
          <w:sz w:val="21"/>
          <w:szCs w:val="21"/>
          <w:highlight w:val="none"/>
          <w:u w:val="single"/>
          <w:lang w:val="en-US" w:eastAsia="zh-CN" w:bidi="ar-SA"/>
        </w:rPr>
        <w:t>202</w:t>
      </w:r>
      <w:r>
        <w:rPr>
          <w:rFonts w:hint="eastAsia" w:ascii="宋体" w:hAnsi="宋体" w:cs="宋体"/>
          <w:color w:val="auto"/>
          <w:kern w:val="2"/>
          <w:sz w:val="21"/>
          <w:szCs w:val="21"/>
          <w:highlight w:val="none"/>
          <w:u w:val="single"/>
          <w:lang w:val="en-US" w:eastAsia="zh-CN" w:bidi="ar-SA"/>
        </w:rPr>
        <w:t>6</w:t>
      </w:r>
      <w:r>
        <w:rPr>
          <w:rFonts w:hint="eastAsia" w:ascii="宋体" w:hAnsi="宋体" w:eastAsia="宋体" w:cs="宋体"/>
          <w:color w:val="auto"/>
          <w:kern w:val="2"/>
          <w:sz w:val="21"/>
          <w:szCs w:val="21"/>
          <w:highlight w:val="none"/>
          <w:lang w:val="en-US" w:eastAsia="zh-CN" w:bidi="ar-SA"/>
        </w:rPr>
        <w:t>年</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cs="宋体"/>
          <w:color w:val="auto"/>
          <w:kern w:val="2"/>
          <w:sz w:val="21"/>
          <w:szCs w:val="21"/>
          <w:highlight w:val="none"/>
          <w:u w:val="single"/>
          <w:lang w:val="en-US" w:eastAsia="zh-CN" w:bidi="ar-SA"/>
        </w:rPr>
        <w:t xml:space="preserve"> 10  </w:t>
      </w:r>
      <w:r>
        <w:rPr>
          <w:rFonts w:hint="eastAsia" w:ascii="宋体" w:hAnsi="宋体" w:eastAsia="宋体" w:cs="宋体"/>
          <w:color w:val="auto"/>
          <w:kern w:val="2"/>
          <w:sz w:val="21"/>
          <w:szCs w:val="21"/>
          <w:highlight w:val="none"/>
          <w:lang w:val="en-US" w:eastAsia="zh-CN" w:bidi="ar-SA"/>
        </w:rPr>
        <w:t>月</w:t>
      </w:r>
      <w:r>
        <w:rPr>
          <w:rFonts w:hint="eastAsia" w:ascii="宋体" w:hAnsi="宋体" w:cs="宋体"/>
          <w:color w:val="auto"/>
          <w:kern w:val="2"/>
          <w:sz w:val="21"/>
          <w:szCs w:val="21"/>
          <w:highlight w:val="none"/>
          <w:u w:val="single"/>
          <w:lang w:val="en-US" w:eastAsia="zh-CN" w:bidi="ar-SA"/>
        </w:rPr>
        <w:t xml:space="preserve"> 29 </w:t>
      </w:r>
      <w:r>
        <w:rPr>
          <w:rFonts w:hint="eastAsia" w:ascii="宋体" w:hAnsi="宋体" w:eastAsia="宋体" w:cs="宋体"/>
          <w:color w:val="auto"/>
          <w:kern w:val="2"/>
          <w:sz w:val="21"/>
          <w:szCs w:val="21"/>
          <w:highlight w:val="none"/>
          <w:lang w:val="en-US" w:eastAsia="zh-CN" w:bidi="ar-SA"/>
        </w:rPr>
        <w:t>日</w:t>
      </w:r>
      <w:r>
        <w:rPr>
          <w:rFonts w:hint="eastAsia" w:ascii="宋体" w:hAnsi="宋体" w:eastAsia="宋体" w:cs="宋体"/>
          <w:color w:val="auto"/>
          <w:kern w:val="2"/>
          <w:sz w:val="21"/>
          <w:szCs w:val="21"/>
          <w:highlight w:val="none"/>
          <w:u w:val="single"/>
          <w:lang w:val="en-US" w:eastAsia="zh-CN" w:bidi="ar-SA"/>
        </w:rPr>
        <w:t>8:00</w:t>
      </w:r>
      <w:r>
        <w:rPr>
          <w:rFonts w:hint="eastAsia" w:ascii="宋体" w:hAnsi="宋体" w:eastAsia="宋体" w:cs="宋体"/>
          <w:color w:val="auto"/>
          <w:kern w:val="2"/>
          <w:sz w:val="21"/>
          <w:szCs w:val="21"/>
          <w:highlight w:val="none"/>
          <w:lang w:val="en-US" w:eastAsia="zh-CN" w:bidi="ar-SA"/>
        </w:rPr>
        <w:t>时至</w:t>
      </w:r>
      <w:r>
        <w:rPr>
          <w:rFonts w:hint="eastAsia" w:ascii="宋体" w:hAnsi="宋体" w:eastAsia="宋体" w:cs="宋体"/>
          <w:color w:val="auto"/>
          <w:kern w:val="2"/>
          <w:sz w:val="21"/>
          <w:szCs w:val="21"/>
          <w:highlight w:val="none"/>
          <w:u w:val="single"/>
          <w:lang w:val="en-US" w:eastAsia="zh-CN" w:bidi="ar-SA"/>
        </w:rPr>
        <w:t>202</w:t>
      </w:r>
      <w:r>
        <w:rPr>
          <w:rFonts w:hint="eastAsia" w:ascii="宋体" w:hAnsi="宋体" w:cs="宋体"/>
          <w:color w:val="auto"/>
          <w:kern w:val="2"/>
          <w:sz w:val="21"/>
          <w:szCs w:val="21"/>
          <w:highlight w:val="none"/>
          <w:u w:val="single"/>
          <w:lang w:val="en-US" w:eastAsia="zh-CN" w:bidi="ar-SA"/>
        </w:rPr>
        <w:t>6</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u w:val="single"/>
          <w:lang w:val="en-US" w:eastAsia="zh-CN" w:bidi="ar-SA"/>
        </w:rPr>
        <w:t xml:space="preserve"> 11 </w:t>
      </w:r>
      <w:r>
        <w:rPr>
          <w:rFonts w:hint="eastAsia" w:ascii="宋体" w:hAnsi="宋体" w:eastAsia="宋体" w:cs="宋体"/>
          <w:color w:val="auto"/>
          <w:kern w:val="2"/>
          <w:sz w:val="21"/>
          <w:szCs w:val="21"/>
          <w:highlight w:val="none"/>
          <w:lang w:val="en-US" w:eastAsia="zh-CN" w:bidi="ar-SA"/>
        </w:rPr>
        <w:t>月</w:t>
      </w:r>
      <w:r>
        <w:rPr>
          <w:rFonts w:hint="eastAsia" w:ascii="宋体" w:hAnsi="宋体" w:cs="宋体"/>
          <w:color w:val="auto"/>
          <w:kern w:val="2"/>
          <w:sz w:val="21"/>
          <w:szCs w:val="21"/>
          <w:highlight w:val="none"/>
          <w:u w:val="single"/>
          <w:lang w:val="en-US" w:eastAsia="zh-CN" w:bidi="ar-SA"/>
        </w:rPr>
        <w:t xml:space="preserve"> 04 </w:t>
      </w:r>
      <w:r>
        <w:rPr>
          <w:rFonts w:hint="eastAsia" w:ascii="宋体" w:hAnsi="宋体" w:eastAsia="宋体" w:cs="宋体"/>
          <w:color w:val="auto"/>
          <w:kern w:val="2"/>
          <w:sz w:val="21"/>
          <w:szCs w:val="21"/>
          <w:highlight w:val="none"/>
          <w:lang w:val="en-US" w:eastAsia="zh-CN" w:bidi="ar-SA"/>
        </w:rPr>
        <w:t>日</w:t>
      </w:r>
      <w:r>
        <w:rPr>
          <w:rFonts w:hint="eastAsia" w:ascii="宋体" w:hAnsi="宋体" w:cs="宋体"/>
          <w:color w:val="auto"/>
          <w:kern w:val="2"/>
          <w:sz w:val="21"/>
          <w:szCs w:val="21"/>
          <w:highlight w:val="none"/>
          <w:u w:val="single"/>
          <w:lang w:val="en-US" w:eastAsia="zh-CN" w:bidi="ar-SA"/>
        </w:rPr>
        <w:t>18</w:t>
      </w:r>
      <w:r>
        <w:rPr>
          <w:rFonts w:hint="eastAsia" w:ascii="宋体" w:hAnsi="宋体" w:eastAsia="宋体" w:cs="宋体"/>
          <w:color w:val="auto"/>
          <w:kern w:val="2"/>
          <w:sz w:val="21"/>
          <w:szCs w:val="21"/>
          <w:highlight w:val="none"/>
          <w:u w:val="single"/>
          <w:lang w:val="en-US" w:eastAsia="zh-CN" w:bidi="ar-SA"/>
        </w:rPr>
        <w:t>:</w:t>
      </w:r>
      <w:r>
        <w:rPr>
          <w:rFonts w:hint="eastAsia" w:ascii="宋体" w:hAnsi="宋体" w:cs="宋体"/>
          <w:color w:val="auto"/>
          <w:kern w:val="2"/>
          <w:sz w:val="21"/>
          <w:szCs w:val="21"/>
          <w:highlight w:val="none"/>
          <w:u w:val="single"/>
          <w:lang w:val="en-US" w:eastAsia="zh-CN" w:bidi="ar-SA"/>
        </w:rPr>
        <w:t>00</w:t>
      </w:r>
      <w:r>
        <w:rPr>
          <w:rFonts w:hint="eastAsia" w:ascii="宋体" w:hAnsi="宋体" w:eastAsia="宋体" w:cs="宋体"/>
          <w:color w:val="auto"/>
          <w:kern w:val="2"/>
          <w:sz w:val="21"/>
          <w:szCs w:val="21"/>
          <w:highlight w:val="none"/>
          <w:lang w:val="en-US" w:eastAsia="zh-CN" w:bidi="ar-SA"/>
        </w:rPr>
        <w:t>时在“交易平台网站”（https://ggzy.zhumadian.gov.cn/TPFront/）免费下载招标文件。投标人未在网上下载招标文件的，其投标将被拒绝。</w:t>
      </w:r>
    </w:p>
    <w:p w14:paraId="51290E2F">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2"/>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5.2招标文件获取方式：凭CA密钥登陆会员系统并按网上提示下载招标文件及资料。（详见交易平台网站下载中心栏目里投标人操作手册）。</w:t>
      </w:r>
    </w:p>
    <w:p w14:paraId="7117F41C">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2"/>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04E60BC2">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6.资格审查方式 </w:t>
      </w:r>
    </w:p>
    <w:p w14:paraId="63A32506">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bookmarkStart w:id="16" w:name="_Toc16778735"/>
      <w:r>
        <w:rPr>
          <w:rFonts w:hint="eastAsia" w:ascii="宋体" w:hAnsi="宋体" w:eastAsia="宋体" w:cs="宋体"/>
          <w:color w:val="auto"/>
          <w:kern w:val="2"/>
          <w:sz w:val="21"/>
          <w:szCs w:val="21"/>
          <w:highlight w:val="none"/>
          <w:lang w:val="en-US" w:eastAsia="zh-CN" w:bidi="ar-SA"/>
        </w:rPr>
        <w:t>本招标项目对投标申请人的资格审查采用资格后审方式，主要资格审查标准和内容详见招标文件，只有资格审查合格的投标申请人才有可能被授予合同。</w:t>
      </w:r>
    </w:p>
    <w:p w14:paraId="215C65E5">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本项目采用不见面开标，投标人无需递交纸质投标文件及原件，投标企业应在项目开标前，将</w:t>
      </w:r>
      <w:r>
        <w:rPr>
          <w:rFonts w:hint="eastAsia" w:ascii="宋体" w:hAnsi="宋体" w:cs="宋体"/>
          <w:color w:val="auto"/>
          <w:kern w:val="2"/>
          <w:sz w:val="21"/>
          <w:szCs w:val="21"/>
          <w:highlight w:val="none"/>
          <w:lang w:val="en-US" w:eastAsia="zh-CN" w:bidi="ar-SA"/>
        </w:rPr>
        <w:t>相关的</w:t>
      </w:r>
      <w:r>
        <w:rPr>
          <w:rFonts w:hint="eastAsia" w:ascii="宋体" w:hAnsi="宋体" w:eastAsia="宋体" w:cs="宋体"/>
          <w:color w:val="auto"/>
          <w:kern w:val="2"/>
          <w:sz w:val="21"/>
          <w:szCs w:val="21"/>
          <w:highlight w:val="none"/>
          <w:lang w:val="en-US" w:eastAsia="zh-CN" w:bidi="ar-SA"/>
        </w:rPr>
        <w:t>资质、人员、业绩、荣誉、财务报告等投标所需材料扫描件，上传至驻马店市公共资源电子交易平台诚信库中，同时在“资格审查及评审材料”菜单下按标段挑选该标段投标所用资格审查材料，以供评标过程中评委查阅。评标时以电子投标文件及“资格审查及评审材料”菜单中选取的信息为准。</w:t>
      </w:r>
    </w:p>
    <w:p w14:paraId="399052AD">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w:t>
      </w:r>
      <w:bookmarkEnd w:id="16"/>
      <w:r>
        <w:rPr>
          <w:rFonts w:hint="eastAsia" w:ascii="宋体" w:hAnsi="宋体" w:eastAsia="宋体" w:cs="宋体"/>
          <w:b/>
          <w:bCs/>
          <w:color w:val="auto"/>
          <w:kern w:val="2"/>
          <w:sz w:val="24"/>
          <w:szCs w:val="24"/>
          <w:highlight w:val="none"/>
          <w:lang w:val="en-US" w:eastAsia="zh-CN" w:bidi="ar-SA"/>
        </w:rPr>
        <w:t>投标文件的上传/递交</w:t>
      </w:r>
    </w:p>
    <w:p w14:paraId="6F82B45A">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bookmarkStart w:id="17" w:name="_Toc16778736"/>
      <w:r>
        <w:rPr>
          <w:rFonts w:hint="eastAsia" w:ascii="宋体" w:hAnsi="宋体" w:eastAsia="宋体" w:cs="宋体"/>
          <w:color w:val="auto"/>
          <w:kern w:val="2"/>
          <w:sz w:val="21"/>
          <w:szCs w:val="21"/>
          <w:highlight w:val="none"/>
          <w:lang w:val="en-US" w:eastAsia="zh-CN" w:bidi="ar-SA"/>
        </w:rPr>
        <w:t>7.1本项目采用不见面开标、投标人需要递交电子投标文件，无需递交纸质文件。</w:t>
      </w:r>
    </w:p>
    <w:p w14:paraId="5941EE47">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7.2投标文件的上传/递交截止时间（投标截止时间，下同）和地点见招标文件。加密电子投标文件（*.ZMDTF格式）应在投标截止时间前通过驻马店市公共资源交易电子交易平台（http://ggzy.zhumadian.gov.cn:8820/TPbidder/login.aspx）上传完成。</w:t>
      </w:r>
    </w:p>
    <w:p w14:paraId="03F90C71">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67350E85">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7.4远程开标前，投标人务必在驻马店市公共资源交易电子交易平台（http://ggzy.zhumadian.gov.cn:8820/TPbidder/login.aspx）投标文件上传模块中使用“模拟解密”功能，验证本机远程自助解密环境。</w:t>
      </w:r>
    </w:p>
    <w:p w14:paraId="31F97BD6">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7.5逾期上传/送达的或者未上传/未送达指定地点的投标文件，招标人不予受理。</w:t>
      </w:r>
    </w:p>
    <w:p w14:paraId="08BC720D">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4"/>
          <w:szCs w:val="24"/>
          <w:highlight w:val="none"/>
          <w:lang w:val="en-US" w:eastAsia="zh-CN" w:bidi="ar-SA"/>
        </w:rPr>
        <w:t>8.发布公告的媒介</w:t>
      </w:r>
      <w:bookmarkEnd w:id="17"/>
    </w:p>
    <w:p w14:paraId="3FDF3F40">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本次招标公告同时在《驻马店市公共资源交易平台》</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《中国招标投标公共服务平台》</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《河南省政府采购网》发布。</w:t>
      </w:r>
    </w:p>
    <w:p w14:paraId="08CACEAE">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9.特别提醒：</w:t>
      </w:r>
    </w:p>
    <w:p w14:paraId="65F4152A">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因驻马店不见面交易系统具备视频直播、语音通话等，对网络带宽及硬件要求相对较高的功能，故投标人在参与使用不见面交易系统开标的项目时，需确认是否满足如下要求：</w:t>
      </w:r>
    </w:p>
    <w:p w14:paraId="22084750">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1、网络要求：</w:t>
      </w:r>
    </w:p>
    <w:p w14:paraId="172A92E1">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网络带宽4M以上。</w:t>
      </w:r>
    </w:p>
    <w:p w14:paraId="5C59ADDF">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2、硬件要求</w:t>
      </w:r>
    </w:p>
    <w:p w14:paraId="7C239111">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电脑要求内存4G及以上，且需配套网络摄像头、麦克风、音箱等，并确保其均能正常运转。操作系统要求Windows7及以上，IE浏览器IE11及以上。</w:t>
      </w:r>
    </w:p>
    <w:p w14:paraId="7F894A0E">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3、人员要求</w:t>
      </w:r>
    </w:p>
    <w:p w14:paraId="4A1C6296">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对于参与驻马店不见面交易系统开标的投标人，要求能熟练掌握电脑基础操作。不见面开标操作手册下载地址：</w:t>
      </w:r>
    </w:p>
    <w:p w14:paraId="4AED2222">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（http://ggzy.zhumadian.gov.cn:9190/BidOpening/bidopeninghallaction/hall/login）</w:t>
      </w:r>
    </w:p>
    <w:p w14:paraId="5A88F582">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bookmarkStart w:id="18" w:name="_Toc16778737"/>
      <w:r>
        <w:rPr>
          <w:rFonts w:hint="eastAsia" w:ascii="宋体" w:hAnsi="宋体" w:eastAsia="宋体" w:cs="宋体"/>
          <w:b/>
          <w:bCs/>
          <w:color w:val="auto"/>
          <w:kern w:val="2"/>
          <w:sz w:val="24"/>
          <w:szCs w:val="24"/>
          <w:highlight w:val="none"/>
          <w:lang w:val="en-US" w:eastAsia="zh-CN" w:bidi="ar-SA"/>
        </w:rPr>
        <w:t>10.联系方式</w:t>
      </w:r>
      <w:bookmarkEnd w:id="18"/>
    </w:p>
    <w:p w14:paraId="2E6FD26D">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标</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人：</w:t>
      </w:r>
      <w:r>
        <w:rPr>
          <w:rFonts w:hint="eastAsia" w:ascii="宋体" w:hAnsi="宋体" w:cs="宋体"/>
          <w:color w:val="auto"/>
          <w:kern w:val="2"/>
          <w:sz w:val="21"/>
          <w:szCs w:val="21"/>
          <w:highlight w:val="none"/>
          <w:lang w:val="en-US" w:eastAsia="zh-CN" w:bidi="ar-SA"/>
        </w:rPr>
        <w:t>平舆县公路事业发展中心</w:t>
      </w:r>
    </w:p>
    <w:p w14:paraId="0CD0B75E">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地 </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 址：</w:t>
      </w:r>
      <w:r>
        <w:rPr>
          <w:rFonts w:hint="eastAsia" w:ascii="宋体" w:hAnsi="宋体" w:cs="宋体"/>
          <w:color w:val="auto"/>
          <w:kern w:val="2"/>
          <w:sz w:val="21"/>
          <w:szCs w:val="21"/>
          <w:highlight w:val="none"/>
          <w:lang w:val="en-US" w:eastAsia="zh-CN" w:bidi="ar-SA"/>
        </w:rPr>
        <w:t>河南省平舆县海棠路1号</w:t>
      </w:r>
    </w:p>
    <w:p w14:paraId="609DBA02">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联</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系</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人：</w:t>
      </w:r>
      <w:r>
        <w:rPr>
          <w:rFonts w:hint="eastAsia" w:ascii="宋体" w:hAnsi="宋体" w:cs="宋体"/>
          <w:color w:val="auto"/>
          <w:kern w:val="2"/>
          <w:sz w:val="21"/>
          <w:szCs w:val="21"/>
          <w:highlight w:val="none"/>
          <w:lang w:val="en-US" w:eastAsia="zh-CN" w:bidi="ar-SA"/>
        </w:rPr>
        <w:t>罗先生</w:t>
      </w:r>
      <w:r>
        <w:rPr>
          <w:rFonts w:hint="eastAsia" w:ascii="宋体" w:hAnsi="宋体" w:eastAsia="宋体" w:cs="宋体"/>
          <w:color w:val="auto"/>
          <w:kern w:val="2"/>
          <w:sz w:val="21"/>
          <w:szCs w:val="21"/>
          <w:highlight w:val="none"/>
          <w:lang w:val="en-US" w:eastAsia="zh-CN" w:bidi="ar-SA"/>
        </w:rPr>
        <w:t xml:space="preserve"> </w:t>
      </w:r>
    </w:p>
    <w:p w14:paraId="53420AB8">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联系电话：</w:t>
      </w:r>
      <w:r>
        <w:rPr>
          <w:rFonts w:hint="eastAsia" w:ascii="宋体" w:hAnsi="宋体" w:cs="宋体"/>
          <w:color w:val="auto"/>
          <w:kern w:val="2"/>
          <w:sz w:val="21"/>
          <w:szCs w:val="21"/>
          <w:highlight w:val="none"/>
          <w:lang w:val="en-US" w:eastAsia="zh-CN" w:bidi="ar-SA"/>
        </w:rPr>
        <w:t>0396-5286668</w:t>
      </w:r>
    </w:p>
    <w:p w14:paraId="30E46E2F">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招标代理机构：中韵天隆工程集团有限公司</w:t>
      </w:r>
    </w:p>
    <w:p w14:paraId="6E884299">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地    址：郑州市经济技术开发区航海东路与经开第二十大街交叉口中兴新业港三期25幢</w:t>
      </w:r>
    </w:p>
    <w:p w14:paraId="11B2744F">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联 系 人：刘先生</w:t>
      </w:r>
    </w:p>
    <w:p w14:paraId="6259D74C">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联系电话：0371-88881296</w:t>
      </w:r>
      <w:r>
        <w:rPr>
          <w:rFonts w:hint="eastAsia" w:ascii="宋体" w:hAnsi="宋体" w:cs="宋体"/>
          <w:color w:val="auto"/>
          <w:kern w:val="2"/>
          <w:sz w:val="21"/>
          <w:szCs w:val="21"/>
          <w:highlight w:val="none"/>
          <w:lang w:val="en-US" w:eastAsia="zh-CN" w:bidi="ar-SA"/>
        </w:rPr>
        <w:t xml:space="preserve"> </w:t>
      </w:r>
    </w:p>
    <w:p w14:paraId="3F4B1F2D">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监督部门：</w:t>
      </w:r>
      <w:r>
        <w:rPr>
          <w:rFonts w:hint="eastAsia" w:ascii="宋体" w:hAnsi="宋体" w:cs="宋体"/>
          <w:color w:val="auto"/>
          <w:kern w:val="2"/>
          <w:sz w:val="21"/>
          <w:szCs w:val="21"/>
          <w:highlight w:val="none"/>
          <w:lang w:val="en-US" w:eastAsia="zh-CN" w:bidi="ar-SA"/>
        </w:rPr>
        <w:t>平舆县</w:t>
      </w:r>
      <w:r>
        <w:rPr>
          <w:rFonts w:hint="eastAsia" w:ascii="宋体" w:hAnsi="宋体" w:eastAsia="宋体" w:cs="宋体"/>
          <w:color w:val="auto"/>
          <w:kern w:val="2"/>
          <w:sz w:val="21"/>
          <w:szCs w:val="21"/>
          <w:highlight w:val="none"/>
          <w:lang w:val="en-US" w:eastAsia="zh-CN" w:bidi="ar-SA"/>
        </w:rPr>
        <w:t xml:space="preserve">交通运输局 </w:t>
      </w:r>
    </w:p>
    <w:p w14:paraId="5B70D8D1">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办公地址：</w:t>
      </w:r>
      <w:r>
        <w:rPr>
          <w:rFonts w:hint="eastAsia" w:ascii="宋体" w:hAnsi="宋体" w:cs="宋体"/>
          <w:color w:val="auto"/>
          <w:kern w:val="2"/>
          <w:sz w:val="21"/>
          <w:szCs w:val="21"/>
          <w:highlight w:val="none"/>
          <w:lang w:val="en-US" w:eastAsia="zh-CN" w:bidi="ar-SA"/>
        </w:rPr>
        <w:t>平舆县清河大道</w:t>
      </w:r>
    </w:p>
    <w:p w14:paraId="5FCB525D">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联 系 人：王先生</w:t>
      </w:r>
    </w:p>
    <w:p w14:paraId="782966AC">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    话：</w:t>
      </w:r>
      <w:r>
        <w:rPr>
          <w:rFonts w:hint="eastAsia" w:ascii="宋体" w:hAnsi="宋体" w:cs="宋体"/>
          <w:color w:val="auto"/>
          <w:kern w:val="2"/>
          <w:sz w:val="21"/>
          <w:szCs w:val="21"/>
          <w:highlight w:val="none"/>
          <w:lang w:val="en-US" w:eastAsia="zh-CN" w:bidi="ar-SA"/>
        </w:rPr>
        <w:t xml:space="preserve">0396-5022453 </w:t>
      </w:r>
    </w:p>
    <w:p w14:paraId="086BF479">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p>
    <w:p w14:paraId="71399BF8">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p>
    <w:p w14:paraId="656A841A">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p>
    <w:p w14:paraId="7AD327CE">
      <w:pPr>
        <w:rPr>
          <w:rFonts w:hint="eastAsia" w:ascii="宋体" w:hAnsi="宋体"/>
          <w:b/>
          <w:color w:val="auto"/>
          <w:kern w:val="44"/>
          <w:sz w:val="40"/>
          <w:szCs w:val="40"/>
          <w:highlight w:val="none"/>
          <w:lang w:eastAsia="zh-CN"/>
        </w:rPr>
      </w:pPr>
      <w:r>
        <w:rPr>
          <w:rFonts w:hint="eastAsia" w:ascii="宋体" w:hAnsi="宋体"/>
          <w:b/>
          <w:color w:val="auto"/>
          <w:kern w:val="44"/>
          <w:sz w:val="40"/>
          <w:szCs w:val="40"/>
          <w:highlight w:val="none"/>
          <w:lang w:eastAsia="zh-CN"/>
        </w:rPr>
        <w:br w:type="page"/>
      </w:r>
    </w:p>
    <w:p w14:paraId="3511A231">
      <w:pPr>
        <w:pStyle w:val="19"/>
        <w:keepNext w:val="0"/>
        <w:keepLines w:val="0"/>
        <w:pageBreakBefore w:val="0"/>
        <w:widowControl/>
        <w:numPr>
          <w:ilvl w:val="0"/>
          <w:numId w:val="0"/>
        </w:numPr>
        <w:kinsoku/>
        <w:wordWrap/>
        <w:overflowPunct/>
        <w:topLinePunct w:val="0"/>
        <w:autoSpaceDE/>
        <w:autoSpaceDN/>
        <w:bidi w:val="0"/>
        <w:adjustRightInd/>
        <w:snapToGrid/>
        <w:spacing w:before="0" w:beforeLines="1700" w:line="240" w:lineRule="auto"/>
        <w:jc w:val="center"/>
        <w:textAlignment w:val="auto"/>
        <w:rPr>
          <w:rFonts w:hint="eastAsia" w:ascii="宋体" w:hAnsi="宋体"/>
          <w:b/>
          <w:color w:val="auto"/>
          <w:kern w:val="44"/>
          <w:sz w:val="40"/>
          <w:szCs w:val="40"/>
          <w:highlight w:val="none"/>
        </w:rPr>
      </w:pPr>
      <w:r>
        <w:rPr>
          <w:rFonts w:hint="eastAsia" w:ascii="宋体" w:hAnsi="宋体"/>
          <w:b/>
          <w:color w:val="auto"/>
          <w:kern w:val="44"/>
          <w:sz w:val="40"/>
          <w:szCs w:val="40"/>
          <w:highlight w:val="none"/>
          <w:lang w:eastAsia="zh-CN"/>
        </w:rPr>
        <w:t>第二章</w:t>
      </w:r>
      <w:r>
        <w:rPr>
          <w:rFonts w:hint="eastAsia" w:ascii="宋体" w:hAnsi="宋体"/>
          <w:b/>
          <w:color w:val="auto"/>
          <w:kern w:val="44"/>
          <w:sz w:val="40"/>
          <w:szCs w:val="40"/>
          <w:highlight w:val="none"/>
        </w:rPr>
        <w:t xml:space="preserve"> 投标人须知</w:t>
      </w:r>
    </w:p>
    <w:p w14:paraId="5F7D94E5">
      <w:pPr>
        <w:keepNext w:val="0"/>
        <w:keepLines w:val="0"/>
        <w:pageBreakBefore w:val="0"/>
        <w:widowControl w:val="0"/>
        <w:kinsoku/>
        <w:wordWrap/>
        <w:overflowPunct/>
        <w:topLinePunct w:val="0"/>
        <w:autoSpaceDE/>
        <w:autoSpaceDN/>
        <w:bidi w:val="0"/>
        <w:adjustRightInd w:val="0"/>
        <w:snapToGrid w:val="0"/>
        <w:spacing w:before="0" w:beforeLines="100" w:after="0" w:afterLines="50" w:line="240" w:lineRule="auto"/>
        <w:jc w:val="center"/>
        <w:textAlignment w:val="auto"/>
        <w:outlineLvl w:val="1"/>
        <w:rPr>
          <w:rFonts w:ascii="宋体" w:hAnsi="宋体"/>
          <w:b/>
          <w:bCs/>
          <w:color w:val="auto"/>
          <w:sz w:val="28"/>
          <w:szCs w:val="28"/>
          <w:highlight w:val="none"/>
        </w:rPr>
      </w:pPr>
      <w:bookmarkStart w:id="19" w:name="_Toc3854"/>
      <w:bookmarkEnd w:id="19"/>
      <w:r>
        <w:rPr>
          <w:rFonts w:hint="eastAsia" w:ascii="宋体" w:hAnsi="宋体"/>
          <w:b/>
          <w:bCs/>
          <w:color w:val="auto"/>
          <w:sz w:val="28"/>
          <w:szCs w:val="28"/>
          <w:highlight w:val="none"/>
        </w:rPr>
        <w:t>投标人须知前附表</w:t>
      </w:r>
      <w:bookmarkStart w:id="20" w:name="_Hlt111980600"/>
      <w:bookmarkEnd w:id="20"/>
    </w:p>
    <w:tbl>
      <w:tblPr>
        <w:tblStyle w:val="23"/>
        <w:tblW w:w="9708"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556"/>
        <w:gridCol w:w="6196"/>
      </w:tblGrid>
      <w:tr w14:paraId="28202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1203BEC">
            <w:pPr>
              <w:keepNext w:val="0"/>
              <w:keepLines w:val="0"/>
              <w:pageBreakBefore w:val="0"/>
              <w:kinsoku/>
              <w:wordWrap/>
              <w:overflowPunct/>
              <w:topLinePunct w:val="0"/>
              <w:autoSpaceDN/>
              <w:bidi w:val="0"/>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2556" w:type="dxa"/>
            <w:tcBorders>
              <w:top w:val="single" w:color="auto" w:sz="4" w:space="0"/>
              <w:left w:val="single" w:color="auto" w:sz="4" w:space="0"/>
              <w:bottom w:val="single" w:color="auto" w:sz="4" w:space="0"/>
              <w:right w:val="single" w:color="auto" w:sz="4" w:space="0"/>
            </w:tcBorders>
            <w:noWrap/>
            <w:vAlign w:val="center"/>
          </w:tcPr>
          <w:p w14:paraId="016D1AF4">
            <w:pPr>
              <w:keepNext w:val="0"/>
              <w:keepLines w:val="0"/>
              <w:pageBreakBefore w:val="0"/>
              <w:kinsoku/>
              <w:wordWrap/>
              <w:overflowPunct/>
              <w:topLinePunct w:val="0"/>
              <w:autoSpaceDN/>
              <w:bidi w:val="0"/>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 款 名 称</w:t>
            </w:r>
          </w:p>
        </w:tc>
        <w:tc>
          <w:tcPr>
            <w:tcW w:w="6196" w:type="dxa"/>
            <w:tcBorders>
              <w:top w:val="single" w:color="auto" w:sz="4" w:space="0"/>
              <w:left w:val="single" w:color="auto" w:sz="4" w:space="0"/>
              <w:bottom w:val="single" w:color="auto" w:sz="4" w:space="0"/>
              <w:right w:val="single" w:color="auto" w:sz="4" w:space="0"/>
            </w:tcBorders>
            <w:noWrap/>
            <w:vAlign w:val="center"/>
          </w:tcPr>
          <w:p w14:paraId="65E79439">
            <w:pPr>
              <w:keepNext w:val="0"/>
              <w:keepLines w:val="0"/>
              <w:pageBreakBefore w:val="0"/>
              <w:kinsoku/>
              <w:wordWrap/>
              <w:overflowPunct/>
              <w:topLinePunct w:val="0"/>
              <w:autoSpaceDN/>
              <w:bidi w:val="0"/>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 列 内 容</w:t>
            </w:r>
          </w:p>
        </w:tc>
      </w:tr>
      <w:tr w14:paraId="4FCD7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5647E7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556" w:type="dxa"/>
            <w:tcBorders>
              <w:top w:val="single" w:color="auto" w:sz="4" w:space="0"/>
              <w:left w:val="single" w:color="auto" w:sz="4" w:space="0"/>
              <w:bottom w:val="single" w:color="auto" w:sz="4" w:space="0"/>
              <w:right w:val="single" w:color="auto" w:sz="4" w:space="0"/>
            </w:tcBorders>
            <w:noWrap/>
            <w:vAlign w:val="center"/>
          </w:tcPr>
          <w:p w14:paraId="68F7F8F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p>
        </w:tc>
        <w:tc>
          <w:tcPr>
            <w:tcW w:w="6196" w:type="dxa"/>
            <w:tcBorders>
              <w:top w:val="single" w:color="auto" w:sz="4" w:space="0"/>
              <w:left w:val="single" w:color="auto" w:sz="4" w:space="0"/>
              <w:bottom w:val="single" w:color="auto" w:sz="4" w:space="0"/>
              <w:right w:val="single" w:color="auto" w:sz="4" w:space="0"/>
            </w:tcBorders>
            <w:noWrap/>
            <w:vAlign w:val="center"/>
          </w:tcPr>
          <w:p w14:paraId="0AB8A773">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招标人：</w:t>
            </w:r>
            <w:r>
              <w:rPr>
                <w:rFonts w:hint="eastAsia" w:ascii="宋体" w:hAnsi="宋体" w:cs="宋体"/>
                <w:color w:val="auto"/>
                <w:sz w:val="21"/>
                <w:szCs w:val="21"/>
                <w:highlight w:val="none"/>
                <w:lang w:val="en-US" w:eastAsia="zh-CN"/>
              </w:rPr>
              <w:t>平舆县公路事业发展中心</w:t>
            </w:r>
          </w:p>
          <w:p w14:paraId="1C3A5F4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w:t>
            </w:r>
            <w:r>
              <w:rPr>
                <w:rFonts w:hint="eastAsia" w:ascii="宋体" w:hAnsi="宋体" w:cs="宋体"/>
                <w:color w:val="auto"/>
                <w:sz w:val="21"/>
                <w:szCs w:val="21"/>
                <w:highlight w:val="none"/>
                <w:lang w:val="en-US" w:eastAsia="zh-CN"/>
              </w:rPr>
              <w:t>河南省平舆县海棠路1号</w:t>
            </w:r>
          </w:p>
          <w:p w14:paraId="502313AF">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w:t>
            </w:r>
            <w:r>
              <w:rPr>
                <w:rFonts w:hint="eastAsia" w:ascii="宋体" w:hAnsi="宋体" w:cs="宋体"/>
                <w:color w:val="auto"/>
                <w:sz w:val="21"/>
                <w:szCs w:val="21"/>
                <w:highlight w:val="none"/>
                <w:lang w:val="en-US" w:eastAsia="zh-CN"/>
              </w:rPr>
              <w:t>罗先生</w:t>
            </w:r>
          </w:p>
          <w:p w14:paraId="7F656407">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联系电话：</w:t>
            </w:r>
            <w:r>
              <w:rPr>
                <w:rFonts w:hint="eastAsia" w:ascii="宋体" w:hAnsi="宋体" w:cs="宋体"/>
                <w:color w:val="auto"/>
                <w:sz w:val="21"/>
                <w:szCs w:val="21"/>
                <w:highlight w:val="none"/>
                <w:lang w:val="en-US" w:eastAsia="zh-CN"/>
              </w:rPr>
              <w:t>0396-5286668</w:t>
            </w:r>
          </w:p>
        </w:tc>
      </w:tr>
      <w:tr w14:paraId="268C1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7DA163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2556" w:type="dxa"/>
            <w:tcBorders>
              <w:top w:val="single" w:color="auto" w:sz="4" w:space="0"/>
              <w:left w:val="single" w:color="auto" w:sz="4" w:space="0"/>
              <w:bottom w:val="single" w:color="auto" w:sz="4" w:space="0"/>
              <w:right w:val="single" w:color="auto" w:sz="4" w:space="0"/>
            </w:tcBorders>
            <w:noWrap/>
            <w:vAlign w:val="center"/>
          </w:tcPr>
          <w:p w14:paraId="49C0604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w:t>
            </w:r>
          </w:p>
        </w:tc>
        <w:tc>
          <w:tcPr>
            <w:tcW w:w="6196" w:type="dxa"/>
            <w:tcBorders>
              <w:top w:val="single" w:color="auto" w:sz="4" w:space="0"/>
              <w:left w:val="single" w:color="auto" w:sz="4" w:space="0"/>
              <w:bottom w:val="single" w:color="auto" w:sz="4" w:space="0"/>
              <w:right w:val="single" w:color="auto" w:sz="4" w:space="0"/>
            </w:tcBorders>
            <w:noWrap/>
            <w:vAlign w:val="center"/>
          </w:tcPr>
          <w:p w14:paraId="5176F238">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招标代理机构：中韵天隆工程集团有限公司</w:t>
            </w:r>
          </w:p>
          <w:p w14:paraId="131A2ED6">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地    址：郑州市经济技术开发区航海东路与经开第二十大街交叉口中兴新业港三期25幢</w:t>
            </w:r>
          </w:p>
          <w:p w14:paraId="3B8E5FCC">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联 系 人：刘先生</w:t>
            </w:r>
          </w:p>
          <w:p w14:paraId="02DF50D8">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联系电话：0371-88881296</w:t>
            </w:r>
          </w:p>
        </w:tc>
      </w:tr>
      <w:tr w14:paraId="1998A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694FCE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2556" w:type="dxa"/>
            <w:tcBorders>
              <w:top w:val="single" w:color="auto" w:sz="4" w:space="0"/>
              <w:left w:val="single" w:color="auto" w:sz="4" w:space="0"/>
              <w:bottom w:val="single" w:color="auto" w:sz="4" w:space="0"/>
              <w:right w:val="single" w:color="auto" w:sz="4" w:space="0"/>
            </w:tcBorders>
            <w:noWrap/>
            <w:vAlign w:val="center"/>
          </w:tcPr>
          <w:p w14:paraId="40C0327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招标项目名称</w:t>
            </w:r>
          </w:p>
        </w:tc>
        <w:tc>
          <w:tcPr>
            <w:tcW w:w="6196" w:type="dxa"/>
            <w:tcBorders>
              <w:top w:val="single" w:color="auto" w:sz="4" w:space="0"/>
              <w:left w:val="single" w:color="auto" w:sz="4" w:space="0"/>
              <w:bottom w:val="single" w:color="auto" w:sz="4" w:space="0"/>
              <w:right w:val="single" w:color="auto" w:sz="4" w:space="0"/>
            </w:tcBorders>
            <w:noWrap/>
            <w:vAlign w:val="center"/>
          </w:tcPr>
          <w:p w14:paraId="2BD0F07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省道225平舆县城区绕城道路一期改建工程（续建项目）施工及监理</w:t>
            </w:r>
          </w:p>
        </w:tc>
      </w:tr>
      <w:tr w14:paraId="465F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569493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2556" w:type="dxa"/>
            <w:tcBorders>
              <w:top w:val="single" w:color="auto" w:sz="4" w:space="0"/>
              <w:left w:val="single" w:color="auto" w:sz="4" w:space="0"/>
              <w:bottom w:val="single" w:color="auto" w:sz="4" w:space="0"/>
              <w:right w:val="single" w:color="auto" w:sz="4" w:space="0"/>
            </w:tcBorders>
            <w:noWrap/>
            <w:vAlign w:val="center"/>
          </w:tcPr>
          <w:p w14:paraId="2DDF2D6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标段建设地点</w:t>
            </w:r>
          </w:p>
        </w:tc>
        <w:tc>
          <w:tcPr>
            <w:tcW w:w="6196" w:type="dxa"/>
            <w:tcBorders>
              <w:top w:val="single" w:color="auto" w:sz="4" w:space="0"/>
              <w:left w:val="single" w:color="auto" w:sz="4" w:space="0"/>
              <w:bottom w:val="single" w:color="auto" w:sz="4" w:space="0"/>
              <w:right w:val="single" w:color="auto" w:sz="4" w:space="0"/>
            </w:tcBorders>
            <w:noWrap/>
            <w:vAlign w:val="center"/>
          </w:tcPr>
          <w:p w14:paraId="757C5A2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kern w:val="2"/>
                <w:sz w:val="21"/>
                <w:szCs w:val="21"/>
                <w:highlight w:val="none"/>
                <w:lang w:val="en-US" w:eastAsia="zh-CN" w:bidi="ar-SA"/>
              </w:rPr>
              <w:t>平舆县</w:t>
            </w:r>
            <w:r>
              <w:rPr>
                <w:rFonts w:hint="eastAsia" w:ascii="宋体" w:hAnsi="宋体" w:eastAsia="宋体" w:cs="宋体"/>
                <w:color w:val="auto"/>
                <w:kern w:val="2"/>
                <w:sz w:val="21"/>
                <w:szCs w:val="21"/>
                <w:highlight w:val="none"/>
                <w:lang w:val="en-US" w:eastAsia="zh-CN" w:bidi="ar-SA"/>
              </w:rPr>
              <w:t>境内</w:t>
            </w:r>
          </w:p>
        </w:tc>
      </w:tr>
      <w:tr w14:paraId="6263D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23D6D5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2556" w:type="dxa"/>
            <w:tcBorders>
              <w:top w:val="single" w:color="auto" w:sz="4" w:space="0"/>
              <w:left w:val="single" w:color="auto" w:sz="4" w:space="0"/>
              <w:bottom w:val="single" w:color="auto" w:sz="4" w:space="0"/>
              <w:right w:val="single" w:color="auto" w:sz="4" w:space="0"/>
            </w:tcBorders>
            <w:noWrap/>
            <w:vAlign w:val="center"/>
          </w:tcPr>
          <w:p w14:paraId="6A24F58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资金来源及比例</w:t>
            </w:r>
          </w:p>
        </w:tc>
        <w:tc>
          <w:tcPr>
            <w:tcW w:w="6196" w:type="dxa"/>
            <w:tcBorders>
              <w:top w:val="single" w:color="auto" w:sz="4" w:space="0"/>
              <w:left w:val="single" w:color="auto" w:sz="4" w:space="0"/>
              <w:bottom w:val="single" w:color="auto" w:sz="4" w:space="0"/>
              <w:right w:val="single" w:color="auto" w:sz="4" w:space="0"/>
            </w:tcBorders>
            <w:noWrap/>
            <w:vAlign w:val="center"/>
          </w:tcPr>
          <w:p w14:paraId="4D6D3FB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kern w:val="2"/>
                <w:sz w:val="21"/>
                <w:szCs w:val="21"/>
                <w:highlight w:val="none"/>
                <w:u w:val="none"/>
                <w:lang w:val="en-US" w:eastAsia="zh-CN" w:bidi="ar-SA"/>
              </w:rPr>
              <w:t>财政</w:t>
            </w:r>
            <w:r>
              <w:rPr>
                <w:rFonts w:hint="eastAsia" w:ascii="宋体" w:hAnsi="宋体" w:eastAsia="宋体" w:cs="宋体"/>
                <w:color w:val="auto"/>
                <w:kern w:val="2"/>
                <w:sz w:val="21"/>
                <w:szCs w:val="21"/>
                <w:highlight w:val="none"/>
                <w:u w:val="none"/>
                <w:lang w:val="en-US" w:eastAsia="zh-CN" w:bidi="ar-SA"/>
              </w:rPr>
              <w:t>资金</w:t>
            </w:r>
          </w:p>
        </w:tc>
      </w:tr>
      <w:tr w14:paraId="66A39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4E9D34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w:t>
            </w:r>
          </w:p>
        </w:tc>
        <w:tc>
          <w:tcPr>
            <w:tcW w:w="2556" w:type="dxa"/>
            <w:tcBorders>
              <w:top w:val="single" w:color="auto" w:sz="4" w:space="0"/>
              <w:left w:val="single" w:color="auto" w:sz="4" w:space="0"/>
              <w:bottom w:val="single" w:color="auto" w:sz="4" w:space="0"/>
              <w:right w:val="single" w:color="auto" w:sz="4" w:space="0"/>
            </w:tcBorders>
            <w:noWrap/>
            <w:vAlign w:val="center"/>
          </w:tcPr>
          <w:p w14:paraId="2E53120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196" w:type="dxa"/>
            <w:tcBorders>
              <w:top w:val="single" w:color="auto" w:sz="4" w:space="0"/>
              <w:left w:val="single" w:color="auto" w:sz="4" w:space="0"/>
              <w:bottom w:val="single" w:color="auto" w:sz="4" w:space="0"/>
              <w:right w:val="single" w:color="auto" w:sz="4" w:space="0"/>
            </w:tcBorders>
            <w:noWrap/>
            <w:vAlign w:val="center"/>
          </w:tcPr>
          <w:p w14:paraId="4A84A17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19F33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567C89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2556" w:type="dxa"/>
            <w:tcBorders>
              <w:top w:val="single" w:color="auto" w:sz="4" w:space="0"/>
              <w:left w:val="single" w:color="auto" w:sz="4" w:space="0"/>
              <w:bottom w:val="single" w:color="auto" w:sz="4" w:space="0"/>
              <w:right w:val="single" w:color="auto" w:sz="4" w:space="0"/>
            </w:tcBorders>
            <w:noWrap/>
            <w:vAlign w:val="center"/>
          </w:tcPr>
          <w:p w14:paraId="4015E5B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6196" w:type="dxa"/>
            <w:tcBorders>
              <w:top w:val="single" w:color="auto" w:sz="4" w:space="0"/>
              <w:left w:val="single" w:color="auto" w:sz="4" w:space="0"/>
              <w:bottom w:val="single" w:color="auto" w:sz="4" w:space="0"/>
              <w:right w:val="single" w:color="auto" w:sz="4" w:space="0"/>
            </w:tcBorders>
            <w:noWrap/>
            <w:vAlign w:val="center"/>
          </w:tcPr>
          <w:p w14:paraId="69BB8F4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施工图纸及工程量清单所含全部内容</w:t>
            </w:r>
          </w:p>
        </w:tc>
      </w:tr>
      <w:tr w14:paraId="17DD7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C3EF6F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2556" w:type="dxa"/>
            <w:tcBorders>
              <w:top w:val="single" w:color="auto" w:sz="4" w:space="0"/>
              <w:left w:val="single" w:color="auto" w:sz="4" w:space="0"/>
              <w:bottom w:val="single" w:color="auto" w:sz="4" w:space="0"/>
              <w:right w:val="single" w:color="auto" w:sz="4" w:space="0"/>
            </w:tcBorders>
            <w:noWrap/>
            <w:vAlign w:val="center"/>
          </w:tcPr>
          <w:p w14:paraId="40A89EA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计划工期</w:t>
            </w:r>
          </w:p>
        </w:tc>
        <w:tc>
          <w:tcPr>
            <w:tcW w:w="6196" w:type="dxa"/>
            <w:tcBorders>
              <w:top w:val="single" w:color="auto" w:sz="4" w:space="0"/>
              <w:left w:val="single" w:color="auto" w:sz="4" w:space="0"/>
              <w:bottom w:val="single" w:color="auto" w:sz="4" w:space="0"/>
              <w:right w:val="single" w:color="auto" w:sz="4" w:space="0"/>
            </w:tcBorders>
            <w:noWrap/>
            <w:vAlign w:val="center"/>
          </w:tcPr>
          <w:p w14:paraId="5CDC8B01">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180日历天，缺陷责任期12个月。</w:t>
            </w:r>
          </w:p>
          <w:p w14:paraId="7D8DA118">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计划开工日期：以合同约定时间为准</w:t>
            </w:r>
            <w:r>
              <w:rPr>
                <w:rFonts w:hint="eastAsia" w:ascii="宋体" w:hAnsi="宋体" w:cs="宋体"/>
                <w:color w:val="auto"/>
                <w:sz w:val="21"/>
                <w:szCs w:val="21"/>
                <w:highlight w:val="none"/>
                <w:lang w:eastAsia="zh-CN"/>
              </w:rPr>
              <w:t>；</w:t>
            </w:r>
          </w:p>
          <w:p w14:paraId="5D5B2C8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计划交工日期：以合同约定时间为</w:t>
            </w:r>
            <w:r>
              <w:rPr>
                <w:rFonts w:hint="eastAsia" w:ascii="宋体" w:hAnsi="宋体" w:cs="宋体"/>
                <w:color w:val="auto"/>
                <w:sz w:val="21"/>
                <w:szCs w:val="21"/>
                <w:highlight w:val="none"/>
                <w:lang w:eastAsia="zh-CN"/>
              </w:rPr>
              <w:t>准。</w:t>
            </w:r>
          </w:p>
        </w:tc>
      </w:tr>
      <w:tr w14:paraId="00C55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18732C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2556" w:type="dxa"/>
            <w:tcBorders>
              <w:top w:val="single" w:color="auto" w:sz="4" w:space="0"/>
              <w:left w:val="single" w:color="auto" w:sz="4" w:space="0"/>
              <w:bottom w:val="single" w:color="auto" w:sz="4" w:space="0"/>
              <w:right w:val="single" w:color="auto" w:sz="4" w:space="0"/>
            </w:tcBorders>
            <w:noWrap/>
            <w:vAlign w:val="center"/>
          </w:tcPr>
          <w:p w14:paraId="6B52F30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7E03CD41">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标段工程交工验收的质量评定：合格</w:t>
            </w:r>
          </w:p>
          <w:p w14:paraId="7EBB2DF5">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pacing w:val="-18"/>
                <w:sz w:val="21"/>
                <w:szCs w:val="21"/>
                <w:highlight w:val="none"/>
              </w:rPr>
            </w:pPr>
            <w:r>
              <w:rPr>
                <w:rFonts w:hint="eastAsia" w:ascii="宋体" w:hAnsi="宋体" w:eastAsia="宋体" w:cs="宋体"/>
                <w:color w:val="auto"/>
                <w:sz w:val="21"/>
                <w:szCs w:val="21"/>
                <w:highlight w:val="none"/>
              </w:rPr>
              <w:t>竣工验收的质量评定：合格</w:t>
            </w:r>
          </w:p>
        </w:tc>
      </w:tr>
      <w:tr w14:paraId="428A9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EEB27A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w:t>
            </w:r>
          </w:p>
        </w:tc>
        <w:tc>
          <w:tcPr>
            <w:tcW w:w="2556" w:type="dxa"/>
            <w:tcBorders>
              <w:top w:val="single" w:color="auto" w:sz="4" w:space="0"/>
              <w:left w:val="single" w:color="auto" w:sz="4" w:space="0"/>
              <w:bottom w:val="single" w:color="auto" w:sz="4" w:space="0"/>
              <w:right w:val="single" w:color="auto" w:sz="4" w:space="0"/>
            </w:tcBorders>
            <w:noWrap/>
            <w:vAlign w:val="center"/>
          </w:tcPr>
          <w:p w14:paraId="7733E9B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安全目标</w:t>
            </w:r>
          </w:p>
        </w:tc>
        <w:tc>
          <w:tcPr>
            <w:tcW w:w="6196" w:type="dxa"/>
            <w:tcBorders>
              <w:top w:val="single" w:color="auto" w:sz="4" w:space="0"/>
              <w:left w:val="single" w:color="auto" w:sz="4" w:space="0"/>
              <w:bottom w:val="single" w:color="auto" w:sz="4" w:space="0"/>
              <w:right w:val="single" w:color="auto" w:sz="4" w:space="0"/>
            </w:tcBorders>
            <w:noWrap/>
            <w:vAlign w:val="center"/>
          </w:tcPr>
          <w:p w14:paraId="61D7121B">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无安全事故</w:t>
            </w:r>
          </w:p>
        </w:tc>
      </w:tr>
      <w:tr w14:paraId="1C08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3513BC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2556" w:type="dxa"/>
            <w:tcBorders>
              <w:top w:val="single" w:color="auto" w:sz="4" w:space="0"/>
              <w:left w:val="single" w:color="auto" w:sz="4" w:space="0"/>
              <w:bottom w:val="single" w:color="auto" w:sz="4" w:space="0"/>
              <w:right w:val="single" w:color="auto" w:sz="4" w:space="0"/>
            </w:tcBorders>
            <w:noWrap/>
            <w:vAlign w:val="center"/>
          </w:tcPr>
          <w:p w14:paraId="362F3F5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投标人资质条件、能力和信誉 </w:t>
            </w:r>
          </w:p>
        </w:tc>
        <w:tc>
          <w:tcPr>
            <w:tcW w:w="6196" w:type="dxa"/>
            <w:tcBorders>
              <w:top w:val="single" w:color="auto" w:sz="4" w:space="0"/>
              <w:left w:val="single" w:color="auto" w:sz="4" w:space="0"/>
              <w:bottom w:val="single" w:color="auto" w:sz="4" w:space="0"/>
              <w:right w:val="single" w:color="auto" w:sz="4" w:space="0"/>
            </w:tcBorders>
            <w:noWrap/>
            <w:vAlign w:val="center"/>
          </w:tcPr>
          <w:p w14:paraId="437C9011">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资质要求：见附录1</w:t>
            </w:r>
          </w:p>
          <w:p w14:paraId="1D6B9555">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财务要求：见附录2</w:t>
            </w:r>
          </w:p>
          <w:p w14:paraId="587AF881">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业绩要求：见附录3</w:t>
            </w:r>
          </w:p>
          <w:p w14:paraId="0AFBB173">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信誉要求：见附录4</w:t>
            </w:r>
          </w:p>
          <w:p w14:paraId="08FBB35D">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项目经理和项目总工资格：见附录5</w:t>
            </w:r>
          </w:p>
        </w:tc>
      </w:tr>
      <w:tr w14:paraId="07CA5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7ED7215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2556" w:type="dxa"/>
            <w:tcBorders>
              <w:top w:val="single" w:color="auto" w:sz="4" w:space="0"/>
              <w:left w:val="single" w:color="auto" w:sz="4" w:space="0"/>
              <w:bottom w:val="single" w:color="auto" w:sz="4" w:space="0"/>
              <w:right w:val="single" w:color="auto" w:sz="4" w:space="0"/>
            </w:tcBorders>
            <w:noWrap/>
            <w:vAlign w:val="center"/>
          </w:tcPr>
          <w:p w14:paraId="0A2F7D6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6196" w:type="dxa"/>
            <w:tcBorders>
              <w:top w:val="single" w:color="auto" w:sz="4" w:space="0"/>
              <w:left w:val="single" w:color="auto" w:sz="4" w:space="0"/>
              <w:bottom w:val="single" w:color="auto" w:sz="4" w:space="0"/>
              <w:right w:val="single" w:color="auto" w:sz="4" w:space="0"/>
            </w:tcBorders>
            <w:noWrap/>
            <w:vAlign w:val="center"/>
          </w:tcPr>
          <w:p w14:paraId="37ADA1F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w:t>
            </w:r>
          </w:p>
          <w:p w14:paraId="61E92076">
            <w:pPr>
              <w:pStyle w:val="41"/>
              <w:keepNext w:val="0"/>
              <w:keepLines w:val="0"/>
              <w:pageBreakBefore w:val="0"/>
              <w:kinsoku/>
              <w:wordWrap/>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接受，应满足下列要求：</w:t>
            </w:r>
          </w:p>
          <w:p w14:paraId="604AD14F">
            <w:pPr>
              <w:pStyle w:val="41"/>
              <w:keepNext w:val="0"/>
              <w:keepLines w:val="0"/>
              <w:pageBreakBefore w:val="0"/>
              <w:kinsoku/>
              <w:wordWrap/>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（1）联合体所有成员数量不得超过 / 家；</w:t>
            </w:r>
          </w:p>
          <w:p w14:paraId="1110078A">
            <w:pPr>
              <w:pStyle w:val="41"/>
              <w:keepNext w:val="0"/>
              <w:keepLines w:val="0"/>
              <w:pageBreakBefore w:val="0"/>
              <w:kinsoku/>
              <w:wordWrap/>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（2）联合体牵头人应具有 / 资质；</w:t>
            </w:r>
          </w:p>
          <w:p w14:paraId="49588224">
            <w:pPr>
              <w:pStyle w:val="41"/>
              <w:keepNext w:val="0"/>
              <w:keepLines w:val="0"/>
              <w:pageBreakBefore w:val="0"/>
              <w:kinsoku/>
              <w:wordWrap/>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2241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668AC1E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w:t>
            </w:r>
          </w:p>
        </w:tc>
        <w:tc>
          <w:tcPr>
            <w:tcW w:w="2556" w:type="dxa"/>
            <w:tcBorders>
              <w:top w:val="single" w:color="auto" w:sz="4" w:space="0"/>
              <w:left w:val="single" w:color="auto" w:sz="4" w:space="0"/>
              <w:bottom w:val="single" w:color="auto" w:sz="4" w:space="0"/>
              <w:right w:val="single" w:color="auto" w:sz="4" w:space="0"/>
            </w:tcBorders>
            <w:noWrap/>
            <w:vAlign w:val="center"/>
          </w:tcPr>
          <w:p w14:paraId="0648B23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投标人不得存在的其他关联情形</w:t>
            </w:r>
          </w:p>
        </w:tc>
        <w:tc>
          <w:tcPr>
            <w:tcW w:w="6196" w:type="dxa"/>
            <w:tcBorders>
              <w:top w:val="single" w:color="auto" w:sz="4" w:space="0"/>
              <w:left w:val="single" w:color="auto" w:sz="4" w:space="0"/>
              <w:bottom w:val="single" w:color="auto" w:sz="4" w:space="0"/>
              <w:right w:val="single" w:color="auto" w:sz="4" w:space="0"/>
            </w:tcBorders>
            <w:noWrap/>
            <w:vAlign w:val="center"/>
          </w:tcPr>
          <w:p w14:paraId="3A24C16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见须知正文</w:t>
            </w:r>
          </w:p>
        </w:tc>
      </w:tr>
      <w:tr w14:paraId="09B52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864D7A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w:t>
            </w:r>
          </w:p>
        </w:tc>
        <w:tc>
          <w:tcPr>
            <w:tcW w:w="2556" w:type="dxa"/>
            <w:tcBorders>
              <w:top w:val="single" w:color="auto" w:sz="4" w:space="0"/>
              <w:left w:val="single" w:color="auto" w:sz="4" w:space="0"/>
              <w:bottom w:val="single" w:color="auto" w:sz="4" w:space="0"/>
              <w:right w:val="single" w:color="auto" w:sz="4" w:space="0"/>
            </w:tcBorders>
            <w:noWrap/>
            <w:vAlign w:val="center"/>
          </w:tcPr>
          <w:p w14:paraId="30201AB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投标人不得存在的其他不良状况或不良信用记录</w:t>
            </w:r>
          </w:p>
        </w:tc>
        <w:tc>
          <w:tcPr>
            <w:tcW w:w="6196" w:type="dxa"/>
            <w:tcBorders>
              <w:top w:val="single" w:color="auto" w:sz="4" w:space="0"/>
              <w:left w:val="single" w:color="auto" w:sz="4" w:space="0"/>
              <w:bottom w:val="single" w:color="auto" w:sz="4" w:space="0"/>
              <w:right w:val="single" w:color="auto" w:sz="4" w:space="0"/>
            </w:tcBorders>
            <w:noWrap/>
            <w:vAlign w:val="center"/>
          </w:tcPr>
          <w:p w14:paraId="37D4837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见须知正文</w:t>
            </w:r>
          </w:p>
        </w:tc>
      </w:tr>
      <w:tr w14:paraId="5C871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2DC3EE9">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2556" w:type="dxa"/>
            <w:tcBorders>
              <w:top w:val="single" w:color="auto" w:sz="4" w:space="0"/>
              <w:left w:val="single" w:color="auto" w:sz="4" w:space="0"/>
              <w:bottom w:val="single" w:color="auto" w:sz="4" w:space="0"/>
              <w:right w:val="single" w:color="auto" w:sz="4" w:space="0"/>
            </w:tcBorders>
            <w:noWrap/>
            <w:vAlign w:val="center"/>
          </w:tcPr>
          <w:p w14:paraId="58D84878">
            <w:pPr>
              <w:keepNext w:val="0"/>
              <w:keepLines w:val="0"/>
              <w:pageBreakBefore w:val="0"/>
              <w:kinsoku/>
              <w:wordWrap/>
              <w:overflowPunct/>
              <w:topLinePunct w:val="0"/>
              <w:autoSpaceDE w:val="0"/>
              <w:autoSpaceDN/>
              <w:bidi w:val="0"/>
              <w:spacing w:line="360" w:lineRule="atLeast"/>
              <w:ind w:left="-106" w:leftChars="-51" w:right="-107" w:rightChars="-51" w:hanging="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投标人在投标预备会前提出问题</w:t>
            </w:r>
          </w:p>
        </w:tc>
        <w:tc>
          <w:tcPr>
            <w:tcW w:w="6196" w:type="dxa"/>
            <w:tcBorders>
              <w:top w:val="single" w:color="auto" w:sz="4" w:space="0"/>
              <w:left w:val="single" w:color="auto" w:sz="4" w:space="0"/>
              <w:bottom w:val="single" w:color="auto" w:sz="4" w:space="0"/>
              <w:right w:val="single" w:color="auto" w:sz="4" w:space="0"/>
            </w:tcBorders>
            <w:noWrap/>
            <w:vAlign w:val="center"/>
          </w:tcPr>
          <w:p w14:paraId="65B0410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不召开预备会，如有疑问见条款2</w:t>
            </w:r>
          </w:p>
        </w:tc>
      </w:tr>
      <w:tr w14:paraId="08BB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78951B4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w:t>
            </w:r>
          </w:p>
        </w:tc>
        <w:tc>
          <w:tcPr>
            <w:tcW w:w="2556" w:type="dxa"/>
            <w:tcBorders>
              <w:top w:val="single" w:color="auto" w:sz="4" w:space="0"/>
              <w:left w:val="single" w:color="auto" w:sz="4" w:space="0"/>
              <w:bottom w:val="single" w:color="auto" w:sz="4" w:space="0"/>
              <w:right w:val="single" w:color="auto" w:sz="4" w:space="0"/>
            </w:tcBorders>
            <w:noWrap/>
            <w:vAlign w:val="center"/>
          </w:tcPr>
          <w:p w14:paraId="590B8B9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6196" w:type="dxa"/>
            <w:tcBorders>
              <w:top w:val="single" w:color="auto" w:sz="4" w:space="0"/>
              <w:left w:val="single" w:color="auto" w:sz="4" w:space="0"/>
              <w:bottom w:val="single" w:color="auto" w:sz="4" w:space="0"/>
              <w:right w:val="single" w:color="auto" w:sz="4" w:space="0"/>
            </w:tcBorders>
            <w:noWrap/>
            <w:vAlign w:val="center"/>
          </w:tcPr>
          <w:p w14:paraId="063E7C45">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3FFA184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允许，允许分包的专项工程（或不允许分包的专项工程）：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合法分包</w:t>
            </w:r>
            <w:r>
              <w:rPr>
                <w:rFonts w:hint="eastAsia" w:ascii="宋体" w:hAnsi="宋体" w:eastAsia="宋体" w:cs="宋体"/>
                <w:color w:val="auto"/>
                <w:sz w:val="21"/>
                <w:szCs w:val="21"/>
                <w:highlight w:val="none"/>
                <w:lang w:eastAsia="zh-CN"/>
              </w:rPr>
              <w:t>）</w:t>
            </w:r>
          </w:p>
          <w:p w14:paraId="0C2F67D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对分包人的资格要求：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合法分包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ab/>
            </w:r>
          </w:p>
        </w:tc>
      </w:tr>
      <w:tr w14:paraId="2F0E7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ECE2D3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2556" w:type="dxa"/>
            <w:tcBorders>
              <w:top w:val="single" w:color="auto" w:sz="4" w:space="0"/>
              <w:left w:val="single" w:color="auto" w:sz="4" w:space="0"/>
              <w:bottom w:val="single" w:color="auto" w:sz="4" w:space="0"/>
              <w:right w:val="single" w:color="auto" w:sz="4" w:space="0"/>
            </w:tcBorders>
            <w:noWrap/>
            <w:vAlign w:val="center"/>
          </w:tcPr>
          <w:p w14:paraId="654EBACD">
            <w:pPr>
              <w:keepNext w:val="0"/>
              <w:keepLines w:val="0"/>
              <w:pageBreakBefore w:val="0"/>
              <w:kinsoku/>
              <w:wordWrap/>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构成招标文件的其他材料</w:t>
            </w:r>
          </w:p>
        </w:tc>
        <w:tc>
          <w:tcPr>
            <w:tcW w:w="6196" w:type="dxa"/>
            <w:tcBorders>
              <w:top w:val="single" w:color="auto" w:sz="4" w:space="0"/>
              <w:left w:val="single" w:color="auto" w:sz="4" w:space="0"/>
              <w:bottom w:val="single" w:color="auto" w:sz="4" w:space="0"/>
              <w:right w:val="single" w:color="auto" w:sz="4" w:space="0"/>
            </w:tcBorders>
            <w:noWrap/>
            <w:vAlign w:val="center"/>
          </w:tcPr>
          <w:p w14:paraId="0286C405">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1.招标人发布的最高投标限价、招标补遗书、澄清、修改等招标文件的补充文件（如有）；</w:t>
            </w:r>
          </w:p>
          <w:p w14:paraId="6FCA7FD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2.其他相关规范、要求等。</w:t>
            </w:r>
          </w:p>
        </w:tc>
      </w:tr>
      <w:tr w14:paraId="2799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56" w:type="dxa"/>
            <w:vMerge w:val="restart"/>
            <w:tcBorders>
              <w:top w:val="nil"/>
              <w:left w:val="single" w:color="auto" w:sz="4" w:space="0"/>
              <w:bottom w:val="single" w:color="auto" w:sz="4" w:space="0"/>
              <w:right w:val="single" w:color="auto" w:sz="4" w:space="0"/>
            </w:tcBorders>
            <w:noWrap/>
            <w:vAlign w:val="center"/>
          </w:tcPr>
          <w:p w14:paraId="6301C9B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556" w:type="dxa"/>
            <w:vMerge w:val="restart"/>
            <w:tcBorders>
              <w:top w:val="nil"/>
              <w:left w:val="single" w:color="auto" w:sz="4" w:space="0"/>
              <w:bottom w:val="single" w:color="auto" w:sz="4" w:space="0"/>
              <w:right w:val="single" w:color="auto" w:sz="4" w:space="0"/>
            </w:tcBorders>
            <w:noWrap/>
            <w:vAlign w:val="center"/>
          </w:tcPr>
          <w:p w14:paraId="1226FE61">
            <w:pPr>
              <w:keepNext w:val="0"/>
              <w:keepLines w:val="0"/>
              <w:pageBreakBefore w:val="0"/>
              <w:kinsoku/>
              <w:wordWrap/>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投标人要求澄清招标文件</w:t>
            </w:r>
          </w:p>
        </w:tc>
        <w:tc>
          <w:tcPr>
            <w:tcW w:w="6196" w:type="dxa"/>
            <w:tcBorders>
              <w:top w:val="single" w:color="auto" w:sz="4" w:space="0"/>
              <w:left w:val="single" w:color="auto" w:sz="4" w:space="0"/>
              <w:bottom w:val="single" w:color="auto" w:sz="4" w:space="0"/>
              <w:right w:val="single" w:color="auto" w:sz="4" w:space="0"/>
            </w:tcBorders>
            <w:noWrap/>
            <w:vAlign w:val="center"/>
          </w:tcPr>
          <w:p w14:paraId="62E7650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时间：投标截止时间15日前</w:t>
            </w:r>
          </w:p>
        </w:tc>
      </w:tr>
      <w:tr w14:paraId="3BDB8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56" w:type="dxa"/>
            <w:vMerge w:val="continue"/>
            <w:tcBorders>
              <w:top w:val="nil"/>
              <w:left w:val="single" w:color="auto" w:sz="4" w:space="0"/>
              <w:bottom w:val="single" w:color="auto" w:sz="4" w:space="0"/>
              <w:right w:val="single" w:color="auto" w:sz="4" w:space="0"/>
            </w:tcBorders>
            <w:vAlign w:val="center"/>
          </w:tcPr>
          <w:p w14:paraId="5D9CB8D4">
            <w:pPr>
              <w:keepNext w:val="0"/>
              <w:keepLines w:val="0"/>
              <w:pageBreakBefore w:val="0"/>
              <w:widowControl/>
              <w:kinsoku/>
              <w:wordWrap/>
              <w:overflowPunct/>
              <w:topLinePunct w:val="0"/>
              <w:autoSpaceDN/>
              <w:bidi w:val="0"/>
              <w:spacing w:line="360" w:lineRule="atLeast"/>
              <w:jc w:val="left"/>
              <w:textAlignment w:val="auto"/>
              <w:rPr>
                <w:rFonts w:hint="eastAsia" w:ascii="宋体" w:hAnsi="宋体" w:eastAsia="宋体" w:cs="宋体"/>
                <w:color w:val="auto"/>
                <w:sz w:val="21"/>
                <w:szCs w:val="21"/>
                <w:highlight w:val="none"/>
              </w:rPr>
            </w:pPr>
          </w:p>
        </w:tc>
        <w:tc>
          <w:tcPr>
            <w:tcW w:w="2556" w:type="dxa"/>
            <w:vMerge w:val="continue"/>
            <w:tcBorders>
              <w:top w:val="nil"/>
              <w:left w:val="single" w:color="auto" w:sz="4" w:space="0"/>
              <w:bottom w:val="single" w:color="auto" w:sz="4" w:space="0"/>
              <w:right w:val="single" w:color="auto" w:sz="4" w:space="0"/>
            </w:tcBorders>
            <w:vAlign w:val="center"/>
          </w:tcPr>
          <w:p w14:paraId="05FF3439">
            <w:pPr>
              <w:keepNext w:val="0"/>
              <w:keepLines w:val="0"/>
              <w:pageBreakBefore w:val="0"/>
              <w:widowControl/>
              <w:kinsoku/>
              <w:wordWrap/>
              <w:overflowPunct/>
              <w:topLinePunct w:val="0"/>
              <w:autoSpaceDN/>
              <w:bidi w:val="0"/>
              <w:spacing w:line="360" w:lineRule="atLeast"/>
              <w:jc w:val="left"/>
              <w:textAlignment w:val="auto"/>
              <w:rPr>
                <w:rFonts w:hint="eastAsia" w:ascii="宋体" w:hAnsi="宋体" w:eastAsia="宋体" w:cs="宋体"/>
                <w:color w:val="auto"/>
                <w:sz w:val="21"/>
                <w:szCs w:val="21"/>
                <w:highlight w:val="none"/>
              </w:rPr>
            </w:pPr>
          </w:p>
        </w:tc>
        <w:tc>
          <w:tcPr>
            <w:tcW w:w="6196" w:type="dxa"/>
            <w:tcBorders>
              <w:top w:val="single" w:color="auto" w:sz="4" w:space="0"/>
              <w:left w:val="single" w:color="auto" w:sz="4" w:space="0"/>
              <w:bottom w:val="single" w:color="auto" w:sz="4" w:space="0"/>
              <w:right w:val="single" w:color="auto" w:sz="4" w:space="0"/>
            </w:tcBorders>
            <w:noWrap/>
            <w:vAlign w:val="center"/>
          </w:tcPr>
          <w:p w14:paraId="4EF2750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形式：通过“驻马店市公共资源交易平台”要求澄清招标文件。</w:t>
            </w:r>
          </w:p>
        </w:tc>
      </w:tr>
      <w:tr w14:paraId="41454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7C9B3E7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2556" w:type="dxa"/>
            <w:tcBorders>
              <w:top w:val="single" w:color="auto" w:sz="4" w:space="0"/>
              <w:left w:val="single" w:color="auto" w:sz="4" w:space="0"/>
              <w:bottom w:val="single" w:color="auto" w:sz="4" w:space="0"/>
              <w:right w:val="single" w:color="auto" w:sz="4" w:space="0"/>
            </w:tcBorders>
            <w:noWrap/>
            <w:vAlign w:val="center"/>
          </w:tcPr>
          <w:p w14:paraId="487314E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招标文件澄清发出的形式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17C44BAA">
            <w:pPr>
              <w:keepNext w:val="0"/>
              <w:keepLines w:val="0"/>
              <w:pageBreakBefore w:val="0"/>
              <w:widowControl w:val="0"/>
              <w:kinsoku/>
              <w:wordWrap w:val="0"/>
              <w:overflowPunct/>
              <w:topLinePunct w:val="0"/>
              <w:autoSpaceDE w:val="0"/>
              <w:autoSpaceDN/>
              <w:bidi w:val="0"/>
              <w:adjustRightInd/>
              <w:snapToGrid/>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通过“驻马店市公共资源交易平台(https://ggzy.zhumadian.gov.cn/TPFront/)”进行公布，不再另行通知，请各投标人及时关注交易平台，因投标人未看到或其他原因造成的损失，由投标人自行承担。</w:t>
            </w:r>
          </w:p>
        </w:tc>
      </w:tr>
      <w:tr w14:paraId="503AF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FF1F53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2556" w:type="dxa"/>
            <w:tcBorders>
              <w:top w:val="single" w:color="auto" w:sz="4" w:space="0"/>
              <w:left w:val="single" w:color="auto" w:sz="4" w:space="0"/>
              <w:bottom w:val="single" w:color="auto" w:sz="4" w:space="0"/>
              <w:right w:val="single" w:color="auto" w:sz="4" w:space="0"/>
            </w:tcBorders>
            <w:noWrap/>
            <w:vAlign w:val="center"/>
          </w:tcPr>
          <w:p w14:paraId="7197F80B">
            <w:pPr>
              <w:keepNext w:val="0"/>
              <w:keepLines w:val="0"/>
              <w:pageBreakBefore w:val="0"/>
              <w:kinsoku/>
              <w:wordWrap/>
              <w:overflowPunct/>
              <w:topLinePunct w:val="0"/>
              <w:autoSpaceDE w:val="0"/>
              <w:autoSpaceDN/>
              <w:bidi w:val="0"/>
              <w:spacing w:line="360" w:lineRule="atLeast"/>
              <w:ind w:left="-141" w:leftChars="-67" w:right="-107" w:rightChars="-51" w:firstLine="27" w:firstLineChars="13"/>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w:t>
            </w:r>
          </w:p>
          <w:p w14:paraId="7D2A27B1">
            <w:pPr>
              <w:keepNext w:val="0"/>
              <w:keepLines w:val="0"/>
              <w:pageBreakBefore w:val="0"/>
              <w:kinsoku/>
              <w:wordWrap/>
              <w:overflowPunct/>
              <w:topLinePunct w:val="0"/>
              <w:autoSpaceDE w:val="0"/>
              <w:autoSpaceDN/>
              <w:bidi w:val="0"/>
              <w:spacing w:line="360" w:lineRule="atLeast"/>
              <w:ind w:left="-141" w:leftChars="-67" w:right="-107" w:rightChars="-51" w:firstLine="27" w:firstLineChars="13"/>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招标文件澄清</w:t>
            </w:r>
          </w:p>
        </w:tc>
        <w:tc>
          <w:tcPr>
            <w:tcW w:w="6196" w:type="dxa"/>
            <w:tcBorders>
              <w:top w:val="single" w:color="auto" w:sz="4" w:space="0"/>
              <w:left w:val="single" w:color="auto" w:sz="4" w:space="0"/>
              <w:bottom w:val="single" w:color="auto" w:sz="4" w:space="0"/>
              <w:right w:val="single" w:color="auto" w:sz="4" w:space="0"/>
            </w:tcBorders>
            <w:noWrap/>
            <w:vAlign w:val="center"/>
          </w:tcPr>
          <w:p w14:paraId="32AC3C25">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所有澄清均通过“驻马店市公共资源交易平台”发布，一经发布即视为投标人已收到，请各投标人关注系统通知，如有遗漏自行负责。投标人无需书面回复确认收到。</w:t>
            </w:r>
          </w:p>
        </w:tc>
      </w:tr>
      <w:tr w14:paraId="22A6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8909DA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w:t>
            </w:r>
          </w:p>
        </w:tc>
        <w:tc>
          <w:tcPr>
            <w:tcW w:w="2556" w:type="dxa"/>
            <w:tcBorders>
              <w:top w:val="single" w:color="auto" w:sz="4" w:space="0"/>
              <w:left w:val="single" w:color="auto" w:sz="4" w:space="0"/>
              <w:bottom w:val="single" w:color="auto" w:sz="4" w:space="0"/>
              <w:right w:val="single" w:color="auto" w:sz="4" w:space="0"/>
            </w:tcBorders>
            <w:noWrap/>
            <w:vAlign w:val="center"/>
          </w:tcPr>
          <w:p w14:paraId="7DE158EB">
            <w:pPr>
              <w:keepNext w:val="0"/>
              <w:keepLines w:val="0"/>
              <w:pageBreakBefore w:val="0"/>
              <w:kinsoku/>
              <w:wordWrap/>
              <w:overflowPunct/>
              <w:topLinePunct w:val="0"/>
              <w:autoSpaceDE w:val="0"/>
              <w:autoSpaceDN/>
              <w:bidi w:val="0"/>
              <w:spacing w:line="360" w:lineRule="atLeast"/>
              <w:ind w:left="-141" w:leftChars="-67" w:right="-107" w:rightChars="-51" w:firstLine="27" w:firstLineChars="13"/>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招标文件修改发出的形式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7D3B93F0">
            <w:pPr>
              <w:keepNext w:val="0"/>
              <w:keepLines w:val="0"/>
              <w:pageBreakBefore w:val="0"/>
              <w:widowControl w:val="0"/>
              <w:kinsoku/>
              <w:wordWrap w:val="0"/>
              <w:overflowPunct/>
              <w:topLinePunct w:val="0"/>
              <w:autoSpaceDE w:val="0"/>
              <w:autoSpaceDN/>
              <w:bidi w:val="0"/>
              <w:adjustRightInd/>
              <w:snapToGrid/>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通过“驻马店市公共资源交易平台(https://ggzy.zhumadian.gov.cn/TPFront/)”进行公布，不再另行通知，请各投标人及时关注交易平台，因投标人未看到或其他原因造成的损失，由投标人自行承担。</w:t>
            </w:r>
          </w:p>
        </w:tc>
      </w:tr>
      <w:tr w14:paraId="5B680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4FB5FA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w:t>
            </w:r>
          </w:p>
        </w:tc>
        <w:tc>
          <w:tcPr>
            <w:tcW w:w="2556" w:type="dxa"/>
            <w:tcBorders>
              <w:top w:val="single" w:color="auto" w:sz="4" w:space="0"/>
              <w:left w:val="single" w:color="auto" w:sz="4" w:space="0"/>
              <w:bottom w:val="single" w:color="auto" w:sz="4" w:space="0"/>
              <w:right w:val="single" w:color="auto" w:sz="4" w:space="0"/>
            </w:tcBorders>
            <w:noWrap/>
            <w:vAlign w:val="center"/>
          </w:tcPr>
          <w:p w14:paraId="7BE49D2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投标人确认收到招标文件修改</w:t>
            </w:r>
          </w:p>
        </w:tc>
        <w:tc>
          <w:tcPr>
            <w:tcW w:w="6196" w:type="dxa"/>
            <w:tcBorders>
              <w:top w:val="single" w:color="auto" w:sz="4" w:space="0"/>
              <w:left w:val="single" w:color="auto" w:sz="4" w:space="0"/>
              <w:bottom w:val="single" w:color="auto" w:sz="4" w:space="0"/>
              <w:right w:val="single" w:color="auto" w:sz="4" w:space="0"/>
            </w:tcBorders>
            <w:noWrap/>
            <w:vAlign w:val="center"/>
          </w:tcPr>
          <w:p w14:paraId="0B65AF1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所有招标文件修改均通过“驻马店市公共资源交易平台”发布，一经发布即视为投标人已收到，请各投标人关注系统通知，如有遗漏自行负责。投标人无需书面回复确认收到。</w:t>
            </w:r>
          </w:p>
        </w:tc>
      </w:tr>
      <w:tr w14:paraId="2DEAB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4214A27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p>
        </w:tc>
        <w:tc>
          <w:tcPr>
            <w:tcW w:w="2556" w:type="dxa"/>
            <w:tcBorders>
              <w:top w:val="single" w:color="auto" w:sz="4" w:space="0"/>
              <w:left w:val="single" w:color="auto" w:sz="4" w:space="0"/>
              <w:bottom w:val="single" w:color="auto" w:sz="4" w:space="0"/>
              <w:right w:val="single" w:color="auto" w:sz="4" w:space="0"/>
            </w:tcBorders>
            <w:noWrap/>
            <w:vAlign w:val="center"/>
          </w:tcPr>
          <w:p w14:paraId="0EE2F570">
            <w:pPr>
              <w:keepNext w:val="0"/>
              <w:keepLines w:val="0"/>
              <w:pageBreakBefore w:val="0"/>
              <w:kinsoku/>
              <w:wordWrap/>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投标文件密封形式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1FD86100">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双信封</w:t>
            </w:r>
          </w:p>
          <w:p w14:paraId="40987C51">
            <w:pPr>
              <w:keepNext w:val="0"/>
              <w:keepLines w:val="0"/>
              <w:pageBreakBefore w:val="0"/>
              <w:tabs>
                <w:tab w:val="left" w:pos="2278"/>
              </w:tabs>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□单信封</w:t>
            </w:r>
            <w:r>
              <w:rPr>
                <w:rFonts w:hint="eastAsia" w:ascii="宋体" w:hAnsi="宋体" w:eastAsia="宋体" w:cs="宋体"/>
                <w:color w:val="auto"/>
                <w:sz w:val="21"/>
                <w:szCs w:val="21"/>
                <w:highlight w:val="none"/>
                <w:lang w:eastAsia="zh-CN"/>
              </w:rPr>
              <w:tab/>
            </w:r>
          </w:p>
        </w:tc>
      </w:tr>
      <w:tr w14:paraId="40243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0C2523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w:t>
            </w:r>
          </w:p>
        </w:tc>
        <w:tc>
          <w:tcPr>
            <w:tcW w:w="2556" w:type="dxa"/>
            <w:tcBorders>
              <w:top w:val="single" w:color="auto" w:sz="4" w:space="0"/>
              <w:left w:val="single" w:color="auto" w:sz="4" w:space="0"/>
              <w:bottom w:val="single" w:color="auto" w:sz="4" w:space="0"/>
              <w:right w:val="single" w:color="auto" w:sz="4" w:space="0"/>
            </w:tcBorders>
            <w:noWrap/>
            <w:vAlign w:val="center"/>
          </w:tcPr>
          <w:p w14:paraId="37874571">
            <w:pPr>
              <w:keepNext w:val="0"/>
              <w:keepLines w:val="0"/>
              <w:pageBreakBefore w:val="0"/>
              <w:kinsoku/>
              <w:wordWrap/>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构成投标文件的其他资料</w:t>
            </w:r>
          </w:p>
        </w:tc>
        <w:tc>
          <w:tcPr>
            <w:tcW w:w="6196" w:type="dxa"/>
            <w:tcBorders>
              <w:top w:val="single" w:color="auto" w:sz="4" w:space="0"/>
              <w:left w:val="single" w:color="auto" w:sz="4" w:space="0"/>
              <w:bottom w:val="single" w:color="auto" w:sz="4" w:space="0"/>
              <w:right w:val="single" w:color="auto" w:sz="4" w:space="0"/>
            </w:tcBorders>
            <w:noWrap/>
            <w:vAlign w:val="center"/>
          </w:tcPr>
          <w:p w14:paraId="269BE05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2E1FD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FF8814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w:t>
            </w:r>
          </w:p>
        </w:tc>
        <w:tc>
          <w:tcPr>
            <w:tcW w:w="2556" w:type="dxa"/>
            <w:tcBorders>
              <w:top w:val="single" w:color="auto" w:sz="4" w:space="0"/>
              <w:left w:val="single" w:color="auto" w:sz="4" w:space="0"/>
              <w:bottom w:val="single" w:color="auto" w:sz="4" w:space="0"/>
              <w:right w:val="single" w:color="auto" w:sz="4" w:space="0"/>
            </w:tcBorders>
            <w:noWrap/>
            <w:vAlign w:val="center"/>
          </w:tcPr>
          <w:p w14:paraId="598035E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增值税税金的计算方法</w:t>
            </w:r>
          </w:p>
        </w:tc>
        <w:tc>
          <w:tcPr>
            <w:tcW w:w="6196" w:type="dxa"/>
            <w:tcBorders>
              <w:top w:val="single" w:color="auto" w:sz="4" w:space="0"/>
              <w:left w:val="single" w:color="auto" w:sz="4" w:space="0"/>
              <w:bottom w:val="single" w:color="auto" w:sz="4" w:space="0"/>
              <w:right w:val="single" w:color="auto" w:sz="4" w:space="0"/>
            </w:tcBorders>
            <w:noWrap/>
            <w:vAlign w:val="center"/>
          </w:tcPr>
          <w:p w14:paraId="2682650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按国家最新规定</w:t>
            </w:r>
          </w:p>
        </w:tc>
      </w:tr>
      <w:tr w14:paraId="342EA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6303EF3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w:t>
            </w:r>
          </w:p>
        </w:tc>
        <w:tc>
          <w:tcPr>
            <w:tcW w:w="2556" w:type="dxa"/>
            <w:tcBorders>
              <w:top w:val="single" w:color="auto" w:sz="4" w:space="0"/>
              <w:left w:val="single" w:color="auto" w:sz="4" w:space="0"/>
              <w:bottom w:val="single" w:color="auto" w:sz="4" w:space="0"/>
              <w:right w:val="single" w:color="auto" w:sz="4" w:space="0"/>
            </w:tcBorders>
            <w:noWrap/>
            <w:vAlign w:val="center"/>
          </w:tcPr>
          <w:p w14:paraId="653050A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工程量清单的填写方式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21765CB2">
            <w:pPr>
              <w:keepNext w:val="0"/>
              <w:keepLines w:val="0"/>
              <w:pageBreakBefore w:val="0"/>
              <w:widowControl w:val="0"/>
              <w:kinsoku/>
              <w:wordWrap w:val="0"/>
              <w:overflowPunct/>
              <w:topLinePunct w:val="0"/>
              <w:autoSpaceDE w:val="0"/>
              <w:autoSpaceDN/>
              <w:bidi w:val="0"/>
              <w:adjustRightInd/>
              <w:snapToGrid/>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投标人按照招标人提供的工程量固化清单电子文件填写工程量清单，下载网站：驻马店市公共资源交易平台https://ggzy.zhumadian.gov.cn/TPFront/</w:t>
            </w:r>
          </w:p>
          <w:p w14:paraId="228010B9">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投标人按照招标人提供的书面工程量清单填写工程量清单</w:t>
            </w:r>
          </w:p>
        </w:tc>
      </w:tr>
      <w:tr w14:paraId="1B2FD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6D04DB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p>
        </w:tc>
        <w:tc>
          <w:tcPr>
            <w:tcW w:w="2556" w:type="dxa"/>
            <w:tcBorders>
              <w:top w:val="single" w:color="auto" w:sz="4" w:space="0"/>
              <w:left w:val="single" w:color="auto" w:sz="4" w:space="0"/>
              <w:bottom w:val="single" w:color="auto" w:sz="4" w:space="0"/>
              <w:right w:val="single" w:color="auto" w:sz="4" w:space="0"/>
            </w:tcBorders>
            <w:noWrap/>
            <w:vAlign w:val="center"/>
          </w:tcPr>
          <w:p w14:paraId="0896CCB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报价方式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6E8F615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单价</w:t>
            </w:r>
          </w:p>
          <w:p w14:paraId="675B2113">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总价</w:t>
            </w:r>
          </w:p>
        </w:tc>
      </w:tr>
      <w:tr w14:paraId="7D6DD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14E386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3.2.6</w:t>
            </w:r>
          </w:p>
        </w:tc>
        <w:tc>
          <w:tcPr>
            <w:tcW w:w="2556" w:type="dxa"/>
            <w:tcBorders>
              <w:top w:val="single" w:color="auto" w:sz="4" w:space="0"/>
              <w:left w:val="single" w:color="auto" w:sz="4" w:space="0"/>
              <w:bottom w:val="single" w:color="auto" w:sz="4" w:space="0"/>
              <w:right w:val="single" w:color="auto" w:sz="4" w:space="0"/>
            </w:tcBorders>
            <w:noWrap/>
            <w:vAlign w:val="center"/>
          </w:tcPr>
          <w:p w14:paraId="50639508">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是否接受调价函</w:t>
            </w:r>
          </w:p>
        </w:tc>
        <w:tc>
          <w:tcPr>
            <w:tcW w:w="6196" w:type="dxa"/>
            <w:tcBorders>
              <w:top w:val="single" w:color="auto" w:sz="4" w:space="0"/>
              <w:left w:val="single" w:color="auto" w:sz="4" w:space="0"/>
              <w:bottom w:val="single" w:color="auto" w:sz="4" w:space="0"/>
              <w:right w:val="single" w:color="auto" w:sz="4" w:space="0"/>
            </w:tcBorders>
            <w:noWrap/>
            <w:vAlign w:val="center"/>
          </w:tcPr>
          <w:p w14:paraId="519FDCC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p w14:paraId="0CEFC480">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4E48A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983F9C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3.2.8</w:t>
            </w:r>
          </w:p>
        </w:tc>
        <w:tc>
          <w:tcPr>
            <w:tcW w:w="2556" w:type="dxa"/>
            <w:tcBorders>
              <w:top w:val="single" w:color="auto" w:sz="4" w:space="0"/>
              <w:left w:val="single" w:color="auto" w:sz="4" w:space="0"/>
              <w:bottom w:val="single" w:color="auto" w:sz="4" w:space="0"/>
              <w:right w:val="single" w:color="auto" w:sz="4" w:space="0"/>
            </w:tcBorders>
            <w:noWrap/>
            <w:vAlign w:val="center"/>
          </w:tcPr>
          <w:p w14:paraId="6E63F10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p>
        </w:tc>
        <w:tc>
          <w:tcPr>
            <w:tcW w:w="6196" w:type="dxa"/>
            <w:tcBorders>
              <w:top w:val="single" w:color="auto" w:sz="4" w:space="0"/>
              <w:left w:val="single" w:color="auto" w:sz="4" w:space="0"/>
              <w:bottom w:val="single" w:color="auto" w:sz="4" w:space="0"/>
              <w:right w:val="single" w:color="auto" w:sz="4" w:space="0"/>
            </w:tcBorders>
            <w:noWrap/>
            <w:vAlign w:val="center"/>
          </w:tcPr>
          <w:p w14:paraId="7382788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p w14:paraId="14260BA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有，最高投标限价：</w:t>
            </w:r>
            <w:r>
              <w:rPr>
                <w:rFonts w:hint="eastAsia" w:ascii="宋体" w:hAnsi="宋体" w:cs="宋体"/>
                <w:color w:val="auto"/>
                <w:sz w:val="21"/>
                <w:szCs w:val="21"/>
                <w:highlight w:val="none"/>
                <w:lang w:val="en-US" w:eastAsia="zh-CN"/>
              </w:rPr>
              <w:t>106127510.9</w:t>
            </w:r>
            <w:r>
              <w:rPr>
                <w:rFonts w:hint="eastAsia" w:ascii="宋体" w:hAnsi="宋体" w:eastAsia="宋体" w:cs="宋体"/>
                <w:color w:val="auto"/>
                <w:sz w:val="21"/>
                <w:szCs w:val="21"/>
                <w:highlight w:val="none"/>
              </w:rPr>
              <w:t>元</w:t>
            </w:r>
          </w:p>
        </w:tc>
      </w:tr>
      <w:tr w14:paraId="75D9E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E19CFA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3.2.9</w:t>
            </w:r>
          </w:p>
        </w:tc>
        <w:tc>
          <w:tcPr>
            <w:tcW w:w="2556" w:type="dxa"/>
            <w:tcBorders>
              <w:top w:val="single" w:color="auto" w:sz="4" w:space="0"/>
              <w:left w:val="single" w:color="auto" w:sz="4" w:space="0"/>
              <w:bottom w:val="single" w:color="auto" w:sz="4" w:space="0"/>
              <w:right w:val="single" w:color="auto" w:sz="4" w:space="0"/>
            </w:tcBorders>
            <w:noWrap/>
            <w:vAlign w:val="center"/>
          </w:tcPr>
          <w:p w14:paraId="44856F0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投标报价的其他要求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19CF741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058FB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4BA87E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2556" w:type="dxa"/>
            <w:tcBorders>
              <w:top w:val="single" w:color="auto" w:sz="4" w:space="0"/>
              <w:left w:val="nil"/>
              <w:bottom w:val="single" w:color="auto" w:sz="4" w:space="0"/>
              <w:right w:val="single" w:color="auto" w:sz="4" w:space="0"/>
            </w:tcBorders>
            <w:noWrap/>
            <w:vAlign w:val="center"/>
          </w:tcPr>
          <w:p w14:paraId="46D5A0E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196" w:type="dxa"/>
            <w:tcBorders>
              <w:top w:val="single" w:color="auto" w:sz="4" w:space="0"/>
              <w:left w:val="nil"/>
              <w:bottom w:val="single" w:color="auto" w:sz="4" w:space="0"/>
              <w:right w:val="single" w:color="auto" w:sz="4" w:space="0"/>
            </w:tcBorders>
            <w:noWrap/>
            <w:vAlign w:val="center"/>
          </w:tcPr>
          <w:p w14:paraId="52AA656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自投标人提交投标文件截止之日起计算</w:t>
            </w: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rPr>
              <w:t>日</w:t>
            </w:r>
          </w:p>
        </w:tc>
      </w:tr>
      <w:tr w14:paraId="79E9E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ED0D87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2556" w:type="dxa"/>
            <w:tcBorders>
              <w:top w:val="single" w:color="auto" w:sz="4" w:space="0"/>
              <w:left w:val="single" w:color="auto" w:sz="4" w:space="0"/>
              <w:bottom w:val="single" w:color="auto" w:sz="4" w:space="0"/>
              <w:right w:val="single" w:color="auto" w:sz="4" w:space="0"/>
            </w:tcBorders>
            <w:noWrap/>
            <w:vAlign w:val="center"/>
          </w:tcPr>
          <w:p w14:paraId="0C12B5AC">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投标保证金</w:t>
            </w:r>
          </w:p>
        </w:tc>
        <w:tc>
          <w:tcPr>
            <w:tcW w:w="6196" w:type="dxa"/>
            <w:tcBorders>
              <w:top w:val="single" w:color="auto" w:sz="4" w:space="0"/>
              <w:left w:val="single" w:color="auto" w:sz="4" w:space="0"/>
              <w:bottom w:val="single" w:color="auto" w:sz="4" w:space="0"/>
              <w:right w:val="single" w:color="auto" w:sz="4" w:space="0"/>
            </w:tcBorders>
            <w:noWrap/>
            <w:vAlign w:val="center"/>
          </w:tcPr>
          <w:p w14:paraId="74415982">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是否要求投标人递交投标保证金：</w:t>
            </w:r>
          </w:p>
          <w:p w14:paraId="3E33E8FF">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☑要求，投标保证金金额：</w:t>
            </w:r>
          </w:p>
          <w:p w14:paraId="1DFEF311">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伍拾万元整（¥500000.00元） </w:t>
            </w:r>
          </w:p>
          <w:p w14:paraId="0506AD2F">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投标保证金递交形式：银行转账或电子保函</w:t>
            </w:r>
          </w:p>
          <w:p w14:paraId="37F70363">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择银行转账形式的，投标人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3DD4C940">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将投标保证金于开标时间前登录交易系统从其基本账户一次性足额存至驻马店市公共资源交易中心指定账户,不得以现金提交，逾期到账的投标保证金不予受理。（未从基本账户汇出或未按时到账者视为无效）</w:t>
            </w:r>
          </w:p>
          <w:p w14:paraId="1D91DF44">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（2）电子保函形式：</w:t>
            </w:r>
          </w:p>
          <w:p w14:paraId="3EC1599C">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①投标企业必须首先确认本企业诚信库内填写的基本账户相关信息真实准确；</w:t>
            </w:r>
          </w:p>
          <w:p w14:paraId="38737CF4">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②企业可以在交易中心电子交易系统业务管理“电子保函申请”功能中自主选择电子保函平台、承保机构办理电子保函业务；</w:t>
            </w:r>
          </w:p>
          <w:p w14:paraId="4D6DFBF4">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③办理电子投标保函费用必须出自投标企业基本账户；</w:t>
            </w:r>
          </w:p>
          <w:p w14:paraId="04348CDF">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投标截止时间前投标企业应按照以上要求在保函平台中申请并生成电子投标保函。否则开标现场交易系统将无法获取到该投标单位的电子投标保函，视为未交纳投标保证金，其投标文件将被拒绝，不能参加开标活动。</w:t>
            </w:r>
          </w:p>
          <w:p w14:paraId="4A7DB37F">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交易平台技术咨询：0396-2613088</w:t>
            </w:r>
          </w:p>
          <w:p w14:paraId="7E358346">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如联合体投标，应当以联合体中牵头人的名义提交保证金。</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不适用</w:t>
            </w:r>
            <w:r>
              <w:rPr>
                <w:rFonts w:hint="eastAsia" w:ascii="宋体" w:hAnsi="宋体" w:cs="宋体"/>
                <w:color w:val="auto"/>
                <w:sz w:val="21"/>
                <w:szCs w:val="21"/>
                <w:highlight w:val="none"/>
                <w:lang w:eastAsia="zh-CN"/>
              </w:rPr>
              <w:t>）</w:t>
            </w:r>
          </w:p>
          <w:p w14:paraId="5AE19D14">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□不要求</w:t>
            </w:r>
          </w:p>
        </w:tc>
      </w:tr>
      <w:tr w14:paraId="5D890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219F2F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w:t>
            </w:r>
          </w:p>
        </w:tc>
        <w:tc>
          <w:tcPr>
            <w:tcW w:w="2556" w:type="dxa"/>
            <w:tcBorders>
              <w:top w:val="single" w:color="auto" w:sz="4" w:space="0"/>
              <w:left w:val="single" w:color="auto" w:sz="4" w:space="0"/>
              <w:bottom w:val="single" w:color="auto" w:sz="4" w:space="0"/>
              <w:right w:val="single" w:color="auto" w:sz="4" w:space="0"/>
            </w:tcBorders>
            <w:noWrap/>
            <w:vAlign w:val="center"/>
          </w:tcPr>
          <w:p w14:paraId="2EC3545C">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投标保证金的利息计算原则</w:t>
            </w:r>
          </w:p>
        </w:tc>
        <w:tc>
          <w:tcPr>
            <w:tcW w:w="6196" w:type="dxa"/>
            <w:tcBorders>
              <w:top w:val="single" w:color="auto" w:sz="4" w:space="0"/>
              <w:left w:val="single" w:color="auto" w:sz="4" w:space="0"/>
              <w:bottom w:val="single" w:color="auto" w:sz="4" w:space="0"/>
              <w:right w:val="single" w:color="auto" w:sz="4" w:space="0"/>
            </w:tcBorders>
            <w:noWrap/>
            <w:vAlign w:val="center"/>
          </w:tcPr>
          <w:p w14:paraId="1B454923">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按照驻马店市公共资源交易中心相关规定执行</w:t>
            </w:r>
          </w:p>
        </w:tc>
      </w:tr>
      <w:tr w14:paraId="0BD5F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F95623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w:t>
            </w:r>
          </w:p>
        </w:tc>
        <w:tc>
          <w:tcPr>
            <w:tcW w:w="2556" w:type="dxa"/>
            <w:tcBorders>
              <w:top w:val="single" w:color="auto" w:sz="4" w:space="0"/>
              <w:left w:val="single" w:color="auto" w:sz="4" w:space="0"/>
              <w:bottom w:val="single" w:color="auto" w:sz="4" w:space="0"/>
              <w:right w:val="single" w:color="auto" w:sz="4" w:space="0"/>
            </w:tcBorders>
            <w:noWrap/>
            <w:vAlign w:val="center"/>
          </w:tcPr>
          <w:p w14:paraId="25C3E03C">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其他可以不予退还保证金的情形</w:t>
            </w:r>
          </w:p>
        </w:tc>
        <w:tc>
          <w:tcPr>
            <w:tcW w:w="6196" w:type="dxa"/>
            <w:tcBorders>
              <w:top w:val="single" w:color="auto" w:sz="4" w:space="0"/>
              <w:left w:val="single" w:color="auto" w:sz="4" w:space="0"/>
              <w:bottom w:val="single" w:color="auto" w:sz="4" w:space="0"/>
              <w:right w:val="single" w:color="auto" w:sz="4" w:space="0"/>
            </w:tcBorders>
            <w:noWrap/>
            <w:vAlign w:val="center"/>
          </w:tcPr>
          <w:p w14:paraId="0A3043E9">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z w:val="21"/>
                <w:szCs w:val="21"/>
                <w:highlight w:val="none"/>
              </w:rPr>
              <w:t>法律、法规规定的其他情形</w:t>
            </w:r>
          </w:p>
        </w:tc>
      </w:tr>
      <w:tr w14:paraId="6DECE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1056A4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p>
        </w:tc>
        <w:tc>
          <w:tcPr>
            <w:tcW w:w="2556" w:type="dxa"/>
            <w:tcBorders>
              <w:top w:val="single" w:color="auto" w:sz="4" w:space="0"/>
              <w:left w:val="single" w:color="auto" w:sz="4" w:space="0"/>
              <w:bottom w:val="single" w:color="auto" w:sz="4" w:space="0"/>
              <w:right w:val="single" w:color="auto" w:sz="4" w:space="0"/>
            </w:tcBorders>
            <w:noWrap/>
            <w:vAlign w:val="center"/>
          </w:tcPr>
          <w:p w14:paraId="5B97FA31">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资格审查资料的特殊要求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54F2D03C">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pacing w:val="-10"/>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0"/>
                <w:sz w:val="21"/>
                <w:szCs w:val="21"/>
                <w:highlight w:val="none"/>
              </w:rPr>
              <w:t>无</w:t>
            </w:r>
          </w:p>
          <w:p w14:paraId="20431FBD">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□有，具体要求：</w:t>
            </w:r>
          </w:p>
        </w:tc>
      </w:tr>
      <w:tr w14:paraId="79EA4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FBF8189">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3.5.2</w:t>
            </w:r>
          </w:p>
        </w:tc>
        <w:tc>
          <w:tcPr>
            <w:tcW w:w="2556" w:type="dxa"/>
            <w:tcBorders>
              <w:top w:val="single" w:color="auto" w:sz="4" w:space="0"/>
              <w:left w:val="single" w:color="auto" w:sz="4" w:space="0"/>
              <w:bottom w:val="single" w:color="auto" w:sz="4" w:space="0"/>
              <w:right w:val="single" w:color="auto" w:sz="4" w:space="0"/>
            </w:tcBorders>
            <w:noWrap/>
            <w:vAlign w:val="center"/>
          </w:tcPr>
          <w:p w14:paraId="20C3AD0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近三年财务状况的年份要求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4C0943EB">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pacing w:val="-10"/>
                <w:sz w:val="21"/>
                <w:szCs w:val="21"/>
                <w:highlight w:val="none"/>
                <w:lang w:val="en-US" w:eastAsia="zh-CN"/>
              </w:rPr>
            </w:pPr>
            <w:r>
              <w:rPr>
                <w:rFonts w:hint="eastAsia" w:ascii="宋体" w:hAnsi="宋体" w:cs="宋体"/>
                <w:color w:val="auto"/>
                <w:spacing w:val="-10"/>
                <w:sz w:val="21"/>
                <w:szCs w:val="21"/>
                <w:highlight w:val="none"/>
                <w:lang w:val="en-US" w:eastAsia="zh-CN"/>
              </w:rPr>
              <w:t>2023年至2025年度</w:t>
            </w:r>
          </w:p>
        </w:tc>
      </w:tr>
      <w:tr w14:paraId="034F1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FA1DBF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3.5.3</w:t>
            </w:r>
          </w:p>
        </w:tc>
        <w:tc>
          <w:tcPr>
            <w:tcW w:w="2556" w:type="dxa"/>
            <w:tcBorders>
              <w:top w:val="single" w:color="auto" w:sz="4" w:space="0"/>
              <w:left w:val="single" w:color="auto" w:sz="4" w:space="0"/>
              <w:bottom w:val="single" w:color="auto" w:sz="4" w:space="0"/>
              <w:right w:val="single" w:color="auto" w:sz="4" w:space="0"/>
            </w:tcBorders>
            <w:noWrap/>
            <w:vAlign w:val="center"/>
          </w:tcPr>
          <w:p w14:paraId="2CF51B79">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近年完成的类似项目情况的时间要求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7C4484C3">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pacing w:val="-10"/>
                <w:sz w:val="21"/>
                <w:szCs w:val="21"/>
                <w:highlight w:val="none"/>
              </w:rPr>
            </w:pPr>
            <w:r>
              <w:rPr>
                <w:rFonts w:hint="eastAsia" w:ascii="宋体" w:hAnsi="宋体" w:cs="宋体"/>
                <w:color w:val="auto"/>
                <w:spacing w:val="-10"/>
                <w:sz w:val="21"/>
                <w:szCs w:val="21"/>
                <w:highlight w:val="none"/>
                <w:lang w:val="en-US" w:eastAsia="zh-CN"/>
              </w:rPr>
              <w:t>2023年1月1日至今</w:t>
            </w:r>
          </w:p>
        </w:tc>
      </w:tr>
      <w:tr w14:paraId="06739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BB1E22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2556" w:type="dxa"/>
            <w:tcBorders>
              <w:top w:val="single" w:color="auto" w:sz="4" w:space="0"/>
              <w:left w:val="single" w:color="auto" w:sz="4" w:space="0"/>
              <w:bottom w:val="single" w:color="auto" w:sz="4" w:space="0"/>
              <w:right w:val="single" w:color="auto" w:sz="4" w:space="0"/>
            </w:tcBorders>
            <w:noWrap/>
            <w:vAlign w:val="center"/>
          </w:tcPr>
          <w:p w14:paraId="13BA769C">
            <w:pPr>
              <w:keepNext w:val="0"/>
              <w:keepLines w:val="0"/>
              <w:pageBreakBefore w:val="0"/>
              <w:kinsoku/>
              <w:wordWrap/>
              <w:overflowPunct/>
              <w:topLinePunct w:val="0"/>
              <w:autoSpaceDE w:val="0"/>
              <w:autoSpaceDN/>
              <w:bidi w:val="0"/>
              <w:spacing w:line="360" w:lineRule="atLeast"/>
              <w:ind w:left="-13" w:leftChars="-67" w:right="-107" w:rightChars="-51" w:hanging="128" w:hangingChars="6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是否允许递交备选投标方案</w:t>
            </w:r>
          </w:p>
        </w:tc>
        <w:tc>
          <w:tcPr>
            <w:tcW w:w="6196" w:type="dxa"/>
            <w:tcBorders>
              <w:top w:val="single" w:color="auto" w:sz="4" w:space="0"/>
              <w:left w:val="single" w:color="auto" w:sz="4" w:space="0"/>
              <w:bottom w:val="single" w:color="auto" w:sz="4" w:space="0"/>
              <w:right w:val="single" w:color="auto" w:sz="4" w:space="0"/>
            </w:tcBorders>
            <w:noWrap/>
            <w:vAlign w:val="center"/>
          </w:tcPr>
          <w:p w14:paraId="470302D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1C2EF51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w:t>
            </w:r>
          </w:p>
        </w:tc>
      </w:tr>
      <w:tr w14:paraId="1A6C1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750E19D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w:t>
            </w:r>
          </w:p>
        </w:tc>
        <w:tc>
          <w:tcPr>
            <w:tcW w:w="2556" w:type="dxa"/>
            <w:tcBorders>
              <w:top w:val="single" w:color="auto" w:sz="4" w:space="0"/>
              <w:left w:val="single" w:color="auto" w:sz="4" w:space="0"/>
              <w:bottom w:val="single" w:color="auto" w:sz="4" w:space="0"/>
              <w:right w:val="single" w:color="auto" w:sz="4" w:space="0"/>
            </w:tcBorders>
            <w:noWrap/>
            <w:vAlign w:val="center"/>
          </w:tcPr>
          <w:p w14:paraId="072A8B2E">
            <w:pPr>
              <w:keepNext w:val="0"/>
              <w:keepLines w:val="0"/>
              <w:pageBreakBefore w:val="0"/>
              <w:kinsoku/>
              <w:wordWrap/>
              <w:overflowPunct/>
              <w:topLinePunct w:val="0"/>
              <w:autoSpaceDE w:val="0"/>
              <w:autoSpaceDN/>
              <w:bidi w:val="0"/>
              <w:spacing w:line="360" w:lineRule="atLeast"/>
              <w:ind w:left="-13" w:leftChars="-67" w:right="-107" w:rightChars="-51" w:hanging="128" w:hangingChars="6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11991B5D">
            <w:pPr>
              <w:keepNext w:val="0"/>
              <w:keepLines w:val="0"/>
              <w:pageBreakBefore w:val="0"/>
              <w:kinsoku/>
              <w:wordWrap/>
              <w:overflowPunct/>
              <w:topLinePunct w:val="0"/>
              <w:autoSpaceDE w:val="0"/>
              <w:autoSpaceDN/>
              <w:bidi w:val="0"/>
              <w:adjustRightInd w:val="0"/>
              <w:snapToGrid w:val="0"/>
              <w:spacing w:line="360" w:lineRule="atLeast"/>
              <w:ind w:left="-21"/>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电子投标文件</w:t>
            </w:r>
          </w:p>
          <w:p w14:paraId="1B6FC557">
            <w:pPr>
              <w:keepNext w:val="0"/>
              <w:keepLines w:val="0"/>
              <w:pageBreakBefore w:val="0"/>
              <w:kinsoku/>
              <w:wordWrap/>
              <w:overflowPunct/>
              <w:topLinePunct w:val="0"/>
              <w:autoSpaceDE w:val="0"/>
              <w:autoSpaceDN/>
              <w:bidi w:val="0"/>
              <w:adjustRightInd w:val="0"/>
              <w:snapToGrid w:val="0"/>
              <w:spacing w:line="360" w:lineRule="atLeast"/>
              <w:ind w:left="-21"/>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（1）经过加密的电子投标文件上传件为正本。</w:t>
            </w:r>
          </w:p>
          <w:p w14:paraId="4800C481">
            <w:pPr>
              <w:keepNext w:val="0"/>
              <w:keepLines w:val="0"/>
              <w:pageBreakBefore w:val="0"/>
              <w:kinsoku/>
              <w:wordWrap/>
              <w:overflowPunct/>
              <w:topLinePunct w:val="0"/>
              <w:autoSpaceDE w:val="0"/>
              <w:autoSpaceDN/>
              <w:bidi w:val="0"/>
              <w:adjustRightInd w:val="0"/>
              <w:snapToGrid w:val="0"/>
              <w:spacing w:line="360" w:lineRule="atLeast"/>
              <w:ind w:left="-126" w:leftChars="-60" w:firstLine="105" w:firstLineChars="5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（2）所有要求投标人加盖公章的地方都须加盖投标人单位的 CA 印章。</w:t>
            </w:r>
          </w:p>
          <w:p w14:paraId="2D43FED9">
            <w:pPr>
              <w:keepNext w:val="0"/>
              <w:keepLines w:val="0"/>
              <w:pageBreakBefore w:val="0"/>
              <w:kinsoku/>
              <w:wordWrap/>
              <w:overflowPunct/>
              <w:topLinePunct w:val="0"/>
              <w:autoSpaceDE w:val="0"/>
              <w:autoSpaceDN/>
              <w:bidi w:val="0"/>
              <w:adjustRightInd w:val="0"/>
              <w:snapToGrid w:val="0"/>
              <w:spacing w:line="360" w:lineRule="atLeast"/>
              <w:ind w:left="-126" w:leftChars="-60" w:firstLine="105" w:firstLineChars="5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（3）所有要求法定代表人签字的地方都须加盖法定代表人CA 印章, 需要委托代理人签字的地方，可由委托代理人签字后以图片的形式扫描上传。</w:t>
            </w:r>
          </w:p>
        </w:tc>
      </w:tr>
      <w:tr w14:paraId="3A2AF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B421A4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2556" w:type="dxa"/>
            <w:tcBorders>
              <w:top w:val="single" w:color="auto" w:sz="4" w:space="0"/>
              <w:left w:val="single" w:color="auto" w:sz="4" w:space="0"/>
              <w:bottom w:val="single" w:color="auto" w:sz="4" w:space="0"/>
              <w:right w:val="single" w:color="auto" w:sz="4" w:space="0"/>
            </w:tcBorders>
            <w:noWrap/>
            <w:vAlign w:val="center"/>
          </w:tcPr>
          <w:p w14:paraId="62C46F3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投标文件副本份数及其他要求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32DA1DA9">
            <w:pPr>
              <w:keepNext w:val="0"/>
              <w:keepLines w:val="0"/>
              <w:pageBreakBefore w:val="0"/>
              <w:widowControl w:val="0"/>
              <w:kinsoku/>
              <w:wordWrap/>
              <w:overflowPunct/>
              <w:topLinePunct w:val="0"/>
              <w:autoSpaceDE w:val="0"/>
              <w:autoSpaceDN/>
              <w:bidi w:val="0"/>
              <w:adjustRightInd/>
              <w:snapToGrid/>
              <w:spacing w:line="360" w:lineRule="atLeas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投标文件副本份数：开标时不需提交纸质投标文件。</w:t>
            </w:r>
          </w:p>
          <w:p w14:paraId="1C91A0C7">
            <w:pPr>
              <w:keepNext w:val="0"/>
              <w:keepLines w:val="0"/>
              <w:pageBreakBefore w:val="0"/>
              <w:widowControl w:val="0"/>
              <w:kinsoku/>
              <w:wordWrap/>
              <w:overflowPunct/>
              <w:topLinePunct w:val="0"/>
              <w:autoSpaceDE w:val="0"/>
              <w:autoSpaceDN/>
              <w:bidi w:val="0"/>
              <w:adjustRightInd/>
              <w:snapToGrid/>
              <w:spacing w:line="360" w:lineRule="atLeast"/>
              <w:textAlignment w:val="auto"/>
              <w:rPr>
                <w:rFonts w:hint="eastAsia" w:ascii="宋体" w:hAnsi="宋体" w:eastAsia="宋体" w:cs="宋体"/>
                <w:b w:val="0"/>
                <w:bCs w:val="0"/>
                <w:strike w:val="0"/>
                <w:dstrike w:val="0"/>
                <w:color w:val="auto"/>
                <w:sz w:val="21"/>
                <w:szCs w:val="21"/>
                <w:highlight w:val="none"/>
              </w:rPr>
            </w:pPr>
            <w:r>
              <w:rPr>
                <w:rFonts w:hint="eastAsia" w:ascii="宋体" w:hAnsi="宋体" w:eastAsia="宋体" w:cs="宋体"/>
                <w:b w:val="0"/>
                <w:bCs w:val="0"/>
                <w:color w:val="auto"/>
                <w:sz w:val="21"/>
                <w:szCs w:val="21"/>
                <w:highlight w:val="none"/>
              </w:rPr>
              <w:t>是否要求提交电子版文件：是，加密的电子投标文件壹份</w:t>
            </w:r>
            <w:r>
              <w:rPr>
                <w:rFonts w:hint="eastAsia" w:ascii="宋体" w:hAnsi="宋体" w:eastAsia="宋体" w:cs="宋体"/>
                <w:b w:val="0"/>
                <w:bCs w:val="0"/>
                <w:strike w:val="0"/>
                <w:dstrike w:val="0"/>
                <w:color w:val="auto"/>
                <w:sz w:val="21"/>
                <w:szCs w:val="21"/>
                <w:highlight w:val="none"/>
              </w:rPr>
              <w:t>（*.zmdtf 格式，在会员系统指定位置上传）工程量固化清单电子文件同时上传至电子招标投标系统。</w:t>
            </w:r>
          </w:p>
          <w:p w14:paraId="49476F10">
            <w:pPr>
              <w:pStyle w:val="21"/>
              <w:keepNext w:val="0"/>
              <w:keepLines w:val="0"/>
              <w:pageBreakBefore w:val="0"/>
              <w:widowControl w:val="0"/>
              <w:kinsoku/>
              <w:wordWrap/>
              <w:overflowPunct/>
              <w:topLinePunct w:val="0"/>
              <w:autoSpaceDN/>
              <w:bidi w:val="0"/>
              <w:adjustRightInd/>
              <w:snapToGrid/>
              <w:spacing w:line="360" w:lineRule="atLeast"/>
              <w:ind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其他要求：</w:t>
            </w:r>
            <w:r>
              <w:rPr>
                <w:rFonts w:hint="eastAsia" w:ascii="宋体" w:hAnsi="宋体" w:eastAsia="宋体" w:cs="宋体"/>
                <w:color w:val="auto"/>
                <w:sz w:val="21"/>
                <w:szCs w:val="21"/>
                <w:highlight w:val="none"/>
              </w:rPr>
              <w:t>中标候选人须在中标候选人公示期满</w:t>
            </w:r>
            <w:r>
              <w:rPr>
                <w:rFonts w:hint="eastAsia" w:ascii="宋体" w:cs="宋体"/>
                <w:strike w:val="0"/>
                <w:dstrike w:val="0"/>
                <w:color w:val="auto"/>
                <w:sz w:val="21"/>
                <w:szCs w:val="21"/>
                <w:highlight w:val="none"/>
                <w:lang w:val="en-US" w:eastAsia="zh-CN"/>
              </w:rPr>
              <w:t>前向</w:t>
            </w:r>
            <w:r>
              <w:rPr>
                <w:rFonts w:hint="eastAsia" w:ascii="宋体" w:hAnsi="宋体" w:eastAsia="宋体" w:cs="宋体"/>
                <w:strike w:val="0"/>
                <w:dstrike w:val="0"/>
                <w:color w:val="auto"/>
                <w:sz w:val="21"/>
                <w:szCs w:val="21"/>
                <w:highlight w:val="none"/>
              </w:rPr>
              <w:t>招标人或招标代理机构提供与上传电子投标文件一致的纸质投标文件正本壹份、副本</w:t>
            </w:r>
            <w:r>
              <w:rPr>
                <w:rFonts w:hint="eastAsia" w:ascii="宋体" w:hAnsi="宋体" w:eastAsia="宋体" w:cs="宋体"/>
                <w:strike w:val="0"/>
                <w:dstrike w:val="0"/>
                <w:color w:val="auto"/>
                <w:sz w:val="21"/>
                <w:szCs w:val="21"/>
                <w:highlight w:val="none"/>
                <w:lang w:val="en-US" w:eastAsia="zh-CN"/>
              </w:rPr>
              <w:t>壹</w:t>
            </w:r>
            <w:r>
              <w:rPr>
                <w:rFonts w:hint="eastAsia" w:ascii="宋体" w:hAnsi="宋体" w:eastAsia="宋体" w:cs="宋体"/>
                <w:strike w:val="0"/>
                <w:dstrike w:val="0"/>
                <w:color w:val="auto"/>
                <w:sz w:val="21"/>
                <w:szCs w:val="21"/>
                <w:highlight w:val="none"/>
              </w:rPr>
              <w:t>份，</w:t>
            </w:r>
            <w:r>
              <w:rPr>
                <w:rFonts w:hint="eastAsia" w:ascii="宋体" w:hAnsi="宋体" w:eastAsia="宋体" w:cs="宋体"/>
                <w:color w:val="auto"/>
                <w:sz w:val="21"/>
                <w:szCs w:val="21"/>
                <w:highlight w:val="none"/>
              </w:rPr>
              <w:t>供定标委员会核查定标</w:t>
            </w:r>
            <w:r>
              <w:rPr>
                <w:rFonts w:hint="eastAsia" w:ascii="宋体" w:cs="宋体"/>
                <w:color w:val="auto"/>
                <w:sz w:val="21"/>
                <w:szCs w:val="21"/>
                <w:highlight w:val="none"/>
                <w:lang w:eastAsia="zh-CN"/>
              </w:rPr>
              <w:t>，</w:t>
            </w:r>
            <w:r>
              <w:rPr>
                <w:rFonts w:hint="eastAsia" w:ascii="宋体" w:cs="宋体"/>
                <w:color w:val="auto"/>
                <w:sz w:val="21"/>
                <w:szCs w:val="21"/>
                <w:highlight w:val="none"/>
                <w:lang w:val="en-US" w:eastAsia="zh-CN"/>
              </w:rPr>
              <w:t>投标人需做出承诺</w:t>
            </w:r>
            <w:r>
              <w:rPr>
                <w:rFonts w:hint="eastAsia" w:ascii="宋体" w:hAnsi="宋体" w:eastAsia="宋体" w:cs="宋体"/>
                <w:color w:val="auto"/>
                <w:sz w:val="21"/>
                <w:szCs w:val="21"/>
                <w:highlight w:val="none"/>
              </w:rPr>
              <w:t>。</w:t>
            </w:r>
          </w:p>
        </w:tc>
      </w:tr>
      <w:tr w14:paraId="4CB7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7EA690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3.7.5</w:t>
            </w:r>
          </w:p>
        </w:tc>
        <w:tc>
          <w:tcPr>
            <w:tcW w:w="2556" w:type="dxa"/>
            <w:tcBorders>
              <w:top w:val="single" w:color="auto" w:sz="4" w:space="0"/>
              <w:left w:val="single" w:color="auto" w:sz="4" w:space="0"/>
              <w:bottom w:val="single" w:color="auto" w:sz="4" w:space="0"/>
              <w:right w:val="single" w:color="auto" w:sz="4" w:space="0"/>
            </w:tcBorders>
            <w:noWrap/>
            <w:vAlign w:val="center"/>
          </w:tcPr>
          <w:p w14:paraId="148C422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装订的其他要求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5B41CFD8">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纸质投标文件装订成册（可双面），不得采用活页夹等可随时拆换的方式装订。</w:t>
            </w:r>
          </w:p>
        </w:tc>
      </w:tr>
      <w:tr w14:paraId="5A4D0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684EB7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2556" w:type="dxa"/>
            <w:tcBorders>
              <w:top w:val="single" w:color="auto" w:sz="4" w:space="0"/>
              <w:left w:val="single" w:color="auto" w:sz="4" w:space="0"/>
              <w:bottom w:val="single" w:color="auto" w:sz="4" w:space="0"/>
              <w:right w:val="single" w:color="auto" w:sz="4" w:space="0"/>
            </w:tcBorders>
            <w:noWrap/>
            <w:vAlign w:val="center"/>
          </w:tcPr>
          <w:p w14:paraId="6BAFB2F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资格审查文件及业绩信誉资料原件的递交</w:t>
            </w:r>
          </w:p>
        </w:tc>
        <w:tc>
          <w:tcPr>
            <w:tcW w:w="6196" w:type="dxa"/>
            <w:tcBorders>
              <w:top w:val="single" w:color="auto" w:sz="4" w:space="0"/>
              <w:left w:val="single" w:color="auto" w:sz="4" w:space="0"/>
              <w:bottom w:val="single" w:color="auto" w:sz="4" w:space="0"/>
              <w:right w:val="single" w:color="auto" w:sz="4" w:space="0"/>
            </w:tcBorders>
            <w:noWrap/>
            <w:vAlign w:val="center"/>
          </w:tcPr>
          <w:p w14:paraId="2B66EB7A">
            <w:pPr>
              <w:keepNext w:val="0"/>
              <w:keepLines w:val="0"/>
              <w:pageBreakBefore w:val="0"/>
              <w:widowControl w:val="0"/>
              <w:kinsoku/>
              <w:wordWrap/>
              <w:overflowPunct/>
              <w:topLinePunct w:val="0"/>
              <w:autoSpaceDE w:val="0"/>
              <w:autoSpaceDN/>
              <w:bidi w:val="0"/>
              <w:adjustRightInd/>
              <w:snapToGrid/>
              <w:spacing w:line="360" w:lineRule="atLeas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投标人无需递交纸质投标文件及原件，投标人应在项目开标前，将涉及的资格审查、业绩、荣誉、财务</w:t>
            </w:r>
            <w:r>
              <w:rPr>
                <w:rFonts w:hint="eastAsia" w:ascii="宋体" w:hAnsi="宋体" w:cs="宋体"/>
                <w:bCs/>
                <w:color w:val="auto"/>
                <w:sz w:val="21"/>
                <w:szCs w:val="21"/>
                <w:highlight w:val="none"/>
                <w:lang w:val="en-US" w:eastAsia="zh-CN"/>
              </w:rPr>
              <w:t>报告</w:t>
            </w:r>
            <w:r>
              <w:rPr>
                <w:rFonts w:hint="eastAsia" w:ascii="宋体" w:hAnsi="宋体" w:eastAsia="宋体" w:cs="宋体"/>
                <w:bCs/>
                <w:color w:val="auto"/>
                <w:sz w:val="21"/>
                <w:szCs w:val="21"/>
                <w:highlight w:val="none"/>
              </w:rPr>
              <w:t>、项目经理等投标所需材料扫描件，上传至驻马店市公共资源交易平台诚信库中，并且在“资格审查材料（不见面开标）”菜单下按标段挑选该标段投标所用资格审查材料，以供评标过程中评委查阅。评标时以电子投标文件及“资格审查材料（不见面开标）”菜单中选取的信息为准。</w:t>
            </w:r>
          </w:p>
          <w:p w14:paraId="0E9A4630">
            <w:pPr>
              <w:keepNext w:val="0"/>
              <w:keepLines w:val="0"/>
              <w:pageBreakBefore w:val="0"/>
              <w:widowControl w:val="0"/>
              <w:kinsoku/>
              <w:wordWrap/>
              <w:overflowPunct/>
              <w:topLinePunct w:val="0"/>
              <w:autoSpaceDE w:val="0"/>
              <w:autoSpaceDN/>
              <w:bidi w:val="0"/>
              <w:adjustRightInd/>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（注：各投标企业应如实填报诚信库信息，因交易主体自行填报信息的错误、缺项、虚假而造成的后果由交易主体自行承担。）</w:t>
            </w:r>
          </w:p>
        </w:tc>
      </w:tr>
      <w:tr w14:paraId="19B57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5FE62F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2556" w:type="dxa"/>
            <w:tcBorders>
              <w:top w:val="single" w:color="auto" w:sz="4" w:space="0"/>
              <w:left w:val="single" w:color="auto" w:sz="4" w:space="0"/>
              <w:bottom w:val="single" w:color="auto" w:sz="4" w:space="0"/>
              <w:right w:val="single" w:color="auto" w:sz="4" w:space="0"/>
            </w:tcBorders>
            <w:noWrap/>
            <w:vAlign w:val="center"/>
          </w:tcPr>
          <w:p w14:paraId="55E62C2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是否退还投标文件</w:t>
            </w:r>
          </w:p>
        </w:tc>
        <w:tc>
          <w:tcPr>
            <w:tcW w:w="6196" w:type="dxa"/>
            <w:tcBorders>
              <w:top w:val="single" w:color="auto" w:sz="4" w:space="0"/>
              <w:left w:val="single" w:color="auto" w:sz="4" w:space="0"/>
              <w:bottom w:val="single" w:color="auto" w:sz="4" w:space="0"/>
              <w:right w:val="single" w:color="auto" w:sz="4" w:space="0"/>
            </w:tcBorders>
            <w:noWrap/>
            <w:vAlign w:val="center"/>
          </w:tcPr>
          <w:p w14:paraId="48D2821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7BF0C410">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□是，退还时间：</w:t>
            </w:r>
          </w:p>
        </w:tc>
      </w:tr>
      <w:tr w14:paraId="2EA1E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6293C3D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2556" w:type="dxa"/>
            <w:tcBorders>
              <w:top w:val="single" w:color="auto" w:sz="4" w:space="0"/>
              <w:left w:val="single" w:color="auto" w:sz="4" w:space="0"/>
              <w:bottom w:val="single" w:color="auto" w:sz="4" w:space="0"/>
              <w:right w:val="single" w:color="auto" w:sz="4" w:space="0"/>
            </w:tcBorders>
            <w:noWrap/>
            <w:vAlign w:val="center"/>
          </w:tcPr>
          <w:p w14:paraId="196FB9F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w:t>
            </w:r>
          </w:p>
        </w:tc>
        <w:tc>
          <w:tcPr>
            <w:tcW w:w="6196" w:type="dxa"/>
            <w:tcBorders>
              <w:top w:val="single" w:color="auto" w:sz="4" w:space="0"/>
              <w:left w:val="single" w:color="auto" w:sz="4" w:space="0"/>
              <w:bottom w:val="single" w:color="auto" w:sz="4" w:space="0"/>
              <w:right w:val="single" w:color="auto" w:sz="4" w:space="0"/>
            </w:tcBorders>
            <w:noWrap/>
            <w:vAlign w:val="center"/>
          </w:tcPr>
          <w:p w14:paraId="28EC1AE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投标文件第一个信封（商务及技术文件）</w:t>
            </w:r>
          </w:p>
          <w:p w14:paraId="261C493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r>
              <w:rPr>
                <w:rFonts w:hint="eastAsia" w:ascii="宋体" w:hAnsi="宋体" w:eastAsia="宋体" w:cs="宋体"/>
                <w:color w:val="auto"/>
                <w:szCs w:val="21"/>
                <w:highlight w:val="none"/>
                <w:lang w:val="en-US" w:eastAsia="zh-CN"/>
              </w:rPr>
              <w:t>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年</w:t>
            </w:r>
            <w:r>
              <w:rPr>
                <w:rFonts w:hint="eastAsia" w:ascii="宋体" w:hAnsi="宋体" w:cs="宋体"/>
                <w:color w:val="auto"/>
                <w:szCs w:val="21"/>
                <w:highlight w:val="none"/>
                <w:lang w:val="en-US" w:eastAsia="zh-CN"/>
              </w:rPr>
              <w:t>11</w:t>
            </w:r>
            <w:r>
              <w:rPr>
                <w:rFonts w:hint="eastAsia" w:ascii="宋体" w:hAnsi="宋体" w:eastAsia="宋体" w:cs="宋体"/>
                <w:color w:val="auto"/>
                <w:szCs w:val="21"/>
                <w:highlight w:val="none"/>
                <w:lang w:val="en-US" w:eastAsia="zh-CN"/>
              </w:rPr>
              <w:t>月</w:t>
            </w:r>
            <w:r>
              <w:rPr>
                <w:rFonts w:hint="eastAsia" w:ascii="宋体" w:hAnsi="宋体" w:cs="宋体"/>
                <w:color w:val="auto"/>
                <w:szCs w:val="21"/>
                <w:highlight w:val="none"/>
                <w:lang w:val="en-US" w:eastAsia="zh-CN"/>
              </w:rPr>
              <w:t>18</w:t>
            </w:r>
            <w:r>
              <w:rPr>
                <w:rFonts w:hint="eastAsia" w:ascii="宋体" w:hAnsi="宋体" w:eastAsia="宋体" w:cs="宋体"/>
                <w:color w:val="auto"/>
                <w:szCs w:val="21"/>
                <w:highlight w:val="none"/>
                <w:lang w:val="en-US" w:eastAsia="zh-CN"/>
              </w:rPr>
              <w:t xml:space="preserve">日9时00分（北京时间） </w:t>
            </w:r>
          </w:p>
          <w:p w14:paraId="4B60777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投标文件第一个信封（商务及技术文件）</w:t>
            </w:r>
          </w:p>
          <w:p w14:paraId="624BB12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w:t>
            </w:r>
            <w:r>
              <w:rPr>
                <w:rFonts w:hint="eastAsia" w:ascii="宋体" w:hAnsi="宋体" w:cs="宋体"/>
                <w:color w:val="auto"/>
                <w:sz w:val="21"/>
                <w:szCs w:val="21"/>
                <w:highlight w:val="none"/>
                <w:lang w:val="en-US" w:eastAsia="zh-CN"/>
              </w:rPr>
              <w:t>驻马店市</w:t>
            </w:r>
            <w:r>
              <w:rPr>
                <w:rFonts w:hint="eastAsia" w:ascii="宋体" w:hAnsi="宋体" w:eastAsia="宋体" w:cs="宋体"/>
                <w:color w:val="auto"/>
                <w:sz w:val="21"/>
                <w:szCs w:val="21"/>
                <w:highlight w:val="none"/>
                <w:lang w:val="en-US" w:eastAsia="zh-CN"/>
              </w:rPr>
              <w:t>公共资源交易中心不见面开标厅</w:t>
            </w:r>
          </w:p>
          <w:p w14:paraId="7EF8B799">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投标文件第二个信封（报价文件）</w:t>
            </w:r>
          </w:p>
          <w:p w14:paraId="2B744EA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开标时间：第一个信封（商务及技术文件）完成评审后</w:t>
            </w:r>
          </w:p>
          <w:p w14:paraId="18ED64CB">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投标文件第二个信封（报价文件）</w:t>
            </w:r>
          </w:p>
          <w:p w14:paraId="2D5B73D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w:t>
            </w:r>
            <w:r>
              <w:rPr>
                <w:rFonts w:hint="eastAsia" w:ascii="宋体" w:hAnsi="宋体" w:eastAsia="宋体" w:cs="宋体"/>
                <w:color w:val="auto"/>
                <w:szCs w:val="21"/>
                <w:highlight w:val="none"/>
                <w:lang w:val="en-US" w:eastAsia="zh-CN"/>
              </w:rPr>
              <w:t>同第一个信封开标地点</w:t>
            </w:r>
          </w:p>
          <w:p w14:paraId="3A3BB7E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（电子投标文件必须凭制作投标文件所用的 CA 密匙在10分钟内完成解密）。</w:t>
            </w:r>
          </w:p>
        </w:tc>
      </w:tr>
      <w:tr w14:paraId="1A289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91F287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w:t>
            </w:r>
          </w:p>
        </w:tc>
        <w:tc>
          <w:tcPr>
            <w:tcW w:w="2556" w:type="dxa"/>
            <w:tcBorders>
              <w:top w:val="single" w:color="auto" w:sz="4" w:space="0"/>
              <w:left w:val="single" w:color="auto" w:sz="4" w:space="0"/>
              <w:bottom w:val="single" w:color="auto" w:sz="4" w:space="0"/>
              <w:right w:val="single" w:color="auto" w:sz="4" w:space="0"/>
            </w:tcBorders>
            <w:noWrap/>
            <w:vAlign w:val="center"/>
          </w:tcPr>
          <w:p w14:paraId="1CAE0DF8">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第一个信封（商务及技术文件）开标程序</w:t>
            </w:r>
          </w:p>
        </w:tc>
        <w:tc>
          <w:tcPr>
            <w:tcW w:w="6196" w:type="dxa"/>
            <w:tcBorders>
              <w:top w:val="single" w:color="auto" w:sz="4" w:space="0"/>
              <w:left w:val="single" w:color="auto" w:sz="4" w:space="0"/>
              <w:bottom w:val="single" w:color="auto" w:sz="4" w:space="0"/>
              <w:right w:val="single" w:color="auto" w:sz="4" w:space="0"/>
            </w:tcBorders>
            <w:noWrap/>
            <w:vAlign w:val="center"/>
          </w:tcPr>
          <w:p w14:paraId="66E10D8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开标顺序：按电子版投标文件上传顺序开标。</w:t>
            </w:r>
          </w:p>
          <w:p w14:paraId="15A96978">
            <w:pPr>
              <w:pStyle w:val="21"/>
              <w:keepNext w:val="0"/>
              <w:keepLines w:val="0"/>
              <w:pageBreakBefore w:val="0"/>
              <w:kinsoku/>
              <w:wordWrap/>
              <w:overflowPunct/>
              <w:topLinePunct w:val="0"/>
              <w:autoSpaceDE w:val="0"/>
              <w:autoSpaceDN/>
              <w:bidi w:val="0"/>
              <w:spacing w:line="360" w:lineRule="atLeas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对商务文件和技术文件进行开标，对报价文件不予开标。</w:t>
            </w:r>
          </w:p>
        </w:tc>
      </w:tr>
      <w:tr w14:paraId="64D0F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0BBC65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w:t>
            </w:r>
          </w:p>
        </w:tc>
        <w:tc>
          <w:tcPr>
            <w:tcW w:w="2556" w:type="dxa"/>
            <w:tcBorders>
              <w:top w:val="single" w:color="auto" w:sz="4" w:space="0"/>
              <w:left w:val="single" w:color="auto" w:sz="4" w:space="0"/>
              <w:bottom w:val="single" w:color="auto" w:sz="4" w:space="0"/>
              <w:right w:val="single" w:color="auto" w:sz="4" w:space="0"/>
            </w:tcBorders>
            <w:noWrap/>
            <w:vAlign w:val="center"/>
          </w:tcPr>
          <w:p w14:paraId="1B1C321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第二个信封（报价文件）开标程序</w:t>
            </w:r>
          </w:p>
        </w:tc>
        <w:tc>
          <w:tcPr>
            <w:tcW w:w="6196" w:type="dxa"/>
            <w:tcBorders>
              <w:top w:val="single" w:color="auto" w:sz="4" w:space="0"/>
              <w:left w:val="single" w:color="auto" w:sz="4" w:space="0"/>
              <w:bottom w:val="single" w:color="auto" w:sz="4" w:space="0"/>
              <w:right w:val="single" w:color="auto" w:sz="4" w:space="0"/>
            </w:tcBorders>
            <w:noWrap/>
            <w:vAlign w:val="center"/>
          </w:tcPr>
          <w:p w14:paraId="664DFB3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公布入围第二信封开标人名单；公布唱标信息；开标结束。</w:t>
            </w:r>
          </w:p>
        </w:tc>
      </w:tr>
      <w:tr w14:paraId="19F7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56CB6D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6.1</w:t>
            </w:r>
            <w:r>
              <w:rPr>
                <w:rFonts w:hint="eastAsia" w:ascii="宋体" w:hAnsi="宋体" w:eastAsia="宋体" w:cs="宋体"/>
                <w:color w:val="auto"/>
                <w:sz w:val="21"/>
                <w:szCs w:val="21"/>
                <w:highlight w:val="none"/>
                <w:lang w:val="en-US" w:eastAsia="zh-CN"/>
              </w:rPr>
              <w:t>.1</w:t>
            </w:r>
          </w:p>
        </w:tc>
        <w:tc>
          <w:tcPr>
            <w:tcW w:w="2556" w:type="dxa"/>
            <w:tcBorders>
              <w:top w:val="single" w:color="auto" w:sz="4" w:space="0"/>
              <w:left w:val="single" w:color="auto" w:sz="4" w:space="0"/>
              <w:bottom w:val="single" w:color="auto" w:sz="4" w:space="0"/>
              <w:right w:val="single" w:color="auto" w:sz="4" w:space="0"/>
            </w:tcBorders>
            <w:noWrap/>
            <w:vAlign w:val="center"/>
          </w:tcPr>
          <w:p w14:paraId="7961769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评标委员会的组建</w:t>
            </w:r>
          </w:p>
        </w:tc>
        <w:tc>
          <w:tcPr>
            <w:tcW w:w="6196" w:type="dxa"/>
            <w:tcBorders>
              <w:top w:val="single" w:color="auto" w:sz="4" w:space="0"/>
              <w:left w:val="single" w:color="auto" w:sz="4" w:space="0"/>
              <w:bottom w:val="single" w:color="auto" w:sz="4" w:space="0"/>
              <w:right w:val="single" w:color="auto" w:sz="4" w:space="0"/>
            </w:tcBorders>
            <w:noWrap/>
            <w:vAlign w:val="center"/>
          </w:tcPr>
          <w:p w14:paraId="085F79FA">
            <w:pPr>
              <w:adjustRightInd w:val="0"/>
              <w:spacing w:line="320" w:lineRule="exact"/>
              <w:ind w:right="-34" w:rightChars="-16"/>
              <w:rPr>
                <w:color w:val="auto"/>
                <w:sz w:val="21"/>
                <w:szCs w:val="21"/>
                <w:highlight w:val="none"/>
              </w:rPr>
            </w:pPr>
            <w:r>
              <w:rPr>
                <w:color w:val="auto"/>
                <w:sz w:val="21"/>
                <w:szCs w:val="21"/>
                <w:highlight w:val="none"/>
              </w:rPr>
              <w:t>评标委员会由招标人依法组建，由</w:t>
            </w:r>
            <w:r>
              <w:rPr>
                <w:rFonts w:hint="eastAsia"/>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rPr>
              <w:t>5</w:t>
            </w:r>
            <w:r>
              <w:rPr>
                <w:rFonts w:hint="eastAsia"/>
                <w:b/>
                <w:color w:val="auto"/>
                <w:sz w:val="21"/>
                <w:szCs w:val="21"/>
                <w:highlight w:val="none"/>
                <w:u w:val="single"/>
              </w:rPr>
              <w:t xml:space="preserve"> </w:t>
            </w:r>
            <w:r>
              <w:rPr>
                <w:color w:val="auto"/>
                <w:sz w:val="21"/>
                <w:szCs w:val="21"/>
                <w:highlight w:val="none"/>
              </w:rPr>
              <w:t>人组成</w:t>
            </w:r>
            <w:r>
              <w:rPr>
                <w:rFonts w:hint="eastAsia"/>
                <w:color w:val="auto"/>
                <w:sz w:val="21"/>
                <w:szCs w:val="21"/>
                <w:highlight w:val="none"/>
              </w:rPr>
              <w:t>；</w:t>
            </w:r>
          </w:p>
          <w:p w14:paraId="59ED192A">
            <w:pPr>
              <w:adjustRightInd w:val="0"/>
              <w:snapToGrid w:val="0"/>
              <w:spacing w:line="400" w:lineRule="exact"/>
              <w:rPr>
                <w:color w:val="auto"/>
                <w:sz w:val="21"/>
                <w:szCs w:val="21"/>
                <w:highlight w:val="none"/>
              </w:rPr>
            </w:pPr>
            <w:r>
              <w:rPr>
                <w:rFonts w:hint="eastAsia"/>
                <w:color w:val="auto"/>
                <w:sz w:val="21"/>
                <w:szCs w:val="21"/>
                <w:highlight w:val="none"/>
              </w:rPr>
              <w:t>其中</w:t>
            </w:r>
            <w:r>
              <w:rPr>
                <w:rFonts w:hint="eastAsia"/>
                <w:color w:val="auto"/>
                <w:sz w:val="21"/>
                <w:szCs w:val="21"/>
                <w:highlight w:val="none"/>
                <w:lang w:eastAsia="zh-CN"/>
              </w:rPr>
              <w:t>：</w:t>
            </w:r>
            <w:r>
              <w:rPr>
                <w:rFonts w:hint="eastAsia"/>
                <w:color w:val="auto"/>
                <w:sz w:val="21"/>
                <w:szCs w:val="21"/>
                <w:highlight w:val="none"/>
              </w:rPr>
              <w:t>招标人代表</w:t>
            </w:r>
            <w:r>
              <w:rPr>
                <w:rFonts w:hint="eastAsia"/>
                <w:color w:val="auto"/>
                <w:sz w:val="21"/>
                <w:szCs w:val="21"/>
                <w:highlight w:val="none"/>
                <w:u w:val="single"/>
              </w:rPr>
              <w:t xml:space="preserve"> 1  </w:t>
            </w:r>
            <w:r>
              <w:rPr>
                <w:rFonts w:hint="eastAsia"/>
                <w:color w:val="auto"/>
                <w:sz w:val="21"/>
                <w:szCs w:val="21"/>
                <w:highlight w:val="none"/>
              </w:rPr>
              <w:t>人（招标人代表应由具有评标专家相应或者类似条件的人员担任，或招标人从河南省综合专家库确定评标专家作为招标人代表）</w:t>
            </w:r>
            <w:r>
              <w:rPr>
                <w:rFonts w:hint="eastAsia"/>
                <w:color w:val="auto"/>
                <w:sz w:val="21"/>
                <w:szCs w:val="21"/>
                <w:highlight w:val="none"/>
                <w:lang w:eastAsia="zh-CN"/>
              </w:rPr>
              <w:t>，</w:t>
            </w:r>
            <w:r>
              <w:rPr>
                <w:rFonts w:hint="eastAsia"/>
                <w:color w:val="auto"/>
                <w:sz w:val="21"/>
                <w:szCs w:val="21"/>
                <w:highlight w:val="none"/>
              </w:rPr>
              <w:t>技术、经济专家</w:t>
            </w:r>
            <w:r>
              <w:rPr>
                <w:rFonts w:hint="eastAsia"/>
                <w:color w:val="auto"/>
                <w:sz w:val="21"/>
                <w:szCs w:val="21"/>
                <w:highlight w:val="none"/>
                <w:lang w:val="en-US" w:eastAsia="zh-CN"/>
              </w:rPr>
              <w:t>共</w:t>
            </w:r>
            <w:r>
              <w:rPr>
                <w:rFonts w:hint="eastAsia"/>
                <w:color w:val="auto"/>
                <w:sz w:val="21"/>
                <w:szCs w:val="21"/>
                <w:highlight w:val="none"/>
                <w:u w:val="single"/>
              </w:rPr>
              <w:t xml:space="preserve"> 4 </w:t>
            </w:r>
            <w:r>
              <w:rPr>
                <w:rFonts w:hint="eastAsia"/>
                <w:color w:val="auto"/>
                <w:sz w:val="21"/>
                <w:szCs w:val="21"/>
                <w:highlight w:val="none"/>
              </w:rPr>
              <w:t>人。</w:t>
            </w:r>
          </w:p>
          <w:p w14:paraId="22AC56F5">
            <w:pPr>
              <w:adjustRightInd w:val="0"/>
              <w:snapToGrid w:val="0"/>
              <w:spacing w:line="400" w:lineRule="exact"/>
              <w:rPr>
                <w:color w:val="auto"/>
                <w:sz w:val="21"/>
                <w:szCs w:val="21"/>
                <w:highlight w:val="none"/>
              </w:rPr>
            </w:pPr>
            <w:r>
              <w:rPr>
                <w:color w:val="auto"/>
                <w:sz w:val="21"/>
                <w:szCs w:val="21"/>
                <w:highlight w:val="none"/>
              </w:rPr>
              <w:t>评标专家确定方式</w:t>
            </w:r>
            <w:r>
              <w:rPr>
                <w:rFonts w:hint="eastAsia"/>
                <w:color w:val="auto"/>
                <w:sz w:val="21"/>
                <w:szCs w:val="21"/>
                <w:highlight w:val="none"/>
              </w:rPr>
              <w:t>：</w:t>
            </w:r>
          </w:p>
          <w:p w14:paraId="7A341BF8">
            <w:pPr>
              <w:adjustRightInd w:val="0"/>
              <w:snapToGrid w:val="0"/>
              <w:spacing w:line="400" w:lineRule="exact"/>
              <w:rPr>
                <w:color w:val="auto"/>
                <w:sz w:val="21"/>
                <w:szCs w:val="21"/>
                <w:highlight w:val="none"/>
              </w:rPr>
            </w:pPr>
            <w:r>
              <w:rPr>
                <w:color w:val="auto"/>
                <w:sz w:val="21"/>
                <w:szCs w:val="21"/>
                <w:highlight w:val="none"/>
              </w:rPr>
              <w:fldChar w:fldCharType="begin"/>
            </w:r>
            <w:r>
              <w:rPr>
                <w:rFonts w:hint="eastAsia"/>
                <w:color w:val="auto"/>
                <w:sz w:val="21"/>
                <w:szCs w:val="21"/>
                <w:highlight w:val="none"/>
              </w:rPr>
              <w:instrText xml:space="preserve">eq \o\ac(</w:instrText>
            </w:r>
            <w:r>
              <w:rPr>
                <w:rFonts w:hint="eastAsia"/>
                <w:color w:val="auto"/>
                <w:position w:val="-4"/>
                <w:sz w:val="31"/>
                <w:szCs w:val="21"/>
                <w:highlight w:val="none"/>
              </w:rPr>
              <w:instrText xml:space="preserve">□</w:instrText>
            </w:r>
            <w:r>
              <w:rPr>
                <w:rFonts w:hint="eastAsia"/>
                <w:color w:val="auto"/>
                <w:position w:val="0"/>
                <w:sz w:val="21"/>
                <w:szCs w:val="21"/>
                <w:highlight w:val="none"/>
              </w:rPr>
              <w:instrText xml:space="preserve">,√)</w:instrText>
            </w:r>
            <w:r>
              <w:rPr>
                <w:color w:val="auto"/>
                <w:sz w:val="21"/>
                <w:szCs w:val="21"/>
                <w:highlight w:val="none"/>
              </w:rPr>
              <w:fldChar w:fldCharType="end"/>
            </w:r>
            <w:r>
              <w:rPr>
                <w:color w:val="auto"/>
                <w:sz w:val="21"/>
                <w:szCs w:val="21"/>
                <w:highlight w:val="none"/>
              </w:rPr>
              <w:t>开标</w:t>
            </w:r>
            <w:r>
              <w:rPr>
                <w:rFonts w:hint="eastAsia"/>
                <w:color w:val="auto"/>
                <w:sz w:val="21"/>
                <w:szCs w:val="21"/>
                <w:highlight w:val="none"/>
              </w:rPr>
              <w:t>时</w:t>
            </w:r>
            <w:r>
              <w:rPr>
                <w:color w:val="auto"/>
                <w:sz w:val="21"/>
                <w:szCs w:val="21"/>
                <w:highlight w:val="none"/>
              </w:rPr>
              <w:t>在监督部门的监督下</w:t>
            </w:r>
            <w:r>
              <w:rPr>
                <w:rFonts w:hint="eastAsia"/>
                <w:color w:val="auto"/>
                <w:sz w:val="21"/>
                <w:szCs w:val="21"/>
                <w:highlight w:val="none"/>
              </w:rPr>
              <w:t>从《河南省综合专家库》中采用电脑随机抽签方式确定,</w:t>
            </w:r>
            <w:r>
              <w:rPr>
                <w:color w:val="auto"/>
                <w:sz w:val="21"/>
                <w:szCs w:val="21"/>
                <w:highlight w:val="none"/>
              </w:rPr>
              <w:t>负责评标活动。</w:t>
            </w:r>
            <w:r>
              <w:rPr>
                <w:rFonts w:hint="eastAsia"/>
                <w:color w:val="auto"/>
                <w:sz w:val="21"/>
                <w:szCs w:val="21"/>
                <w:highlight w:val="none"/>
              </w:rPr>
              <w:t>（默认）</w:t>
            </w:r>
          </w:p>
          <w:p w14:paraId="2B8D815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color w:val="auto"/>
                <w:sz w:val="21"/>
                <w:szCs w:val="21"/>
                <w:highlight w:val="none"/>
              </w:rPr>
              <w:fldChar w:fldCharType="begin"/>
            </w:r>
            <w:r>
              <w:rPr>
                <w:rFonts w:hint="eastAsia"/>
                <w:color w:val="auto"/>
                <w:sz w:val="21"/>
                <w:szCs w:val="21"/>
                <w:highlight w:val="none"/>
              </w:rPr>
              <w:instrText xml:space="preserve">eq \o\ac(</w:instrText>
            </w:r>
            <w:r>
              <w:rPr>
                <w:rFonts w:hint="eastAsia"/>
                <w:color w:val="auto"/>
                <w:position w:val="-4"/>
                <w:sz w:val="31"/>
                <w:szCs w:val="21"/>
                <w:highlight w:val="none"/>
              </w:rPr>
              <w:instrText xml:space="preserve">□</w:instrText>
            </w:r>
            <w:r>
              <w:rPr>
                <w:rFonts w:hint="eastAsia"/>
                <w:color w:val="auto"/>
                <w:position w:val="0"/>
                <w:sz w:val="21"/>
                <w:szCs w:val="21"/>
                <w:highlight w:val="none"/>
              </w:rPr>
              <w:instrText xml:space="preserve">)</w:instrText>
            </w:r>
            <w:r>
              <w:rPr>
                <w:color w:val="auto"/>
                <w:sz w:val="21"/>
                <w:szCs w:val="21"/>
                <w:highlight w:val="none"/>
              </w:rPr>
              <w:fldChar w:fldCharType="end"/>
            </w:r>
            <w:r>
              <w:rPr>
                <w:rFonts w:hint="eastAsia"/>
                <w:color w:val="auto"/>
                <w:sz w:val="21"/>
                <w:szCs w:val="21"/>
                <w:highlight w:val="none"/>
              </w:rPr>
              <w:t>其他：</w:t>
            </w:r>
          </w:p>
        </w:tc>
      </w:tr>
      <w:tr w14:paraId="617E1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064C394">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2.1</w:t>
            </w:r>
          </w:p>
        </w:tc>
        <w:tc>
          <w:tcPr>
            <w:tcW w:w="2556" w:type="dxa"/>
            <w:tcBorders>
              <w:top w:val="single" w:color="auto" w:sz="4" w:space="0"/>
              <w:left w:val="single" w:color="auto" w:sz="4" w:space="0"/>
              <w:bottom w:val="single" w:color="auto" w:sz="4" w:space="0"/>
              <w:right w:val="single" w:color="auto" w:sz="4" w:space="0"/>
            </w:tcBorders>
            <w:noWrap/>
            <w:vAlign w:val="center"/>
          </w:tcPr>
          <w:p w14:paraId="773D175B">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461C1EE6">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网络电子评标（电子评标过程中当出现突发情况，导致系统无法正常运行且短时间内无法修复时，经监督部门同意，延迟评标。）</w:t>
            </w:r>
          </w:p>
          <w:p w14:paraId="7D942141">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□纸质评标</w:t>
            </w:r>
          </w:p>
          <w:p w14:paraId="6D6DD0C4">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远程网络电子评标</w:t>
            </w:r>
          </w:p>
        </w:tc>
      </w:tr>
      <w:tr w14:paraId="57493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5"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7A0755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6.3.</w:t>
            </w:r>
            <w:r>
              <w:rPr>
                <w:rFonts w:hint="eastAsia" w:ascii="宋体" w:hAnsi="宋体" w:eastAsia="宋体" w:cs="宋体"/>
                <w:color w:val="auto"/>
                <w:sz w:val="21"/>
                <w:szCs w:val="21"/>
                <w:highlight w:val="none"/>
                <w:lang w:val="en-US" w:eastAsia="zh-CN"/>
              </w:rPr>
              <w:t>2</w:t>
            </w:r>
          </w:p>
        </w:tc>
        <w:tc>
          <w:tcPr>
            <w:tcW w:w="2556" w:type="dxa"/>
            <w:tcBorders>
              <w:top w:val="single" w:color="auto" w:sz="4" w:space="0"/>
              <w:left w:val="single" w:color="auto" w:sz="4" w:space="0"/>
              <w:bottom w:val="single" w:color="auto" w:sz="4" w:space="0"/>
              <w:right w:val="single" w:color="auto" w:sz="4" w:space="0"/>
            </w:tcBorders>
            <w:noWrap/>
            <w:vAlign w:val="center"/>
          </w:tcPr>
          <w:p w14:paraId="03DF9BC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采用评定分离，</w:t>
            </w:r>
            <w:r>
              <w:rPr>
                <w:rFonts w:hint="eastAsia" w:ascii="宋体" w:hAnsi="宋体" w:eastAsia="宋体" w:cs="宋体"/>
                <w:color w:val="auto"/>
                <w:sz w:val="21"/>
                <w:szCs w:val="21"/>
                <w:highlight w:val="none"/>
              </w:rPr>
              <w:t>评标委员会推荐中标候选人的人数</w:t>
            </w:r>
          </w:p>
        </w:tc>
        <w:tc>
          <w:tcPr>
            <w:tcW w:w="6196" w:type="dxa"/>
            <w:tcBorders>
              <w:top w:val="single" w:color="auto" w:sz="4" w:space="0"/>
              <w:left w:val="single" w:color="auto" w:sz="4" w:space="0"/>
              <w:bottom w:val="single" w:color="auto" w:sz="4" w:space="0"/>
              <w:right w:val="single" w:color="auto" w:sz="4" w:space="0"/>
            </w:tcBorders>
            <w:noWrap/>
            <w:vAlign w:val="center"/>
          </w:tcPr>
          <w:p w14:paraId="5909A5E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有效投标人数量为3家至10家(含10家)时，全部推荐</w:t>
            </w:r>
            <w:r>
              <w:rPr>
                <w:rFonts w:hint="eastAsia" w:ascii="宋体" w:hAnsi="宋体" w:cs="宋体"/>
                <w:color w:val="auto"/>
                <w:sz w:val="21"/>
                <w:szCs w:val="21"/>
                <w:highlight w:val="none"/>
                <w:lang w:eastAsia="zh-CN"/>
              </w:rPr>
              <w:t>为</w:t>
            </w:r>
            <w:r>
              <w:rPr>
                <w:rFonts w:hint="eastAsia" w:ascii="宋体" w:hAnsi="宋体" w:eastAsia="宋体" w:cs="宋体"/>
                <w:color w:val="auto"/>
                <w:sz w:val="21"/>
                <w:szCs w:val="21"/>
                <w:highlight w:val="none"/>
              </w:rPr>
              <w:t>中标候选人；有效投标人数量为10家以上时，按照择优原则</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推荐原则详见评标办法评审标准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进行评标，</w:t>
            </w:r>
            <w:r>
              <w:rPr>
                <w:rFonts w:hint="eastAsia" w:ascii="宋体" w:hAnsi="宋体" w:eastAsia="宋体" w:cs="宋体"/>
                <w:color w:val="auto"/>
                <w:szCs w:val="21"/>
                <w:highlight w:val="none"/>
                <w:lang w:val="en-US" w:eastAsia="zh-CN"/>
              </w:rPr>
              <w:t>差额推荐合格的投标人的投标报价得分由高到底推荐10家中标候选人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评标报告应当载明每个中标候选人的特点、优势、缺点、风险等评审情况和推荐理由，并对技术、质量、安全、工期的控制能力等提供技术咨询建议。</w:t>
            </w:r>
          </w:p>
        </w:tc>
      </w:tr>
      <w:tr w14:paraId="13063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E15844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2556" w:type="dxa"/>
            <w:tcBorders>
              <w:top w:val="single" w:color="auto" w:sz="4" w:space="0"/>
              <w:left w:val="single" w:color="auto" w:sz="4" w:space="0"/>
              <w:bottom w:val="single" w:color="auto" w:sz="4" w:space="0"/>
              <w:right w:val="single" w:color="auto" w:sz="4" w:space="0"/>
            </w:tcBorders>
            <w:noWrap/>
            <w:vAlign w:val="center"/>
          </w:tcPr>
          <w:p w14:paraId="129BBB6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中标候选人公示媒介及期限</w:t>
            </w:r>
          </w:p>
        </w:tc>
        <w:tc>
          <w:tcPr>
            <w:tcW w:w="6196" w:type="dxa"/>
            <w:tcBorders>
              <w:top w:val="single" w:color="auto" w:sz="4" w:space="0"/>
              <w:left w:val="single" w:color="auto" w:sz="4" w:space="0"/>
              <w:bottom w:val="single" w:color="auto" w:sz="4" w:space="0"/>
              <w:right w:val="single" w:color="auto" w:sz="4" w:space="0"/>
            </w:tcBorders>
            <w:noWrap/>
            <w:vAlign w:val="center"/>
          </w:tcPr>
          <w:p w14:paraId="43094AE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公示媒介：招标公告发布同一媒介</w:t>
            </w:r>
          </w:p>
          <w:p w14:paraId="58CB9AD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公示期限：不少于3日</w:t>
            </w:r>
          </w:p>
        </w:tc>
      </w:tr>
      <w:tr w14:paraId="138A2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E76116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w:t>
            </w:r>
          </w:p>
        </w:tc>
        <w:tc>
          <w:tcPr>
            <w:tcW w:w="2556" w:type="dxa"/>
            <w:tcBorders>
              <w:top w:val="single" w:color="auto" w:sz="4" w:space="0"/>
              <w:left w:val="single" w:color="auto" w:sz="4" w:space="0"/>
              <w:bottom w:val="single" w:color="auto" w:sz="4" w:space="0"/>
              <w:right w:val="single" w:color="auto" w:sz="4" w:space="0"/>
            </w:tcBorders>
            <w:noWrap/>
            <w:vAlign w:val="center"/>
          </w:tcPr>
          <w:p w14:paraId="15D5ED5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是否授权评标委员会确定中标人</w:t>
            </w:r>
          </w:p>
        </w:tc>
        <w:tc>
          <w:tcPr>
            <w:tcW w:w="6196" w:type="dxa"/>
            <w:tcBorders>
              <w:top w:val="single" w:color="auto" w:sz="4" w:space="0"/>
              <w:left w:val="single" w:color="auto" w:sz="4" w:space="0"/>
              <w:bottom w:val="single" w:color="auto" w:sz="4" w:space="0"/>
              <w:right w:val="single" w:color="auto" w:sz="4" w:space="0"/>
            </w:tcBorders>
            <w:noWrap/>
            <w:vAlign w:val="center"/>
          </w:tcPr>
          <w:p w14:paraId="79F8AC4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p w14:paraId="4755456A">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tc>
      </w:tr>
      <w:tr w14:paraId="5CF06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BE4DDE7">
            <w:pPr>
              <w:keepNext w:val="0"/>
              <w:keepLines w:val="0"/>
              <w:pageBreakBefore w:val="0"/>
              <w:kinsoku/>
              <w:wordWrap/>
              <w:overflowPunct/>
              <w:topLinePunct w:val="0"/>
              <w:autoSpaceDE w:val="0"/>
              <w:autoSpaceDN/>
              <w:bidi w:val="0"/>
              <w:spacing w:line="360" w:lineRule="atLeas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7.4.2</w:t>
            </w:r>
          </w:p>
        </w:tc>
        <w:tc>
          <w:tcPr>
            <w:tcW w:w="2556" w:type="dxa"/>
            <w:tcBorders>
              <w:top w:val="single" w:color="auto" w:sz="4" w:space="0"/>
              <w:left w:val="single" w:color="auto" w:sz="4" w:space="0"/>
              <w:bottom w:val="single" w:color="auto" w:sz="4" w:space="0"/>
              <w:right w:val="single" w:color="auto" w:sz="4" w:space="0"/>
            </w:tcBorders>
            <w:noWrap/>
            <w:vAlign w:val="center"/>
          </w:tcPr>
          <w:p w14:paraId="25C0E90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定标方法</w:t>
            </w:r>
          </w:p>
        </w:tc>
        <w:tc>
          <w:tcPr>
            <w:tcW w:w="6196" w:type="dxa"/>
            <w:tcBorders>
              <w:top w:val="single" w:color="auto" w:sz="4" w:space="0"/>
              <w:left w:val="single" w:color="auto" w:sz="4" w:space="0"/>
              <w:bottom w:val="single" w:color="auto" w:sz="4" w:space="0"/>
              <w:right w:val="single" w:color="auto" w:sz="4" w:space="0"/>
            </w:tcBorders>
            <w:noWrap/>
            <w:vAlign w:val="center"/>
          </w:tcPr>
          <w:p w14:paraId="2C9A5F9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核查随机法</w:t>
            </w:r>
          </w:p>
          <w:p w14:paraId="357EEF8B">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票决法</w:t>
            </w:r>
          </w:p>
          <w:p w14:paraId="5CC7483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□集体议事法</w:t>
            </w:r>
          </w:p>
          <w:p w14:paraId="58F09A53">
            <w:pPr>
              <w:keepNext w:val="0"/>
              <w:keepLines w:val="0"/>
              <w:pageBreakBefore w:val="0"/>
              <w:kinsoku/>
              <w:wordWrap/>
              <w:overflowPunct/>
              <w:topLinePunct w:val="0"/>
              <w:autoSpaceDE w:val="0"/>
              <w:autoSpaceDN/>
              <w:bidi w:val="0"/>
              <w:spacing w:line="360" w:lineRule="atLeast"/>
              <w:textAlignment w:val="auto"/>
              <w:rPr>
                <w:rFonts w:hint="eastAsia"/>
                <w:color w:val="auto"/>
                <w:highlight w:val="none"/>
              </w:rPr>
            </w:pPr>
            <w:r>
              <w:rPr>
                <w:rFonts w:hint="eastAsia" w:ascii="宋体" w:hAnsi="宋体" w:eastAsia="宋体" w:cs="宋体"/>
                <w:color w:val="auto"/>
                <w:sz w:val="21"/>
                <w:szCs w:val="21"/>
                <w:highlight w:val="none"/>
                <w:lang w:eastAsia="zh-CN"/>
              </w:rPr>
              <w:t>□其他方法</w:t>
            </w:r>
          </w:p>
        </w:tc>
      </w:tr>
      <w:tr w14:paraId="63FBD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74D681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c>
          <w:tcPr>
            <w:tcW w:w="2556" w:type="dxa"/>
            <w:tcBorders>
              <w:top w:val="single" w:color="auto" w:sz="4" w:space="0"/>
              <w:left w:val="single" w:color="auto" w:sz="4" w:space="0"/>
              <w:bottom w:val="single" w:color="auto" w:sz="4" w:space="0"/>
              <w:right w:val="single" w:color="auto" w:sz="4" w:space="0"/>
            </w:tcBorders>
            <w:noWrap/>
            <w:vAlign w:val="center"/>
          </w:tcPr>
          <w:p w14:paraId="2BA97108">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中标通知书和中标结果通知发出的形式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5A9DF5E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中标通知书：书面形式</w:t>
            </w:r>
          </w:p>
          <w:p w14:paraId="2BC7D64B">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中标结果通知：电子形式（网上发布）</w:t>
            </w:r>
          </w:p>
        </w:tc>
      </w:tr>
      <w:tr w14:paraId="432CF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B447E48">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w:t>
            </w:r>
          </w:p>
        </w:tc>
        <w:tc>
          <w:tcPr>
            <w:tcW w:w="2556" w:type="dxa"/>
            <w:tcBorders>
              <w:top w:val="single" w:color="auto" w:sz="4" w:space="0"/>
              <w:left w:val="single" w:color="auto" w:sz="4" w:space="0"/>
              <w:bottom w:val="single" w:color="auto" w:sz="4" w:space="0"/>
              <w:right w:val="single" w:color="auto" w:sz="4" w:space="0"/>
            </w:tcBorders>
            <w:noWrap/>
            <w:vAlign w:val="center"/>
          </w:tcPr>
          <w:p w14:paraId="32B777C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中标结果公告媒介及期限</w:t>
            </w:r>
          </w:p>
        </w:tc>
        <w:tc>
          <w:tcPr>
            <w:tcW w:w="6196" w:type="dxa"/>
            <w:tcBorders>
              <w:top w:val="single" w:color="auto" w:sz="4" w:space="0"/>
              <w:left w:val="single" w:color="auto" w:sz="4" w:space="0"/>
              <w:bottom w:val="single" w:color="auto" w:sz="4" w:space="0"/>
              <w:right w:val="single" w:color="auto" w:sz="4" w:space="0"/>
            </w:tcBorders>
            <w:noWrap/>
            <w:vAlign w:val="center"/>
          </w:tcPr>
          <w:p w14:paraId="64EE198B">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公告媒介：招标公告发布同一媒介</w:t>
            </w:r>
          </w:p>
          <w:p w14:paraId="72FADA3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公告期限：不少于3日</w:t>
            </w:r>
          </w:p>
        </w:tc>
      </w:tr>
      <w:tr w14:paraId="268D9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DCCD9F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7.7.1</w:t>
            </w:r>
          </w:p>
        </w:tc>
        <w:tc>
          <w:tcPr>
            <w:tcW w:w="2556" w:type="dxa"/>
            <w:tcBorders>
              <w:top w:val="single" w:color="auto" w:sz="4" w:space="0"/>
              <w:left w:val="single" w:color="auto" w:sz="4" w:space="0"/>
              <w:bottom w:val="single" w:color="auto" w:sz="4" w:space="0"/>
              <w:right w:val="single" w:color="auto" w:sz="4" w:space="0"/>
            </w:tcBorders>
            <w:noWrap/>
            <w:vAlign w:val="center"/>
          </w:tcPr>
          <w:p w14:paraId="44625F6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6196" w:type="dxa"/>
            <w:tcBorders>
              <w:top w:val="single" w:color="auto" w:sz="4" w:space="0"/>
              <w:left w:val="single" w:color="auto" w:sz="4" w:space="0"/>
              <w:bottom w:val="single" w:color="auto" w:sz="4" w:space="0"/>
              <w:right w:val="single" w:color="auto" w:sz="4" w:space="0"/>
            </w:tcBorders>
            <w:noWrap/>
            <w:vAlign w:val="center"/>
          </w:tcPr>
          <w:p w14:paraId="18EE55B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是否要求中标人提交履约保证金：</w:t>
            </w:r>
          </w:p>
          <w:p w14:paraId="5B5EDFB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要求</w:t>
            </w:r>
          </w:p>
          <w:p w14:paraId="7C950EC2">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履约担保的形式：银行转账或保函</w:t>
            </w:r>
          </w:p>
          <w:p w14:paraId="6E66BD9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履约担保的金额：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签约合同价</w:t>
            </w:r>
          </w:p>
          <w:p w14:paraId="7119B519">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□不要求</w:t>
            </w:r>
          </w:p>
        </w:tc>
      </w:tr>
      <w:tr w14:paraId="3D91F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FC8769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8.5.1</w:t>
            </w:r>
          </w:p>
        </w:tc>
        <w:tc>
          <w:tcPr>
            <w:tcW w:w="2556" w:type="dxa"/>
            <w:tcBorders>
              <w:top w:val="single" w:color="auto" w:sz="4" w:space="0"/>
              <w:left w:val="single" w:color="auto" w:sz="4" w:space="0"/>
              <w:bottom w:val="single" w:color="auto" w:sz="4" w:space="0"/>
              <w:right w:val="single" w:color="auto" w:sz="4" w:space="0"/>
            </w:tcBorders>
            <w:noWrap/>
            <w:vAlign w:val="center"/>
          </w:tcPr>
          <w:p w14:paraId="7DF65D3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监督部门</w:t>
            </w:r>
          </w:p>
        </w:tc>
        <w:tc>
          <w:tcPr>
            <w:tcW w:w="6196" w:type="dxa"/>
            <w:tcBorders>
              <w:top w:val="single" w:color="auto" w:sz="4" w:space="0"/>
              <w:left w:val="single" w:color="auto" w:sz="4" w:space="0"/>
              <w:bottom w:val="single" w:color="auto" w:sz="4" w:space="0"/>
              <w:right w:val="single" w:color="auto" w:sz="4" w:space="0"/>
            </w:tcBorders>
            <w:noWrap/>
            <w:vAlign w:val="center"/>
          </w:tcPr>
          <w:p w14:paraId="3D76B6C9">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监督部门：</w:t>
            </w:r>
            <w:r>
              <w:rPr>
                <w:rFonts w:hint="eastAsia" w:ascii="宋体" w:hAnsi="宋体" w:cs="宋体"/>
                <w:color w:val="auto"/>
                <w:sz w:val="21"/>
                <w:szCs w:val="21"/>
                <w:highlight w:val="none"/>
                <w:lang w:val="en-US" w:eastAsia="zh-CN"/>
              </w:rPr>
              <w:t>平舆县</w:t>
            </w:r>
            <w:r>
              <w:rPr>
                <w:rFonts w:hint="eastAsia" w:ascii="宋体" w:hAnsi="宋体" w:eastAsia="宋体" w:cs="宋体"/>
                <w:color w:val="auto"/>
                <w:sz w:val="21"/>
                <w:szCs w:val="21"/>
                <w:highlight w:val="none"/>
                <w:lang w:val="en-US" w:eastAsia="zh-CN"/>
              </w:rPr>
              <w:t xml:space="preserve">交通运输局 </w:t>
            </w:r>
          </w:p>
          <w:p w14:paraId="2DD4249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办公地址：</w:t>
            </w:r>
            <w:r>
              <w:rPr>
                <w:rFonts w:hint="eastAsia" w:ascii="宋体" w:hAnsi="宋体" w:cs="宋体"/>
                <w:color w:val="auto"/>
                <w:sz w:val="21"/>
                <w:szCs w:val="21"/>
                <w:highlight w:val="none"/>
                <w:lang w:val="en-US" w:eastAsia="zh-CN"/>
              </w:rPr>
              <w:t>平舆县清河大道</w:t>
            </w:r>
          </w:p>
          <w:p w14:paraId="43550EE5">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    话：</w:t>
            </w:r>
            <w:r>
              <w:rPr>
                <w:rFonts w:hint="eastAsia" w:ascii="宋体" w:hAnsi="宋体" w:cs="宋体"/>
                <w:color w:val="auto"/>
                <w:kern w:val="2"/>
                <w:sz w:val="21"/>
                <w:szCs w:val="21"/>
                <w:highlight w:val="none"/>
                <w:lang w:val="en-US" w:eastAsia="zh-CN" w:bidi="ar-SA"/>
              </w:rPr>
              <w:t xml:space="preserve">0396-5022453 </w:t>
            </w:r>
          </w:p>
        </w:tc>
      </w:tr>
      <w:tr w14:paraId="30959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99C3D2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556" w:type="dxa"/>
            <w:tcBorders>
              <w:top w:val="single" w:color="auto" w:sz="4" w:space="0"/>
              <w:left w:val="single" w:color="auto" w:sz="4" w:space="0"/>
              <w:bottom w:val="single" w:color="auto" w:sz="4" w:space="0"/>
              <w:right w:val="single" w:color="auto" w:sz="4" w:space="0"/>
            </w:tcBorders>
            <w:noWrap/>
            <w:vAlign w:val="center"/>
          </w:tcPr>
          <w:p w14:paraId="35F0B04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是否采用电子招标投标</w:t>
            </w:r>
          </w:p>
        </w:tc>
        <w:tc>
          <w:tcPr>
            <w:tcW w:w="6196" w:type="dxa"/>
            <w:tcBorders>
              <w:top w:val="single" w:color="auto" w:sz="4" w:space="0"/>
              <w:left w:val="single" w:color="auto" w:sz="4" w:space="0"/>
              <w:bottom w:val="single" w:color="auto" w:sz="4" w:space="0"/>
              <w:right w:val="single" w:color="auto" w:sz="4" w:space="0"/>
            </w:tcBorders>
            <w:noWrap/>
            <w:vAlign w:val="center"/>
          </w:tcPr>
          <w:p w14:paraId="47961106">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p w14:paraId="7C9EBD0F">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具体要求：本工程采用远程不见面交易的模式。开标当日，投标人无需到达开标现场，仅需在任意地点通过驻马店不见面开标系统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tc>
      </w:tr>
      <w:tr w14:paraId="5F12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08" w:type="dxa"/>
            <w:gridSpan w:val="3"/>
            <w:tcBorders>
              <w:top w:val="single" w:color="auto" w:sz="4" w:space="0"/>
              <w:left w:val="single" w:color="auto" w:sz="4" w:space="0"/>
              <w:bottom w:val="single" w:color="auto" w:sz="4" w:space="0"/>
              <w:right w:val="single" w:color="auto" w:sz="4" w:space="0"/>
            </w:tcBorders>
            <w:noWrap/>
            <w:vAlign w:val="center"/>
          </w:tcPr>
          <w:p w14:paraId="7F3EE329">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需要补充的其他内容</w:t>
            </w:r>
          </w:p>
        </w:tc>
      </w:tr>
      <w:tr w14:paraId="4E0C7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08" w:type="dxa"/>
            <w:gridSpan w:val="3"/>
            <w:tcBorders>
              <w:top w:val="single" w:color="auto" w:sz="4" w:space="0"/>
              <w:left w:val="single" w:color="auto" w:sz="4" w:space="0"/>
              <w:bottom w:val="single" w:color="auto" w:sz="4" w:space="0"/>
              <w:right w:val="single" w:color="auto" w:sz="4" w:space="0"/>
            </w:tcBorders>
            <w:noWrap/>
            <w:vAlign w:val="center"/>
          </w:tcPr>
          <w:p w14:paraId="0205F215">
            <w:pPr>
              <w:keepNext w:val="0"/>
              <w:keepLines w:val="0"/>
              <w:pageBreakBefore w:val="0"/>
              <w:kinsoku/>
              <w:wordWrap/>
              <w:overflowPunct/>
              <w:topLinePunct w:val="0"/>
              <w:autoSpaceDE w:val="0"/>
              <w:autoSpaceDN/>
              <w:bidi w:val="0"/>
              <w:spacing w:line="360" w:lineRule="atLeast"/>
              <w:jc w:val="left"/>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中标候选人公示在发布媒介发布后，各中标候选单位请于中标候选人公示期完成</w:t>
            </w:r>
            <w:r>
              <w:rPr>
                <w:rFonts w:hint="eastAsia" w:ascii="宋体" w:cs="宋体"/>
                <w:strike w:val="0"/>
                <w:dstrike w:val="0"/>
                <w:color w:val="auto"/>
                <w:sz w:val="21"/>
                <w:szCs w:val="21"/>
                <w:highlight w:val="none"/>
                <w:lang w:val="en-US" w:eastAsia="zh-CN"/>
              </w:rPr>
              <w:t>前向</w:t>
            </w:r>
            <w:r>
              <w:rPr>
                <w:rFonts w:hint="eastAsia" w:ascii="宋体" w:hAnsi="宋体" w:eastAsia="宋体" w:cs="宋体"/>
                <w:strike w:val="0"/>
                <w:dstrike w:val="0"/>
                <w:color w:val="auto"/>
                <w:sz w:val="21"/>
                <w:szCs w:val="21"/>
                <w:highlight w:val="none"/>
              </w:rPr>
              <w:t>招标人或招标代理机构提供与上传电子投标文件一致的纸质投标文件正本壹份、副本</w:t>
            </w:r>
            <w:r>
              <w:rPr>
                <w:rFonts w:hint="eastAsia" w:ascii="宋体" w:hAnsi="宋体" w:eastAsia="宋体" w:cs="宋体"/>
                <w:strike w:val="0"/>
                <w:dstrike w:val="0"/>
                <w:color w:val="auto"/>
                <w:sz w:val="21"/>
                <w:szCs w:val="21"/>
                <w:highlight w:val="none"/>
                <w:lang w:val="en-US" w:eastAsia="zh-CN"/>
              </w:rPr>
              <w:t>壹</w:t>
            </w:r>
            <w:r>
              <w:rPr>
                <w:rFonts w:hint="eastAsia" w:ascii="宋体" w:hAnsi="宋体" w:eastAsia="宋体" w:cs="宋体"/>
                <w:strike w:val="0"/>
                <w:dstrike w:val="0"/>
                <w:color w:val="auto"/>
                <w:sz w:val="21"/>
                <w:szCs w:val="21"/>
                <w:highlight w:val="none"/>
              </w:rPr>
              <w:t>份</w:t>
            </w:r>
            <w:r>
              <w:rPr>
                <w:rFonts w:hint="eastAsia" w:ascii="宋体" w:hAnsi="宋体" w:eastAsia="宋体" w:cs="宋体"/>
                <w:color w:val="auto"/>
                <w:sz w:val="21"/>
                <w:szCs w:val="21"/>
                <w:highlight w:val="none"/>
                <w:lang w:val="en-US" w:eastAsia="zh-CN"/>
              </w:rPr>
              <w:t>送达至平舆县公路事业发展中心，以免影响本项目定标使用。</w:t>
            </w:r>
          </w:p>
        </w:tc>
      </w:tr>
    </w:tbl>
    <w:p w14:paraId="0CD6708C">
      <w:pPr>
        <w:jc w:val="center"/>
        <w:rPr>
          <w:rFonts w:ascii="宋体" w:hAnsi="宋体"/>
          <w:b/>
          <w:color w:val="auto"/>
          <w:sz w:val="28"/>
          <w:szCs w:val="28"/>
          <w:highlight w:val="none"/>
        </w:rPr>
      </w:pPr>
      <w:bookmarkStart w:id="21" w:name="_Toc152045529"/>
      <w:bookmarkEnd w:id="21"/>
      <w:bookmarkStart w:id="22" w:name="_Toc132601551"/>
      <w:bookmarkEnd w:id="22"/>
      <w:bookmarkStart w:id="23" w:name="_Toc179632546"/>
      <w:bookmarkEnd w:id="23"/>
      <w:bookmarkStart w:id="24" w:name="_Toc152042305"/>
      <w:bookmarkEnd w:id="24"/>
      <w:bookmarkStart w:id="25" w:name="_Toc144974497"/>
      <w:bookmarkEnd w:id="25"/>
      <w:bookmarkStart w:id="26" w:name="_Hlt111980141"/>
      <w:bookmarkEnd w:id="26"/>
      <w:bookmarkStart w:id="27" w:name="_Hlt125377922"/>
      <w:r>
        <w:rPr>
          <w:rFonts w:hint="eastAsia" w:ascii="宋体" w:hAnsi="宋体"/>
          <w:b/>
          <w:color w:val="auto"/>
          <w:sz w:val="28"/>
          <w:szCs w:val="28"/>
          <w:highlight w:val="none"/>
        </w:rPr>
        <w:t xml:space="preserve"> </w:t>
      </w:r>
      <w:bookmarkEnd w:id="27"/>
    </w:p>
    <w:p w14:paraId="13437A61">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28"/>
          <w:szCs w:val="28"/>
          <w:highlight w:val="none"/>
        </w:rPr>
      </w:pPr>
      <w:r>
        <w:rPr>
          <w:rFonts w:hint="eastAsia" w:ascii="宋体" w:hAnsi="宋体"/>
          <w:b/>
          <w:color w:val="auto"/>
          <w:sz w:val="28"/>
          <w:szCs w:val="28"/>
          <w:highlight w:val="none"/>
        </w:rPr>
        <w:br w:type="page"/>
      </w:r>
      <w:bookmarkStart w:id="28" w:name="_Toc19443"/>
      <w:bookmarkEnd w:id="28"/>
      <w:r>
        <w:rPr>
          <w:rFonts w:hint="eastAsia" w:ascii="宋体" w:hAnsi="宋体"/>
          <w:b/>
          <w:color w:val="auto"/>
          <w:sz w:val="28"/>
          <w:szCs w:val="28"/>
          <w:highlight w:val="none"/>
        </w:rPr>
        <w:t>附录1 资格审查条件（资质最低要求）</w:t>
      </w:r>
    </w:p>
    <w:tbl>
      <w:tblPr>
        <w:tblStyle w:val="23"/>
        <w:tblW w:w="8580" w:type="dxa"/>
        <w:jc w:val="center"/>
        <w:tblLayout w:type="fixed"/>
        <w:tblCellMar>
          <w:top w:w="0" w:type="dxa"/>
          <w:left w:w="108" w:type="dxa"/>
          <w:bottom w:w="0" w:type="dxa"/>
          <w:right w:w="108" w:type="dxa"/>
        </w:tblCellMar>
      </w:tblPr>
      <w:tblGrid>
        <w:gridCol w:w="8580"/>
      </w:tblGrid>
      <w:tr w14:paraId="7F407F8D">
        <w:tblPrEx>
          <w:tblCellMar>
            <w:top w:w="0" w:type="dxa"/>
            <w:left w:w="108" w:type="dxa"/>
            <w:bottom w:w="0" w:type="dxa"/>
            <w:right w:w="108" w:type="dxa"/>
          </w:tblCellMar>
        </w:tblPrEx>
        <w:trPr>
          <w:trHeight w:val="938" w:hRule="atLeast"/>
          <w:jc w:val="center"/>
        </w:trPr>
        <w:tc>
          <w:tcPr>
            <w:tcW w:w="8580" w:type="dxa"/>
            <w:tcBorders>
              <w:top w:val="single" w:color="auto" w:sz="6" w:space="0"/>
              <w:left w:val="single" w:color="auto" w:sz="6" w:space="0"/>
              <w:bottom w:val="single" w:color="auto" w:sz="6" w:space="0"/>
              <w:right w:val="single" w:color="auto" w:sz="6" w:space="0"/>
            </w:tcBorders>
            <w:noWrap/>
            <w:vAlign w:val="center"/>
          </w:tcPr>
          <w:p w14:paraId="642C40C0">
            <w:pPr>
              <w:pStyle w:val="43"/>
              <w:jc w:val="center"/>
              <w:rPr>
                <w:rFonts w:hAnsi="宋体" w:cs="Times New Roman"/>
                <w:color w:val="auto"/>
                <w:sz w:val="21"/>
                <w:szCs w:val="21"/>
                <w:highlight w:val="none"/>
              </w:rPr>
            </w:pPr>
            <w:r>
              <w:rPr>
                <w:rFonts w:hint="eastAsia" w:hAnsi="宋体" w:cs="Times New Roman"/>
                <w:color w:val="auto"/>
                <w:sz w:val="21"/>
                <w:szCs w:val="21"/>
                <w:highlight w:val="none"/>
              </w:rPr>
              <w:t>施工企业资质等级</w:t>
            </w:r>
            <w:r>
              <w:rPr>
                <w:rFonts w:hint="eastAsia" w:hAnsi="宋体" w:cs="Times New Roman"/>
                <w:bCs/>
                <w:caps/>
                <w:color w:val="auto"/>
                <w:sz w:val="21"/>
                <w:szCs w:val="21"/>
                <w:highlight w:val="none"/>
              </w:rPr>
              <w:t>要求</w:t>
            </w:r>
          </w:p>
        </w:tc>
      </w:tr>
      <w:tr w14:paraId="1F9994CF">
        <w:trPr>
          <w:cantSplit/>
          <w:trHeight w:val="3857" w:hRule="atLeast"/>
          <w:jc w:val="center"/>
        </w:trPr>
        <w:tc>
          <w:tcPr>
            <w:tcW w:w="8580" w:type="dxa"/>
            <w:tcBorders>
              <w:top w:val="single" w:color="auto" w:sz="6" w:space="0"/>
              <w:left w:val="single" w:color="auto" w:sz="6" w:space="0"/>
              <w:bottom w:val="single" w:color="auto" w:sz="6" w:space="0"/>
              <w:right w:val="single" w:color="auto" w:sz="6" w:space="0"/>
            </w:tcBorders>
            <w:noWrap/>
            <w:vAlign w:val="center"/>
          </w:tcPr>
          <w:p w14:paraId="655A916A">
            <w:pPr>
              <w:numPr>
                <w:ilvl w:val="0"/>
                <w:numId w:val="0"/>
              </w:numPr>
              <w:wordWrap w:val="0"/>
              <w:autoSpaceDE w:val="0"/>
              <w:spacing w:line="360" w:lineRule="auto"/>
              <w:jc w:val="left"/>
              <w:rPr>
                <w:rFonts w:hint="eastAsia" w:ascii="宋体" w:hAnsi="宋体"/>
                <w:bCs/>
                <w:caps/>
                <w:color w:val="auto"/>
                <w:highlight w:val="none"/>
              </w:rPr>
            </w:pPr>
            <w:r>
              <w:rPr>
                <w:rFonts w:hint="eastAsia" w:ascii="宋体" w:hAnsi="宋体"/>
                <w:bCs/>
                <w:caps/>
                <w:color w:val="auto"/>
                <w:highlight w:val="none"/>
                <w:lang w:val="en-US" w:eastAsia="zh-CN"/>
              </w:rPr>
              <w:t>1.投标人须具备独立法人资格，具有有效的营业执照、安全生产许可证，投标人须具备建设行政主管部门颁发的公路工程施工总承包二级及以上资质，并在人员、设备、资金等方面具备相应的施工能力。</w:t>
            </w:r>
          </w:p>
          <w:p w14:paraId="478C8085">
            <w:pPr>
              <w:wordWrap w:val="0"/>
              <w:autoSpaceDE w:val="0"/>
              <w:spacing w:line="360" w:lineRule="auto"/>
              <w:jc w:val="left"/>
              <w:rPr>
                <w:rFonts w:ascii="宋体" w:hAnsi="宋体"/>
                <w:bCs/>
                <w:caps/>
                <w:color w:val="auto"/>
                <w:highlight w:val="none"/>
              </w:rPr>
            </w:pPr>
          </w:p>
        </w:tc>
      </w:tr>
    </w:tbl>
    <w:p w14:paraId="364F28EF">
      <w:pPr>
        <w:pStyle w:val="21"/>
        <w:ind w:firstLine="0" w:firstLineChars="0"/>
        <w:rPr>
          <w:rFonts w:ascii="宋体"/>
          <w:color w:val="auto"/>
          <w:highlight w:val="none"/>
        </w:rPr>
      </w:pPr>
      <w:r>
        <w:rPr>
          <w:rFonts w:hint="eastAsia" w:ascii="宋体"/>
          <w:color w:val="auto"/>
          <w:highlight w:val="none"/>
        </w:rPr>
        <w:t xml:space="preserve"> </w:t>
      </w:r>
    </w:p>
    <w:p w14:paraId="57D55F7F">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28"/>
          <w:szCs w:val="28"/>
          <w:highlight w:val="none"/>
        </w:rPr>
      </w:pPr>
      <w:bookmarkStart w:id="29" w:name="_Toc24322"/>
      <w:bookmarkEnd w:id="29"/>
      <w:r>
        <w:rPr>
          <w:rFonts w:hint="eastAsia" w:ascii="宋体" w:hAnsi="宋体"/>
          <w:b/>
          <w:color w:val="auto"/>
          <w:sz w:val="28"/>
          <w:szCs w:val="28"/>
          <w:highlight w:val="none"/>
        </w:rPr>
        <w:t>附录2 资格审查条件（财务最低要求）</w:t>
      </w:r>
    </w:p>
    <w:tbl>
      <w:tblPr>
        <w:tblStyle w:val="23"/>
        <w:tblW w:w="8540" w:type="dxa"/>
        <w:jc w:val="center"/>
        <w:tblLayout w:type="fixed"/>
        <w:tblCellMar>
          <w:top w:w="0" w:type="dxa"/>
          <w:left w:w="108" w:type="dxa"/>
          <w:bottom w:w="0" w:type="dxa"/>
          <w:right w:w="108" w:type="dxa"/>
        </w:tblCellMar>
      </w:tblPr>
      <w:tblGrid>
        <w:gridCol w:w="8540"/>
      </w:tblGrid>
      <w:tr w14:paraId="65B0929D">
        <w:tblPrEx>
          <w:tblCellMar>
            <w:top w:w="0" w:type="dxa"/>
            <w:left w:w="108" w:type="dxa"/>
            <w:bottom w:w="0" w:type="dxa"/>
            <w:right w:w="108" w:type="dxa"/>
          </w:tblCellMar>
        </w:tblPrEx>
        <w:trPr>
          <w:trHeight w:val="790" w:hRule="atLeast"/>
          <w:jc w:val="center"/>
        </w:trPr>
        <w:tc>
          <w:tcPr>
            <w:tcW w:w="8540" w:type="dxa"/>
            <w:tcBorders>
              <w:top w:val="single" w:color="auto" w:sz="6" w:space="0"/>
              <w:left w:val="single" w:color="auto" w:sz="6" w:space="0"/>
              <w:bottom w:val="single" w:color="auto" w:sz="6" w:space="0"/>
              <w:right w:val="single" w:color="auto" w:sz="6" w:space="0"/>
            </w:tcBorders>
            <w:noWrap/>
            <w:vAlign w:val="center"/>
          </w:tcPr>
          <w:p w14:paraId="760A03A8">
            <w:pPr>
              <w:pStyle w:val="17"/>
              <w:tabs>
                <w:tab w:val="right" w:leader="dot" w:pos="8495"/>
              </w:tabs>
              <w:spacing w:line="240" w:lineRule="auto"/>
              <w:jc w:val="center"/>
              <w:rPr>
                <w:rFonts w:ascii="宋体" w:hAnsi="宋体" w:eastAsia="宋体"/>
                <w:b w:val="0"/>
                <w:bCs w:val="0"/>
                <w:caps/>
                <w:color w:val="auto"/>
                <w:sz w:val="21"/>
                <w:szCs w:val="21"/>
                <w:highlight w:val="none"/>
              </w:rPr>
            </w:pPr>
            <w:r>
              <w:rPr>
                <w:rFonts w:hint="eastAsia" w:ascii="宋体" w:hAnsi="宋体" w:eastAsia="宋体" w:cs="宋体"/>
                <w:b w:val="0"/>
                <w:bCs w:val="0"/>
                <w:caps/>
                <w:color w:val="auto"/>
                <w:sz w:val="21"/>
                <w:szCs w:val="21"/>
                <w:highlight w:val="none"/>
              </w:rPr>
              <w:t>财 务 要 求</w:t>
            </w:r>
          </w:p>
        </w:tc>
      </w:tr>
      <w:tr w14:paraId="1093538C">
        <w:tblPrEx>
          <w:tblCellMar>
            <w:top w:w="0" w:type="dxa"/>
            <w:left w:w="108" w:type="dxa"/>
            <w:bottom w:w="0" w:type="dxa"/>
            <w:right w:w="108" w:type="dxa"/>
          </w:tblCellMar>
        </w:tblPrEx>
        <w:trPr>
          <w:cantSplit/>
          <w:trHeight w:val="3772" w:hRule="atLeast"/>
          <w:jc w:val="center"/>
        </w:trPr>
        <w:tc>
          <w:tcPr>
            <w:tcW w:w="8540" w:type="dxa"/>
            <w:tcBorders>
              <w:top w:val="single" w:color="auto" w:sz="6" w:space="0"/>
              <w:left w:val="single" w:color="auto" w:sz="6" w:space="0"/>
              <w:bottom w:val="single" w:color="auto" w:sz="6" w:space="0"/>
              <w:right w:val="single" w:color="auto" w:sz="6" w:space="0"/>
            </w:tcBorders>
            <w:noWrap/>
            <w:vAlign w:val="center"/>
          </w:tcPr>
          <w:p w14:paraId="5615E3A1">
            <w:pPr>
              <w:pStyle w:val="17"/>
              <w:jc w:val="left"/>
              <w:rPr>
                <w:rFonts w:ascii="宋体" w:hAnsi="宋体" w:eastAsia="宋体"/>
                <w:color w:val="auto"/>
                <w:sz w:val="21"/>
                <w:szCs w:val="21"/>
                <w:highlight w:val="none"/>
              </w:rPr>
            </w:pPr>
            <w:r>
              <w:rPr>
                <w:rFonts w:hint="eastAsia" w:ascii="宋体" w:hAnsi="宋体" w:eastAsia="宋体"/>
                <w:b w:val="0"/>
                <w:bCs w:val="0"/>
                <w:color w:val="auto"/>
                <w:sz w:val="21"/>
                <w:szCs w:val="21"/>
                <w:highlight w:val="none"/>
              </w:rPr>
              <w:t>企业近三年财务状况良好、没有被接管、冻结、破产状态（须提供202</w:t>
            </w:r>
            <w:r>
              <w:rPr>
                <w:rFonts w:hint="eastAsia" w:ascii="宋体" w:hAnsi="宋体" w:eastAsia="宋体"/>
                <w:b w:val="0"/>
                <w:bCs w:val="0"/>
                <w:color w:val="auto"/>
                <w:sz w:val="21"/>
                <w:szCs w:val="21"/>
                <w:highlight w:val="none"/>
                <w:lang w:val="en-US" w:eastAsia="zh-CN"/>
              </w:rPr>
              <w:t>3</w:t>
            </w:r>
            <w:r>
              <w:rPr>
                <w:rFonts w:hint="eastAsia" w:ascii="宋体" w:hAnsi="宋体" w:eastAsia="宋体"/>
                <w:b w:val="0"/>
                <w:bCs w:val="0"/>
                <w:color w:val="auto"/>
                <w:sz w:val="21"/>
                <w:szCs w:val="21"/>
                <w:highlight w:val="none"/>
              </w:rPr>
              <w:t>年度、202</w:t>
            </w:r>
            <w:r>
              <w:rPr>
                <w:rFonts w:hint="eastAsia" w:ascii="宋体" w:hAnsi="宋体" w:eastAsia="宋体"/>
                <w:b w:val="0"/>
                <w:bCs w:val="0"/>
                <w:color w:val="auto"/>
                <w:sz w:val="21"/>
                <w:szCs w:val="21"/>
                <w:highlight w:val="none"/>
                <w:lang w:val="en-US" w:eastAsia="zh-CN"/>
              </w:rPr>
              <w:t>4</w:t>
            </w:r>
            <w:r>
              <w:rPr>
                <w:rFonts w:hint="eastAsia" w:ascii="宋体" w:hAnsi="宋体" w:eastAsia="宋体"/>
                <w:b w:val="0"/>
                <w:bCs w:val="0"/>
                <w:color w:val="auto"/>
                <w:sz w:val="21"/>
                <w:szCs w:val="21"/>
                <w:highlight w:val="none"/>
              </w:rPr>
              <w:t>年度、202</w:t>
            </w:r>
            <w:r>
              <w:rPr>
                <w:rFonts w:hint="eastAsia" w:ascii="宋体" w:hAnsi="宋体" w:eastAsia="宋体"/>
                <w:b w:val="0"/>
                <w:bCs w:val="0"/>
                <w:color w:val="auto"/>
                <w:sz w:val="21"/>
                <w:szCs w:val="21"/>
                <w:highlight w:val="none"/>
                <w:lang w:val="en-US" w:eastAsia="zh-CN"/>
              </w:rPr>
              <w:t>5</w:t>
            </w:r>
            <w:r>
              <w:rPr>
                <w:rFonts w:hint="eastAsia" w:ascii="宋体" w:hAnsi="宋体" w:eastAsia="宋体"/>
                <w:b w:val="0"/>
                <w:bCs w:val="0"/>
                <w:color w:val="auto"/>
                <w:sz w:val="21"/>
                <w:szCs w:val="21"/>
                <w:highlight w:val="none"/>
              </w:rPr>
              <w:t>年度经会计师事务所或审计机构审计的财务审计报告等相关证明材料，</w:t>
            </w:r>
            <w:r>
              <w:rPr>
                <w:rFonts w:hint="eastAsia" w:ascii="宋体" w:hAnsi="宋体" w:eastAsia="宋体"/>
                <w:b w:val="0"/>
                <w:bCs w:val="0"/>
                <w:color w:val="auto"/>
                <w:sz w:val="21"/>
                <w:szCs w:val="21"/>
                <w:highlight w:val="none"/>
                <w:lang w:val="en-US" w:eastAsia="zh-CN"/>
              </w:rPr>
              <w:t>财务审计报告需包含资产负债表、现金流量表、利润表、所有者权益表及财务状况说明书（附注），</w:t>
            </w:r>
            <w:r>
              <w:rPr>
                <w:rFonts w:hint="eastAsia" w:ascii="宋体" w:hAnsi="宋体" w:eastAsia="宋体"/>
                <w:b w:val="0"/>
                <w:bCs w:val="0"/>
                <w:color w:val="auto"/>
                <w:sz w:val="21"/>
                <w:szCs w:val="21"/>
                <w:highlight w:val="none"/>
              </w:rPr>
              <w:t>新成立的企业以成立之后的年份为准</w:t>
            </w:r>
            <w:r>
              <w:rPr>
                <w:rFonts w:hint="eastAsia" w:ascii="宋体" w:hAnsi="宋体" w:eastAsia="宋体"/>
                <w:b w:val="0"/>
                <w:bCs w:val="0"/>
                <w:color w:val="auto"/>
                <w:sz w:val="21"/>
                <w:szCs w:val="21"/>
                <w:highlight w:val="none"/>
                <w:lang w:val="en-US" w:eastAsia="zh-CN"/>
              </w:rPr>
              <w:t>或提供银行出具的资信证明</w:t>
            </w:r>
            <w:r>
              <w:rPr>
                <w:rFonts w:hint="eastAsia" w:ascii="宋体" w:hAnsi="宋体" w:eastAsia="宋体"/>
                <w:b w:val="0"/>
                <w:bCs w:val="0"/>
                <w:color w:val="auto"/>
                <w:sz w:val="21"/>
                <w:szCs w:val="21"/>
                <w:highlight w:val="none"/>
              </w:rPr>
              <w:t>）。</w:t>
            </w:r>
          </w:p>
        </w:tc>
      </w:tr>
    </w:tbl>
    <w:p w14:paraId="7F6C33A0">
      <w:pPr>
        <w:jc w:val="center"/>
        <w:rPr>
          <w:rFonts w:ascii="宋体" w:hAnsi="宋体"/>
          <w:b/>
          <w:color w:val="auto"/>
          <w:sz w:val="28"/>
          <w:szCs w:val="28"/>
          <w:highlight w:val="none"/>
        </w:rPr>
      </w:pPr>
      <w:r>
        <w:rPr>
          <w:rFonts w:hint="eastAsia" w:ascii="宋体" w:hAnsi="宋体"/>
          <w:b/>
          <w:color w:val="auto"/>
          <w:sz w:val="28"/>
          <w:szCs w:val="28"/>
          <w:highlight w:val="none"/>
        </w:rPr>
        <w:t xml:space="preserve"> </w:t>
      </w:r>
    </w:p>
    <w:p w14:paraId="43D6C522">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30"/>
          <w:szCs w:val="30"/>
          <w:highlight w:val="none"/>
        </w:rPr>
      </w:pPr>
      <w:r>
        <w:rPr>
          <w:rFonts w:hint="eastAsia" w:ascii="宋体" w:hAnsi="宋体"/>
          <w:b/>
          <w:color w:val="auto"/>
          <w:sz w:val="28"/>
          <w:szCs w:val="28"/>
          <w:highlight w:val="none"/>
        </w:rPr>
        <w:br w:type="page"/>
      </w:r>
      <w:bookmarkStart w:id="30" w:name="_Toc13840"/>
      <w:bookmarkEnd w:id="30"/>
      <w:r>
        <w:rPr>
          <w:rFonts w:hint="eastAsia" w:ascii="宋体" w:hAnsi="宋体"/>
          <w:b/>
          <w:color w:val="auto"/>
          <w:sz w:val="28"/>
          <w:szCs w:val="28"/>
          <w:highlight w:val="none"/>
        </w:rPr>
        <w:t>附录3 资格审查条件（业绩最低要求）</w:t>
      </w:r>
    </w:p>
    <w:tbl>
      <w:tblPr>
        <w:tblStyle w:val="23"/>
        <w:tblW w:w="8417" w:type="dxa"/>
        <w:jc w:val="center"/>
        <w:tblLayout w:type="fixed"/>
        <w:tblCellMar>
          <w:top w:w="0" w:type="dxa"/>
          <w:left w:w="108" w:type="dxa"/>
          <w:bottom w:w="0" w:type="dxa"/>
          <w:right w:w="108" w:type="dxa"/>
        </w:tblCellMar>
      </w:tblPr>
      <w:tblGrid>
        <w:gridCol w:w="8417"/>
      </w:tblGrid>
      <w:tr w14:paraId="17116E03">
        <w:tblPrEx>
          <w:tblCellMar>
            <w:top w:w="0" w:type="dxa"/>
            <w:left w:w="108" w:type="dxa"/>
            <w:bottom w:w="0" w:type="dxa"/>
            <w:right w:w="108" w:type="dxa"/>
          </w:tblCellMar>
        </w:tblPrEx>
        <w:trPr>
          <w:trHeight w:val="788" w:hRule="atLeast"/>
          <w:jc w:val="center"/>
        </w:trPr>
        <w:tc>
          <w:tcPr>
            <w:tcW w:w="8417" w:type="dxa"/>
            <w:tcBorders>
              <w:top w:val="single" w:color="auto" w:sz="6" w:space="0"/>
              <w:left w:val="single" w:color="auto" w:sz="6" w:space="0"/>
              <w:bottom w:val="single" w:color="auto" w:sz="6" w:space="0"/>
              <w:right w:val="single" w:color="auto" w:sz="6" w:space="0"/>
            </w:tcBorders>
            <w:noWrap/>
            <w:vAlign w:val="center"/>
          </w:tcPr>
          <w:p w14:paraId="52BC9386">
            <w:pPr>
              <w:pStyle w:val="17"/>
              <w:spacing w:line="240" w:lineRule="auto"/>
              <w:jc w:val="center"/>
              <w:rPr>
                <w:rFonts w:ascii="宋体" w:hAnsi="宋体" w:eastAsia="宋体"/>
                <w:caps/>
                <w:color w:val="auto"/>
                <w:sz w:val="21"/>
                <w:szCs w:val="21"/>
                <w:highlight w:val="none"/>
              </w:rPr>
            </w:pPr>
            <w:r>
              <w:rPr>
                <w:rFonts w:hint="eastAsia" w:ascii="宋体" w:hAnsi="宋体" w:eastAsia="宋体"/>
                <w:b w:val="0"/>
                <w:bCs w:val="0"/>
                <w:caps/>
                <w:color w:val="auto"/>
                <w:sz w:val="21"/>
                <w:szCs w:val="21"/>
                <w:highlight w:val="none"/>
              </w:rPr>
              <w:t>业 绩 要 求</w:t>
            </w:r>
          </w:p>
        </w:tc>
      </w:tr>
      <w:tr w14:paraId="6F5DBF44">
        <w:tblPrEx>
          <w:tblCellMar>
            <w:top w:w="0" w:type="dxa"/>
            <w:left w:w="108" w:type="dxa"/>
            <w:bottom w:w="0" w:type="dxa"/>
            <w:right w:w="108" w:type="dxa"/>
          </w:tblCellMar>
        </w:tblPrEx>
        <w:trPr>
          <w:cantSplit/>
          <w:trHeight w:val="3705" w:hRule="atLeast"/>
          <w:jc w:val="center"/>
        </w:trPr>
        <w:tc>
          <w:tcPr>
            <w:tcW w:w="8417" w:type="dxa"/>
            <w:tcBorders>
              <w:top w:val="single" w:color="auto" w:sz="6" w:space="0"/>
              <w:left w:val="single" w:color="auto" w:sz="6" w:space="0"/>
              <w:bottom w:val="single" w:color="auto" w:sz="6" w:space="0"/>
              <w:right w:val="single" w:color="auto" w:sz="6" w:space="0"/>
            </w:tcBorders>
            <w:noWrap/>
            <w:vAlign w:val="center"/>
          </w:tcPr>
          <w:p w14:paraId="0E18B1A5">
            <w:pPr>
              <w:spacing w:line="460" w:lineRule="exact"/>
              <w:jc w:val="left"/>
              <w:rPr>
                <w:rFonts w:ascii="宋体" w:hAnsi="宋体" w:eastAsia="宋体"/>
                <w:color w:val="auto"/>
                <w:highlight w:val="none"/>
              </w:rPr>
            </w:pPr>
            <w:r>
              <w:rPr>
                <w:rFonts w:hint="eastAsia" w:ascii="宋体" w:hAnsi="宋体" w:eastAsia="宋体" w:cs="宋体"/>
                <w:color w:val="auto"/>
                <w:kern w:val="2"/>
                <w:sz w:val="21"/>
                <w:szCs w:val="21"/>
                <w:highlight w:val="none"/>
                <w:lang w:val="en-US" w:eastAsia="zh-CN" w:bidi="ar-SA"/>
              </w:rPr>
              <w:t>提供202</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lang w:val="en-US" w:eastAsia="zh-CN" w:bidi="ar-SA"/>
              </w:rPr>
              <w:t>1月1日</w:t>
            </w:r>
            <w:r>
              <w:rPr>
                <w:rFonts w:hint="eastAsia" w:ascii="宋体" w:hAnsi="宋体" w:eastAsia="宋体" w:cs="宋体"/>
                <w:color w:val="auto"/>
                <w:kern w:val="2"/>
                <w:sz w:val="21"/>
                <w:szCs w:val="21"/>
                <w:highlight w:val="none"/>
                <w:lang w:val="en-US" w:eastAsia="zh-CN" w:bidi="ar-SA"/>
              </w:rPr>
              <w:t>以来投标人至少完成过1项公路工程类似业绩(提供合同</w:t>
            </w:r>
            <w:r>
              <w:rPr>
                <w:rFonts w:hint="eastAsia" w:ascii="宋体" w:hAnsi="宋体" w:cs="宋体"/>
                <w:color w:val="auto"/>
                <w:kern w:val="2"/>
                <w:sz w:val="21"/>
                <w:szCs w:val="21"/>
                <w:highlight w:val="none"/>
                <w:lang w:val="en-US" w:eastAsia="zh-CN" w:bidi="ar-SA"/>
              </w:rPr>
              <w:t>含封面页</w:t>
            </w:r>
            <w:r>
              <w:rPr>
                <w:rFonts w:hint="eastAsia" w:ascii="宋体" w:hAnsi="宋体" w:eastAsia="宋体" w:cs="宋体"/>
                <w:color w:val="auto"/>
                <w:kern w:val="2"/>
                <w:sz w:val="21"/>
                <w:szCs w:val="21"/>
                <w:highlight w:val="none"/>
                <w:lang w:val="en-US" w:eastAsia="zh-CN" w:bidi="ar-SA"/>
              </w:rPr>
              <w:t>、中标通知书</w:t>
            </w:r>
            <w:r>
              <w:rPr>
                <w:rFonts w:hint="eastAsia" w:ascii="宋体" w:hAnsi="宋体" w:cs="宋体"/>
                <w:color w:val="auto"/>
                <w:kern w:val="2"/>
                <w:sz w:val="21"/>
                <w:szCs w:val="21"/>
                <w:highlight w:val="none"/>
                <w:lang w:val="en-US" w:eastAsia="zh-CN" w:bidi="ar-SA"/>
              </w:rPr>
              <w:t>、交工验收报告</w:t>
            </w:r>
            <w:r>
              <w:rPr>
                <w:rFonts w:hint="eastAsia" w:ascii="宋体" w:hAnsi="宋体" w:eastAsia="宋体" w:cs="宋体"/>
                <w:color w:val="auto"/>
                <w:kern w:val="2"/>
                <w:sz w:val="21"/>
                <w:szCs w:val="21"/>
                <w:highlight w:val="none"/>
                <w:lang w:val="en-US" w:eastAsia="zh-CN" w:bidi="ar-SA"/>
              </w:rPr>
              <w:t>)。</w:t>
            </w:r>
          </w:p>
        </w:tc>
      </w:tr>
    </w:tbl>
    <w:p w14:paraId="5BDB8BA2">
      <w:pPr>
        <w:ind w:firstLine="420" w:firstLineChars="200"/>
        <w:rPr>
          <w:rFonts w:hint="eastAsia" w:ascii="宋体" w:hAnsi="宋体"/>
          <w:color w:val="auto"/>
          <w:highlight w:val="none"/>
        </w:rPr>
      </w:pPr>
      <w:r>
        <w:rPr>
          <w:rFonts w:hint="eastAsia" w:ascii="宋体" w:hAnsi="宋体"/>
          <w:color w:val="auto"/>
          <w:highlight w:val="none"/>
        </w:rPr>
        <w:t xml:space="preserve"> </w:t>
      </w:r>
      <w:bookmarkStart w:id="31" w:name="_Toc30694"/>
      <w:bookmarkEnd w:id="31"/>
    </w:p>
    <w:p w14:paraId="21B82132">
      <w:pPr>
        <w:ind w:firstLine="420" w:firstLineChars="200"/>
        <w:rPr>
          <w:rFonts w:hint="eastAsia" w:ascii="宋体" w:hAnsi="宋体"/>
          <w:color w:val="auto"/>
          <w:highlight w:val="none"/>
        </w:rPr>
      </w:pPr>
    </w:p>
    <w:p w14:paraId="33DE8D94">
      <w:pPr>
        <w:keepNext w:val="0"/>
        <w:keepLines w:val="0"/>
        <w:pageBreakBefore w:val="0"/>
        <w:widowControl w:val="0"/>
        <w:kinsoku/>
        <w:wordWrap/>
        <w:overflowPunct/>
        <w:topLinePunct w:val="0"/>
        <w:autoSpaceDE/>
        <w:autoSpaceDN/>
        <w:bidi w:val="0"/>
        <w:adjustRightInd/>
        <w:snapToGrid/>
        <w:spacing w:after="0" w:afterLines="50"/>
        <w:ind w:firstLine="562" w:firstLineChars="200"/>
        <w:jc w:val="center"/>
        <w:textAlignment w:val="auto"/>
        <w:rPr>
          <w:rFonts w:ascii="宋体" w:hAnsi="宋体"/>
          <w:b/>
          <w:color w:val="auto"/>
          <w:sz w:val="28"/>
          <w:szCs w:val="28"/>
          <w:highlight w:val="none"/>
        </w:rPr>
      </w:pPr>
      <w:r>
        <w:rPr>
          <w:rFonts w:hint="eastAsia" w:ascii="宋体" w:hAnsi="宋体"/>
          <w:b/>
          <w:color w:val="auto"/>
          <w:sz w:val="28"/>
          <w:szCs w:val="28"/>
          <w:highlight w:val="none"/>
        </w:rPr>
        <w:t>附录4 资格审查条件（信誉最低要求）</w:t>
      </w:r>
    </w:p>
    <w:tbl>
      <w:tblPr>
        <w:tblStyle w:val="23"/>
        <w:tblW w:w="8485" w:type="dxa"/>
        <w:jc w:val="center"/>
        <w:tblLayout w:type="fixed"/>
        <w:tblCellMar>
          <w:top w:w="0" w:type="dxa"/>
          <w:left w:w="108" w:type="dxa"/>
          <w:bottom w:w="0" w:type="dxa"/>
          <w:right w:w="108" w:type="dxa"/>
        </w:tblCellMar>
      </w:tblPr>
      <w:tblGrid>
        <w:gridCol w:w="8485"/>
      </w:tblGrid>
      <w:tr w14:paraId="63973C2A">
        <w:tblPrEx>
          <w:tblCellMar>
            <w:top w:w="0" w:type="dxa"/>
            <w:left w:w="108" w:type="dxa"/>
            <w:bottom w:w="0" w:type="dxa"/>
            <w:right w:w="108" w:type="dxa"/>
          </w:tblCellMar>
        </w:tblPrEx>
        <w:trPr>
          <w:trHeight w:val="929" w:hRule="atLeast"/>
          <w:jc w:val="center"/>
        </w:trPr>
        <w:tc>
          <w:tcPr>
            <w:tcW w:w="8485" w:type="dxa"/>
            <w:tcBorders>
              <w:top w:val="single" w:color="auto" w:sz="6" w:space="0"/>
              <w:left w:val="single" w:color="auto" w:sz="6" w:space="0"/>
              <w:bottom w:val="single" w:color="auto" w:sz="6" w:space="0"/>
              <w:right w:val="single" w:color="auto" w:sz="6" w:space="0"/>
            </w:tcBorders>
            <w:noWrap/>
            <w:vAlign w:val="center"/>
          </w:tcPr>
          <w:p w14:paraId="3F2101D5">
            <w:pPr>
              <w:pStyle w:val="17"/>
              <w:spacing w:line="240" w:lineRule="auto"/>
              <w:jc w:val="center"/>
              <w:rPr>
                <w:rFonts w:ascii="宋体" w:hAnsi="宋体" w:eastAsia="宋体"/>
                <w:b w:val="0"/>
                <w:bCs w:val="0"/>
                <w:caps/>
                <w:color w:val="auto"/>
                <w:sz w:val="21"/>
                <w:szCs w:val="21"/>
                <w:highlight w:val="none"/>
              </w:rPr>
            </w:pPr>
            <w:r>
              <w:rPr>
                <w:rFonts w:hint="eastAsia" w:ascii="宋体" w:hAnsi="宋体" w:eastAsia="宋体"/>
                <w:b w:val="0"/>
                <w:bCs w:val="0"/>
                <w:caps/>
                <w:color w:val="auto"/>
                <w:sz w:val="21"/>
                <w:szCs w:val="21"/>
                <w:highlight w:val="none"/>
              </w:rPr>
              <w:t>信 誉 要 求</w:t>
            </w:r>
          </w:p>
        </w:tc>
      </w:tr>
      <w:tr w14:paraId="12748DE9">
        <w:tblPrEx>
          <w:tblCellMar>
            <w:top w:w="0" w:type="dxa"/>
            <w:left w:w="108" w:type="dxa"/>
            <w:bottom w:w="0" w:type="dxa"/>
            <w:right w:w="108" w:type="dxa"/>
          </w:tblCellMar>
        </w:tblPrEx>
        <w:trPr>
          <w:cantSplit/>
          <w:trHeight w:val="3656" w:hRule="atLeast"/>
          <w:jc w:val="center"/>
        </w:trPr>
        <w:tc>
          <w:tcPr>
            <w:tcW w:w="8485" w:type="dxa"/>
            <w:tcBorders>
              <w:top w:val="single" w:color="auto" w:sz="6" w:space="0"/>
              <w:left w:val="single" w:color="auto" w:sz="6" w:space="0"/>
              <w:bottom w:val="single" w:color="auto" w:sz="6" w:space="0"/>
              <w:right w:val="single" w:color="auto" w:sz="6" w:space="0"/>
            </w:tcBorders>
            <w:noWrap/>
            <w:vAlign w:val="center"/>
          </w:tcPr>
          <w:p w14:paraId="25AD9925">
            <w:pPr>
              <w:pStyle w:val="17"/>
              <w:jc w:val="left"/>
              <w:rPr>
                <w:rFonts w:ascii="宋体" w:hAnsi="宋体" w:eastAsia="宋体"/>
                <w:b w:val="0"/>
                <w:caps/>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通过“信用中国”跳转至“中国执行信息公开网”（http://zxgk.court.gov.cn/shixin/）查询投标人、法定代表人、项目经理是否为失信被执行人，在国家企业信用信息公示系统（http://www.gsxt.gov.cn/）中查询投标人是否被列入严重违法失信企业名单。(查询日期为招标公告发布日期之后，投标人出具网页截图加盖公章)。对属于失信被执行人、被列入严重违法失信企业名单的投标人将被拒绝参与投标。</w:t>
            </w:r>
          </w:p>
        </w:tc>
      </w:tr>
    </w:tbl>
    <w:p w14:paraId="43C381D3">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28"/>
          <w:szCs w:val="28"/>
          <w:highlight w:val="none"/>
        </w:rPr>
      </w:pPr>
      <w:r>
        <w:rPr>
          <w:rFonts w:hint="eastAsia" w:ascii="宋体" w:hAnsi="宋体"/>
          <w:b/>
          <w:color w:val="auto"/>
          <w:sz w:val="28"/>
          <w:szCs w:val="28"/>
          <w:highlight w:val="none"/>
        </w:rPr>
        <w:br w:type="page"/>
      </w:r>
      <w:bookmarkStart w:id="32" w:name="_Toc13904"/>
      <w:bookmarkEnd w:id="32"/>
      <w:r>
        <w:rPr>
          <w:rFonts w:hint="eastAsia" w:ascii="宋体" w:hAnsi="宋体"/>
          <w:b/>
          <w:color w:val="auto"/>
          <w:sz w:val="28"/>
          <w:szCs w:val="28"/>
          <w:highlight w:val="none"/>
        </w:rPr>
        <w:t>附录5 资格审查条件（项目经理和项目总工最低要求）</w:t>
      </w:r>
    </w:p>
    <w:tbl>
      <w:tblPr>
        <w:tblStyle w:val="23"/>
        <w:tblW w:w="9738" w:type="dxa"/>
        <w:jc w:val="center"/>
        <w:tblLayout w:type="fixed"/>
        <w:tblCellMar>
          <w:top w:w="0" w:type="dxa"/>
          <w:left w:w="108" w:type="dxa"/>
          <w:bottom w:w="0" w:type="dxa"/>
          <w:right w:w="108" w:type="dxa"/>
        </w:tblCellMar>
      </w:tblPr>
      <w:tblGrid>
        <w:gridCol w:w="1437"/>
        <w:gridCol w:w="710"/>
        <w:gridCol w:w="4971"/>
        <w:gridCol w:w="2620"/>
      </w:tblGrid>
      <w:tr w14:paraId="0E461AF7">
        <w:tblPrEx>
          <w:tblCellMar>
            <w:top w:w="0" w:type="dxa"/>
            <w:left w:w="108" w:type="dxa"/>
            <w:bottom w:w="0" w:type="dxa"/>
            <w:right w:w="108" w:type="dxa"/>
          </w:tblCellMar>
        </w:tblPrEx>
        <w:trPr>
          <w:trHeight w:val="692" w:hRule="atLeast"/>
          <w:jc w:val="center"/>
        </w:trPr>
        <w:tc>
          <w:tcPr>
            <w:tcW w:w="1437" w:type="dxa"/>
            <w:tcBorders>
              <w:top w:val="single" w:color="auto" w:sz="6" w:space="0"/>
              <w:left w:val="single" w:color="auto" w:sz="6" w:space="0"/>
              <w:bottom w:val="single" w:color="auto" w:sz="6" w:space="0"/>
              <w:right w:val="single" w:color="auto" w:sz="6" w:space="0"/>
            </w:tcBorders>
            <w:noWrap/>
            <w:vAlign w:val="center"/>
          </w:tcPr>
          <w:p w14:paraId="32D69750">
            <w:pPr>
              <w:jc w:val="center"/>
              <w:rPr>
                <w:rFonts w:ascii="宋体" w:hAnsi="宋体"/>
                <w:color w:val="auto"/>
                <w:spacing w:val="-1"/>
                <w:kern w:val="0"/>
                <w:highlight w:val="none"/>
              </w:rPr>
            </w:pPr>
            <w:r>
              <w:rPr>
                <w:rFonts w:hint="eastAsia" w:ascii="宋体" w:hAnsi="宋体"/>
                <w:color w:val="auto"/>
                <w:spacing w:val="-1"/>
                <w:kern w:val="0"/>
                <w:highlight w:val="none"/>
              </w:rPr>
              <w:t>人  员</w:t>
            </w:r>
          </w:p>
        </w:tc>
        <w:tc>
          <w:tcPr>
            <w:tcW w:w="710" w:type="dxa"/>
            <w:tcBorders>
              <w:top w:val="single" w:color="auto" w:sz="6" w:space="0"/>
              <w:left w:val="nil"/>
              <w:bottom w:val="single" w:color="auto" w:sz="6" w:space="0"/>
              <w:right w:val="single" w:color="auto" w:sz="6" w:space="0"/>
            </w:tcBorders>
            <w:noWrap/>
            <w:vAlign w:val="center"/>
          </w:tcPr>
          <w:p w14:paraId="79243374">
            <w:pPr>
              <w:jc w:val="center"/>
              <w:rPr>
                <w:rFonts w:ascii="宋体" w:hAnsi="宋体"/>
                <w:color w:val="auto"/>
                <w:highlight w:val="none"/>
              </w:rPr>
            </w:pPr>
            <w:r>
              <w:rPr>
                <w:rFonts w:hint="eastAsia" w:ascii="宋体" w:hAnsi="宋体"/>
                <w:color w:val="auto"/>
                <w:spacing w:val="-1"/>
                <w:kern w:val="0"/>
                <w:highlight w:val="none"/>
              </w:rPr>
              <w:t>数</w:t>
            </w:r>
            <w:r>
              <w:rPr>
                <w:rFonts w:hint="eastAsia" w:ascii="宋体" w:hAnsi="宋体"/>
                <w:color w:val="auto"/>
                <w:highlight w:val="none"/>
              </w:rPr>
              <w:t>量</w:t>
            </w:r>
          </w:p>
        </w:tc>
        <w:tc>
          <w:tcPr>
            <w:tcW w:w="4971" w:type="dxa"/>
            <w:tcBorders>
              <w:top w:val="single" w:color="auto" w:sz="6" w:space="0"/>
              <w:left w:val="nil"/>
              <w:bottom w:val="single" w:color="auto" w:sz="6" w:space="0"/>
              <w:right w:val="single" w:color="auto" w:sz="6" w:space="0"/>
            </w:tcBorders>
            <w:noWrap/>
            <w:vAlign w:val="center"/>
          </w:tcPr>
          <w:p w14:paraId="32788DAC">
            <w:pPr>
              <w:ind w:left="-90"/>
              <w:jc w:val="center"/>
              <w:rPr>
                <w:rFonts w:ascii="宋体" w:hAnsi="宋体"/>
                <w:color w:val="auto"/>
                <w:spacing w:val="-1"/>
                <w:kern w:val="0"/>
                <w:highlight w:val="none"/>
              </w:rPr>
            </w:pPr>
            <w:r>
              <w:rPr>
                <w:rFonts w:hint="eastAsia" w:ascii="宋体" w:hAnsi="宋体"/>
                <w:color w:val="auto"/>
                <w:spacing w:val="-1"/>
                <w:kern w:val="0"/>
                <w:highlight w:val="none"/>
              </w:rPr>
              <w:t>资 格 要 求</w:t>
            </w:r>
          </w:p>
        </w:tc>
        <w:tc>
          <w:tcPr>
            <w:tcW w:w="2620" w:type="dxa"/>
            <w:tcBorders>
              <w:top w:val="single" w:color="auto" w:sz="6" w:space="0"/>
              <w:left w:val="nil"/>
              <w:bottom w:val="single" w:color="auto" w:sz="6" w:space="0"/>
              <w:right w:val="single" w:color="auto" w:sz="6" w:space="0"/>
            </w:tcBorders>
            <w:noWrap/>
            <w:vAlign w:val="center"/>
          </w:tcPr>
          <w:p w14:paraId="125ED6E7">
            <w:pPr>
              <w:ind w:left="-90"/>
              <w:jc w:val="center"/>
              <w:rPr>
                <w:rFonts w:ascii="宋体" w:hAnsi="宋体"/>
                <w:color w:val="auto"/>
                <w:spacing w:val="-1"/>
                <w:kern w:val="0"/>
                <w:highlight w:val="none"/>
              </w:rPr>
            </w:pPr>
            <w:r>
              <w:rPr>
                <w:rFonts w:hint="eastAsia" w:ascii="宋体" w:hAnsi="宋体"/>
                <w:color w:val="auto"/>
                <w:spacing w:val="-1"/>
                <w:kern w:val="0"/>
                <w:highlight w:val="none"/>
              </w:rPr>
              <w:t>在岗要求</w:t>
            </w:r>
          </w:p>
        </w:tc>
      </w:tr>
      <w:tr w14:paraId="0EC8C8EF">
        <w:tblPrEx>
          <w:tblCellMar>
            <w:top w:w="0" w:type="dxa"/>
            <w:left w:w="108" w:type="dxa"/>
            <w:bottom w:w="0" w:type="dxa"/>
            <w:right w:w="108" w:type="dxa"/>
          </w:tblCellMar>
        </w:tblPrEx>
        <w:trPr>
          <w:trHeight w:val="1659" w:hRule="atLeast"/>
          <w:jc w:val="center"/>
        </w:trPr>
        <w:tc>
          <w:tcPr>
            <w:tcW w:w="1437" w:type="dxa"/>
            <w:tcBorders>
              <w:top w:val="single" w:color="auto" w:sz="6" w:space="0"/>
              <w:left w:val="single" w:color="auto" w:sz="6" w:space="0"/>
              <w:bottom w:val="single" w:color="auto" w:sz="6" w:space="0"/>
              <w:right w:val="single" w:color="auto" w:sz="6" w:space="0"/>
            </w:tcBorders>
            <w:noWrap/>
            <w:vAlign w:val="center"/>
          </w:tcPr>
          <w:p w14:paraId="55D33252">
            <w:pPr>
              <w:spacing w:line="320" w:lineRule="exact"/>
              <w:jc w:val="center"/>
              <w:rPr>
                <w:rFonts w:ascii="宋体" w:hAnsi="宋体"/>
                <w:color w:val="auto"/>
                <w:highlight w:val="none"/>
              </w:rPr>
            </w:pPr>
            <w:r>
              <w:rPr>
                <w:rFonts w:hint="eastAsia" w:ascii="宋体" w:hAnsi="宋体"/>
                <w:color w:val="auto"/>
                <w:highlight w:val="none"/>
              </w:rPr>
              <w:t>项目经理</w:t>
            </w:r>
          </w:p>
        </w:tc>
        <w:tc>
          <w:tcPr>
            <w:tcW w:w="710" w:type="dxa"/>
            <w:tcBorders>
              <w:top w:val="single" w:color="auto" w:sz="6" w:space="0"/>
              <w:left w:val="nil"/>
              <w:bottom w:val="single" w:color="auto" w:sz="6" w:space="0"/>
              <w:right w:val="single" w:color="auto" w:sz="6" w:space="0"/>
            </w:tcBorders>
            <w:noWrap/>
            <w:vAlign w:val="center"/>
          </w:tcPr>
          <w:p w14:paraId="1CBBA441">
            <w:pPr>
              <w:spacing w:line="320" w:lineRule="exact"/>
              <w:jc w:val="center"/>
              <w:rPr>
                <w:rFonts w:ascii="宋体" w:hAnsi="宋体"/>
                <w:color w:val="auto"/>
                <w:highlight w:val="none"/>
              </w:rPr>
            </w:pPr>
            <w:r>
              <w:rPr>
                <w:rFonts w:hint="eastAsia" w:ascii="宋体" w:hAnsi="宋体"/>
                <w:color w:val="auto"/>
                <w:highlight w:val="none"/>
              </w:rPr>
              <w:t>1</w:t>
            </w:r>
          </w:p>
        </w:tc>
        <w:tc>
          <w:tcPr>
            <w:tcW w:w="4971" w:type="dxa"/>
            <w:tcBorders>
              <w:top w:val="single" w:color="auto" w:sz="6" w:space="0"/>
              <w:left w:val="nil"/>
              <w:bottom w:val="nil"/>
              <w:right w:val="single" w:color="auto" w:sz="6" w:space="0"/>
            </w:tcBorders>
            <w:noWrap/>
            <w:vAlign w:val="center"/>
          </w:tcPr>
          <w:p w14:paraId="0FF6C01F">
            <w:pPr>
              <w:spacing w:line="320" w:lineRule="exact"/>
              <w:rPr>
                <w:rFonts w:ascii="宋体" w:hAnsi="宋体"/>
                <w:color w:val="auto"/>
                <w:highlight w:val="none"/>
              </w:rPr>
            </w:pPr>
            <w:r>
              <w:rPr>
                <w:rFonts w:hint="eastAsia" w:ascii="宋体" w:hAnsi="宋体"/>
                <w:color w:val="auto"/>
                <w:highlight w:val="none"/>
              </w:rPr>
              <w:t>拟派项目经理须具有建设行政主管部门颁发的公路工程专业</w:t>
            </w:r>
            <w:r>
              <w:rPr>
                <w:rFonts w:hint="eastAsia" w:ascii="宋体" w:hAnsi="宋体"/>
                <w:color w:val="auto"/>
                <w:highlight w:val="none"/>
                <w:lang w:val="en-US" w:eastAsia="zh-CN"/>
              </w:rPr>
              <w:t>一级</w:t>
            </w:r>
            <w:r>
              <w:rPr>
                <w:rFonts w:hint="eastAsia" w:ascii="宋体" w:hAnsi="宋体"/>
                <w:color w:val="auto"/>
                <w:highlight w:val="none"/>
              </w:rPr>
              <w:t>建造师注册证书</w:t>
            </w:r>
            <w:r>
              <w:rPr>
                <w:rFonts w:hint="eastAsia" w:ascii="宋体" w:hAnsi="宋体"/>
                <w:color w:val="auto"/>
                <w:highlight w:val="none"/>
                <w:lang w:val="en-US" w:eastAsia="zh-CN"/>
              </w:rPr>
              <w:t>及有效的安全生产考核合格证书</w:t>
            </w:r>
            <w:r>
              <w:rPr>
                <w:rFonts w:hint="eastAsia" w:ascii="宋体" w:hAnsi="宋体"/>
                <w:color w:val="auto"/>
                <w:highlight w:val="none"/>
                <w:lang w:eastAsia="zh-CN"/>
              </w:rPr>
              <w:t>，</w:t>
            </w:r>
            <w:r>
              <w:rPr>
                <w:rFonts w:hint="eastAsia" w:ascii="宋体" w:hAnsi="宋体"/>
                <w:color w:val="auto"/>
                <w:highlight w:val="none"/>
                <w:lang w:val="en-US" w:eastAsia="zh-CN"/>
              </w:rPr>
              <w:t>并具有</w:t>
            </w:r>
            <w:r>
              <w:rPr>
                <w:rFonts w:hint="eastAsia" w:ascii="宋体" w:hAnsi="宋体"/>
                <w:color w:val="auto"/>
                <w:highlight w:val="none"/>
              </w:rPr>
              <w:t>公路</w:t>
            </w:r>
            <w:r>
              <w:rPr>
                <w:rFonts w:hint="eastAsia" w:ascii="宋体" w:hAnsi="宋体"/>
                <w:color w:val="auto"/>
                <w:highlight w:val="none"/>
                <w:lang w:eastAsia="zh-CN"/>
              </w:rPr>
              <w:t>工程</w:t>
            </w:r>
            <w:r>
              <w:rPr>
                <w:rFonts w:hint="eastAsia" w:ascii="宋体" w:hAnsi="宋体"/>
                <w:color w:val="auto"/>
                <w:highlight w:val="none"/>
              </w:rPr>
              <w:t>专业</w:t>
            </w:r>
            <w:r>
              <w:rPr>
                <w:rFonts w:hint="eastAsia" w:ascii="宋体" w:hAnsi="宋体"/>
                <w:color w:val="auto"/>
                <w:highlight w:val="none"/>
                <w:lang w:eastAsia="zh-CN"/>
              </w:rPr>
              <w:t>中</w:t>
            </w:r>
            <w:r>
              <w:rPr>
                <w:rFonts w:hint="eastAsia" w:ascii="宋体" w:hAnsi="宋体"/>
                <w:color w:val="auto"/>
                <w:highlight w:val="none"/>
              </w:rPr>
              <w:t>级及以上</w:t>
            </w:r>
            <w:r>
              <w:rPr>
                <w:rFonts w:hint="eastAsia" w:ascii="宋体" w:hAnsi="宋体"/>
                <w:color w:val="auto"/>
                <w:highlight w:val="none"/>
                <w:lang w:eastAsia="zh-CN"/>
              </w:rPr>
              <w:t>技术</w:t>
            </w:r>
            <w:r>
              <w:rPr>
                <w:rFonts w:hint="eastAsia" w:ascii="宋体" w:hAnsi="宋体"/>
                <w:color w:val="auto"/>
                <w:highlight w:val="none"/>
              </w:rPr>
              <w:t>职称</w:t>
            </w:r>
            <w:r>
              <w:rPr>
                <w:rFonts w:hint="eastAsia" w:ascii="宋体" w:hAnsi="宋体"/>
                <w:color w:val="auto"/>
                <w:highlight w:val="none"/>
                <w:lang w:eastAsia="zh-CN"/>
              </w:rPr>
              <w:t>证书。</w:t>
            </w:r>
            <w:r>
              <w:rPr>
                <w:rFonts w:hint="eastAsia" w:ascii="宋体" w:hAnsi="宋体"/>
                <w:color w:val="auto"/>
                <w:highlight w:val="none"/>
                <w:lang w:val="en-US" w:eastAsia="zh-CN"/>
              </w:rPr>
              <w:t>提供劳动合同和近六个月社保缴纳证明材料。</w:t>
            </w:r>
          </w:p>
        </w:tc>
        <w:tc>
          <w:tcPr>
            <w:tcW w:w="2620" w:type="dxa"/>
            <w:vMerge w:val="restart"/>
            <w:tcBorders>
              <w:top w:val="nil"/>
              <w:left w:val="nil"/>
              <w:bottom w:val="nil"/>
              <w:right w:val="single" w:color="auto" w:sz="6" w:space="0"/>
            </w:tcBorders>
            <w:noWrap/>
            <w:vAlign w:val="center"/>
          </w:tcPr>
          <w:p w14:paraId="19674225">
            <w:pPr>
              <w:spacing w:line="320" w:lineRule="exact"/>
              <w:rPr>
                <w:rFonts w:ascii="宋体" w:hAnsi="宋体"/>
                <w:color w:val="auto"/>
                <w:highlight w:val="none"/>
              </w:rPr>
            </w:pPr>
            <w:r>
              <w:rPr>
                <w:rFonts w:hint="eastAsia" w:ascii="宋体" w:hAnsi="宋体"/>
                <w:color w:val="auto"/>
                <w:highlight w:val="none"/>
              </w:rPr>
              <w:t>无在岗项目（指目前未在其他项目上任职，或虽在其他项目上任职但本项目中标后能够从该项目撤离）</w:t>
            </w:r>
          </w:p>
        </w:tc>
      </w:tr>
      <w:tr w14:paraId="2D8C1A03">
        <w:tblPrEx>
          <w:tblCellMar>
            <w:top w:w="0" w:type="dxa"/>
            <w:left w:w="108" w:type="dxa"/>
            <w:bottom w:w="0" w:type="dxa"/>
            <w:right w:w="108" w:type="dxa"/>
          </w:tblCellMar>
        </w:tblPrEx>
        <w:trPr>
          <w:trHeight w:val="1204" w:hRule="atLeast"/>
          <w:jc w:val="center"/>
        </w:trPr>
        <w:tc>
          <w:tcPr>
            <w:tcW w:w="1437" w:type="dxa"/>
            <w:tcBorders>
              <w:top w:val="single" w:color="auto" w:sz="6" w:space="0"/>
              <w:left w:val="single" w:color="auto" w:sz="6" w:space="0"/>
              <w:bottom w:val="single" w:color="auto" w:sz="4" w:space="0"/>
              <w:right w:val="single" w:color="auto" w:sz="6" w:space="0"/>
            </w:tcBorders>
            <w:noWrap/>
            <w:vAlign w:val="center"/>
          </w:tcPr>
          <w:p w14:paraId="0A1D5B09">
            <w:pPr>
              <w:spacing w:line="320" w:lineRule="exact"/>
              <w:jc w:val="center"/>
              <w:rPr>
                <w:rFonts w:ascii="宋体" w:hAnsi="宋体"/>
                <w:color w:val="auto"/>
                <w:highlight w:val="none"/>
              </w:rPr>
            </w:pPr>
            <w:r>
              <w:rPr>
                <w:rFonts w:hint="eastAsia" w:ascii="宋体" w:hAnsi="宋体"/>
                <w:color w:val="auto"/>
                <w:highlight w:val="none"/>
              </w:rPr>
              <w:t>项目总工</w:t>
            </w:r>
          </w:p>
        </w:tc>
        <w:tc>
          <w:tcPr>
            <w:tcW w:w="710" w:type="dxa"/>
            <w:tcBorders>
              <w:top w:val="single" w:color="auto" w:sz="6" w:space="0"/>
              <w:left w:val="nil"/>
              <w:bottom w:val="single" w:color="auto" w:sz="4" w:space="0"/>
              <w:right w:val="single" w:color="auto" w:sz="6" w:space="0"/>
            </w:tcBorders>
            <w:noWrap/>
            <w:vAlign w:val="center"/>
          </w:tcPr>
          <w:p w14:paraId="44C7A6B5">
            <w:pPr>
              <w:spacing w:line="320" w:lineRule="exact"/>
              <w:jc w:val="center"/>
              <w:rPr>
                <w:rFonts w:ascii="宋体" w:hAnsi="宋体"/>
                <w:color w:val="auto"/>
                <w:highlight w:val="none"/>
              </w:rPr>
            </w:pPr>
            <w:r>
              <w:rPr>
                <w:rFonts w:hint="eastAsia" w:ascii="宋体" w:hAnsi="宋体"/>
                <w:color w:val="auto"/>
                <w:highlight w:val="none"/>
              </w:rPr>
              <w:t>1</w:t>
            </w:r>
          </w:p>
        </w:tc>
        <w:tc>
          <w:tcPr>
            <w:tcW w:w="4971" w:type="dxa"/>
            <w:tcBorders>
              <w:top w:val="single" w:color="auto" w:sz="6" w:space="0"/>
              <w:left w:val="nil"/>
              <w:bottom w:val="single" w:color="auto" w:sz="4" w:space="0"/>
              <w:right w:val="single" w:color="auto" w:sz="6" w:space="0"/>
            </w:tcBorders>
            <w:noWrap/>
            <w:vAlign w:val="center"/>
          </w:tcPr>
          <w:p w14:paraId="39077292">
            <w:pPr>
              <w:spacing w:line="320" w:lineRule="exact"/>
              <w:rPr>
                <w:rFonts w:ascii="宋体" w:hAnsi="宋体"/>
                <w:color w:val="auto"/>
                <w:highlight w:val="none"/>
              </w:rPr>
            </w:pPr>
            <w:r>
              <w:rPr>
                <w:rFonts w:hint="eastAsia" w:ascii="宋体" w:hAnsi="宋体"/>
                <w:color w:val="auto"/>
                <w:highlight w:val="none"/>
              </w:rPr>
              <w:t>拟派</w:t>
            </w:r>
            <w:r>
              <w:rPr>
                <w:rFonts w:hint="eastAsia" w:ascii="宋体" w:hAnsi="宋体"/>
                <w:color w:val="auto"/>
                <w:highlight w:val="none"/>
                <w:lang w:val="en-US" w:eastAsia="zh-CN"/>
              </w:rPr>
              <w:t>项目总工</w:t>
            </w:r>
            <w:r>
              <w:rPr>
                <w:rFonts w:hint="eastAsia" w:ascii="宋体" w:hAnsi="宋体"/>
                <w:color w:val="auto"/>
                <w:highlight w:val="none"/>
              </w:rPr>
              <w:t>须具有公路</w:t>
            </w:r>
            <w:r>
              <w:rPr>
                <w:rFonts w:hint="eastAsia" w:ascii="宋体" w:hAnsi="宋体"/>
                <w:color w:val="auto"/>
                <w:highlight w:val="none"/>
                <w:lang w:eastAsia="zh-CN"/>
              </w:rPr>
              <w:t>工程</w:t>
            </w:r>
            <w:r>
              <w:rPr>
                <w:rFonts w:hint="eastAsia" w:ascii="宋体" w:hAnsi="宋体"/>
                <w:color w:val="auto"/>
                <w:highlight w:val="none"/>
              </w:rPr>
              <w:t>专业</w:t>
            </w:r>
            <w:r>
              <w:rPr>
                <w:rFonts w:hint="eastAsia" w:ascii="宋体" w:hAnsi="宋体"/>
                <w:color w:val="auto"/>
                <w:highlight w:val="none"/>
                <w:lang w:val="en-US" w:eastAsia="zh-CN"/>
              </w:rPr>
              <w:t>工程师或</w:t>
            </w:r>
            <w:r>
              <w:rPr>
                <w:rFonts w:hint="eastAsia" w:ascii="宋体" w:hAnsi="宋体"/>
                <w:color w:val="auto"/>
                <w:highlight w:val="none"/>
              </w:rPr>
              <w:t>以上</w:t>
            </w:r>
            <w:r>
              <w:rPr>
                <w:rFonts w:hint="eastAsia" w:ascii="宋体" w:hAnsi="宋体"/>
                <w:color w:val="auto"/>
                <w:highlight w:val="none"/>
                <w:lang w:eastAsia="zh-CN"/>
              </w:rPr>
              <w:t>技术</w:t>
            </w:r>
            <w:r>
              <w:rPr>
                <w:rFonts w:hint="eastAsia" w:ascii="宋体" w:hAnsi="宋体"/>
                <w:color w:val="auto"/>
                <w:highlight w:val="none"/>
              </w:rPr>
              <w:t>职称</w:t>
            </w:r>
            <w:r>
              <w:rPr>
                <w:rFonts w:hint="eastAsia" w:ascii="宋体" w:hAnsi="宋体"/>
                <w:color w:val="auto"/>
                <w:highlight w:val="none"/>
                <w:lang w:eastAsia="zh-CN"/>
              </w:rPr>
              <w:t>证书</w:t>
            </w:r>
            <w:r>
              <w:rPr>
                <w:rFonts w:hint="eastAsia" w:ascii="宋体" w:hAnsi="宋体"/>
                <w:color w:val="auto"/>
                <w:highlight w:val="none"/>
              </w:rPr>
              <w:t>。</w:t>
            </w:r>
            <w:r>
              <w:rPr>
                <w:rFonts w:hint="eastAsia" w:ascii="宋体" w:hAnsi="宋体"/>
                <w:color w:val="auto"/>
                <w:highlight w:val="none"/>
                <w:lang w:val="en-US" w:eastAsia="zh-CN"/>
              </w:rPr>
              <w:t>提供劳动合同和近六个月社保缴纳证明材料。</w:t>
            </w:r>
          </w:p>
        </w:tc>
        <w:tc>
          <w:tcPr>
            <w:tcW w:w="2620" w:type="dxa"/>
            <w:vMerge w:val="continue"/>
            <w:tcBorders>
              <w:top w:val="nil"/>
              <w:left w:val="nil"/>
              <w:bottom w:val="single" w:color="auto" w:sz="4" w:space="0"/>
              <w:right w:val="single" w:color="auto" w:sz="6" w:space="0"/>
            </w:tcBorders>
            <w:vAlign w:val="center"/>
          </w:tcPr>
          <w:p w14:paraId="12327846">
            <w:pPr>
              <w:widowControl/>
              <w:jc w:val="left"/>
              <w:rPr>
                <w:rFonts w:ascii="宋体" w:hAnsi="宋体"/>
                <w:color w:val="auto"/>
                <w:highlight w:val="none"/>
              </w:rPr>
            </w:pPr>
          </w:p>
        </w:tc>
      </w:tr>
    </w:tbl>
    <w:p w14:paraId="53C6FC9D">
      <w:pPr>
        <w:rPr>
          <w:rFonts w:hint="eastAsia" w:ascii="宋体" w:hAnsi="宋体"/>
          <w:color w:val="auto"/>
          <w:highlight w:val="none"/>
        </w:rPr>
      </w:pPr>
      <w:r>
        <w:rPr>
          <w:rFonts w:hint="eastAsia" w:ascii="宋体" w:hAnsi="宋体"/>
          <w:color w:val="auto"/>
          <w:highlight w:val="none"/>
        </w:rPr>
        <w:t xml:space="preserve"> </w:t>
      </w:r>
    </w:p>
    <w:p w14:paraId="03F24C0D">
      <w:pPr>
        <w:rPr>
          <w:rFonts w:hint="eastAsia" w:ascii="宋体" w:hAnsi="宋体"/>
          <w:color w:val="auto"/>
          <w:highlight w:val="none"/>
        </w:rPr>
      </w:pPr>
    </w:p>
    <w:p w14:paraId="140B663E">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28"/>
          <w:szCs w:val="28"/>
          <w:highlight w:val="none"/>
        </w:rPr>
      </w:pPr>
      <w:r>
        <w:rPr>
          <w:rFonts w:hint="eastAsia" w:ascii="宋体" w:hAnsi="宋体"/>
          <w:b/>
          <w:color w:val="auto"/>
          <w:sz w:val="28"/>
          <w:szCs w:val="28"/>
          <w:highlight w:val="none"/>
        </w:rPr>
        <w:t>附录</w:t>
      </w:r>
      <w:r>
        <w:rPr>
          <w:rFonts w:hint="eastAsia" w:ascii="宋体" w:hAnsi="宋体"/>
          <w:b/>
          <w:color w:val="auto"/>
          <w:sz w:val="28"/>
          <w:szCs w:val="28"/>
          <w:highlight w:val="none"/>
          <w:lang w:val="en-US" w:eastAsia="zh-CN"/>
        </w:rPr>
        <w:t>6</w:t>
      </w:r>
      <w:r>
        <w:rPr>
          <w:rFonts w:hint="eastAsia" w:ascii="宋体" w:hAnsi="宋体"/>
          <w:b/>
          <w:color w:val="auto"/>
          <w:sz w:val="28"/>
          <w:szCs w:val="28"/>
          <w:highlight w:val="none"/>
        </w:rPr>
        <w:t xml:space="preserve"> 资格审查条件（</w:t>
      </w:r>
      <w:r>
        <w:rPr>
          <w:rFonts w:hint="eastAsia" w:ascii="宋体" w:hAnsi="宋体"/>
          <w:b/>
          <w:color w:val="auto"/>
          <w:sz w:val="28"/>
          <w:szCs w:val="28"/>
          <w:highlight w:val="none"/>
          <w:lang w:val="en-US" w:eastAsia="zh-CN"/>
        </w:rPr>
        <w:t>其他要求最低要求</w:t>
      </w:r>
      <w:r>
        <w:rPr>
          <w:rFonts w:hint="eastAsia" w:ascii="宋体" w:hAnsi="宋体"/>
          <w:b/>
          <w:color w:val="auto"/>
          <w:sz w:val="28"/>
          <w:szCs w:val="28"/>
          <w:highlight w:val="none"/>
        </w:rPr>
        <w:t>）</w:t>
      </w:r>
    </w:p>
    <w:tbl>
      <w:tblPr>
        <w:tblStyle w:val="23"/>
        <w:tblW w:w="9780" w:type="dxa"/>
        <w:jc w:val="center"/>
        <w:tblLayout w:type="fixed"/>
        <w:tblCellMar>
          <w:top w:w="0" w:type="dxa"/>
          <w:left w:w="108" w:type="dxa"/>
          <w:bottom w:w="0" w:type="dxa"/>
          <w:right w:w="108" w:type="dxa"/>
        </w:tblCellMar>
      </w:tblPr>
      <w:tblGrid>
        <w:gridCol w:w="9780"/>
      </w:tblGrid>
      <w:tr w14:paraId="6EB2D8FF">
        <w:tblPrEx>
          <w:tblCellMar>
            <w:top w:w="0" w:type="dxa"/>
            <w:left w:w="108" w:type="dxa"/>
            <w:bottom w:w="0" w:type="dxa"/>
            <w:right w:w="108" w:type="dxa"/>
          </w:tblCellMar>
        </w:tblPrEx>
        <w:trPr>
          <w:trHeight w:val="1411" w:hRule="atLeast"/>
          <w:jc w:val="center"/>
        </w:trPr>
        <w:tc>
          <w:tcPr>
            <w:tcW w:w="9780" w:type="dxa"/>
            <w:tcBorders>
              <w:top w:val="single" w:color="auto" w:sz="6" w:space="0"/>
              <w:left w:val="single" w:color="auto" w:sz="6" w:space="0"/>
              <w:bottom w:val="single" w:color="auto" w:sz="6" w:space="0"/>
              <w:right w:val="single" w:color="auto" w:sz="6" w:space="0"/>
            </w:tcBorders>
            <w:noWrap/>
            <w:vAlign w:val="center"/>
          </w:tcPr>
          <w:p w14:paraId="48233CA7">
            <w:pPr>
              <w:ind w:left="-90"/>
              <w:jc w:val="center"/>
              <w:rPr>
                <w:rFonts w:ascii="宋体" w:hAnsi="宋体"/>
                <w:color w:val="auto"/>
                <w:spacing w:val="-1"/>
                <w:kern w:val="0"/>
                <w:highlight w:val="none"/>
              </w:rPr>
            </w:pPr>
            <w:r>
              <w:rPr>
                <w:rFonts w:hint="eastAsia" w:ascii="宋体" w:hAnsi="宋体"/>
                <w:color w:val="auto"/>
                <w:spacing w:val="-1"/>
                <w:kern w:val="0"/>
                <w:highlight w:val="none"/>
                <w:lang w:val="en-US" w:eastAsia="zh-CN"/>
              </w:rPr>
              <w:t>其 他 要 求</w:t>
            </w:r>
          </w:p>
        </w:tc>
      </w:tr>
      <w:tr w14:paraId="43EF668B">
        <w:tblPrEx>
          <w:tblCellMar>
            <w:top w:w="0" w:type="dxa"/>
            <w:left w:w="108" w:type="dxa"/>
            <w:bottom w:w="0" w:type="dxa"/>
            <w:right w:w="108" w:type="dxa"/>
          </w:tblCellMar>
        </w:tblPrEx>
        <w:trPr>
          <w:trHeight w:val="6013" w:hRule="atLeast"/>
          <w:jc w:val="center"/>
        </w:trPr>
        <w:tc>
          <w:tcPr>
            <w:tcW w:w="9780" w:type="dxa"/>
            <w:tcBorders>
              <w:top w:val="single" w:color="auto" w:sz="6" w:space="0"/>
              <w:left w:val="single" w:color="auto" w:sz="6" w:space="0"/>
              <w:bottom w:val="single" w:color="auto" w:sz="4" w:space="0"/>
              <w:right w:val="single" w:color="auto" w:sz="6" w:space="0"/>
            </w:tcBorders>
            <w:noWrap/>
            <w:vAlign w:val="center"/>
          </w:tcPr>
          <w:p w14:paraId="3F58DF14">
            <w:pPr>
              <w:keepNext w:val="0"/>
              <w:keepLines w:val="0"/>
              <w:pageBreakBefore w:val="0"/>
              <w:numPr>
                <w:ilvl w:val="0"/>
                <w:numId w:val="0"/>
              </w:numPr>
              <w:kinsoku/>
              <w:wordWrap w:val="0"/>
              <w:overflowPunct/>
              <w:topLinePunct w:val="0"/>
              <w:autoSpaceDE/>
              <w:autoSpaceDN/>
              <w:bidi w:val="0"/>
              <w:spacing w:line="44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1）单位负责人为同一人或存在控股、管理关系的不同单位，不得参加同一标段投标，否则</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相关投标均无效。</w:t>
            </w:r>
            <w:r>
              <w:rPr>
                <w:rFonts w:hint="eastAsia" w:ascii="宋体" w:hAnsi="宋体" w:eastAsia="宋体" w:cs="宋体"/>
                <w:color w:val="auto"/>
                <w:sz w:val="21"/>
                <w:szCs w:val="21"/>
                <w:highlight w:val="none"/>
                <w:lang w:val="en-US" w:eastAsia="zh-CN"/>
              </w:rPr>
              <w:t>（投标人应自拟承诺，格式自拟，加盖单位公章）。</w:t>
            </w:r>
          </w:p>
          <w:p w14:paraId="60FA9864">
            <w:pPr>
              <w:keepNext w:val="0"/>
              <w:keepLines w:val="0"/>
              <w:pageBreakBefore w:val="0"/>
              <w:numPr>
                <w:ilvl w:val="0"/>
                <w:numId w:val="0"/>
              </w:numPr>
              <w:kinsoku/>
              <w:wordWrap w:val="0"/>
              <w:overflowPunct/>
              <w:topLinePunct w:val="0"/>
              <w:autoSpaceDE/>
              <w:autoSpaceDN/>
              <w:bidi w:val="0"/>
              <w:spacing w:line="44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2</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企业近三年没有处于被责令停产、停业或者投标资格被取消，没有骗取中标或者没有重大违约及重大工程质量、拖欠农民工工资、安全生产事故等问题；（投标人应自拟承诺，格式自拟，加盖单位公章）。</w:t>
            </w:r>
          </w:p>
          <w:p w14:paraId="7428C492">
            <w:pPr>
              <w:keepNext w:val="0"/>
              <w:keepLines w:val="0"/>
              <w:pageBreakBefore w:val="0"/>
              <w:numPr>
                <w:ilvl w:val="0"/>
                <w:numId w:val="0"/>
              </w:numPr>
              <w:kinsoku/>
              <w:wordWrap w:val="0"/>
              <w:overflowPunct/>
              <w:topLinePunct w:val="0"/>
              <w:autoSpaceDE/>
              <w:autoSpaceDN/>
              <w:bidi w:val="0"/>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企业近三年内没有被建设、公路、水利、土地等有关行政部门及相关监督部门通报有不良行为记录；（投标人应自拟承诺，格式自拟，加盖单位公章）。</w:t>
            </w:r>
          </w:p>
          <w:p w14:paraId="5C27D422">
            <w:pPr>
              <w:keepNext w:val="0"/>
              <w:keepLines w:val="0"/>
              <w:pageBreakBefore w:val="0"/>
              <w:numPr>
                <w:ilvl w:val="0"/>
                <w:numId w:val="0"/>
              </w:numPr>
              <w:kinsoku/>
              <w:wordWrap w:val="0"/>
              <w:overflowPunct/>
              <w:topLinePunct w:val="0"/>
              <w:autoSpaceDE/>
              <w:autoSpaceDN/>
              <w:bidi w:val="0"/>
              <w:spacing w:line="440" w:lineRule="exact"/>
              <w:ind w:firstLine="420" w:firstLineChars="200"/>
              <w:textAlignment w:val="auto"/>
              <w:rPr>
                <w:rFonts w:ascii="宋体" w:hAnsi="宋体"/>
                <w:color w:val="auto"/>
                <w:highlight w:val="none"/>
              </w:rPr>
            </w:pPr>
            <w:r>
              <w:rPr>
                <w:rFonts w:hint="eastAsia" w:ascii="宋体" w:hAnsi="宋体" w:eastAsia="宋体" w:cs="Times New Roman"/>
                <w:b w:val="0"/>
                <w:caps/>
                <w:color w:val="auto"/>
                <w:kern w:val="2"/>
                <w:sz w:val="21"/>
                <w:szCs w:val="21"/>
                <w:highlight w:val="none"/>
                <w:lang w:val="en-US" w:eastAsia="zh-CN" w:bidi="ar-SA"/>
              </w:rPr>
              <w:t>4</w:t>
            </w:r>
            <w:r>
              <w:rPr>
                <w:rFonts w:ascii="宋体" w:hAnsi="宋体" w:eastAsia="宋体" w:cs="Times New Roman"/>
                <w:b w:val="0"/>
                <w:caps/>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企业从中标到施工过程中如被发现有挂靠行为的，将没收</w:t>
            </w:r>
            <w:r>
              <w:rPr>
                <w:rFonts w:hint="eastAsia" w:ascii="宋体" w:hAnsi="宋体" w:cs="宋体"/>
                <w:color w:val="auto"/>
                <w:sz w:val="21"/>
                <w:szCs w:val="21"/>
                <w:highlight w:val="none"/>
                <w:lang w:val="en-US" w:eastAsia="zh-CN"/>
              </w:rPr>
              <w:t>投标</w:t>
            </w:r>
            <w:r>
              <w:rPr>
                <w:rFonts w:hint="eastAsia" w:ascii="宋体" w:hAnsi="宋体" w:eastAsia="宋体" w:cs="宋体"/>
                <w:color w:val="auto"/>
                <w:sz w:val="21"/>
                <w:szCs w:val="21"/>
                <w:highlight w:val="none"/>
                <w:lang w:val="en-US" w:eastAsia="zh-CN"/>
              </w:rPr>
              <w:t>保证金及履约保证金，并终止合同清退出场，因合同无效给建设方造成经济损失的，应当由被挂靠企业来承担（投标人应自拟承诺，格式自拟，加盖单位公章）。</w:t>
            </w:r>
          </w:p>
        </w:tc>
      </w:tr>
    </w:tbl>
    <w:p w14:paraId="3755396F">
      <w:pPr>
        <w:spacing w:line="360" w:lineRule="auto"/>
        <w:ind w:firstLine="420" w:firstLineChars="200"/>
        <w:rPr>
          <w:rFonts w:hint="eastAsia" w:ascii="宋体" w:hAnsi="宋体"/>
          <w:color w:val="auto"/>
          <w:highlight w:val="none"/>
        </w:rPr>
      </w:pPr>
    </w:p>
    <w:p w14:paraId="3CD8795C">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45559A10">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536F2496">
      <w:pPr>
        <w:pStyle w:val="44"/>
        <w:spacing w:line="360" w:lineRule="auto"/>
        <w:rPr>
          <w:rFonts w:ascii="宋体" w:hAnsi="宋体" w:eastAsia="宋体"/>
          <w:b/>
          <w:color w:val="auto"/>
          <w:highlight w:val="none"/>
        </w:rPr>
      </w:pPr>
      <w:bookmarkStart w:id="33" w:name="_Toc25488"/>
      <w:bookmarkEnd w:id="33"/>
      <w:bookmarkStart w:id="34" w:name="_Toc16778738"/>
      <w:bookmarkEnd w:id="34"/>
      <w:bookmarkStart w:id="35" w:name="_Toc9345"/>
      <w:bookmarkEnd w:id="35"/>
      <w:bookmarkStart w:id="36" w:name="_Toc11700"/>
      <w:r>
        <w:rPr>
          <w:rFonts w:hint="eastAsia" w:ascii="宋体" w:hAnsi="宋体" w:eastAsia="宋体"/>
          <w:b/>
          <w:color w:val="auto"/>
          <w:highlight w:val="none"/>
        </w:rPr>
        <w:t>1. 总则</w:t>
      </w:r>
      <w:bookmarkEnd w:id="36"/>
    </w:p>
    <w:p w14:paraId="53C91134">
      <w:pPr>
        <w:pStyle w:val="45"/>
        <w:spacing w:line="360" w:lineRule="auto"/>
        <w:rPr>
          <w:rFonts w:ascii="宋体" w:hAnsi="宋体" w:eastAsia="宋体"/>
          <w:b/>
          <w:color w:val="auto"/>
          <w:highlight w:val="none"/>
        </w:rPr>
      </w:pPr>
      <w:bookmarkStart w:id="37" w:name="_Toc102"/>
      <w:bookmarkEnd w:id="37"/>
      <w:bookmarkStart w:id="38" w:name="_Toc144974498"/>
      <w:bookmarkEnd w:id="38"/>
      <w:bookmarkStart w:id="39" w:name="_Toc152045530"/>
      <w:bookmarkEnd w:id="39"/>
      <w:bookmarkStart w:id="40" w:name="_Toc152042306"/>
      <w:bookmarkEnd w:id="40"/>
      <w:bookmarkStart w:id="41" w:name="_Toc16778739"/>
      <w:bookmarkEnd w:id="41"/>
      <w:bookmarkStart w:id="42" w:name="_Toc179632547"/>
      <w:bookmarkEnd w:id="42"/>
      <w:bookmarkStart w:id="43" w:name="_Toc2254"/>
      <w:r>
        <w:rPr>
          <w:rFonts w:hint="eastAsia" w:ascii="宋体" w:hAnsi="宋体" w:eastAsia="宋体"/>
          <w:b/>
          <w:color w:val="auto"/>
          <w:highlight w:val="none"/>
        </w:rPr>
        <w:t xml:space="preserve">1.1 </w:t>
      </w:r>
      <w:bookmarkEnd w:id="43"/>
      <w:r>
        <w:rPr>
          <w:rFonts w:hint="eastAsia" w:ascii="宋体" w:hAnsi="宋体" w:eastAsia="宋体"/>
          <w:b/>
          <w:color w:val="auto"/>
          <w:highlight w:val="none"/>
        </w:rPr>
        <w:t>项目概况</w:t>
      </w:r>
    </w:p>
    <w:p w14:paraId="2AAADD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1.1.1 根据《中华人民共和国招标投标法》《中华人民共和国招标投标法实施条例》《公路工程建设项目招标投标管理办法》等有关法律、法规和规章的规定，本招标项目己具备招标条件，现对本标段施工进行招标。</w:t>
      </w:r>
    </w:p>
    <w:p w14:paraId="101398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1.1.2 本招标项目招标人：见投标人须知前附表。</w:t>
      </w:r>
    </w:p>
    <w:p w14:paraId="58C81A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1.1.3 本标段招标代理机构：见投标人须知前附表。</w:t>
      </w:r>
    </w:p>
    <w:p w14:paraId="18F0AF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1.1.4 本招标项目名称：见投标人须知前附表。</w:t>
      </w:r>
    </w:p>
    <w:p w14:paraId="1613190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1.1.5 本标段建设地点：见投标人须知前附表。</w:t>
      </w:r>
    </w:p>
    <w:p w14:paraId="12D3A39C">
      <w:pPr>
        <w:pStyle w:val="45"/>
        <w:spacing w:line="360" w:lineRule="auto"/>
        <w:rPr>
          <w:rFonts w:ascii="宋体" w:hAnsi="宋体" w:eastAsia="宋体"/>
          <w:b/>
          <w:color w:val="auto"/>
          <w:highlight w:val="none"/>
        </w:rPr>
      </w:pPr>
      <w:bookmarkStart w:id="44" w:name="_Toc16302"/>
      <w:bookmarkEnd w:id="44"/>
      <w:bookmarkStart w:id="45" w:name="_Toc5695"/>
      <w:bookmarkEnd w:id="45"/>
      <w:bookmarkStart w:id="46" w:name="_Toc144974499"/>
      <w:bookmarkEnd w:id="46"/>
      <w:bookmarkStart w:id="47" w:name="_Toc152045531"/>
      <w:bookmarkEnd w:id="47"/>
      <w:bookmarkStart w:id="48" w:name="_Toc16778740"/>
      <w:bookmarkEnd w:id="48"/>
      <w:bookmarkStart w:id="49" w:name="_Toc152042307"/>
      <w:bookmarkEnd w:id="49"/>
      <w:bookmarkStart w:id="50" w:name="_Toc179632548"/>
      <w:r>
        <w:rPr>
          <w:rFonts w:hint="eastAsia" w:ascii="宋体" w:hAnsi="宋体" w:eastAsia="宋体"/>
          <w:b/>
          <w:color w:val="auto"/>
          <w:highlight w:val="none"/>
        </w:rPr>
        <w:t>1.2 招标项目的资金来源和落实情况</w:t>
      </w:r>
      <w:bookmarkEnd w:id="50"/>
    </w:p>
    <w:p w14:paraId="4CD675A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1.2.1资金来源及比例：见投标人须知前附表。</w:t>
      </w:r>
    </w:p>
    <w:p w14:paraId="1CE469C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1.2.2资金落实情况：见投标人须知前附表。</w:t>
      </w:r>
    </w:p>
    <w:p w14:paraId="2D07DCEE">
      <w:pPr>
        <w:pStyle w:val="45"/>
        <w:spacing w:line="360" w:lineRule="auto"/>
        <w:rPr>
          <w:rFonts w:ascii="宋体" w:hAnsi="宋体" w:eastAsia="宋体"/>
          <w:b/>
          <w:color w:val="auto"/>
          <w:highlight w:val="none"/>
        </w:rPr>
      </w:pPr>
      <w:bookmarkStart w:id="51" w:name="_Toc10616"/>
      <w:bookmarkEnd w:id="51"/>
      <w:bookmarkStart w:id="52" w:name="_Toc144974500"/>
      <w:bookmarkEnd w:id="52"/>
      <w:bookmarkStart w:id="53" w:name="_Toc21270"/>
      <w:bookmarkEnd w:id="53"/>
      <w:bookmarkStart w:id="54" w:name="_Toc152045532"/>
      <w:bookmarkEnd w:id="54"/>
      <w:bookmarkStart w:id="55" w:name="_Toc179632549"/>
      <w:bookmarkEnd w:id="55"/>
      <w:bookmarkStart w:id="56" w:name="_Toc152042308"/>
      <w:bookmarkEnd w:id="56"/>
      <w:bookmarkStart w:id="57" w:name="_Toc16778741"/>
      <w:r>
        <w:rPr>
          <w:rFonts w:hint="eastAsia" w:ascii="宋体" w:hAnsi="宋体" w:eastAsia="宋体"/>
          <w:b/>
          <w:color w:val="auto"/>
          <w:highlight w:val="none"/>
        </w:rPr>
        <w:t>1.3 招标范围、计划工期和质量要求</w:t>
      </w:r>
      <w:bookmarkEnd w:id="57"/>
      <w:r>
        <w:rPr>
          <w:rFonts w:hint="eastAsia" w:ascii="宋体" w:hAnsi="宋体" w:eastAsia="宋体"/>
          <w:b/>
          <w:color w:val="auto"/>
          <w:highlight w:val="none"/>
        </w:rPr>
        <w:t>和安全目标</w:t>
      </w:r>
    </w:p>
    <w:p w14:paraId="5BE7992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1.3.1招标范围：见投标人须知前附表。</w:t>
      </w:r>
    </w:p>
    <w:p w14:paraId="6B31531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1.3.2 本标段的计划工期：见投标人须知前附表。</w:t>
      </w:r>
    </w:p>
    <w:p w14:paraId="0B346FC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1.3.3 本标段的质量要求：见投标人须知前附表。</w:t>
      </w:r>
    </w:p>
    <w:p w14:paraId="74AEDC9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1.3.4 本标段的安全目标：见投标人须知前附表。</w:t>
      </w:r>
    </w:p>
    <w:p w14:paraId="7C4E4921">
      <w:pPr>
        <w:pStyle w:val="45"/>
        <w:spacing w:line="360" w:lineRule="auto"/>
        <w:rPr>
          <w:rFonts w:ascii="宋体" w:hAnsi="宋体" w:eastAsia="宋体"/>
          <w:b/>
          <w:color w:val="auto"/>
          <w:highlight w:val="none"/>
        </w:rPr>
      </w:pPr>
      <w:bookmarkStart w:id="58" w:name="_Toc16778742"/>
      <w:bookmarkEnd w:id="58"/>
      <w:bookmarkStart w:id="59" w:name="_Toc179632550"/>
      <w:bookmarkEnd w:id="59"/>
      <w:bookmarkStart w:id="60" w:name="_Toc19470"/>
      <w:bookmarkEnd w:id="60"/>
      <w:bookmarkStart w:id="61" w:name="_Toc152045533"/>
      <w:bookmarkEnd w:id="61"/>
      <w:bookmarkStart w:id="62" w:name="_Toc5916"/>
      <w:bookmarkEnd w:id="62"/>
      <w:bookmarkStart w:id="63" w:name="_Toc144974501"/>
      <w:bookmarkEnd w:id="63"/>
      <w:bookmarkStart w:id="64" w:name="_Toc152042309"/>
      <w:r>
        <w:rPr>
          <w:rFonts w:hint="eastAsia" w:ascii="宋体" w:hAnsi="宋体" w:eastAsia="宋体"/>
          <w:b/>
          <w:color w:val="auto"/>
          <w:highlight w:val="none"/>
        </w:rPr>
        <w:t>1.4 投标人资格要求</w:t>
      </w:r>
      <w:bookmarkEnd w:id="64"/>
    </w:p>
    <w:p w14:paraId="20896AB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1.4.1 投标人应具备承担本标段施工的资质条件、能力和信誉。</w:t>
      </w:r>
    </w:p>
    <w:p w14:paraId="2A5415A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（1）资质要求：见投标人须知前附表；</w:t>
      </w:r>
    </w:p>
    <w:p w14:paraId="3472AF9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（2）财务要求：见投标人须知前附表；</w:t>
      </w:r>
    </w:p>
    <w:p w14:paraId="6F32D3B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（3）业绩要求：见投标人须知前附表；</w:t>
      </w:r>
    </w:p>
    <w:p w14:paraId="6EC0EAB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（4）信誉要求：见投标人须知前附表；</w:t>
      </w:r>
    </w:p>
    <w:p w14:paraId="193FDE3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（5）项目经理和项目总工资格：见投标人须知前附表；</w:t>
      </w:r>
    </w:p>
    <w:p w14:paraId="1F76B64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（6）其他要求：见投标人须知前附表。</w:t>
      </w:r>
    </w:p>
    <w:p w14:paraId="32AEE17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需要提交的相关证明材料见本章第3.5款的规定。</w:t>
      </w:r>
    </w:p>
    <w:p w14:paraId="339A746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1.4.2（不适用）</w:t>
      </w:r>
    </w:p>
    <w:p w14:paraId="5F70064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1.4.3 投标人不得与本标段相关单位存在下列关联关系：</w:t>
      </w:r>
    </w:p>
    <w:p w14:paraId="2EED90D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（1）为招标人不具有独立法人资格的附属机构（单位）；</w:t>
      </w:r>
    </w:p>
    <w:p w14:paraId="26675B1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（2）与招标人存在利害关系且可能影响招标公正性；</w:t>
      </w:r>
    </w:p>
    <w:p w14:paraId="3CA5251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（3）与本标段的其他投标人同为一个单位负责人；</w:t>
      </w:r>
    </w:p>
    <w:p w14:paraId="4554541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（4）与本标段的其他投标人存在控股、管理关系；</w:t>
      </w:r>
    </w:p>
    <w:p w14:paraId="1C687F0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（5）为本标段前期准备提供设计或咨询服务的法人或其任何附属机构（单位）；</w:t>
      </w:r>
    </w:p>
    <w:p w14:paraId="1F7EE70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（6）为本标段的监理人；</w:t>
      </w:r>
    </w:p>
    <w:p w14:paraId="4AE0CDE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（7）为本标段的代建人；</w:t>
      </w:r>
    </w:p>
    <w:p w14:paraId="5AD1567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（8）为本标段的招标代理机构；</w:t>
      </w:r>
    </w:p>
    <w:p w14:paraId="1DEFF0A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（9）与本标段的监理人或代建人或招标代理机构同为一个法定代表人；</w:t>
      </w:r>
    </w:p>
    <w:p w14:paraId="54CCDB7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（10）与本标段的监理人或代建人或招标代理机构存在控股或参股关系；</w:t>
      </w:r>
    </w:p>
    <w:p w14:paraId="4FBD07B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（11）法律法规或投标人须知前附表规定的其他情形。</w:t>
      </w:r>
    </w:p>
    <w:p w14:paraId="1CE086F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1.4.4 投标人不得存在下列不良状况或不良信用记录：</w:t>
      </w:r>
    </w:p>
    <w:p w14:paraId="2C6386F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（1）被省级及以上交通运输主管部门取消招标项目所在地的投标资格且处于有效期内；</w:t>
      </w:r>
    </w:p>
    <w:p w14:paraId="533DE79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（2）被责令停业，暂扣或吊销执照，或吊销资质证书；</w:t>
      </w:r>
    </w:p>
    <w:p w14:paraId="1A1DCC4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（3）进入清算程序，或被宣告破产，或其他丧失履约能力的情形；</w:t>
      </w:r>
    </w:p>
    <w:p w14:paraId="20FE765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（4）在国家企业信用信息公示系统（http://www.gsxt.gov.cn/）中被列入严重违法失信企业名单；</w:t>
      </w:r>
    </w:p>
    <w:p w14:paraId="5F2133D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（5）在“信用中国”网站（http://www.creditchina.gov.cn/）中</w:t>
      </w:r>
      <w:r>
        <w:rPr>
          <w:rFonts w:hint="eastAsia" w:ascii="宋体" w:hAnsi="宋体"/>
          <w:color w:val="auto"/>
          <w:sz w:val="24"/>
          <w:szCs w:val="24"/>
          <w:highlight w:val="none"/>
          <w:lang w:eastAsia="zh-CN"/>
        </w:rPr>
        <w:t>被列入</w:t>
      </w:r>
      <w:r>
        <w:rPr>
          <w:rFonts w:hint="eastAsia" w:ascii="宋体" w:hAnsi="宋体"/>
          <w:color w:val="auto"/>
          <w:sz w:val="24"/>
          <w:szCs w:val="24"/>
          <w:highlight w:val="none"/>
        </w:rPr>
        <w:t>失信被执行人</w:t>
      </w:r>
      <w:r>
        <w:rPr>
          <w:rFonts w:hint="eastAsia" w:ascii="宋体" w:hAnsi="宋体"/>
          <w:color w:val="auto"/>
          <w:sz w:val="24"/>
          <w:szCs w:val="24"/>
          <w:highlight w:val="none"/>
          <w:lang w:eastAsia="zh-CN"/>
        </w:rPr>
        <w:t>名单；</w:t>
      </w:r>
    </w:p>
    <w:p w14:paraId="4B211F0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（6）法律法规或投标人须知前附表规定的其他情形。</w:t>
      </w:r>
    </w:p>
    <w:p w14:paraId="7F2721B8">
      <w:pPr>
        <w:pStyle w:val="45"/>
        <w:spacing w:line="360" w:lineRule="auto"/>
        <w:rPr>
          <w:rFonts w:ascii="宋体" w:hAnsi="宋体" w:eastAsia="宋体"/>
          <w:b/>
          <w:color w:val="auto"/>
          <w:highlight w:val="none"/>
        </w:rPr>
      </w:pPr>
      <w:bookmarkStart w:id="65" w:name="_Toc16778743"/>
      <w:bookmarkEnd w:id="65"/>
      <w:bookmarkStart w:id="66" w:name="_Toc25310"/>
      <w:bookmarkEnd w:id="66"/>
      <w:bookmarkStart w:id="67" w:name="_Toc152045535"/>
      <w:bookmarkEnd w:id="67"/>
      <w:bookmarkStart w:id="68" w:name="_Toc14936"/>
      <w:bookmarkEnd w:id="68"/>
      <w:bookmarkStart w:id="69" w:name="_Toc152042311"/>
      <w:bookmarkEnd w:id="69"/>
      <w:bookmarkStart w:id="70" w:name="_Toc179632552"/>
      <w:bookmarkEnd w:id="70"/>
      <w:bookmarkStart w:id="71" w:name="_Toc144974503"/>
      <w:r>
        <w:rPr>
          <w:rFonts w:hint="eastAsia" w:ascii="宋体" w:hAnsi="宋体" w:eastAsia="宋体"/>
          <w:b/>
          <w:color w:val="auto"/>
          <w:highlight w:val="none"/>
        </w:rPr>
        <w:t>1.5 费用承担</w:t>
      </w:r>
      <w:bookmarkEnd w:id="71"/>
    </w:p>
    <w:p w14:paraId="17157AD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投标人准备和参加投标活动发生的费用自理</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投标人需承诺足额缴纳代理服务费</w:t>
      </w:r>
      <w:r>
        <w:rPr>
          <w:rFonts w:hint="eastAsia" w:ascii="宋体" w:hAnsi="宋体"/>
          <w:color w:val="auto"/>
          <w:sz w:val="24"/>
          <w:szCs w:val="24"/>
          <w:highlight w:val="none"/>
        </w:rPr>
        <w:t>。</w:t>
      </w:r>
    </w:p>
    <w:p w14:paraId="693C6100">
      <w:pPr>
        <w:pStyle w:val="45"/>
        <w:spacing w:line="360" w:lineRule="auto"/>
        <w:rPr>
          <w:rFonts w:ascii="宋体" w:hAnsi="宋体" w:eastAsia="宋体"/>
          <w:b/>
          <w:color w:val="auto"/>
          <w:highlight w:val="none"/>
        </w:rPr>
      </w:pPr>
      <w:bookmarkStart w:id="72" w:name="_Toc152045536"/>
      <w:bookmarkEnd w:id="72"/>
      <w:bookmarkStart w:id="73" w:name="_Toc152042312"/>
      <w:bookmarkEnd w:id="73"/>
      <w:bookmarkStart w:id="74" w:name="_Toc9705"/>
      <w:bookmarkEnd w:id="74"/>
      <w:bookmarkStart w:id="75" w:name="_Toc1897"/>
      <w:bookmarkEnd w:id="75"/>
      <w:bookmarkStart w:id="76" w:name="_Toc179632553"/>
      <w:bookmarkEnd w:id="76"/>
      <w:bookmarkStart w:id="77" w:name="_Toc144974504"/>
      <w:bookmarkEnd w:id="77"/>
      <w:bookmarkStart w:id="78" w:name="_Toc16778744"/>
      <w:r>
        <w:rPr>
          <w:rFonts w:hint="eastAsia" w:ascii="宋体" w:hAnsi="宋体" w:eastAsia="宋体"/>
          <w:b/>
          <w:color w:val="auto"/>
          <w:highlight w:val="none"/>
        </w:rPr>
        <w:t>1.6 保密</w:t>
      </w:r>
      <w:bookmarkEnd w:id="78"/>
    </w:p>
    <w:p w14:paraId="1F654FA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参与招标投标活动的各方应对招标文件和投标文件中的商业和技术等秘密保密，否则应承担相应的法律责任。</w:t>
      </w:r>
    </w:p>
    <w:p w14:paraId="6A314438">
      <w:pPr>
        <w:pStyle w:val="45"/>
        <w:spacing w:line="360" w:lineRule="auto"/>
        <w:rPr>
          <w:rFonts w:ascii="宋体" w:hAnsi="宋体" w:eastAsia="宋体"/>
          <w:b/>
          <w:color w:val="auto"/>
          <w:highlight w:val="none"/>
        </w:rPr>
      </w:pPr>
      <w:bookmarkStart w:id="79" w:name="_Toc179632554"/>
      <w:bookmarkEnd w:id="79"/>
      <w:bookmarkStart w:id="80" w:name="_Toc14814"/>
      <w:bookmarkEnd w:id="80"/>
      <w:bookmarkStart w:id="81" w:name="_Toc16778745"/>
      <w:bookmarkEnd w:id="81"/>
      <w:bookmarkStart w:id="82" w:name="_Toc152045537"/>
      <w:bookmarkEnd w:id="82"/>
      <w:bookmarkStart w:id="83" w:name="_Toc28868"/>
      <w:bookmarkEnd w:id="83"/>
      <w:bookmarkStart w:id="84" w:name="_Toc152042313"/>
      <w:bookmarkEnd w:id="84"/>
      <w:bookmarkStart w:id="85" w:name="_Toc144974505"/>
      <w:r>
        <w:rPr>
          <w:rFonts w:hint="eastAsia" w:ascii="宋体" w:hAnsi="宋体" w:eastAsia="宋体"/>
          <w:b/>
          <w:color w:val="auto"/>
          <w:highlight w:val="none"/>
        </w:rPr>
        <w:t>1.7 语言</w:t>
      </w:r>
      <w:bookmarkEnd w:id="85"/>
      <w:r>
        <w:rPr>
          <w:rFonts w:hint="eastAsia" w:ascii="宋体" w:hAnsi="宋体" w:eastAsia="宋体"/>
          <w:b/>
          <w:color w:val="auto"/>
          <w:highlight w:val="none"/>
        </w:rPr>
        <w:t>文字</w:t>
      </w:r>
    </w:p>
    <w:p w14:paraId="1CB36F7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招标投标文件使用的语言文字为中文。专用术语使用外文的，应附有中文注释。</w:t>
      </w:r>
    </w:p>
    <w:p w14:paraId="06B71535">
      <w:pPr>
        <w:pStyle w:val="45"/>
        <w:spacing w:line="360" w:lineRule="auto"/>
        <w:rPr>
          <w:rFonts w:ascii="宋体" w:hAnsi="宋体" w:eastAsia="宋体"/>
          <w:b/>
          <w:color w:val="auto"/>
          <w:highlight w:val="none"/>
        </w:rPr>
      </w:pPr>
      <w:bookmarkStart w:id="86" w:name="_Toc16778746"/>
      <w:bookmarkEnd w:id="86"/>
      <w:bookmarkStart w:id="87" w:name="_Toc144974506"/>
      <w:bookmarkEnd w:id="87"/>
      <w:bookmarkStart w:id="88" w:name="_Toc152042314"/>
      <w:bookmarkEnd w:id="88"/>
      <w:bookmarkStart w:id="89" w:name="_Toc152045538"/>
      <w:bookmarkEnd w:id="89"/>
      <w:bookmarkStart w:id="90" w:name="_Toc14008"/>
      <w:bookmarkEnd w:id="90"/>
      <w:bookmarkStart w:id="91" w:name="_Toc14828"/>
      <w:bookmarkEnd w:id="91"/>
      <w:bookmarkStart w:id="92" w:name="_Toc179632555"/>
      <w:r>
        <w:rPr>
          <w:rFonts w:hint="eastAsia" w:ascii="宋体" w:hAnsi="宋体" w:eastAsia="宋体"/>
          <w:b/>
          <w:color w:val="auto"/>
          <w:highlight w:val="none"/>
        </w:rPr>
        <w:t>1.8 计量单位</w:t>
      </w:r>
      <w:bookmarkEnd w:id="92"/>
    </w:p>
    <w:p w14:paraId="68E954E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所有计量均采用中华人民共和国法定计量单位。</w:t>
      </w:r>
    </w:p>
    <w:p w14:paraId="445535A0">
      <w:pPr>
        <w:pStyle w:val="45"/>
        <w:spacing w:line="360" w:lineRule="auto"/>
        <w:rPr>
          <w:rFonts w:ascii="宋体" w:hAnsi="宋体" w:eastAsia="宋体"/>
          <w:b/>
          <w:color w:val="auto"/>
          <w:highlight w:val="none"/>
        </w:rPr>
      </w:pPr>
      <w:bookmarkStart w:id="93" w:name="_Toc179632556"/>
      <w:bookmarkEnd w:id="93"/>
      <w:bookmarkStart w:id="94" w:name="_Toc144974507"/>
      <w:bookmarkEnd w:id="94"/>
      <w:bookmarkStart w:id="95" w:name="_Toc152045539"/>
      <w:bookmarkEnd w:id="95"/>
      <w:bookmarkStart w:id="96" w:name="_Toc16778747"/>
      <w:bookmarkEnd w:id="96"/>
      <w:bookmarkStart w:id="97" w:name="_Toc28729"/>
      <w:bookmarkEnd w:id="97"/>
      <w:bookmarkStart w:id="98" w:name="_Toc152042315"/>
      <w:bookmarkEnd w:id="98"/>
      <w:bookmarkStart w:id="99" w:name="_Toc8171"/>
      <w:r>
        <w:rPr>
          <w:rFonts w:hint="eastAsia" w:ascii="宋体" w:hAnsi="宋体" w:eastAsia="宋体"/>
          <w:b/>
          <w:color w:val="auto"/>
          <w:highlight w:val="none"/>
        </w:rPr>
        <w:t>1.9 踏勘现场</w:t>
      </w:r>
      <w:bookmarkEnd w:id="99"/>
      <w:r>
        <w:rPr>
          <w:rFonts w:hint="eastAsia" w:ascii="宋体" w:hAnsi="宋体" w:eastAsia="宋体"/>
          <w:b/>
          <w:color w:val="auto"/>
          <w:highlight w:val="none"/>
        </w:rPr>
        <w:t>（不组织）</w:t>
      </w:r>
    </w:p>
    <w:p w14:paraId="213F1E25">
      <w:pPr>
        <w:pStyle w:val="45"/>
        <w:spacing w:line="360" w:lineRule="auto"/>
        <w:rPr>
          <w:rFonts w:ascii="宋体" w:hAnsi="宋体" w:eastAsia="宋体"/>
          <w:b/>
          <w:color w:val="auto"/>
          <w:highlight w:val="none"/>
        </w:rPr>
      </w:pPr>
      <w:bookmarkStart w:id="100" w:name="_Toc179632557"/>
      <w:bookmarkEnd w:id="100"/>
      <w:bookmarkStart w:id="101" w:name="_Toc16778748"/>
      <w:bookmarkEnd w:id="101"/>
      <w:bookmarkStart w:id="102" w:name="_Toc26426"/>
      <w:bookmarkEnd w:id="102"/>
      <w:bookmarkStart w:id="103" w:name="_Toc144974508"/>
      <w:bookmarkEnd w:id="103"/>
      <w:bookmarkStart w:id="104" w:name="_Toc152045540"/>
      <w:bookmarkEnd w:id="104"/>
      <w:bookmarkStart w:id="105" w:name="_Toc29624"/>
      <w:bookmarkEnd w:id="105"/>
      <w:bookmarkStart w:id="106" w:name="_Toc152042316"/>
      <w:r>
        <w:rPr>
          <w:rFonts w:hint="eastAsia" w:ascii="宋体" w:hAnsi="宋体" w:eastAsia="宋体"/>
          <w:b/>
          <w:color w:val="auto"/>
          <w:highlight w:val="none"/>
        </w:rPr>
        <w:t>1.10 投标预备会</w:t>
      </w:r>
      <w:bookmarkEnd w:id="106"/>
      <w:r>
        <w:rPr>
          <w:rFonts w:hint="eastAsia" w:ascii="宋体" w:hAnsi="宋体" w:eastAsia="宋体"/>
          <w:b/>
          <w:color w:val="auto"/>
          <w:highlight w:val="none"/>
        </w:rPr>
        <w:t>（不召开）</w:t>
      </w:r>
    </w:p>
    <w:p w14:paraId="7E7A3581">
      <w:pPr>
        <w:pStyle w:val="45"/>
        <w:spacing w:line="360" w:lineRule="auto"/>
        <w:rPr>
          <w:rFonts w:ascii="宋体" w:hAnsi="宋体" w:eastAsia="宋体"/>
          <w:b/>
          <w:color w:val="auto"/>
          <w:highlight w:val="none"/>
        </w:rPr>
      </w:pPr>
      <w:bookmarkStart w:id="107" w:name="_Toc25095"/>
      <w:bookmarkEnd w:id="107"/>
      <w:bookmarkStart w:id="108" w:name="_Toc8951"/>
      <w:bookmarkEnd w:id="108"/>
      <w:bookmarkStart w:id="109" w:name="_Toc16778749"/>
      <w:r>
        <w:rPr>
          <w:rFonts w:hint="eastAsia" w:ascii="宋体" w:hAnsi="宋体" w:eastAsia="宋体"/>
          <w:b/>
          <w:color w:val="auto"/>
          <w:highlight w:val="none"/>
        </w:rPr>
        <w:t>1.11 分包（允许</w:t>
      </w:r>
      <w:r>
        <w:rPr>
          <w:rFonts w:hint="eastAsia" w:ascii="宋体" w:hAnsi="宋体" w:eastAsia="宋体"/>
          <w:b/>
          <w:color w:val="auto"/>
          <w:highlight w:val="none"/>
          <w:lang w:val="en-US" w:eastAsia="zh-CN"/>
        </w:rPr>
        <w:t>合法分包</w:t>
      </w:r>
      <w:r>
        <w:rPr>
          <w:rFonts w:hint="eastAsia" w:ascii="宋体" w:hAnsi="宋体" w:eastAsia="宋体"/>
          <w:b/>
          <w:color w:val="auto"/>
          <w:highlight w:val="none"/>
        </w:rPr>
        <w:t>）</w:t>
      </w:r>
      <w:bookmarkEnd w:id="109"/>
    </w:p>
    <w:p w14:paraId="7AA6A328">
      <w:pPr>
        <w:pStyle w:val="45"/>
        <w:spacing w:line="360" w:lineRule="auto"/>
        <w:rPr>
          <w:rFonts w:ascii="宋体" w:hAnsi="宋体" w:eastAsia="宋体"/>
          <w:b/>
          <w:color w:val="auto"/>
          <w:highlight w:val="none"/>
        </w:rPr>
      </w:pPr>
      <w:bookmarkStart w:id="110" w:name="_Toc16778750"/>
      <w:bookmarkEnd w:id="110"/>
      <w:bookmarkStart w:id="111" w:name="_Toc8501"/>
      <w:bookmarkEnd w:id="111"/>
      <w:bookmarkStart w:id="112" w:name="_Toc13092"/>
      <w:r>
        <w:rPr>
          <w:rFonts w:hint="eastAsia" w:ascii="宋体" w:hAnsi="宋体" w:eastAsia="宋体"/>
          <w:b/>
          <w:color w:val="auto"/>
          <w:highlight w:val="none"/>
        </w:rPr>
        <w:t>1.12</w:t>
      </w:r>
      <w:r>
        <w:rPr>
          <w:rFonts w:hint="eastAsia" w:ascii="宋体" w:hAnsi="宋体" w:eastAsia="宋体"/>
          <w:b/>
          <w:color w:val="auto"/>
          <w:highlight w:val="none"/>
          <w:lang w:val="en-US" w:eastAsia="zh-CN"/>
        </w:rPr>
        <w:t xml:space="preserve"> 响</w:t>
      </w:r>
      <w:r>
        <w:rPr>
          <w:rFonts w:hint="eastAsia" w:ascii="宋体" w:hAnsi="宋体" w:eastAsia="宋体"/>
          <w:b/>
          <w:color w:val="auto"/>
          <w:highlight w:val="none"/>
          <w:lang w:eastAsia="zh-CN"/>
        </w:rPr>
        <w:t>应和</w:t>
      </w:r>
      <w:r>
        <w:rPr>
          <w:rFonts w:hint="eastAsia" w:ascii="宋体" w:hAnsi="宋体" w:eastAsia="宋体"/>
          <w:b/>
          <w:color w:val="auto"/>
          <w:highlight w:val="none"/>
        </w:rPr>
        <w:t>偏</w:t>
      </w:r>
      <w:bookmarkEnd w:id="112"/>
      <w:r>
        <w:rPr>
          <w:rFonts w:hint="eastAsia" w:ascii="宋体" w:hAnsi="宋体" w:eastAsia="宋体"/>
          <w:b/>
          <w:color w:val="auto"/>
          <w:highlight w:val="none"/>
        </w:rPr>
        <w:t>离</w:t>
      </w:r>
    </w:p>
    <w:p w14:paraId="710195FD">
      <w:pPr>
        <w:spacing w:line="360" w:lineRule="auto"/>
        <w:ind w:firstLine="480" w:firstLineChars="200"/>
        <w:rPr>
          <w:rFonts w:hint="eastAsia" w:ascii="宋体" w:hAnsi="宋体"/>
          <w:color w:val="auto"/>
          <w:sz w:val="24"/>
          <w:szCs w:val="24"/>
          <w:highlight w:val="none"/>
        </w:rPr>
      </w:pPr>
      <w:bookmarkStart w:id="113" w:name="_Toc152042319"/>
      <w:r>
        <w:rPr>
          <w:rFonts w:hint="eastAsia" w:ascii="宋体" w:hAnsi="宋体"/>
          <w:color w:val="auto"/>
          <w:sz w:val="24"/>
          <w:szCs w:val="24"/>
          <w:highlight w:val="none"/>
        </w:rPr>
        <w:t>1.12.1 投标文件偏离招标文件某些要求，视为投标文件存在偏差。偏差包括重大偏差和细微偏差。</w:t>
      </w:r>
    </w:p>
    <w:p w14:paraId="038D12B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1.12.2 投标文件应对招标文件的实质性要求和条件作出满足性或更有利于招标人的响应，否则，视为投标文件存在重大偏差，投标人的投标将被否决。</w:t>
      </w:r>
    </w:p>
    <w:p w14:paraId="36D8948E">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投标文件存在第三章“评标办法”中所列任一否决投标情形的，均属于存在重大偏差。</w:t>
      </w:r>
    </w:p>
    <w:p w14:paraId="3D1CF70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1.12.3 投标文件中的下列偏差为细微偏差：</w:t>
      </w:r>
    </w:p>
    <w:p w14:paraId="372B3B4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在按照第三章“评标办法”的规定对投标价进行算术性错误修正及其他错误修正后，最终投标报价未超过最高投标限价（如有）的情况下，出现第三章“评标办法”规定的算术性错误和投标报价的其他错误；</w:t>
      </w:r>
    </w:p>
    <w:p w14:paraId="6A093F7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）投标文件页码不连续、个别文字有遗漏错误等不影响投标文件实质性内容的偏差。</w:t>
      </w:r>
    </w:p>
    <w:p w14:paraId="25DCEDD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1.12.4 评标委员会对投标文件中的细微偏差按如下规定处理：</w:t>
      </w:r>
    </w:p>
    <w:p w14:paraId="5C3B74B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（1）对于本章第1.12.3项（1）目所述的细微偏差，按照第三章“评标办法”的规定予以修正并要求投标人进行澄清；</w:t>
      </w:r>
    </w:p>
    <w:p w14:paraId="3025E3E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（2）对于本章第 1.12.3 项（2）目所述的细微偏差，采用合理低价法评标，应要求投标人对细微偏差进行澄清，只有投标人的澄清文件被评标委员会接受，投标人才能参加评标价的最终评比；</w:t>
      </w:r>
    </w:p>
    <w:p w14:paraId="7628AFF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（3）对于本章第1.12.3项（3）目所述的细微偏差，可要求投标人对细微偏差进行澄清。</w:t>
      </w:r>
    </w:p>
    <w:p w14:paraId="5D6B183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1.12.5 投标人应根据招标文件的要求提供施工组织设计等内容以对招标文件作出响应。</w:t>
      </w:r>
    </w:p>
    <w:p w14:paraId="766B6B75">
      <w:pPr>
        <w:spacing w:line="360" w:lineRule="auto"/>
        <w:rPr>
          <w:rFonts w:hint="eastAsia"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2、招标文件</w:t>
      </w:r>
    </w:p>
    <w:p w14:paraId="5E618A18">
      <w:pPr>
        <w:spacing w:line="360" w:lineRule="auto"/>
        <w:rPr>
          <w:rFonts w:ascii="宋体" w:hAnsi="宋体"/>
          <w:b/>
          <w:color w:val="auto"/>
          <w:sz w:val="24"/>
          <w:szCs w:val="24"/>
          <w:highlight w:val="none"/>
        </w:rPr>
      </w:pPr>
      <w:r>
        <w:rPr>
          <w:rFonts w:hint="eastAsia" w:ascii="宋体" w:hAnsi="宋体"/>
          <w:b/>
          <w:color w:val="auto"/>
          <w:sz w:val="24"/>
          <w:szCs w:val="24"/>
          <w:highlight w:val="none"/>
        </w:rPr>
        <w:t>2.1 招标文件的组成</w:t>
      </w:r>
      <w:bookmarkEnd w:id="113"/>
    </w:p>
    <w:p w14:paraId="34FEB3A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本招标文件包括：</w:t>
      </w:r>
    </w:p>
    <w:p w14:paraId="1FABA5C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（1）招标公告</w:t>
      </w:r>
    </w:p>
    <w:p w14:paraId="248CEBA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（2）投标人须知；</w:t>
      </w:r>
    </w:p>
    <w:p w14:paraId="0AB0D8B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（3）评标办法；</w:t>
      </w:r>
    </w:p>
    <w:p w14:paraId="2E718EF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（4）合同条款及格式；</w:t>
      </w:r>
    </w:p>
    <w:p w14:paraId="63A8CEA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（5）工程量清单；</w:t>
      </w:r>
    </w:p>
    <w:p w14:paraId="6117239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（6）图纸；</w:t>
      </w:r>
    </w:p>
    <w:p w14:paraId="3EBB851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（7）技术规范；</w:t>
      </w:r>
    </w:p>
    <w:p w14:paraId="14FAD56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（8）工程量清单计量规则；</w:t>
      </w:r>
    </w:p>
    <w:p w14:paraId="5AF7D16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（9）投标文件格式；</w:t>
      </w:r>
    </w:p>
    <w:p w14:paraId="0A7CF2E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（10）投标人须知前附表规定的其他资料。</w:t>
      </w:r>
    </w:p>
    <w:p w14:paraId="30E8C37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根据本章第1.10款、第2.2款和第2.3款对招标文件所作的澄清、修改，构成招标文件的组成部分。</w:t>
      </w:r>
    </w:p>
    <w:p w14:paraId="0B8D104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当招标文件、招标文件的澄清或修改等在同一个内容的表述上不一致时，以最后发出的书面文件为准。</w:t>
      </w:r>
    </w:p>
    <w:p w14:paraId="23B9D6CF">
      <w:pPr>
        <w:pStyle w:val="45"/>
        <w:spacing w:line="360" w:lineRule="auto"/>
        <w:rPr>
          <w:rFonts w:ascii="宋体" w:hAnsi="宋体" w:eastAsia="宋体"/>
          <w:b/>
          <w:color w:val="auto"/>
          <w:highlight w:val="none"/>
        </w:rPr>
      </w:pPr>
      <w:bookmarkStart w:id="114" w:name="_Toc7082"/>
      <w:bookmarkEnd w:id="114"/>
      <w:bookmarkStart w:id="115" w:name="_Toc179632562"/>
      <w:bookmarkEnd w:id="115"/>
      <w:bookmarkStart w:id="116" w:name="_Toc144974512"/>
      <w:bookmarkEnd w:id="116"/>
      <w:bookmarkStart w:id="117" w:name="_Toc152042320"/>
      <w:bookmarkEnd w:id="117"/>
      <w:bookmarkStart w:id="118" w:name="_Toc16778753"/>
      <w:bookmarkEnd w:id="118"/>
      <w:bookmarkStart w:id="119" w:name="_Toc2752"/>
      <w:bookmarkEnd w:id="119"/>
      <w:bookmarkStart w:id="120" w:name="_Toc152045544"/>
      <w:r>
        <w:rPr>
          <w:rFonts w:hint="eastAsia" w:ascii="宋体" w:hAnsi="宋体" w:eastAsia="宋体"/>
          <w:b/>
          <w:color w:val="auto"/>
          <w:highlight w:val="none"/>
        </w:rPr>
        <w:t>2.2 招标文件的澄清</w:t>
      </w:r>
      <w:bookmarkEnd w:id="120"/>
    </w:p>
    <w:p w14:paraId="282B517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74652CA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2.2.2 招标文件的澄清以投标人须知前附表规定的形式发给所有购买招标文件的投标人，但不指明澄清问题的来源。澄清发出的时间距本章第4.2.1项规定的投标截止时间不足15日，且澄清内容可能影响投标文件编制的，将相应延长投标截止时间。</w:t>
      </w:r>
    </w:p>
    <w:p w14:paraId="3A1EFAF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2.2.3 投标人应注意及时浏览网上发出的澄清，因投标人自身原因未及时获知澄清内容而导致的任何后果将由投标人自行承担。</w:t>
      </w:r>
    </w:p>
    <w:p w14:paraId="02B0299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2.2.4 除非招标人认为确有必要答复，否则，招标人有权拒绝回复投标人在本章第2.2.1项规定的时间后提出的任何澄清要求。</w:t>
      </w:r>
    </w:p>
    <w:p w14:paraId="11878FF5">
      <w:pPr>
        <w:pStyle w:val="45"/>
        <w:spacing w:line="360" w:lineRule="auto"/>
        <w:rPr>
          <w:rFonts w:ascii="宋体" w:hAnsi="宋体" w:eastAsia="宋体"/>
          <w:b/>
          <w:color w:val="auto"/>
          <w:highlight w:val="none"/>
        </w:rPr>
      </w:pPr>
      <w:bookmarkStart w:id="121" w:name="_Toc10281"/>
      <w:bookmarkEnd w:id="121"/>
      <w:bookmarkStart w:id="122" w:name="_Toc16778754"/>
      <w:bookmarkEnd w:id="122"/>
      <w:bookmarkStart w:id="123" w:name="_Toc11110"/>
      <w:bookmarkEnd w:id="123"/>
      <w:bookmarkStart w:id="124" w:name="_Toc152042321"/>
      <w:bookmarkEnd w:id="124"/>
      <w:bookmarkStart w:id="125" w:name="_Toc179632563"/>
      <w:bookmarkEnd w:id="125"/>
      <w:bookmarkStart w:id="126" w:name="_Toc152045545"/>
      <w:bookmarkEnd w:id="126"/>
      <w:bookmarkStart w:id="127" w:name="_Toc144974513"/>
      <w:r>
        <w:rPr>
          <w:rFonts w:hint="eastAsia" w:ascii="宋体" w:hAnsi="宋体" w:eastAsia="宋体"/>
          <w:b/>
          <w:color w:val="auto"/>
          <w:highlight w:val="none"/>
        </w:rPr>
        <w:t>2.3 招标文件的修改</w:t>
      </w:r>
      <w:bookmarkEnd w:id="127"/>
    </w:p>
    <w:p w14:paraId="4156A22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2.3.1 招标人以投标人须知前附表规定的形式修改招标文件，并通知所有已购买招标文件的投标人。修改招标文件的时间距本章第4.2.1项规定的投标截止时间不足15日，且修改内容可能影响投标文件编制的，将相应延长投标截止时间。</w:t>
      </w:r>
    </w:p>
    <w:p w14:paraId="26C2CB2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2.3.2 投标人应注意及时浏览网上发出的修改，因投标人自身原因未及时获知修改内容而导致的任何后果将由投标人自行承担。</w:t>
      </w:r>
    </w:p>
    <w:p w14:paraId="7578399E">
      <w:pPr>
        <w:pStyle w:val="45"/>
        <w:spacing w:line="360" w:lineRule="auto"/>
        <w:rPr>
          <w:rFonts w:ascii="宋体" w:hAnsi="宋体" w:eastAsia="宋体"/>
          <w:b/>
          <w:color w:val="auto"/>
          <w:highlight w:val="none"/>
        </w:rPr>
      </w:pPr>
      <w:bookmarkStart w:id="128" w:name="_Toc16778755"/>
      <w:bookmarkEnd w:id="128"/>
      <w:bookmarkStart w:id="129" w:name="_Toc31031"/>
      <w:bookmarkEnd w:id="129"/>
      <w:bookmarkStart w:id="130" w:name="_Toc2148"/>
      <w:r>
        <w:rPr>
          <w:rFonts w:hint="eastAsia" w:ascii="宋体" w:hAnsi="宋体" w:eastAsia="宋体"/>
          <w:b/>
          <w:color w:val="auto"/>
          <w:highlight w:val="none"/>
        </w:rPr>
        <w:t>2.4 招标文件的异议</w:t>
      </w:r>
      <w:bookmarkEnd w:id="130"/>
    </w:p>
    <w:p w14:paraId="7D11049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或其他利害关系人对招标文件有异议的，应在投标截止时间10日前以书面形式提出。招标人将在收到异议之日起3日内作出答复；作出答复前，将暂停招标投标活动。提出异议与作出答复均应通过“电子交易平台”以书面形式完成。</w:t>
      </w:r>
    </w:p>
    <w:p w14:paraId="46EF1769">
      <w:pPr>
        <w:pStyle w:val="44"/>
        <w:spacing w:line="360" w:lineRule="auto"/>
        <w:rPr>
          <w:rFonts w:ascii="宋体" w:hAnsi="宋体" w:eastAsia="宋体"/>
          <w:b/>
          <w:color w:val="auto"/>
          <w:highlight w:val="none"/>
        </w:rPr>
      </w:pPr>
      <w:bookmarkStart w:id="131" w:name="_Toc152042322"/>
      <w:bookmarkEnd w:id="131"/>
      <w:bookmarkStart w:id="132" w:name="_Toc25807"/>
      <w:bookmarkEnd w:id="132"/>
      <w:bookmarkStart w:id="133" w:name="_Toc144974514"/>
      <w:bookmarkEnd w:id="133"/>
      <w:bookmarkStart w:id="134" w:name="_Toc31773"/>
      <w:bookmarkEnd w:id="134"/>
      <w:bookmarkStart w:id="135" w:name="_Toc16778756"/>
      <w:bookmarkEnd w:id="135"/>
      <w:bookmarkStart w:id="136" w:name="_Toc152045546"/>
      <w:bookmarkEnd w:id="136"/>
      <w:bookmarkStart w:id="137" w:name="_Toc179632564"/>
      <w:r>
        <w:rPr>
          <w:rFonts w:hint="eastAsia" w:ascii="宋体" w:hAnsi="宋体" w:eastAsia="宋体"/>
          <w:b/>
          <w:color w:val="auto"/>
          <w:highlight w:val="none"/>
        </w:rPr>
        <w:t>3. 投标文件</w:t>
      </w:r>
      <w:bookmarkEnd w:id="137"/>
    </w:p>
    <w:p w14:paraId="4AC613D5">
      <w:pPr>
        <w:pStyle w:val="45"/>
        <w:spacing w:line="360" w:lineRule="auto"/>
        <w:rPr>
          <w:rFonts w:ascii="宋体" w:hAnsi="宋体" w:eastAsia="宋体"/>
          <w:b/>
          <w:color w:val="auto"/>
          <w:highlight w:val="none"/>
        </w:rPr>
      </w:pPr>
      <w:bookmarkStart w:id="138" w:name="_Toc16778757"/>
      <w:bookmarkEnd w:id="138"/>
      <w:bookmarkStart w:id="139" w:name="_Toc152045547"/>
      <w:bookmarkEnd w:id="139"/>
      <w:bookmarkStart w:id="140" w:name="_Toc144974515"/>
      <w:bookmarkEnd w:id="140"/>
      <w:bookmarkStart w:id="141" w:name="_Toc179632565"/>
      <w:bookmarkEnd w:id="141"/>
      <w:bookmarkStart w:id="142" w:name="_Toc9422"/>
      <w:bookmarkEnd w:id="142"/>
      <w:bookmarkStart w:id="143" w:name="_Toc152042323"/>
      <w:bookmarkEnd w:id="143"/>
      <w:bookmarkStart w:id="144" w:name="_Toc17451"/>
      <w:r>
        <w:rPr>
          <w:rFonts w:hint="eastAsia" w:ascii="宋体" w:hAnsi="宋体" w:eastAsia="宋体"/>
          <w:b/>
          <w:color w:val="auto"/>
          <w:highlight w:val="none"/>
        </w:rPr>
        <w:t>3.1 投标文件的组成</w:t>
      </w:r>
      <w:bookmarkEnd w:id="144"/>
    </w:p>
    <w:p w14:paraId="2FDEB7D4">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3.1.1投标文件应包括下列内容：</w:t>
      </w:r>
    </w:p>
    <w:p w14:paraId="28C3FC1D">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第一个信封（商务及技术文件）：</w:t>
      </w:r>
    </w:p>
    <w:p w14:paraId="7AA0F2C3">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（1）投标函及投标函附录；</w:t>
      </w:r>
    </w:p>
    <w:p w14:paraId="1BBA44D3">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（2）授权委托书或法定代表人身份证明；</w:t>
      </w:r>
    </w:p>
    <w:p w14:paraId="43DA32C7">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（3）投标保证金；</w:t>
      </w:r>
    </w:p>
    <w:p w14:paraId="2CC1496F">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（4）施工组织设计；</w:t>
      </w:r>
    </w:p>
    <w:p w14:paraId="6559B03D">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（5）项目管理机构；</w:t>
      </w:r>
    </w:p>
    <w:p w14:paraId="302D0421">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（6）资格审查资料；</w:t>
      </w:r>
    </w:p>
    <w:p w14:paraId="73377CF6">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（7）投标人须知前附表规定的其他资料。</w:t>
      </w:r>
    </w:p>
    <w:p w14:paraId="06AA50FB">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第二个信封（报价文件）：</w:t>
      </w:r>
    </w:p>
    <w:p w14:paraId="4F21A7BD">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（1）投标函</w:t>
      </w:r>
    </w:p>
    <w:p w14:paraId="591175A7">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）已标价工程量清单；</w:t>
      </w:r>
    </w:p>
    <w:p w14:paraId="57FEFC25">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）合同用款估算表。</w:t>
      </w:r>
    </w:p>
    <w:p w14:paraId="066A4E82">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投标人在评标过程中作出的符合法律法规和招标文件规定的澄清确认，构成投标文件的组成部分。</w:t>
      </w:r>
    </w:p>
    <w:p w14:paraId="008CE1B7">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3.1.2（不适用）</w:t>
      </w:r>
    </w:p>
    <w:p w14:paraId="00151B14">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3.1.3（不适用）</w:t>
      </w:r>
    </w:p>
    <w:p w14:paraId="7695906D">
      <w:pPr>
        <w:pStyle w:val="45"/>
        <w:spacing w:line="360" w:lineRule="auto"/>
        <w:rPr>
          <w:rFonts w:ascii="宋体" w:hAnsi="宋体" w:eastAsia="宋体"/>
          <w:b/>
          <w:color w:val="auto"/>
          <w:highlight w:val="none"/>
        </w:rPr>
      </w:pPr>
      <w:bookmarkStart w:id="145" w:name="_Toc5822"/>
      <w:bookmarkEnd w:id="145"/>
      <w:bookmarkStart w:id="146" w:name="_Toc16778758"/>
      <w:bookmarkEnd w:id="146"/>
      <w:bookmarkStart w:id="147" w:name="_Toc144974516"/>
      <w:bookmarkEnd w:id="147"/>
      <w:bookmarkStart w:id="148" w:name="_Toc8434"/>
      <w:bookmarkEnd w:id="148"/>
      <w:bookmarkStart w:id="149" w:name="_Toc152042324"/>
      <w:bookmarkEnd w:id="149"/>
      <w:bookmarkStart w:id="150" w:name="_Toc179632566"/>
      <w:bookmarkEnd w:id="150"/>
      <w:bookmarkStart w:id="151" w:name="_Toc152045548"/>
      <w:r>
        <w:rPr>
          <w:rFonts w:hint="eastAsia" w:ascii="宋体" w:hAnsi="宋体" w:eastAsia="宋体"/>
          <w:b/>
          <w:color w:val="auto"/>
          <w:highlight w:val="none"/>
        </w:rPr>
        <w:t>3.2 投标报价</w:t>
      </w:r>
      <w:bookmarkEnd w:id="151"/>
    </w:p>
    <w:p w14:paraId="00B8E26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3.2.1 投标报价应包括国家规定的增值税税金，除投标人须知前附表另有规定外，增值税税金按一般计税方法计算。投标人应按第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章“投标文件格式”的要求在投标函中进行报价。</w:t>
      </w:r>
    </w:p>
    <w:p w14:paraId="722FE49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（1）本项目招标采用工程量固化清单，招标人在</w:t>
      </w:r>
      <w:r>
        <w:rPr>
          <w:rFonts w:hint="eastAsia" w:ascii="宋体" w:hAnsi="宋体"/>
          <w:color w:val="auto"/>
          <w:sz w:val="24"/>
          <w:szCs w:val="24"/>
          <w:highlight w:val="none"/>
          <w:lang w:val="en-US" w:eastAsia="zh-CN"/>
        </w:rPr>
        <w:t>发布</w:t>
      </w:r>
      <w:r>
        <w:rPr>
          <w:rFonts w:hint="eastAsia" w:ascii="宋体" w:hAnsi="宋体"/>
          <w:color w:val="auto"/>
          <w:sz w:val="24"/>
          <w:szCs w:val="24"/>
          <w:highlight w:val="none"/>
        </w:rPr>
        <w:t>招标文件的同时向投标人提供工程量固化清单电子文件（光盘或U盘），或将工程量固化清单电子文件上传至投标人须知前附表载明的网站供投标人自行下载。投标人填写工程量清单中各子目的单价及总额价，即可完成投标工程量清单的编制，确定投标报价，上传至电子招标投标系统。投标人未在工程量清单中填入单价或总额价的工程子目，将被认为其已包含在工程量清单其他子目的单价和总额价中，招标人将不予支付。</w:t>
      </w:r>
    </w:p>
    <w:p w14:paraId="07737DC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必须严格遵循工程量固化清单电子文件中的数据、格式及运算定义，并将已填写完毕的投标工程量清单电子文件上传至电子招标投标系统。严禁投标人修改工程量固化清单电子文件中的数据、格式及运算定义。</w:t>
      </w:r>
    </w:p>
    <w:p w14:paraId="4DC9ABC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投标人根据招标人提供的工程量固化清单电子文件填报完成并上传至电子招标投标系统的投标工程量清单中的投标报价和投标函大写金额报价应一致，如果报价金额出现差异，其投标将被否决。</w:t>
      </w:r>
    </w:p>
    <w:p w14:paraId="0082EBE1">
      <w:pPr>
        <w:autoSpaceDE w:val="0"/>
        <w:autoSpaceDN w:val="0"/>
        <w:adjustRightInd w:val="0"/>
        <w:spacing w:line="400" w:lineRule="exact"/>
        <w:ind w:right="-34" w:rightChars="-16" w:firstLine="600" w:firstLineChars="250"/>
        <w:jc w:val="left"/>
        <w:rPr>
          <w:rFonts w:ascii="宋体" w:hAnsi="宋体"/>
          <w:color w:val="auto"/>
          <w:sz w:val="24"/>
          <w:szCs w:val="24"/>
          <w:highlight w:val="none"/>
        </w:rPr>
      </w:pPr>
      <w:r>
        <w:rPr>
          <w:rFonts w:hint="eastAsia" w:ascii="宋体" w:hAnsi="宋体"/>
          <w:color w:val="auto"/>
          <w:sz w:val="24"/>
          <w:szCs w:val="24"/>
          <w:highlight w:val="none"/>
        </w:rPr>
        <w:t>3.2.2 投标人应充分了解本项目的总体情况以及影响投标报价的其</w:t>
      </w:r>
      <w:r>
        <w:rPr>
          <w:rFonts w:hint="eastAsia" w:ascii="宋体" w:hAnsi="宋体" w:eastAsia="宋体" w:cs="Times New Roman"/>
          <w:color w:val="auto"/>
          <w:sz w:val="24"/>
          <w:szCs w:val="24"/>
          <w:highlight w:val="none"/>
        </w:rPr>
        <w:t>他要素。材料价格可以参考驻马店市202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年第</w:t>
      </w:r>
      <w:r>
        <w:rPr>
          <w:rFonts w:hint="eastAsia" w:ascii="宋体" w:hAnsi="宋体" w:cs="Times New Roman"/>
          <w:color w:val="auto"/>
          <w:sz w:val="24"/>
          <w:szCs w:val="24"/>
          <w:highlight w:val="none"/>
          <w:lang w:val="en-US" w:eastAsia="zh-CN"/>
        </w:rPr>
        <w:t>二</w:t>
      </w:r>
      <w:r>
        <w:rPr>
          <w:rFonts w:hint="eastAsia" w:ascii="宋体" w:hAnsi="宋体" w:eastAsia="宋体" w:cs="Times New Roman"/>
          <w:color w:val="auto"/>
          <w:sz w:val="24"/>
          <w:szCs w:val="24"/>
          <w:highlight w:val="none"/>
        </w:rPr>
        <w:t>季度建设工程造价信息，或投标人根据建筑材料市场情况自主确定</w:t>
      </w:r>
      <w:r>
        <w:rPr>
          <w:rFonts w:hint="eastAsia" w:ascii="宋体" w:hAnsi="宋体" w:cs="Times New Roman"/>
          <w:color w:val="auto"/>
          <w:sz w:val="24"/>
          <w:szCs w:val="24"/>
          <w:highlight w:val="none"/>
          <w:lang w:eastAsia="zh-CN"/>
        </w:rPr>
        <w:t>。为保障工程项目实施，投标人应对工程造价应不低于其成本、及是否存在分部分项工程工程量清单单价不平衡报价的情况进行明确承诺，且有法定代表人及本工程相应专业审核的一级注册造价工程师签字盖一级注册造价工程师章。否则视为未响应招标文件</w:t>
      </w:r>
      <w:r>
        <w:rPr>
          <w:rFonts w:hint="eastAsia" w:ascii="宋体" w:hAnsi="宋体" w:eastAsia="宋体" w:cs="Times New Roman"/>
          <w:color w:val="auto"/>
          <w:sz w:val="24"/>
          <w:szCs w:val="24"/>
          <w:highlight w:val="none"/>
        </w:rPr>
        <w:t>。</w:t>
      </w:r>
    </w:p>
    <w:p w14:paraId="41511F8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3.2.3 本项目的报价方式见投标人须知前附表。投标人在投标截止时间前修改投标函中的投标总报价，应同时修改投标文件“已标价工程量清单”中的相应报价。此修改须符合本章第4.3款的有关要求。</w:t>
      </w:r>
    </w:p>
    <w:p w14:paraId="11B8DD2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3.2.4 投标人如果发现工程量清单中的数量与图纸中数量不一致时，应以工程量清单中列出的数量为准。</w:t>
      </w:r>
    </w:p>
    <w:p w14:paraId="01F2AF6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3.2.5 投标人应根据《公路水运工程安全生产监督管理办法》，在投标总价中计入安全生产费用，安全生产费用应符合合同条款第9.2.5项的规定。工程量清单第100章内列有上述安全生产费的支付子目，由投标人按招标文件的规定填写总额价。</w:t>
      </w:r>
    </w:p>
    <w:p w14:paraId="2BD03D6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3.2.6 除投标人须知前附表另有规定外，招标人不接受调价函。若招标人接受调价函，则应在招标文件中给出调价函的格式</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（不适用）</w:t>
      </w:r>
    </w:p>
    <w:p w14:paraId="447C639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3.2.7 在合同实施期间，投标人填写的单价、合价和总额价是否由于物价波动进行价格调整按照合同条款第16.1款的规定处理。如果按照合同条款第16.1.1项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w:t>
      </w:r>
    </w:p>
    <w:p w14:paraId="30E211E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3.2.8 招标人设有最高投标限价的，投标人的投标报价不得超过最高投标限价，最高投标限价在投标人须知前附表中载明。</w:t>
      </w:r>
    </w:p>
    <w:p w14:paraId="0F95A78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3.2.9 投标报价的其他要求见投标人须知前附表。</w:t>
      </w:r>
    </w:p>
    <w:p w14:paraId="5CC1B4B5">
      <w:pPr>
        <w:pStyle w:val="45"/>
        <w:rPr>
          <w:rFonts w:ascii="宋体" w:hAnsi="宋体" w:eastAsia="宋体"/>
          <w:b/>
          <w:color w:val="auto"/>
          <w:highlight w:val="none"/>
        </w:rPr>
      </w:pPr>
      <w:bookmarkStart w:id="152" w:name="_Toc13884"/>
      <w:bookmarkEnd w:id="152"/>
      <w:bookmarkStart w:id="153" w:name="_Toc152045549"/>
      <w:bookmarkEnd w:id="153"/>
      <w:bookmarkStart w:id="154" w:name="_Toc152042325"/>
      <w:bookmarkEnd w:id="154"/>
      <w:bookmarkStart w:id="155" w:name="_Toc16778759"/>
      <w:bookmarkEnd w:id="155"/>
      <w:bookmarkStart w:id="156" w:name="_Toc179632567"/>
      <w:bookmarkEnd w:id="156"/>
      <w:bookmarkStart w:id="157" w:name="_Toc22036"/>
      <w:bookmarkEnd w:id="157"/>
      <w:bookmarkStart w:id="158" w:name="_Toc144974517"/>
      <w:r>
        <w:rPr>
          <w:rFonts w:hint="eastAsia" w:ascii="宋体" w:hAnsi="宋体" w:eastAsia="宋体"/>
          <w:b/>
          <w:color w:val="auto"/>
          <w:highlight w:val="none"/>
        </w:rPr>
        <w:t>3.3 投标有效期</w:t>
      </w:r>
      <w:bookmarkEnd w:id="158"/>
    </w:p>
    <w:p w14:paraId="1C98883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3.3.1 除投标人须知前附表另有规定外，投标有效期为自投标人提交投标文件截止之日起计算</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0日。</w:t>
      </w:r>
    </w:p>
    <w:p w14:paraId="0CC93A1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3.3.2 在投标有效期内，投标人撤销投标文件的，应承担招标文件和法律规定的责任。</w:t>
      </w:r>
    </w:p>
    <w:p w14:paraId="767BB94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3.3.3 出现特殊情况需要延长投标有效期的，招标人以通过电子招标投标系统通知所有投标人延长投标有效期。投标人应予以书面答复，同意延长的，应相应延长其投标保证金的有效期，但不得要求或被允许修改其投标文件；投标人拒绝延长的，其投标失效，但投标人有权收回其投标保证金及以现金或支票形式递交的投标保证金的银行同期活期存款利息。</w:t>
      </w:r>
    </w:p>
    <w:p w14:paraId="14379521">
      <w:pPr>
        <w:pStyle w:val="45"/>
        <w:spacing w:line="360" w:lineRule="auto"/>
        <w:rPr>
          <w:rFonts w:ascii="宋体" w:hAnsi="宋体" w:eastAsia="宋体"/>
          <w:b/>
          <w:color w:val="auto"/>
          <w:highlight w:val="none"/>
        </w:rPr>
      </w:pPr>
      <w:bookmarkStart w:id="159" w:name="_Toc21550"/>
      <w:bookmarkEnd w:id="159"/>
      <w:bookmarkStart w:id="160" w:name="_Toc16778760"/>
      <w:bookmarkEnd w:id="160"/>
      <w:bookmarkStart w:id="161" w:name="_Toc152042326"/>
      <w:bookmarkEnd w:id="161"/>
      <w:bookmarkStart w:id="162" w:name="_Toc6097"/>
      <w:bookmarkEnd w:id="162"/>
      <w:bookmarkStart w:id="163" w:name="_Toc152045550"/>
      <w:bookmarkEnd w:id="163"/>
      <w:bookmarkStart w:id="164" w:name="_Toc144974518"/>
      <w:bookmarkEnd w:id="164"/>
      <w:bookmarkStart w:id="165" w:name="_Toc179632568"/>
      <w:r>
        <w:rPr>
          <w:rFonts w:hint="eastAsia" w:ascii="宋体" w:hAnsi="宋体" w:eastAsia="宋体"/>
          <w:b/>
          <w:color w:val="auto"/>
          <w:highlight w:val="none"/>
        </w:rPr>
        <w:t>3.4 投标保证金</w:t>
      </w:r>
      <w:bookmarkEnd w:id="165"/>
    </w:p>
    <w:p w14:paraId="75E21821">
      <w:pPr>
        <w:spacing w:line="360" w:lineRule="auto"/>
        <w:ind w:firstLine="480" w:firstLineChars="200"/>
        <w:rPr>
          <w:rFonts w:ascii="宋体" w:hAnsi="宋体"/>
          <w:color w:val="auto"/>
          <w:sz w:val="24"/>
          <w:szCs w:val="24"/>
          <w:highlight w:val="none"/>
        </w:rPr>
      </w:pPr>
      <w:bookmarkStart w:id="166" w:name="_Toc179632569"/>
      <w:bookmarkEnd w:id="166"/>
      <w:bookmarkStart w:id="167" w:name="_Toc144974519"/>
      <w:bookmarkEnd w:id="167"/>
      <w:bookmarkStart w:id="168" w:name="_Toc152042327"/>
      <w:bookmarkEnd w:id="168"/>
      <w:bookmarkStart w:id="169" w:name="_Toc152045551"/>
      <w:r>
        <w:rPr>
          <w:rFonts w:hint="eastAsia" w:ascii="宋体" w:hAnsi="宋体"/>
          <w:color w:val="auto"/>
          <w:sz w:val="24"/>
          <w:szCs w:val="24"/>
          <w:highlight w:val="none"/>
        </w:rPr>
        <w:t>3.4.1 投标人在递交投标文件的同时，应按投标人须知前附表规定的金额和第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章“投标文件格式”规定的投标保证金格式递交投标保证金，并作为其投标文件的组成部分。</w:t>
      </w:r>
      <w:bookmarkEnd w:id="169"/>
    </w:p>
    <w:p w14:paraId="3F33316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投标保证金应采用现金、支票</w:t>
      </w:r>
      <w:r>
        <w:rPr>
          <w:rFonts w:hint="eastAsia" w:ascii="宋体" w:hAnsi="宋体"/>
          <w:color w:val="auto"/>
          <w:sz w:val="24"/>
          <w:szCs w:val="24"/>
          <w:highlight w:val="none"/>
          <w:lang w:eastAsia="zh-CN"/>
        </w:rPr>
        <w:t>、银行保函</w:t>
      </w:r>
      <w:r>
        <w:rPr>
          <w:rFonts w:hint="eastAsia" w:ascii="宋体" w:hAnsi="宋体"/>
          <w:color w:val="auto"/>
          <w:sz w:val="24"/>
          <w:szCs w:val="24"/>
          <w:highlight w:val="none"/>
        </w:rPr>
        <w:t>或招标人在投标人须知前附表规定的其他形式。</w:t>
      </w:r>
    </w:p>
    <w:p w14:paraId="2049062D">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（1）若采用现金或支票，投标人应在递交投标文件截止时间之前，将投标保证金由投标人的基本账户转入招标人指定账户，否则视为投标保证金无效。招标人指定的开户银行及账号见投标人须知前附表。</w:t>
      </w:r>
    </w:p>
    <w:p w14:paraId="5BE3694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（2）若采用银行保函，则应由符合投标人须知前附表规定级别的银行开具，并采用招标文件提供的格式。</w:t>
      </w:r>
    </w:p>
    <w:p w14:paraId="7AB8F2C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无论采取何种形式的投标保证金，投标保证金有效期均应与投标有效期一致。招标人如果按本章第3.3.3项的规定延长了投标有效期，则投标保证金的有效期也相应延长。</w:t>
      </w:r>
    </w:p>
    <w:p w14:paraId="753AC6F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3.4.2 投标人不按本章第3.4.1项要求提交投标保证金的，评标委员会将否决其投标。</w:t>
      </w:r>
    </w:p>
    <w:p w14:paraId="32A2536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3.4.3 招标人最迟将在中标通知书发出后5日内向中标候选人以外的其他投标人退还投标保证金，与中标人签订合同后5日内向中标人和其他中标候选人退还投标保证金。投标保证金以现金或支票形式递交的，招标人应同时退还投标保证金的银行同期活期存款利息，且退还至投标人的基本账户。</w:t>
      </w:r>
    </w:p>
    <w:p w14:paraId="6766F27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利息计算原则见投标人须知前附表。</w:t>
      </w:r>
    </w:p>
    <w:p w14:paraId="373084B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3.4.4 有下列情形之一的，投标保证金将不予退还：</w:t>
      </w:r>
    </w:p>
    <w:p w14:paraId="6FCBC5D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（1）投标人在投标有效期内撤销投标文件；</w:t>
      </w:r>
    </w:p>
    <w:p w14:paraId="335AEF9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（2）中标人在收到中标通知书后，无正当理由不与招标人订立合同，在签订合同时向招标人提出附加条件，或不按照招标文件要求提交履约保证金；</w:t>
      </w:r>
    </w:p>
    <w:p w14:paraId="6066AE5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（3）发生投标人须知前附表规定的其他可以不予退还投标保证金的情形。</w:t>
      </w:r>
    </w:p>
    <w:p w14:paraId="67F39287">
      <w:pPr>
        <w:pStyle w:val="45"/>
        <w:spacing w:line="360" w:lineRule="auto"/>
        <w:rPr>
          <w:rFonts w:ascii="宋体" w:hAnsi="宋体" w:eastAsia="宋体"/>
          <w:b/>
          <w:color w:val="auto"/>
          <w:highlight w:val="none"/>
        </w:rPr>
      </w:pPr>
      <w:bookmarkStart w:id="170" w:name="_Toc21969"/>
      <w:bookmarkEnd w:id="170"/>
      <w:bookmarkStart w:id="171" w:name="_Toc16778761"/>
      <w:bookmarkEnd w:id="171"/>
      <w:bookmarkStart w:id="172" w:name="_Toc32474"/>
      <w:r>
        <w:rPr>
          <w:rFonts w:hint="eastAsia" w:ascii="宋体" w:hAnsi="宋体" w:eastAsia="宋体"/>
          <w:b/>
          <w:color w:val="auto"/>
          <w:highlight w:val="none"/>
        </w:rPr>
        <w:t>3.5 资格审查资料</w:t>
      </w:r>
      <w:bookmarkEnd w:id="172"/>
    </w:p>
    <w:p w14:paraId="65CA47C0">
      <w:pPr>
        <w:spacing w:line="360" w:lineRule="auto"/>
        <w:ind w:firstLine="480" w:firstLineChars="200"/>
        <w:rPr>
          <w:rFonts w:ascii="宋体" w:hAnsi="宋体"/>
          <w:color w:val="auto"/>
          <w:sz w:val="24"/>
          <w:szCs w:val="24"/>
          <w:highlight w:val="none"/>
        </w:rPr>
      </w:pPr>
      <w:bookmarkStart w:id="173" w:name="_Toc144974521"/>
      <w:bookmarkEnd w:id="173"/>
      <w:bookmarkStart w:id="174" w:name="_Toc179632571"/>
      <w:bookmarkEnd w:id="174"/>
      <w:bookmarkStart w:id="175" w:name="_Toc152042329"/>
      <w:bookmarkEnd w:id="175"/>
      <w:bookmarkStart w:id="176" w:name="_Toc152045553"/>
      <w:r>
        <w:rPr>
          <w:rFonts w:hint="eastAsia" w:ascii="宋体" w:hAnsi="宋体"/>
          <w:color w:val="auto"/>
          <w:sz w:val="24"/>
          <w:szCs w:val="24"/>
          <w:highlight w:val="none"/>
        </w:rPr>
        <w:t>除投标人须知前附表另有规定外，投标人应按下列规定提供资格审查资料，以证明其满足本章第1.4款规定的资质、财务、业绩、信誉等要求。</w:t>
      </w:r>
      <w:bookmarkEnd w:id="176"/>
    </w:p>
    <w:p w14:paraId="542D7EAC">
      <w:pPr>
        <w:spacing w:line="360" w:lineRule="auto"/>
        <w:ind w:firstLine="480" w:firstLineChars="200"/>
        <w:rPr>
          <w:rFonts w:ascii="宋体" w:hAnsi="宋体"/>
          <w:strike/>
          <w:dstrike w:val="0"/>
          <w:color w:val="auto"/>
          <w:sz w:val="24"/>
          <w:szCs w:val="24"/>
          <w:highlight w:val="none"/>
        </w:rPr>
      </w:pPr>
      <w:r>
        <w:rPr>
          <w:rFonts w:hint="eastAsia" w:ascii="宋体" w:hAnsi="宋体"/>
          <w:color w:val="auto"/>
          <w:sz w:val="24"/>
          <w:szCs w:val="24"/>
          <w:highlight w:val="none"/>
        </w:rPr>
        <w:t>3.5.1 “投标人基本情况表”应附企业法人营业执照副本（按照“三证合一”或“五证合一”登记制度进行登记的，可仅提供营业执照副本，下同）、施工资质证书副本、安全生产许可证副本、基本账户开户许可证或开户证明的扫描件上传至电子招标投标系统</w:t>
      </w:r>
      <w:r>
        <w:rPr>
          <w:rFonts w:hint="eastAsia" w:ascii="宋体" w:hAnsi="宋体"/>
          <w:color w:val="auto"/>
          <w:sz w:val="24"/>
          <w:szCs w:val="24"/>
          <w:highlight w:val="none"/>
          <w:lang w:eastAsia="zh-CN"/>
        </w:rPr>
        <w:t>。</w:t>
      </w:r>
    </w:p>
    <w:p w14:paraId="7BF813C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企业法人营业执照副本、施工资质证书副本、安全生产许可证副本、基本账户开户许可证或开户证明的扫描件，应包括投标人名称、投标人其他相关信息、颁发机构名称、投标人信息变更情况等关键页在内，并逐页加盖投标人单位章。</w:t>
      </w:r>
    </w:p>
    <w:p w14:paraId="2BA2E61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3.5.2 “财务状况表”应附经会计师事务所或审计机构审计的财务会计报表，包括资产负债表、现金流量表、利润表</w:t>
      </w:r>
      <w:r>
        <w:rPr>
          <w:rFonts w:hint="eastAsia" w:ascii="宋体" w:hAnsi="宋体"/>
          <w:color w:val="auto"/>
          <w:sz w:val="24"/>
          <w:szCs w:val="24"/>
          <w:highlight w:val="none"/>
          <w:lang w:val="en-US" w:eastAsia="zh-CN"/>
        </w:rPr>
        <w:t>所有者权益表</w:t>
      </w:r>
      <w:r>
        <w:rPr>
          <w:rFonts w:hint="eastAsia" w:ascii="宋体" w:hAnsi="宋体"/>
          <w:color w:val="auto"/>
          <w:sz w:val="24"/>
          <w:szCs w:val="24"/>
          <w:highlight w:val="none"/>
        </w:rPr>
        <w:t>和财务情况说明书（附注）的复印件，具体年份要求见投标人须知前附表。投标人的成立时间少于投标人须知前附表规定年份的，应提供成立以来的财务状况表。</w:t>
      </w:r>
    </w:p>
    <w:p w14:paraId="2883D20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3.5.3 “近年完成的类似项目”应附相应的合同协议书</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含封面）</w:t>
      </w:r>
      <w:r>
        <w:rPr>
          <w:rFonts w:hint="eastAsia" w:ascii="宋体" w:hAnsi="宋体"/>
          <w:color w:val="auto"/>
          <w:sz w:val="24"/>
          <w:szCs w:val="24"/>
          <w:highlight w:val="none"/>
        </w:rPr>
        <w:t>、中标通知书材料，具体时间要求见投标人须知前附表。</w:t>
      </w:r>
    </w:p>
    <w:p w14:paraId="3755877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3.5.4 “投标人的信誉情况表”应附投标人在国家企业信用信息公示系统中未被列入严重违法失信企业名单、在“信用中国”网站中未被列入失信被执行人名单的网页截图扫描件上传至电子招标投标系统。</w:t>
      </w:r>
    </w:p>
    <w:p w14:paraId="7EA3C3C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3.5.5 “拟委任的项目经理和项目总工资历表”应附项目经理和项目总工的身份证、职称资格证书以及资格审查条件所要求的其他相关证书（如建造师注册证书、安全生产考核合格证书等）的扫描件上传至电子招标投标系统，投标人所属社保机构出具的拟委任的项目经理和项目总工的社保缴费证明或其他能够证明拟委任的项目经理和项目总工参加社保的有效证明材料扫描件上传至电子招标投标系统</w:t>
      </w:r>
      <w:r>
        <w:rPr>
          <w:rFonts w:hint="eastAsia" w:ascii="宋体" w:hAnsi="宋体"/>
          <w:color w:val="auto"/>
          <w:sz w:val="24"/>
          <w:szCs w:val="24"/>
          <w:highlight w:val="none"/>
          <w:lang w:val="en-US" w:eastAsia="zh-CN"/>
        </w:rPr>
        <w:t>（提供2026年以来近六个月投标人缴纳的社保证明）</w:t>
      </w:r>
      <w:r>
        <w:rPr>
          <w:rFonts w:hint="eastAsia" w:ascii="宋体" w:hAnsi="宋体"/>
          <w:color w:val="auto"/>
          <w:sz w:val="24"/>
          <w:szCs w:val="24"/>
          <w:highlight w:val="none"/>
        </w:rPr>
        <w:t>。</w:t>
      </w:r>
    </w:p>
    <w:p w14:paraId="5878FF4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如项目经理或项目总工目前仍在其他项目上任职，则投标人应提供由该项目发包人出具的、承诺上述人员能够从该项目撤离的书面证明材料原件的扫描件上传至电子招标投标系统。</w:t>
      </w:r>
    </w:p>
    <w:p w14:paraId="62A2CF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3.5.6 “拟委任的其他管理和技术人员汇总表”应填报满足</w:t>
      </w:r>
      <w:r>
        <w:rPr>
          <w:rFonts w:hint="eastAsia" w:ascii="宋体" w:hAnsi="宋体"/>
          <w:color w:val="auto"/>
          <w:sz w:val="24"/>
          <w:szCs w:val="24"/>
          <w:highlight w:val="none"/>
          <w:lang w:val="en-US" w:eastAsia="zh-CN"/>
        </w:rPr>
        <w:t>本项目需求</w:t>
      </w:r>
      <w:r>
        <w:rPr>
          <w:rFonts w:hint="eastAsia" w:ascii="宋体" w:hAnsi="宋体"/>
          <w:color w:val="auto"/>
          <w:sz w:val="24"/>
          <w:szCs w:val="24"/>
          <w:highlight w:val="none"/>
        </w:rPr>
        <w:t>的其他人员的相关信息。“拟委任的其他管理和技术人员资历表”中相关人员应附身份证、职称</w:t>
      </w:r>
      <w:r>
        <w:rPr>
          <w:rFonts w:hint="eastAsia" w:ascii="宋体" w:hAnsi="宋体"/>
          <w:color w:val="auto"/>
          <w:sz w:val="24"/>
          <w:szCs w:val="24"/>
          <w:highlight w:val="none"/>
          <w:lang w:val="en-US" w:eastAsia="zh-CN"/>
        </w:rPr>
        <w:t>证（如有）、</w:t>
      </w:r>
      <w:r>
        <w:rPr>
          <w:rFonts w:hint="eastAsia" w:ascii="宋体" w:hAnsi="宋体"/>
          <w:color w:val="auto"/>
          <w:sz w:val="24"/>
          <w:szCs w:val="24"/>
          <w:highlight w:val="none"/>
        </w:rPr>
        <w:t>资格证</w:t>
      </w:r>
      <w:r>
        <w:rPr>
          <w:rFonts w:hint="eastAsia" w:ascii="宋体" w:hAnsi="宋体"/>
          <w:color w:val="auto"/>
          <w:sz w:val="24"/>
          <w:szCs w:val="24"/>
          <w:highlight w:val="none"/>
          <w:lang w:val="en-US" w:eastAsia="zh-CN"/>
        </w:rPr>
        <w:t>或岗位证书</w:t>
      </w:r>
      <w:r>
        <w:rPr>
          <w:rFonts w:hint="eastAsia" w:ascii="宋体" w:hAnsi="宋体"/>
          <w:color w:val="auto"/>
          <w:sz w:val="24"/>
          <w:szCs w:val="24"/>
          <w:highlight w:val="none"/>
        </w:rPr>
        <w:t>的</w:t>
      </w:r>
      <w:r>
        <w:rPr>
          <w:rFonts w:hint="eastAsia" w:ascii="宋体" w:hAnsi="宋体"/>
          <w:color w:val="auto"/>
          <w:sz w:val="24"/>
          <w:szCs w:val="24"/>
          <w:highlight w:val="none"/>
          <w:lang w:eastAsia="zh-CN"/>
        </w:rPr>
        <w:t>扫描</w:t>
      </w:r>
      <w:r>
        <w:rPr>
          <w:rFonts w:hint="eastAsia" w:ascii="宋体" w:hAnsi="宋体"/>
          <w:color w:val="auto"/>
          <w:sz w:val="24"/>
          <w:szCs w:val="24"/>
          <w:highlight w:val="none"/>
        </w:rPr>
        <w:t>件</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格式自拟</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投标人所属社保机构出具社保缴费证明或参加社保的有效证明材料</w:t>
      </w:r>
      <w:r>
        <w:rPr>
          <w:rFonts w:hint="eastAsia" w:ascii="宋体" w:hAnsi="宋体"/>
          <w:color w:val="auto"/>
          <w:sz w:val="24"/>
          <w:szCs w:val="24"/>
          <w:highlight w:val="none"/>
          <w:lang w:val="en-US" w:eastAsia="zh-CN"/>
        </w:rPr>
        <w:t>（提供2026年以来近六个月投标人缴纳社保证明）</w:t>
      </w:r>
      <w:r>
        <w:rPr>
          <w:rFonts w:hint="eastAsia" w:ascii="宋体" w:hAnsi="宋体"/>
          <w:color w:val="auto"/>
          <w:sz w:val="24"/>
          <w:szCs w:val="24"/>
          <w:highlight w:val="none"/>
        </w:rPr>
        <w:t>。</w:t>
      </w:r>
    </w:p>
    <w:p w14:paraId="1459CE6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3.5.7 “拟投入本标段的主要施工机械表”</w:t>
      </w:r>
      <w:r>
        <w:rPr>
          <w:rFonts w:hint="eastAsia" w:ascii="宋体" w:hAnsi="宋体"/>
          <w:color w:val="auto"/>
          <w:sz w:val="24"/>
          <w:szCs w:val="24"/>
          <w:highlight w:val="none"/>
          <w:lang w:eastAsia="zh-CN"/>
        </w:rPr>
        <w:t>拟配备本标段的主要材料试验、测量、质检仪器设备表</w:t>
      </w:r>
      <w:r>
        <w:rPr>
          <w:rFonts w:hint="eastAsia" w:ascii="宋体" w:hAnsi="宋体"/>
          <w:color w:val="auto"/>
          <w:sz w:val="24"/>
          <w:szCs w:val="24"/>
          <w:highlight w:val="none"/>
        </w:rPr>
        <w:t>应填报满足</w:t>
      </w:r>
      <w:r>
        <w:rPr>
          <w:rFonts w:hint="eastAsia" w:ascii="宋体" w:hAnsi="宋体"/>
          <w:color w:val="auto"/>
          <w:sz w:val="24"/>
          <w:szCs w:val="24"/>
          <w:highlight w:val="none"/>
          <w:lang w:val="en-US" w:eastAsia="zh-CN"/>
        </w:rPr>
        <w:t>本项目需求</w:t>
      </w:r>
      <w:r>
        <w:rPr>
          <w:rFonts w:hint="eastAsia" w:ascii="宋体" w:hAnsi="宋体"/>
          <w:color w:val="auto"/>
          <w:sz w:val="24"/>
          <w:szCs w:val="24"/>
          <w:highlight w:val="none"/>
        </w:rPr>
        <w:t>的机械设备</w:t>
      </w:r>
      <w:r>
        <w:rPr>
          <w:rFonts w:hint="eastAsia" w:ascii="宋体" w:hAnsi="宋体"/>
          <w:color w:val="auto"/>
          <w:sz w:val="24"/>
          <w:szCs w:val="24"/>
          <w:highlight w:val="none"/>
          <w:lang w:eastAsia="zh-CN"/>
        </w:rPr>
        <w:t>和试验检测设备（</w:t>
      </w:r>
      <w:r>
        <w:rPr>
          <w:rFonts w:hint="eastAsia" w:ascii="宋体" w:hAnsi="宋体"/>
          <w:color w:val="auto"/>
          <w:sz w:val="24"/>
          <w:szCs w:val="24"/>
          <w:highlight w:val="none"/>
          <w:lang w:val="en-US" w:eastAsia="zh-CN"/>
        </w:rPr>
        <w:t>格式自拟</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p>
    <w:p w14:paraId="4D34E432">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3.5.</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 xml:space="preserve"> 投标人须知前附表规定接受联合体投标的，本章第 3.5.1 项至第 3.5.7 项规定的表格和资料应包括联合体各方相关情况。（不适用）</w:t>
      </w:r>
    </w:p>
    <w:p w14:paraId="6AA436E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3.5.</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 xml:space="preserve"> 除合同条款约定的特殊情形外，投标人在投标文件中填报的项目经理和项目总工不允许更换</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投标人需提供承诺</w:t>
      </w:r>
      <w:r>
        <w:rPr>
          <w:rFonts w:hint="eastAsia" w:ascii="宋体" w:hAnsi="宋体"/>
          <w:color w:val="auto"/>
          <w:sz w:val="24"/>
          <w:szCs w:val="24"/>
          <w:highlight w:val="none"/>
        </w:rPr>
        <w:t>。</w:t>
      </w:r>
    </w:p>
    <w:p w14:paraId="723B7792">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3.5.10</w:t>
      </w:r>
      <w:r>
        <w:rPr>
          <w:rFonts w:hint="eastAsia" w:ascii="宋体" w:hAnsi="宋体"/>
          <w:color w:val="auto"/>
          <w:sz w:val="24"/>
          <w:szCs w:val="24"/>
          <w:highlight w:val="none"/>
        </w:rPr>
        <w:t>招标人有权核查投标人在投标文件中提供的资料，若在评标期间发现投标人提供了虚假资料，其投标将被否决；若在签订合同前发现作为中标候选人的投标人提供了虚假资料，招标人有权取消其中标资格；若在合同实施期间发现投标人提供了虚假资料，招标人有权从工程支付款或履约保证金中扣除不超过10％签约合同价的金额作为违约金。</w:t>
      </w:r>
    </w:p>
    <w:p w14:paraId="6C43AE68">
      <w:pPr>
        <w:pStyle w:val="45"/>
        <w:spacing w:line="360" w:lineRule="auto"/>
        <w:rPr>
          <w:rFonts w:ascii="宋体" w:hAnsi="宋体" w:eastAsia="宋体"/>
          <w:b/>
          <w:color w:val="auto"/>
          <w:highlight w:val="none"/>
        </w:rPr>
      </w:pPr>
      <w:bookmarkStart w:id="177" w:name="_Toc16778762"/>
      <w:bookmarkEnd w:id="177"/>
      <w:bookmarkStart w:id="178" w:name="_Toc22396"/>
      <w:bookmarkEnd w:id="178"/>
      <w:bookmarkStart w:id="179" w:name="_Toc19164"/>
      <w:r>
        <w:rPr>
          <w:rFonts w:hint="eastAsia" w:ascii="宋体" w:hAnsi="宋体" w:eastAsia="宋体"/>
          <w:b/>
          <w:color w:val="auto"/>
          <w:highlight w:val="none"/>
        </w:rPr>
        <w:t>3.6 备选投标方案</w:t>
      </w:r>
      <w:bookmarkEnd w:id="179"/>
      <w:r>
        <w:rPr>
          <w:rFonts w:hint="eastAsia" w:ascii="宋体" w:hAnsi="宋体" w:eastAsia="宋体"/>
          <w:b/>
          <w:color w:val="auto"/>
          <w:highlight w:val="none"/>
        </w:rPr>
        <w:t>（不允许）</w:t>
      </w:r>
    </w:p>
    <w:p w14:paraId="359D4C7B">
      <w:pPr>
        <w:pStyle w:val="45"/>
        <w:spacing w:line="360" w:lineRule="auto"/>
        <w:rPr>
          <w:rFonts w:ascii="宋体" w:hAnsi="宋体" w:eastAsia="宋体"/>
          <w:b/>
          <w:color w:val="auto"/>
          <w:highlight w:val="none"/>
        </w:rPr>
      </w:pPr>
      <w:bookmarkStart w:id="180" w:name="_Toc29828"/>
      <w:bookmarkEnd w:id="180"/>
      <w:bookmarkStart w:id="181" w:name="_Toc144974522"/>
      <w:bookmarkEnd w:id="181"/>
      <w:bookmarkStart w:id="182" w:name="_Toc152045554"/>
      <w:bookmarkEnd w:id="182"/>
      <w:bookmarkStart w:id="183" w:name="_Toc179632572"/>
      <w:bookmarkEnd w:id="183"/>
      <w:bookmarkStart w:id="184" w:name="_Toc152042330"/>
      <w:bookmarkEnd w:id="184"/>
      <w:bookmarkStart w:id="185" w:name="_Toc20758"/>
      <w:bookmarkEnd w:id="185"/>
      <w:bookmarkStart w:id="186" w:name="_Toc16778763"/>
      <w:r>
        <w:rPr>
          <w:rFonts w:hint="eastAsia" w:ascii="宋体" w:hAnsi="宋体" w:eastAsia="宋体"/>
          <w:b/>
          <w:color w:val="auto"/>
          <w:highlight w:val="none"/>
        </w:rPr>
        <w:t>3.7 投标文件的编制</w:t>
      </w:r>
      <w:bookmarkEnd w:id="186"/>
    </w:p>
    <w:p w14:paraId="7372BC4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3.7.1 投标文件应按第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章“投标文件格式”进行编写，如有必要，可以增加附页，作为投标文件的组成部分。其中，投标函附录在满足招标文件实质性要求的基础上，可以提出比招标文件要求更有利于招标人的承诺。</w:t>
      </w:r>
    </w:p>
    <w:p w14:paraId="6BE8DCF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3.7.2 投标文件应对招标文件有关工期、投标有效期、质量要求、安全目标、技术标准和要求、招标范围等实质性内容作出响应。</w:t>
      </w:r>
    </w:p>
    <w:p w14:paraId="7571B4F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3.7.3 </w:t>
      </w:r>
      <w:bookmarkStart w:id="187" w:name="_Toc152042331"/>
      <w:bookmarkEnd w:id="187"/>
      <w:bookmarkStart w:id="188" w:name="_Toc179632573"/>
      <w:bookmarkEnd w:id="188"/>
      <w:bookmarkStart w:id="189" w:name="_Toc16778764"/>
      <w:bookmarkEnd w:id="189"/>
      <w:bookmarkStart w:id="190" w:name="_Toc144974523"/>
      <w:bookmarkEnd w:id="190"/>
      <w:bookmarkStart w:id="191" w:name="_Toc152045555"/>
      <w:r>
        <w:rPr>
          <w:rFonts w:hint="eastAsia" w:ascii="宋体" w:hAnsi="宋体"/>
          <w:color w:val="auto"/>
          <w:sz w:val="24"/>
          <w:szCs w:val="24"/>
          <w:highlight w:val="none"/>
        </w:rPr>
        <w:t>投标文件</w:t>
      </w:r>
      <w:r>
        <w:rPr>
          <w:rFonts w:hint="eastAsia" w:ascii="宋体" w:hAnsi="宋体"/>
          <w:color w:val="auto"/>
          <w:sz w:val="24"/>
          <w:szCs w:val="24"/>
          <w:highlight w:val="none"/>
          <w:lang w:eastAsia="zh-CN"/>
        </w:rPr>
        <w:t>的</w:t>
      </w:r>
      <w:r>
        <w:rPr>
          <w:rFonts w:hint="eastAsia" w:ascii="宋体" w:hAnsi="宋体"/>
          <w:color w:val="auto"/>
          <w:sz w:val="24"/>
          <w:szCs w:val="24"/>
          <w:highlight w:val="none"/>
        </w:rPr>
        <w:t>制作</w:t>
      </w:r>
      <w:r>
        <w:rPr>
          <w:rFonts w:hint="eastAsia" w:ascii="宋体" w:hAnsi="宋体"/>
          <w:color w:val="auto"/>
          <w:sz w:val="24"/>
          <w:szCs w:val="24"/>
          <w:highlight w:val="none"/>
          <w:lang w:eastAsia="zh-CN"/>
        </w:rPr>
        <w:t>应满足以下规定</w:t>
      </w:r>
      <w:r>
        <w:rPr>
          <w:rFonts w:hint="eastAsia" w:ascii="宋体" w:hAnsi="宋体"/>
          <w:color w:val="auto"/>
          <w:sz w:val="24"/>
          <w:szCs w:val="24"/>
          <w:highlight w:val="none"/>
        </w:rPr>
        <w:t>：</w:t>
      </w:r>
      <w:bookmarkEnd w:id="191"/>
    </w:p>
    <w:p w14:paraId="0881A6A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（1）投标文件由投标人使用“驻马店市公共资源交易平台”自带的“投标文件制作工具”制作生成。</w:t>
      </w:r>
    </w:p>
    <w:p w14:paraId="59EB70D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（2）投标人在编制投标文件时应建立分级目录，并按照标签提示导入相关内容。</w:t>
      </w:r>
    </w:p>
    <w:p w14:paraId="5977E01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（3）投标文件中证明资料的“复印件”均为“原件的扫描件”。</w:t>
      </w:r>
    </w:p>
    <w:p w14:paraId="5EF776F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（4）投标文件中的已标价报价清单数据文件应与招标人提供的报价清单数据文件格式一致。 </w:t>
      </w:r>
    </w:p>
    <w:p w14:paraId="4FEEA7B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章“投标文件格式”中要求盖单位章和（或）签字的地方，投标人均应使用 CA 数字证书加盖投标人的单位电子印章和（或）法定代表人的个人电子印章或电子签名章。</w:t>
      </w:r>
    </w:p>
    <w:p w14:paraId="372A0C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（6）投标文件制作完成后，投标人应使用 CA 数字证书对投标文件进行文件加密，形成加密的投标文件。</w:t>
      </w:r>
    </w:p>
    <w:p w14:paraId="4876C3D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（7）投标文件制作的具体方法详见“投标文件制作工具”中的帮助文档。</w:t>
      </w:r>
    </w:p>
    <w:p w14:paraId="0DC585F2">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8）自拟格式部分需致招标人及招标代理机构，由委托代理人签字并留联系方式。</w:t>
      </w:r>
    </w:p>
    <w:p w14:paraId="45320A6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3.7.4投标文件副本份数及其他要求：见投标人须知前附表。</w:t>
      </w:r>
    </w:p>
    <w:p w14:paraId="3C045CE4">
      <w:pPr>
        <w:pStyle w:val="44"/>
        <w:spacing w:line="360" w:lineRule="auto"/>
        <w:rPr>
          <w:rFonts w:ascii="宋体" w:hAnsi="宋体" w:eastAsia="宋体"/>
          <w:b/>
          <w:color w:val="auto"/>
          <w:highlight w:val="none"/>
        </w:rPr>
      </w:pPr>
      <w:bookmarkStart w:id="192" w:name="_Toc29042"/>
      <w:bookmarkEnd w:id="192"/>
      <w:bookmarkStart w:id="193" w:name="_Toc23390"/>
      <w:r>
        <w:rPr>
          <w:rFonts w:hint="eastAsia" w:ascii="宋体" w:hAnsi="宋体" w:eastAsia="宋体"/>
          <w:b/>
          <w:color w:val="auto"/>
          <w:highlight w:val="none"/>
        </w:rPr>
        <w:t>4. 投标</w:t>
      </w:r>
      <w:bookmarkEnd w:id="193"/>
    </w:p>
    <w:p w14:paraId="58245870">
      <w:pPr>
        <w:pStyle w:val="45"/>
        <w:spacing w:line="360" w:lineRule="auto"/>
        <w:rPr>
          <w:rFonts w:hint="eastAsia" w:ascii="宋体" w:hAnsi="宋体" w:eastAsia="宋体"/>
          <w:b/>
          <w:color w:val="auto"/>
          <w:highlight w:val="none"/>
          <w:lang w:eastAsia="zh-CN"/>
        </w:rPr>
      </w:pPr>
      <w:bookmarkStart w:id="194" w:name="_Toc16585"/>
      <w:bookmarkEnd w:id="194"/>
      <w:bookmarkStart w:id="195" w:name="_Toc16778765"/>
      <w:bookmarkEnd w:id="195"/>
      <w:bookmarkStart w:id="196" w:name="_Toc144974524"/>
      <w:bookmarkEnd w:id="196"/>
      <w:bookmarkStart w:id="197" w:name="_Toc179632574"/>
      <w:bookmarkEnd w:id="197"/>
      <w:bookmarkStart w:id="198" w:name="_Toc25042"/>
      <w:bookmarkEnd w:id="198"/>
      <w:bookmarkStart w:id="199" w:name="_Toc152042332"/>
      <w:bookmarkEnd w:id="199"/>
      <w:bookmarkStart w:id="200" w:name="_Toc152045556"/>
      <w:r>
        <w:rPr>
          <w:rFonts w:hint="eastAsia" w:ascii="宋体" w:hAnsi="宋体" w:eastAsia="宋体"/>
          <w:b/>
          <w:color w:val="auto"/>
          <w:highlight w:val="none"/>
        </w:rPr>
        <w:t>4.1 投标文件的</w:t>
      </w:r>
      <w:bookmarkEnd w:id="200"/>
      <w:r>
        <w:rPr>
          <w:rFonts w:hint="eastAsia" w:ascii="宋体" w:hAnsi="宋体" w:eastAsia="宋体"/>
          <w:b/>
          <w:color w:val="auto"/>
          <w:highlight w:val="none"/>
          <w:lang w:eastAsia="zh-CN"/>
        </w:rPr>
        <w:t>加密</w:t>
      </w:r>
    </w:p>
    <w:p w14:paraId="67011F5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4.1.1投标文件应按照本章第 3.7.3 项要求制作并加密，未按要求加密的投标文件，招标人（“驻马店市公共资源交易平台”）将拒绝接收并提示。 </w:t>
      </w:r>
    </w:p>
    <w:p w14:paraId="2696B463">
      <w:pPr>
        <w:pStyle w:val="45"/>
        <w:spacing w:line="360" w:lineRule="auto"/>
        <w:rPr>
          <w:rFonts w:ascii="宋体" w:hAnsi="宋体" w:eastAsia="宋体"/>
          <w:b/>
          <w:color w:val="auto"/>
          <w:highlight w:val="none"/>
        </w:rPr>
      </w:pPr>
      <w:bookmarkStart w:id="201" w:name="_Toc16778766"/>
      <w:bookmarkEnd w:id="201"/>
      <w:bookmarkStart w:id="202" w:name="_Toc179632575"/>
      <w:bookmarkEnd w:id="202"/>
      <w:bookmarkStart w:id="203" w:name="_Toc152045557"/>
      <w:bookmarkEnd w:id="203"/>
      <w:bookmarkStart w:id="204" w:name="_Toc144974525"/>
      <w:bookmarkEnd w:id="204"/>
      <w:bookmarkStart w:id="205" w:name="_Toc152042333"/>
      <w:bookmarkEnd w:id="205"/>
      <w:bookmarkStart w:id="206" w:name="_Toc12881"/>
      <w:bookmarkEnd w:id="206"/>
      <w:bookmarkStart w:id="207" w:name="_Toc29063"/>
      <w:r>
        <w:rPr>
          <w:rFonts w:hint="eastAsia" w:ascii="宋体" w:hAnsi="宋体" w:eastAsia="宋体"/>
          <w:b/>
          <w:color w:val="auto"/>
          <w:highlight w:val="none"/>
        </w:rPr>
        <w:t>4.2 投标文件的递交</w:t>
      </w:r>
      <w:bookmarkEnd w:id="207"/>
    </w:p>
    <w:p w14:paraId="371E64B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4.2.1 投标人应在第一章“招标公告”或“投标邀请书”规定的投标截止时间前，通过互联网使用 CA 数字证书登录“驻马店市公共资源交易平台”，将加密的投标文件上传，并保存上传成功后系统自动生成的电子签收凭证，递交时间即为电子签收凭证时间。投标人应充分考虑上传文件时的不可预见因素，未在投标截止时间前完成上传的，视为逾期送达，招标人（“驻马店市公共资源交易平台”）将拒绝接收。</w:t>
      </w:r>
    </w:p>
    <w:p w14:paraId="65847C9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4.2.2 根据本章第 4.1 款的规定，投标人递交的投标文件，只要出现应当拒收的情形，其投标文件予以拒收。</w:t>
      </w:r>
    </w:p>
    <w:p w14:paraId="32E8A4B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4.2.3除投标人须知前附表另有规定外，投标人所递交的投标文件不予退还。</w:t>
      </w:r>
    </w:p>
    <w:p w14:paraId="50DD968D">
      <w:pPr>
        <w:pStyle w:val="45"/>
        <w:spacing w:line="360" w:lineRule="auto"/>
        <w:rPr>
          <w:rFonts w:ascii="宋体" w:hAnsi="宋体" w:eastAsia="宋体"/>
          <w:b/>
          <w:color w:val="auto"/>
          <w:highlight w:val="none"/>
        </w:rPr>
      </w:pPr>
      <w:bookmarkStart w:id="208" w:name="_Toc152045558"/>
      <w:bookmarkEnd w:id="208"/>
      <w:bookmarkStart w:id="209" w:name="_Toc24664"/>
      <w:bookmarkEnd w:id="209"/>
      <w:bookmarkStart w:id="210" w:name="_Toc16778767"/>
      <w:bookmarkEnd w:id="210"/>
      <w:bookmarkStart w:id="211" w:name="_Toc144974526"/>
      <w:bookmarkEnd w:id="211"/>
      <w:bookmarkStart w:id="212" w:name="_Toc26962"/>
      <w:bookmarkEnd w:id="212"/>
      <w:bookmarkStart w:id="213" w:name="_Toc152042334"/>
      <w:bookmarkEnd w:id="213"/>
      <w:bookmarkStart w:id="214" w:name="_Toc179632576"/>
      <w:r>
        <w:rPr>
          <w:rFonts w:hint="eastAsia" w:ascii="宋体" w:hAnsi="宋体" w:eastAsia="宋体"/>
          <w:b/>
          <w:color w:val="auto"/>
          <w:highlight w:val="none"/>
        </w:rPr>
        <w:t>4.3 投标文件的修改与撤回</w:t>
      </w:r>
      <w:bookmarkEnd w:id="214"/>
    </w:p>
    <w:p w14:paraId="0A0195B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4.3.1 在本章第 4.2.1 项规定的投标截止时间前，投标人可以修改或撤回已递交的投标文件。投标人对加密的投标文件进行撤回的，应在“驻马店市公共资源交易平台”直接进行撤回操作；投标人对加密的投标文件进行修改的，应在投标截止时间前完成上传。</w:t>
      </w:r>
    </w:p>
    <w:p w14:paraId="7692B43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4.3.2 投标人修改投标文件的，应使用“投标文件制作工具”制作成完整的投标文件，并按照本章第 3 条、第 4 条规定进行编制、加密和递交。对采用网上递交的加密的投标文件，以投标截止时间前最后完成上传的文件为准。</w:t>
      </w:r>
    </w:p>
    <w:p w14:paraId="196DECD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4.3.3 投标人撤回投标文件的，招标人自收到投标人书面撤回通知之日起 5 日内退还已收取的投标保证金。</w:t>
      </w:r>
      <w:bookmarkStart w:id="215" w:name="5、磋商开启"/>
      <w:bookmarkEnd w:id="215"/>
    </w:p>
    <w:p w14:paraId="681C7B07">
      <w:pPr>
        <w:pStyle w:val="44"/>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eastAsia="宋体"/>
          <w:b/>
          <w:color w:val="auto"/>
          <w:highlight w:val="none"/>
        </w:rPr>
      </w:pPr>
      <w:bookmarkStart w:id="216" w:name="_Toc152045559"/>
      <w:bookmarkEnd w:id="216"/>
      <w:bookmarkStart w:id="217" w:name="_Toc144974527"/>
      <w:bookmarkEnd w:id="217"/>
      <w:bookmarkStart w:id="218" w:name="_Toc3762"/>
      <w:bookmarkEnd w:id="218"/>
      <w:bookmarkStart w:id="219" w:name="_Toc179632577"/>
      <w:bookmarkEnd w:id="219"/>
      <w:bookmarkStart w:id="220" w:name="_Toc152042335"/>
      <w:bookmarkEnd w:id="220"/>
      <w:bookmarkStart w:id="221" w:name="_Toc16778768"/>
      <w:bookmarkEnd w:id="221"/>
      <w:bookmarkStart w:id="222" w:name="_Toc14534"/>
      <w:r>
        <w:rPr>
          <w:rFonts w:hint="eastAsia" w:ascii="宋体" w:hAnsi="宋体" w:eastAsia="宋体"/>
          <w:b/>
          <w:color w:val="auto"/>
          <w:highlight w:val="none"/>
        </w:rPr>
        <w:t>5. 开标</w:t>
      </w:r>
      <w:bookmarkEnd w:id="222"/>
    </w:p>
    <w:p w14:paraId="1211ACB9">
      <w:pPr>
        <w:pStyle w:val="45"/>
        <w:spacing w:line="360" w:lineRule="auto"/>
        <w:rPr>
          <w:rFonts w:hint="eastAsia" w:ascii="宋体" w:hAnsi="宋体" w:eastAsia="宋体"/>
          <w:b/>
          <w:color w:val="auto"/>
          <w:highlight w:val="none"/>
        </w:rPr>
      </w:pPr>
      <w:bookmarkStart w:id="223" w:name="_Toc18244"/>
      <w:bookmarkEnd w:id="223"/>
      <w:bookmarkStart w:id="224" w:name="_Toc16778770"/>
      <w:bookmarkEnd w:id="224"/>
      <w:bookmarkStart w:id="225" w:name="_Toc179632579"/>
      <w:bookmarkEnd w:id="225"/>
      <w:bookmarkStart w:id="226" w:name="_Toc152042336"/>
      <w:bookmarkEnd w:id="226"/>
      <w:bookmarkStart w:id="227" w:name="_Toc152045560"/>
      <w:bookmarkEnd w:id="227"/>
      <w:bookmarkStart w:id="228" w:name="_Toc16778769"/>
      <w:bookmarkEnd w:id="228"/>
      <w:bookmarkStart w:id="229" w:name="_Toc144974528"/>
      <w:bookmarkEnd w:id="229"/>
      <w:bookmarkStart w:id="230" w:name="_Toc1228"/>
      <w:bookmarkEnd w:id="230"/>
      <w:bookmarkStart w:id="231" w:name="_Toc152042337"/>
      <w:bookmarkEnd w:id="231"/>
      <w:bookmarkStart w:id="232" w:name="_Toc14296"/>
      <w:bookmarkEnd w:id="232"/>
      <w:bookmarkStart w:id="233" w:name="_Toc152045561"/>
      <w:bookmarkEnd w:id="233"/>
      <w:r>
        <w:rPr>
          <w:rFonts w:hint="eastAsia" w:ascii="宋体" w:hAnsi="宋体" w:eastAsia="宋体"/>
          <w:b/>
          <w:color w:val="auto"/>
          <w:highlight w:val="none"/>
        </w:rPr>
        <w:t>5.1 开标时间和地点</w:t>
      </w:r>
    </w:p>
    <w:p w14:paraId="57F144E7">
      <w:pPr>
        <w:spacing w:line="360" w:lineRule="auto"/>
        <w:ind w:firstLine="480" w:firstLineChars="200"/>
        <w:rPr>
          <w:rFonts w:hint="eastAsia" w:ascii="宋体" w:hAnsi="宋体"/>
          <w:color w:val="auto"/>
          <w:sz w:val="24"/>
          <w:szCs w:val="24"/>
          <w:highlight w:val="none"/>
        </w:rPr>
      </w:pPr>
      <w:bookmarkStart w:id="234" w:name="_Toc144974529"/>
      <w:r>
        <w:rPr>
          <w:rFonts w:hint="eastAsia" w:ascii="宋体" w:hAnsi="宋体"/>
          <w:color w:val="auto"/>
          <w:sz w:val="24"/>
          <w:szCs w:val="24"/>
          <w:highlight w:val="none"/>
        </w:rPr>
        <w:t>招标人在本章第 4.2.1 项规定的投标截止时间（开标时间）和投标人须知前附表规定的地点对收到的投标文件第一个信封（商务及技术文件）公开开标，并邀请所有投标人的法定代表人或其委托代理人准时参加远程开标。</w:t>
      </w:r>
      <w:bookmarkEnd w:id="234"/>
    </w:p>
    <w:p w14:paraId="7CA7576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招标人在投标人须知前附表规定的时间和地点对投标文件第二个信封（报价文件）进行开标，并邀请所有投标人的法定代表人或其委托代理人准时参加远程开标。</w:t>
      </w:r>
    </w:p>
    <w:p w14:paraId="1C00B76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人若未派法定代表人或委托代理人参加第一个信封（商务及技术文件）远程开标的，其投标将被否决。投标人若未派法定代表人或委托代理人参加第二个信封（报价文件）远程开标的，视为该投标人默认第二个信封（报价文件）的开标结果。</w:t>
      </w:r>
    </w:p>
    <w:p w14:paraId="5440D5D5">
      <w:pPr>
        <w:pStyle w:val="45"/>
        <w:spacing w:line="360" w:lineRule="auto"/>
        <w:rPr>
          <w:rFonts w:hint="eastAsia" w:ascii="宋体" w:hAnsi="宋体" w:eastAsia="宋体"/>
          <w:b/>
          <w:color w:val="auto"/>
          <w:highlight w:val="none"/>
        </w:rPr>
      </w:pPr>
      <w:bookmarkStart w:id="235" w:name="_Toc5371"/>
      <w:r>
        <w:rPr>
          <w:rFonts w:hint="eastAsia" w:ascii="宋体" w:hAnsi="宋体" w:eastAsia="宋体"/>
          <w:b/>
          <w:color w:val="auto"/>
          <w:highlight w:val="none"/>
        </w:rPr>
        <w:t>5.2 开标程序</w:t>
      </w:r>
      <w:bookmarkEnd w:id="235"/>
    </w:p>
    <w:p w14:paraId="2FF6208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5.2.1 主持人按下列程序对投标文件第一个信封（商务及技术文件）进行远程开标：</w:t>
      </w:r>
    </w:p>
    <w:p w14:paraId="7B6E815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（1）宣布开标纪律；</w:t>
      </w:r>
    </w:p>
    <w:p w14:paraId="423613E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（2）公布在投标截止时间前递交投标文件的投标人数量；</w:t>
      </w:r>
    </w:p>
    <w:p w14:paraId="1FDBD8B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（3）宣布开标人、唱标人、记录人等有关人员姓名； </w:t>
      </w:r>
    </w:p>
    <w:p w14:paraId="1965694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（4）由招标人现场随机抽取的投标人代表抽取评标基准价系数（如有）；</w:t>
      </w:r>
    </w:p>
    <w:p w14:paraId="7CF853B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（5）投标人代表解密加密的投标文件；</w:t>
      </w:r>
    </w:p>
    <w:p w14:paraId="7B2B5F0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（6）招标人对未成功解密的投标文件进行退回并按本章第 5.3 款进行补救处理，对已解密成功的投标文件进行二次解密；</w:t>
      </w:r>
    </w:p>
    <w:p w14:paraId="3DDDE41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（7）导入并读取所有解密成功的投标文件第一个信封（商务及技术文件）的内容；</w:t>
      </w:r>
    </w:p>
    <w:p w14:paraId="5D2E7BB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（8）公布标段名称、投标人名称、投标保证金的递交情况及其他内容，并记录在案； </w:t>
      </w:r>
    </w:p>
    <w:p w14:paraId="19C21D4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（9）招标人代表、记录人等有关人员在开标记录上签字确认；</w:t>
      </w:r>
    </w:p>
    <w:p w14:paraId="6985F7AE">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（10）开标结束。</w:t>
      </w:r>
    </w:p>
    <w:p w14:paraId="5DE5AF0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5.2.2 投标文件第二个信封（报价文件）在投标文件第一个信封（商务及技术文件）完成评审前，“驻马店市公共资源交易平台”的开标评标系统将不进行读取。</w:t>
      </w:r>
    </w:p>
    <w:p w14:paraId="5F023FE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5.2.3 招标人将按照本章第 5.1 款规定的时间和地点对投标文件第二个信封（报价文件）进行远程开标。主持人按下列程序进行开标：</w:t>
      </w:r>
    </w:p>
    <w:p w14:paraId="52420FC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（1）宣布开标纪律；</w:t>
      </w:r>
    </w:p>
    <w:p w14:paraId="20332E1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（2）当众拆开投标文件第一个信封（商务及技术文件）评审结果的密封袋，宣布通过投标文件第一个信封（商务及技术文件）评审的投标人名单；</w:t>
      </w:r>
    </w:p>
    <w:p w14:paraId="03E8EE0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（3）宣布开标人、唱标人、记录人等有关人员姓名；</w:t>
      </w:r>
    </w:p>
    <w:p w14:paraId="5DD0B09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开标人将所有投标文件第二个信封（报价文件）的内容导入“驻马店市公共资源交易平台”的开标评标系统，未通过投标文件第一个信封（商务及技术文件）评审的投标人的第二个信封（报价文件）不予读取；</w:t>
      </w:r>
    </w:p>
    <w:p w14:paraId="739DF01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（5）公布标段名称、投标人名称、投标报价及其他内容，并记录在案； </w:t>
      </w:r>
    </w:p>
    <w:p w14:paraId="3DF4ED3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（6）招标人代表、记录人等有关人员在开标记录上签字确认；</w:t>
      </w:r>
    </w:p>
    <w:p w14:paraId="6C9BEA9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（7）开标结束。</w:t>
      </w:r>
    </w:p>
    <w:p w14:paraId="446522E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5.2.4 在投标文件第二个信封（报价文件）开标现场，招标人将按第三章“评标办法”规定的原则计算并宣布评标基准价。若招标人发现投标文件出现以下任一情况，其投标报价将不再参加评标基准价的计算：</w:t>
      </w:r>
    </w:p>
    <w:p w14:paraId="0D819AA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（1）未在投标函上填写投标总价；</w:t>
      </w:r>
    </w:p>
    <w:p w14:paraId="6BC2716E">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（2）投标报价超出招标人公布的最高投标限价（如有）；</w:t>
      </w:r>
    </w:p>
    <w:p w14:paraId="34996A3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（3）投标报价的大写金额无法确定具体数值； </w:t>
      </w:r>
    </w:p>
    <w:p w14:paraId="0A98F55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（4）投标函上填写的标段号与</w:t>
      </w:r>
      <w:r>
        <w:rPr>
          <w:rFonts w:hint="eastAsia" w:ascii="宋体" w:hAnsi="宋体"/>
          <w:color w:val="auto"/>
          <w:sz w:val="24"/>
          <w:szCs w:val="24"/>
          <w:highlight w:val="none"/>
          <w:lang w:eastAsia="zh-CN"/>
        </w:rPr>
        <w:t>招标文件</w:t>
      </w:r>
      <w:r>
        <w:rPr>
          <w:rFonts w:hint="eastAsia" w:ascii="宋体" w:hAnsi="宋体"/>
          <w:color w:val="auto"/>
          <w:sz w:val="24"/>
          <w:szCs w:val="24"/>
          <w:highlight w:val="none"/>
        </w:rPr>
        <w:t>标段号不一致。</w:t>
      </w:r>
    </w:p>
    <w:p w14:paraId="316522E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如果投标人认为某一标段的评标基准价计算有误，有权在远程开标大厅现场提出，经招标人当场核实确认之后，可重新宣布评标基准价。开标现场宣布的评标基准价除计算有误经评标委员会修正外，在整个评标期间保持不变，不随任何因素发生变化。</w:t>
      </w:r>
    </w:p>
    <w:p w14:paraId="48BB42DC">
      <w:pPr>
        <w:spacing w:line="360" w:lineRule="auto"/>
        <w:ind w:firstLine="480" w:firstLineChars="200"/>
        <w:rPr>
          <w:rFonts w:hint="eastAsia"/>
          <w:color w:val="auto"/>
          <w:highlight w:val="none"/>
        </w:rPr>
      </w:pPr>
      <w:r>
        <w:rPr>
          <w:rFonts w:hint="eastAsia" w:ascii="宋体" w:hAnsi="宋体"/>
          <w:color w:val="auto"/>
          <w:sz w:val="24"/>
          <w:szCs w:val="24"/>
          <w:highlight w:val="none"/>
        </w:rPr>
        <w:t>5.2.5 在投标文件第一个信封（商务及技术文件）或第二个信封（报价文件）开标过程中，若招标人宣读的内容与投标文件不符，投标人有权在远程开标大厅现场提出疑问，经招标人当场核查确认之后，可重新宣读其投标文件。若投标人现场未提出疑问，则认为投标人已确认招标人宣读的内容。</w:t>
      </w:r>
    </w:p>
    <w:p w14:paraId="142EF78D">
      <w:pPr>
        <w:pStyle w:val="45"/>
        <w:spacing w:line="360" w:lineRule="auto"/>
        <w:rPr>
          <w:rFonts w:hint="eastAsia" w:ascii="宋体" w:hAnsi="宋体" w:eastAsia="宋体"/>
          <w:b/>
          <w:color w:val="auto"/>
          <w:highlight w:val="none"/>
        </w:rPr>
      </w:pPr>
      <w:bookmarkStart w:id="236" w:name="_Toc27249"/>
      <w:r>
        <w:rPr>
          <w:rFonts w:hint="eastAsia" w:ascii="宋体" w:hAnsi="宋体" w:eastAsia="宋体"/>
          <w:b/>
          <w:color w:val="auto"/>
          <w:highlight w:val="none"/>
        </w:rPr>
        <w:t>5.</w:t>
      </w:r>
      <w:r>
        <w:rPr>
          <w:rFonts w:hint="eastAsia" w:ascii="宋体" w:hAnsi="宋体" w:eastAsia="宋体"/>
          <w:b/>
          <w:color w:val="auto"/>
          <w:highlight w:val="none"/>
          <w:lang w:val="en-US" w:eastAsia="zh-CN"/>
        </w:rPr>
        <w:t>3</w:t>
      </w:r>
      <w:r>
        <w:rPr>
          <w:rFonts w:hint="eastAsia" w:ascii="宋体" w:hAnsi="宋体" w:eastAsia="宋体"/>
          <w:b/>
          <w:color w:val="auto"/>
          <w:highlight w:val="none"/>
        </w:rPr>
        <w:t xml:space="preserve"> 开标补救措施</w:t>
      </w:r>
      <w:bookmarkEnd w:id="236"/>
    </w:p>
    <w:p w14:paraId="0D527AC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.1 开标过程中因本章第 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.2 项、第 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.3 项所列原因，导致系统无法正常运行，将按投标人须知前附表的规定采取补救措施。</w:t>
      </w:r>
    </w:p>
    <w:p w14:paraId="4C34C02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.2 因“驻马店市公共资源交易平台”系统故障导致投标人无法正常上传加密的投标文件，投标人应打印并递交驻马店市公共资源交易平台自动生成的上传失败的异常记录单。</w:t>
      </w:r>
    </w:p>
    <w:p w14:paraId="6AE6212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 xml:space="preserve">.3 当出现以下情况时，应对未开标的中止电子开标，并在恢复正常后及时安排时间开标： </w:t>
      </w:r>
    </w:p>
    <w:p w14:paraId="67FC30A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（1）系统服务器发生故障，无法访问或无法使用系统；</w:t>
      </w:r>
    </w:p>
    <w:p w14:paraId="6279CFE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（2）系统的软件或数据库出现错误，不能进行正常操作；</w:t>
      </w:r>
    </w:p>
    <w:p w14:paraId="1F3E34E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（3）系统发现有安全漏洞，有潜在的泄密危险；</w:t>
      </w:r>
    </w:p>
    <w:p w14:paraId="27AD825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（4）出现断电事故且短时间内无法恢复供电；</w:t>
      </w:r>
    </w:p>
    <w:p w14:paraId="5059240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（5）其他无法保证招投标过程正常进行的情形。</w:t>
      </w:r>
    </w:p>
    <w:p w14:paraId="54DF0D3B">
      <w:pPr>
        <w:pStyle w:val="21"/>
        <w:ind w:left="0" w:leftChars="0"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color w:val="auto"/>
          <w:sz w:val="24"/>
          <w:szCs w:val="24"/>
          <w:highlight w:val="none"/>
          <w:lang w:val="en-US" w:eastAsia="zh-CN"/>
        </w:rPr>
        <w:t>3</w:t>
      </w:r>
      <w:r>
        <w:rPr>
          <w:rFonts w:hint="eastAsia" w:ascii="宋体" w:hAnsi="宋体"/>
          <w:color w:val="auto"/>
          <w:sz w:val="24"/>
          <w:szCs w:val="24"/>
          <w:highlight w:val="none"/>
        </w:rPr>
        <w:t>.4 采取补救措施时，必须对原有资料及信息作出妥善保密处理。</w:t>
      </w:r>
    </w:p>
    <w:p w14:paraId="3EA34494">
      <w:pPr>
        <w:spacing w:line="360" w:lineRule="auto"/>
        <w:rPr>
          <w:rFonts w:ascii="宋体" w:hAnsi="宋体"/>
          <w:color w:val="auto"/>
          <w:sz w:val="24"/>
          <w:szCs w:val="24"/>
          <w:highlight w:val="none"/>
        </w:rPr>
      </w:pPr>
      <w:r>
        <w:rPr>
          <w:rFonts w:hint="eastAsia" w:ascii="宋体" w:hAnsi="宋体"/>
          <w:b/>
          <w:bCs/>
          <w:color w:val="auto"/>
          <w:sz w:val="24"/>
          <w:szCs w:val="24"/>
          <w:highlight w:val="none"/>
        </w:rPr>
        <w:t>5.</w:t>
      </w:r>
      <w:r>
        <w:rPr>
          <w:rFonts w:hint="eastAsia" w:ascii="宋体" w:hAnsi="宋体"/>
          <w:b/>
          <w:bCs/>
          <w:color w:val="auto"/>
          <w:sz w:val="24"/>
          <w:szCs w:val="24"/>
          <w:highlight w:val="none"/>
          <w:lang w:val="en-US" w:eastAsia="zh-CN"/>
        </w:rPr>
        <w:t>4</w:t>
      </w:r>
      <w:r>
        <w:rPr>
          <w:rFonts w:hint="eastAsia" w:ascii="宋体" w:hAnsi="宋体"/>
          <w:b/>
          <w:bCs/>
          <w:color w:val="auto"/>
          <w:sz w:val="24"/>
          <w:szCs w:val="24"/>
          <w:highlight w:val="none"/>
        </w:rPr>
        <w:t>开标异议</w:t>
      </w:r>
    </w:p>
    <w:p w14:paraId="274C394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投标人对开标有异议的，应当在开标大厅中使用异议功能提出，招标人当场作出答复，并制作记录。</w:t>
      </w:r>
    </w:p>
    <w:p w14:paraId="205A6108">
      <w:pPr>
        <w:pStyle w:val="45"/>
        <w:spacing w:line="360" w:lineRule="auto"/>
        <w:rPr>
          <w:rFonts w:ascii="宋体" w:hAnsi="宋体" w:eastAsia="宋体"/>
          <w:b/>
          <w:color w:val="auto"/>
          <w:sz w:val="28"/>
          <w:szCs w:val="28"/>
          <w:highlight w:val="none"/>
        </w:rPr>
      </w:pPr>
      <w:bookmarkStart w:id="237" w:name="_Toc10061"/>
      <w:bookmarkEnd w:id="237"/>
      <w:bookmarkStart w:id="238" w:name="_Toc32727"/>
      <w:bookmarkEnd w:id="238"/>
      <w:bookmarkStart w:id="239" w:name="_Toc152042338"/>
      <w:bookmarkEnd w:id="239"/>
      <w:bookmarkStart w:id="240" w:name="_Toc144974530"/>
      <w:bookmarkEnd w:id="240"/>
      <w:bookmarkStart w:id="241" w:name="_Toc16778772"/>
      <w:bookmarkEnd w:id="241"/>
      <w:bookmarkStart w:id="242" w:name="_Toc26177"/>
      <w:bookmarkEnd w:id="242"/>
      <w:bookmarkStart w:id="243" w:name="_Toc15178"/>
      <w:bookmarkEnd w:id="243"/>
      <w:bookmarkStart w:id="244" w:name="_Toc179632580"/>
      <w:bookmarkEnd w:id="244"/>
      <w:bookmarkStart w:id="245" w:name="_Toc152045562"/>
      <w:r>
        <w:rPr>
          <w:rFonts w:hint="eastAsia" w:ascii="宋体" w:hAnsi="宋体" w:eastAsia="宋体"/>
          <w:b/>
          <w:color w:val="auto"/>
          <w:sz w:val="28"/>
          <w:szCs w:val="28"/>
          <w:highlight w:val="none"/>
        </w:rPr>
        <w:t>6. 评标</w:t>
      </w:r>
      <w:bookmarkEnd w:id="245"/>
    </w:p>
    <w:p w14:paraId="7111BD20">
      <w:pPr>
        <w:pStyle w:val="45"/>
        <w:spacing w:line="360" w:lineRule="auto"/>
        <w:rPr>
          <w:rFonts w:ascii="宋体" w:hAnsi="宋体" w:eastAsia="宋体"/>
          <w:b/>
          <w:color w:val="auto"/>
          <w:highlight w:val="none"/>
        </w:rPr>
      </w:pPr>
      <w:bookmarkStart w:id="246" w:name="_Toc152042339"/>
      <w:bookmarkEnd w:id="246"/>
      <w:bookmarkStart w:id="247" w:name="_Toc179632581"/>
      <w:bookmarkEnd w:id="247"/>
      <w:bookmarkStart w:id="248" w:name="_Toc152045563"/>
      <w:bookmarkEnd w:id="248"/>
      <w:bookmarkStart w:id="249" w:name="_Toc16778773"/>
      <w:bookmarkEnd w:id="249"/>
      <w:bookmarkStart w:id="250" w:name="_Toc144974531"/>
      <w:bookmarkEnd w:id="250"/>
      <w:bookmarkStart w:id="251" w:name="_Toc9830"/>
      <w:bookmarkEnd w:id="251"/>
      <w:bookmarkStart w:id="252" w:name="_Toc18555"/>
      <w:r>
        <w:rPr>
          <w:rFonts w:hint="eastAsia" w:ascii="宋体" w:hAnsi="宋体" w:eastAsia="宋体"/>
          <w:b/>
          <w:color w:val="auto"/>
          <w:highlight w:val="none"/>
        </w:rPr>
        <w:t>6.1 评标委员会</w:t>
      </w:r>
      <w:bookmarkEnd w:id="252"/>
    </w:p>
    <w:p w14:paraId="61E7B59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6.1.1 评标由评标委员会负责。评标委员会由有关技术、经济等方面的专家和招标人代表组成。评标委员会成员人数以及技术、经济等方面专家的确定方式见投标人须知前附表。</w:t>
      </w:r>
    </w:p>
    <w:p w14:paraId="7634A4F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6.1.2 评标委员会成员有下列情形之一的，应主动提出回避：</w:t>
      </w:r>
    </w:p>
    <w:p w14:paraId="75C8B2D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（1）为负责招标项目监督管理的交通运输主管部门的工作人员；</w:t>
      </w:r>
    </w:p>
    <w:p w14:paraId="7FBE9DB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（2）与投标人法定代表人或其委托代理人有近亲属关系；</w:t>
      </w:r>
    </w:p>
    <w:p w14:paraId="23001BE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（3）为投标人的工作人员或退休人员；</w:t>
      </w:r>
    </w:p>
    <w:p w14:paraId="1B7B56D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（4）与投标人有其他利害关系，可能影响评标活动公正性；</w:t>
      </w:r>
    </w:p>
    <w:p w14:paraId="12BDFFC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（5）在与招标投标有关的活动中有过违法行为、曾受过刑事处罚。</w:t>
      </w:r>
    </w:p>
    <w:p w14:paraId="2017021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6.1.3 评标过程中，评标委员会成员有回避事由、擅离职守或因健康等原因不能继续评标的，招标人有权更换。被更换的评标委员会成员作出的评审结论无效，由更换后的评标委员会成员重新进行评审。</w:t>
      </w:r>
    </w:p>
    <w:p w14:paraId="63D88934">
      <w:pPr>
        <w:pStyle w:val="45"/>
        <w:spacing w:line="360" w:lineRule="auto"/>
        <w:rPr>
          <w:rFonts w:ascii="宋体" w:hAnsi="宋体" w:eastAsia="宋体"/>
          <w:b/>
          <w:color w:val="auto"/>
          <w:highlight w:val="none"/>
        </w:rPr>
      </w:pPr>
      <w:bookmarkStart w:id="253" w:name="_Toc152042340"/>
      <w:bookmarkEnd w:id="253"/>
      <w:bookmarkStart w:id="254" w:name="_Toc26318"/>
      <w:bookmarkEnd w:id="254"/>
      <w:bookmarkStart w:id="255" w:name="_Toc179632582"/>
      <w:bookmarkEnd w:id="255"/>
      <w:bookmarkStart w:id="256" w:name="_Toc16778774"/>
      <w:bookmarkEnd w:id="256"/>
      <w:bookmarkStart w:id="257" w:name="_Toc5949"/>
      <w:bookmarkEnd w:id="257"/>
      <w:bookmarkStart w:id="258" w:name="_Toc152045564"/>
      <w:bookmarkEnd w:id="258"/>
      <w:bookmarkStart w:id="259" w:name="_Toc144974532"/>
      <w:r>
        <w:rPr>
          <w:rFonts w:hint="eastAsia" w:ascii="宋体" w:hAnsi="宋体" w:eastAsia="宋体"/>
          <w:b/>
          <w:color w:val="auto"/>
          <w:highlight w:val="none"/>
        </w:rPr>
        <w:t>6.2 评标原则</w:t>
      </w:r>
      <w:bookmarkEnd w:id="259"/>
    </w:p>
    <w:p w14:paraId="01FBE6E5">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评标活动遵循公平、公正、科学和择优的原则。</w:t>
      </w:r>
    </w:p>
    <w:p w14:paraId="04730CB2">
      <w:pPr>
        <w:pStyle w:val="45"/>
        <w:spacing w:line="360" w:lineRule="auto"/>
        <w:rPr>
          <w:rFonts w:ascii="宋体" w:hAnsi="宋体" w:eastAsia="宋体"/>
          <w:b/>
          <w:color w:val="auto"/>
          <w:highlight w:val="none"/>
        </w:rPr>
      </w:pPr>
      <w:bookmarkStart w:id="260" w:name="_Toc144974533"/>
      <w:bookmarkEnd w:id="260"/>
      <w:bookmarkStart w:id="261" w:name="_Toc152042341"/>
      <w:bookmarkEnd w:id="261"/>
      <w:bookmarkStart w:id="262" w:name="_Toc152045565"/>
      <w:bookmarkEnd w:id="262"/>
      <w:bookmarkStart w:id="263" w:name="_Toc10073"/>
      <w:bookmarkEnd w:id="263"/>
      <w:bookmarkStart w:id="264" w:name="_Toc31631"/>
      <w:bookmarkEnd w:id="264"/>
      <w:bookmarkStart w:id="265" w:name="_Toc16778775"/>
      <w:bookmarkEnd w:id="265"/>
      <w:bookmarkStart w:id="266" w:name="_Toc179632583"/>
      <w:r>
        <w:rPr>
          <w:rFonts w:hint="eastAsia" w:ascii="宋体" w:hAnsi="宋体" w:eastAsia="宋体"/>
          <w:b/>
          <w:color w:val="auto"/>
          <w:highlight w:val="none"/>
        </w:rPr>
        <w:t>6.3 评标</w:t>
      </w:r>
      <w:bookmarkEnd w:id="266"/>
    </w:p>
    <w:p w14:paraId="213DA3D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6.3.1 评标委员会按照第三章“评标办法”规定的方法、评审因素、标准和程序对投标文件进行评审。第三章“评标办法”没有规定的方法、评审因素和标准，不作为评标依据。</w:t>
      </w:r>
    </w:p>
    <w:p w14:paraId="3C0BDBC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6.3.2 评标完成后，评标委员会应向招标人提交书面评标报告和中标候选人名单。评标委员会推荐中标候选人的人数见投标人须知前附表。</w:t>
      </w:r>
    </w:p>
    <w:p w14:paraId="1461330E">
      <w:pPr>
        <w:pStyle w:val="45"/>
        <w:spacing w:line="360" w:lineRule="auto"/>
        <w:rPr>
          <w:rFonts w:ascii="宋体" w:hAnsi="宋体" w:eastAsia="宋体"/>
          <w:b/>
          <w:color w:val="auto"/>
          <w:sz w:val="28"/>
          <w:szCs w:val="28"/>
          <w:highlight w:val="none"/>
        </w:rPr>
      </w:pPr>
      <w:bookmarkStart w:id="267" w:name="_Toc27090"/>
      <w:bookmarkEnd w:id="267"/>
      <w:bookmarkStart w:id="268" w:name="_Toc179632584"/>
      <w:bookmarkEnd w:id="268"/>
      <w:bookmarkStart w:id="269" w:name="_Toc11215"/>
      <w:bookmarkEnd w:id="269"/>
      <w:bookmarkStart w:id="270" w:name="_Toc144974534"/>
      <w:bookmarkEnd w:id="270"/>
      <w:bookmarkStart w:id="271" w:name="_Toc152042342"/>
      <w:bookmarkEnd w:id="271"/>
      <w:bookmarkStart w:id="272" w:name="_Toc152045566"/>
      <w:bookmarkEnd w:id="272"/>
      <w:bookmarkStart w:id="273" w:name="_Toc16778776"/>
      <w:r>
        <w:rPr>
          <w:rFonts w:hint="eastAsia" w:ascii="宋体" w:hAnsi="宋体" w:eastAsia="宋体"/>
          <w:b/>
          <w:color w:val="auto"/>
          <w:sz w:val="28"/>
          <w:szCs w:val="28"/>
          <w:highlight w:val="none"/>
        </w:rPr>
        <w:t>7. 合同授予</w:t>
      </w:r>
      <w:bookmarkEnd w:id="273"/>
    </w:p>
    <w:p w14:paraId="3AAEEC22">
      <w:pPr>
        <w:pStyle w:val="45"/>
        <w:spacing w:line="360" w:lineRule="auto"/>
        <w:rPr>
          <w:rFonts w:hint="eastAsia" w:ascii="宋体" w:hAnsi="宋体" w:eastAsia="宋体"/>
          <w:b/>
          <w:color w:val="auto"/>
          <w:highlight w:val="none"/>
          <w:lang w:eastAsia="zh-CN"/>
        </w:rPr>
      </w:pPr>
      <w:bookmarkStart w:id="274" w:name="_Toc16956"/>
      <w:bookmarkEnd w:id="274"/>
      <w:bookmarkStart w:id="275" w:name="_Toc16778777"/>
      <w:bookmarkEnd w:id="275"/>
      <w:bookmarkStart w:id="276" w:name="_Toc20008"/>
      <w:r>
        <w:rPr>
          <w:rFonts w:hint="eastAsia" w:ascii="宋体" w:hAnsi="宋体" w:eastAsia="宋体"/>
          <w:b/>
          <w:color w:val="auto"/>
          <w:highlight w:val="none"/>
        </w:rPr>
        <w:t xml:space="preserve">7.1 </w:t>
      </w:r>
      <w:r>
        <w:rPr>
          <w:rFonts w:hint="eastAsia" w:ascii="宋体" w:hAnsi="宋体" w:eastAsia="宋体"/>
          <w:b/>
          <w:color w:val="auto"/>
          <w:highlight w:val="none"/>
          <w:lang w:eastAsia="zh-CN"/>
        </w:rPr>
        <w:t>中</w:t>
      </w:r>
      <w:r>
        <w:rPr>
          <w:rFonts w:hint="eastAsia" w:ascii="宋体" w:hAnsi="宋体" w:eastAsia="宋体"/>
          <w:b/>
          <w:color w:val="auto"/>
          <w:highlight w:val="none"/>
        </w:rPr>
        <w:t>标候选人</w:t>
      </w:r>
      <w:bookmarkEnd w:id="276"/>
      <w:r>
        <w:rPr>
          <w:rFonts w:hint="eastAsia" w:ascii="宋体" w:hAnsi="宋体" w:eastAsia="宋体"/>
          <w:b/>
          <w:color w:val="auto"/>
          <w:highlight w:val="none"/>
          <w:lang w:eastAsia="zh-CN"/>
        </w:rPr>
        <w:t>公示</w:t>
      </w:r>
    </w:p>
    <w:p w14:paraId="5E7F9C7F">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招标人在收到评标报告之日起3日内，按照投标人须知前附表规定的公示媒介和期限公示定标候选人，公示期不得少于3日，公示容包括：</w:t>
      </w:r>
    </w:p>
    <w:p w14:paraId="397F795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（1）中标候选人名称、投标报价，对工程质量要求、安全目标和工期的响应情况；</w:t>
      </w:r>
    </w:p>
    <w:p w14:paraId="7A56648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（2）中标候选人在投标文件中承诺的项目经理和项目总工姓名、个人业绩、相关证书名称和编号；</w:t>
      </w:r>
    </w:p>
    <w:p w14:paraId="4656156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（3）中标候选人在投标文件中填报的项目业绩；</w:t>
      </w:r>
    </w:p>
    <w:p w14:paraId="188D2C2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（4）被否决投标的投标人名称、否决依据和原因；</w:t>
      </w:r>
    </w:p>
    <w:p w14:paraId="2CE8628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（5）提出异议的渠道和方式；</w:t>
      </w:r>
    </w:p>
    <w:p w14:paraId="1DC09C0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（6）投标人须知前附表规定公示的其他内容。</w:t>
      </w:r>
    </w:p>
    <w:p w14:paraId="7FB122FC">
      <w:pPr>
        <w:pStyle w:val="45"/>
        <w:spacing w:line="360" w:lineRule="auto"/>
        <w:rPr>
          <w:rFonts w:ascii="宋体" w:hAnsi="宋体" w:eastAsia="宋体"/>
          <w:b/>
          <w:color w:val="auto"/>
          <w:highlight w:val="none"/>
        </w:rPr>
      </w:pPr>
      <w:bookmarkStart w:id="277" w:name="_Toc16778778"/>
      <w:bookmarkEnd w:id="277"/>
      <w:bookmarkStart w:id="278" w:name="_Toc3318"/>
      <w:bookmarkEnd w:id="278"/>
      <w:bookmarkStart w:id="279" w:name="_Toc13752"/>
      <w:r>
        <w:rPr>
          <w:rFonts w:hint="eastAsia" w:ascii="宋体" w:hAnsi="宋体" w:eastAsia="宋体"/>
          <w:b/>
          <w:color w:val="auto"/>
          <w:highlight w:val="none"/>
        </w:rPr>
        <w:t>7.</w:t>
      </w:r>
      <w:r>
        <w:rPr>
          <w:rFonts w:hint="eastAsia" w:ascii="宋体" w:hAnsi="宋体" w:eastAsia="宋体"/>
          <w:b/>
          <w:color w:val="auto"/>
          <w:highlight w:val="none"/>
          <w:lang w:val="en-US" w:eastAsia="zh-CN"/>
        </w:rPr>
        <w:t>2</w:t>
      </w:r>
      <w:r>
        <w:rPr>
          <w:rFonts w:hint="eastAsia" w:ascii="宋体" w:hAnsi="宋体" w:eastAsia="宋体"/>
          <w:b/>
          <w:color w:val="auto"/>
          <w:highlight w:val="none"/>
        </w:rPr>
        <w:t>评标结果异议</w:t>
      </w:r>
      <w:bookmarkEnd w:id="279"/>
    </w:p>
    <w:p w14:paraId="03B9578C">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投标人或其他利害关系人对依法必须进行招标的项目的评标结果有异议的，应在中标候选人公示期间提出。招标人将在收到异议之日起3日内作出答复；作出答复前，将暂停招标投标活动。提出异议与作出答复均应通过“驻马店市公共资源交易平台”以书面形式进行。</w:t>
      </w:r>
    </w:p>
    <w:p w14:paraId="6621D5C2">
      <w:pPr>
        <w:pStyle w:val="45"/>
        <w:pageBreakBefore w:val="0"/>
        <w:widowControl w:val="0"/>
        <w:kinsoku/>
        <w:wordWrap/>
        <w:overflowPunct/>
        <w:topLinePunct w:val="0"/>
        <w:autoSpaceDE/>
        <w:autoSpaceDN/>
        <w:bidi w:val="0"/>
        <w:adjustRightInd/>
        <w:snapToGrid/>
        <w:spacing w:line="360" w:lineRule="auto"/>
        <w:textAlignment w:val="auto"/>
        <w:rPr>
          <w:rFonts w:ascii="宋体" w:hAnsi="宋体" w:eastAsia="宋体"/>
          <w:b/>
          <w:color w:val="auto"/>
          <w:highlight w:val="none"/>
        </w:rPr>
      </w:pPr>
      <w:bookmarkStart w:id="280" w:name="_Toc16778779"/>
      <w:bookmarkEnd w:id="280"/>
      <w:bookmarkStart w:id="281" w:name="_Toc22135"/>
      <w:bookmarkEnd w:id="281"/>
      <w:bookmarkStart w:id="282" w:name="_Toc7044"/>
      <w:r>
        <w:rPr>
          <w:rFonts w:hint="eastAsia" w:ascii="宋体" w:hAnsi="宋体" w:eastAsia="宋体"/>
          <w:b/>
          <w:color w:val="auto"/>
          <w:highlight w:val="none"/>
        </w:rPr>
        <w:t>7.</w:t>
      </w:r>
      <w:r>
        <w:rPr>
          <w:rFonts w:hint="eastAsia" w:ascii="宋体" w:hAnsi="宋体" w:eastAsia="宋体"/>
          <w:b/>
          <w:color w:val="auto"/>
          <w:highlight w:val="none"/>
          <w:lang w:val="en-US" w:eastAsia="zh-CN"/>
        </w:rPr>
        <w:t>3</w:t>
      </w:r>
      <w:r>
        <w:rPr>
          <w:rFonts w:hint="eastAsia" w:ascii="宋体" w:hAnsi="宋体" w:eastAsia="宋体"/>
          <w:b/>
          <w:color w:val="auto"/>
          <w:highlight w:val="none"/>
        </w:rPr>
        <w:t>中标候选人履约能力审查</w:t>
      </w:r>
      <w:bookmarkEnd w:id="282"/>
    </w:p>
    <w:p w14:paraId="1D0FF7F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26B3E93F">
      <w:pPr>
        <w:pStyle w:val="45"/>
        <w:spacing w:line="360" w:lineRule="auto"/>
        <w:rPr>
          <w:rFonts w:hint="eastAsia" w:ascii="宋体" w:hAnsi="宋体" w:eastAsia="宋体" w:cs="宋体"/>
          <w:b/>
          <w:bCs/>
          <w:color w:val="auto"/>
          <w:sz w:val="24"/>
          <w:szCs w:val="32"/>
          <w:highlight w:val="none"/>
          <w:lang w:eastAsia="zh-CN"/>
        </w:rPr>
      </w:pPr>
      <w:r>
        <w:rPr>
          <w:rFonts w:hint="eastAsia" w:ascii="宋体" w:hAnsi="宋体" w:eastAsia="宋体"/>
          <w:b/>
          <w:color w:val="auto"/>
          <w:highlight w:val="none"/>
        </w:rPr>
        <w:t>7.</w:t>
      </w:r>
      <w:r>
        <w:rPr>
          <w:rFonts w:hint="eastAsia" w:ascii="宋体" w:hAnsi="宋体" w:eastAsia="宋体"/>
          <w:b/>
          <w:color w:val="auto"/>
          <w:highlight w:val="none"/>
          <w:lang w:val="en-US" w:eastAsia="zh-CN"/>
        </w:rPr>
        <w:t>4定</w:t>
      </w:r>
      <w:r>
        <w:rPr>
          <w:rFonts w:hint="eastAsia" w:ascii="宋体" w:hAnsi="宋体" w:eastAsia="宋体"/>
          <w:b/>
          <w:color w:val="auto"/>
          <w:highlight w:val="none"/>
        </w:rPr>
        <w:t>标</w:t>
      </w:r>
    </w:p>
    <w:p w14:paraId="6B07D41E">
      <w:pPr>
        <w:keepNext w:val="0"/>
        <w:keepLines w:val="0"/>
        <w:pageBreakBefore w:val="0"/>
        <w:widowControl w:val="0"/>
        <w:kinsoku/>
        <w:wordWrap w:val="0"/>
        <w:overflowPunct/>
        <w:topLinePunct w:val="0"/>
        <w:bidi w:val="0"/>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7.4.1定标原则</w:t>
      </w:r>
    </w:p>
    <w:p w14:paraId="234211D6">
      <w:pPr>
        <w:keepNext w:val="0"/>
        <w:keepLines w:val="0"/>
        <w:pageBreakBefore w:val="0"/>
        <w:widowControl w:val="0"/>
        <w:kinsoku/>
        <w:wordWrap w:val="0"/>
        <w:overflowPunct/>
        <w:topLinePunct w:val="0"/>
        <w:bidi w:val="0"/>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遵循公开透明、择优竞价、科学规范、廉洁高效的原则。</w:t>
      </w:r>
    </w:p>
    <w:p w14:paraId="1B08F061">
      <w:pPr>
        <w:keepNext w:val="0"/>
        <w:keepLines w:val="0"/>
        <w:pageBreakBefore w:val="0"/>
        <w:widowControl w:val="0"/>
        <w:kinsoku/>
        <w:wordWrap w:val="0"/>
        <w:overflowPunct/>
        <w:topLinePunct w:val="0"/>
        <w:bidi w:val="0"/>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7.4.2定标方法</w:t>
      </w:r>
    </w:p>
    <w:p w14:paraId="7130CD86">
      <w:pPr>
        <w:keepNext w:val="0"/>
        <w:keepLines w:val="0"/>
        <w:pageBreakBefore w:val="0"/>
        <w:widowControl w:val="0"/>
        <w:kinsoku/>
        <w:wordWrap w:val="0"/>
        <w:overflowPunct/>
        <w:topLinePunct w:val="0"/>
        <w:bidi w:val="0"/>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采用核查随机法。具体要求按照本招标文件第四章定标办法要求定标办法定标。</w:t>
      </w:r>
    </w:p>
    <w:p w14:paraId="5E1CD927">
      <w:pPr>
        <w:pStyle w:val="45"/>
        <w:spacing w:line="360" w:lineRule="auto"/>
        <w:rPr>
          <w:rFonts w:ascii="宋体" w:hAnsi="宋体" w:eastAsia="宋体"/>
          <w:b/>
          <w:color w:val="auto"/>
          <w:highlight w:val="none"/>
        </w:rPr>
      </w:pPr>
      <w:bookmarkStart w:id="283" w:name="_Toc16778781"/>
      <w:bookmarkEnd w:id="283"/>
      <w:bookmarkStart w:id="284" w:name="_Toc16778780"/>
      <w:bookmarkEnd w:id="284"/>
      <w:bookmarkStart w:id="285" w:name="_Toc6424"/>
      <w:bookmarkEnd w:id="285"/>
      <w:bookmarkStart w:id="286" w:name="_Toc16862"/>
      <w:bookmarkEnd w:id="286"/>
      <w:bookmarkStart w:id="287" w:name="_Toc24107"/>
      <w:r>
        <w:rPr>
          <w:rFonts w:hint="eastAsia" w:ascii="宋体" w:hAnsi="宋体" w:eastAsia="宋体"/>
          <w:b/>
          <w:color w:val="auto"/>
          <w:highlight w:val="none"/>
        </w:rPr>
        <w:t>7.5 中标通知</w:t>
      </w:r>
      <w:bookmarkEnd w:id="287"/>
    </w:p>
    <w:p w14:paraId="6CE7A05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在本章第3.3款规定的投标有效期内，招标人以投标人须知前附表规定的形式向中标人发出中标通知书，同时将中标结果通知未中标的投标人。</w:t>
      </w:r>
    </w:p>
    <w:p w14:paraId="1CC19F78">
      <w:pPr>
        <w:pStyle w:val="45"/>
        <w:spacing w:line="360" w:lineRule="auto"/>
        <w:rPr>
          <w:rFonts w:ascii="宋体" w:hAnsi="宋体" w:eastAsia="宋体"/>
          <w:b/>
          <w:color w:val="auto"/>
          <w:highlight w:val="none"/>
        </w:rPr>
      </w:pPr>
      <w:bookmarkStart w:id="288" w:name="_Toc2943"/>
      <w:bookmarkEnd w:id="288"/>
      <w:bookmarkStart w:id="289" w:name="_Toc16778782"/>
      <w:bookmarkEnd w:id="289"/>
      <w:bookmarkStart w:id="290" w:name="_Toc13193"/>
      <w:r>
        <w:rPr>
          <w:rFonts w:hint="eastAsia" w:ascii="宋体" w:hAnsi="宋体" w:eastAsia="宋体"/>
          <w:b/>
          <w:color w:val="auto"/>
          <w:highlight w:val="none"/>
        </w:rPr>
        <w:t>7.6 中标结果公告</w:t>
      </w:r>
      <w:bookmarkEnd w:id="290"/>
    </w:p>
    <w:p w14:paraId="519FB3C6">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招标人在确定中标人之日起3日内，按照投标人须知前附表规定的公告媒介和期限公告中标结果，公告期不得少于3日。公告内容包括定标时间、定标地点、定标方法、中标人名称、中标价格、质量、工期、资质条件、项目负责人信息，中标候选人的核查、考察、比较优势；核查未通过的中标候选人名单和原因，以及异议和投诉渠道等内容。</w:t>
      </w:r>
      <w:r>
        <w:rPr>
          <w:rFonts w:hint="eastAsia" w:ascii="宋体" w:hAnsi="宋体"/>
          <w:color w:val="auto"/>
          <w:sz w:val="24"/>
          <w:szCs w:val="24"/>
          <w:highlight w:val="none"/>
          <w:lang w:eastAsia="zh-CN"/>
        </w:rPr>
        <w:t>对中标结果公示有异议的，应当在公示期内向招标人提出。</w:t>
      </w:r>
    </w:p>
    <w:p w14:paraId="5806ACF8">
      <w:pPr>
        <w:pStyle w:val="45"/>
        <w:spacing w:line="360" w:lineRule="auto"/>
        <w:rPr>
          <w:rFonts w:ascii="宋体" w:hAnsi="宋体" w:eastAsia="宋体"/>
          <w:b/>
          <w:color w:val="auto"/>
          <w:highlight w:val="none"/>
        </w:rPr>
      </w:pPr>
      <w:bookmarkStart w:id="291" w:name="_Toc16778783"/>
      <w:bookmarkEnd w:id="291"/>
      <w:bookmarkStart w:id="292" w:name="_Toc32392"/>
      <w:bookmarkEnd w:id="292"/>
      <w:bookmarkStart w:id="293" w:name="_Toc11265"/>
      <w:r>
        <w:rPr>
          <w:rFonts w:hint="eastAsia" w:ascii="宋体" w:hAnsi="宋体" w:eastAsia="宋体"/>
          <w:b/>
          <w:color w:val="auto"/>
          <w:highlight w:val="none"/>
        </w:rPr>
        <w:t>7.7 履约保证金</w:t>
      </w:r>
      <w:bookmarkEnd w:id="293"/>
    </w:p>
    <w:p w14:paraId="63F0B84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7.7.1 在签订合同前，中标人应按投标人须知前附表规定的形式、金额和招标文件第</w:t>
      </w:r>
      <w:r>
        <w:rPr>
          <w:rFonts w:hint="eastAsia" w:ascii="宋体" w:hAnsi="宋体"/>
          <w:color w:val="auto"/>
          <w:sz w:val="24"/>
          <w:szCs w:val="24"/>
          <w:highlight w:val="none"/>
          <w:lang w:val="en-US" w:eastAsia="zh-CN"/>
        </w:rPr>
        <w:t>五</w:t>
      </w:r>
      <w:r>
        <w:rPr>
          <w:rFonts w:hint="eastAsia" w:ascii="宋体" w:hAnsi="宋体"/>
          <w:color w:val="auto"/>
          <w:sz w:val="24"/>
          <w:szCs w:val="24"/>
          <w:highlight w:val="none"/>
        </w:rPr>
        <w:t>章“合同条款及格式”规定的或事先经过招标人书面认可的履约保证金格式向招标人提交履约保证金。除投标人须知前附表另有规定外，履约保证金为签约合同价</w:t>
      </w:r>
      <w:r>
        <w:rPr>
          <w:rFonts w:hint="eastAsia" w:ascii="宋体" w:hAnsi="宋体"/>
          <w:strike w:val="0"/>
          <w:dstrike w:val="0"/>
          <w:color w:val="auto"/>
          <w:sz w:val="24"/>
          <w:szCs w:val="24"/>
          <w:highlight w:val="none"/>
          <w:lang w:val="en-US" w:eastAsia="zh-CN"/>
        </w:rPr>
        <w:t>2%</w:t>
      </w:r>
      <w:r>
        <w:rPr>
          <w:rFonts w:hint="eastAsia" w:ascii="宋体" w:hAnsi="宋体"/>
          <w:color w:val="auto"/>
          <w:sz w:val="24"/>
          <w:szCs w:val="24"/>
          <w:highlight w:val="none"/>
        </w:rPr>
        <w:t>。</w:t>
      </w:r>
    </w:p>
    <w:p w14:paraId="6FE58CB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采用银行保函时，应由符合投标人须知前附表规定级别的银行开具，所需的费用由中标人承担，中标人应保证银行保函有效。</w:t>
      </w:r>
    </w:p>
    <w:p w14:paraId="00ACF02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7.7.2 中标人不能按本章第7.7.1项要求提交履约保证金的，视为放弃中标，其投标保证金不予退还，给招标人造成的损失超过投标保证金数额的，中标人还应对超过部分予以赔偿。</w:t>
      </w:r>
    </w:p>
    <w:p w14:paraId="559E79A9">
      <w:pPr>
        <w:pStyle w:val="45"/>
        <w:spacing w:line="360" w:lineRule="auto"/>
        <w:rPr>
          <w:rFonts w:ascii="宋体" w:hAnsi="宋体" w:eastAsia="宋体"/>
          <w:b/>
          <w:color w:val="auto"/>
          <w:highlight w:val="none"/>
        </w:rPr>
      </w:pPr>
      <w:bookmarkStart w:id="294" w:name="_Toc16778784"/>
      <w:bookmarkEnd w:id="294"/>
      <w:bookmarkStart w:id="295" w:name="_Toc7811"/>
      <w:bookmarkEnd w:id="295"/>
      <w:bookmarkStart w:id="296" w:name="_Toc30062"/>
      <w:r>
        <w:rPr>
          <w:rFonts w:hint="eastAsia" w:ascii="宋体" w:hAnsi="宋体" w:eastAsia="宋体"/>
          <w:b/>
          <w:color w:val="auto"/>
          <w:highlight w:val="none"/>
        </w:rPr>
        <w:t>7.8 签订合同</w:t>
      </w:r>
      <w:bookmarkEnd w:id="296"/>
    </w:p>
    <w:p w14:paraId="426FC65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7.8.1 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r>
        <w:rPr>
          <w:rFonts w:hint="eastAsia" w:ascii="宋体" w:hAnsi="宋体"/>
          <w:color w:val="auto"/>
          <w:sz w:val="24"/>
          <w:szCs w:val="24"/>
          <w:highlight w:val="none"/>
          <w:lang w:eastAsia="zh-CN"/>
        </w:rPr>
        <w:t>，针对此项要求内容投标人在投标函中做出响应承诺，否则为未实质性响应招标文件</w:t>
      </w:r>
      <w:r>
        <w:rPr>
          <w:rFonts w:hint="eastAsia" w:ascii="宋体" w:hAnsi="宋体"/>
          <w:color w:val="auto"/>
          <w:sz w:val="24"/>
          <w:szCs w:val="24"/>
          <w:highlight w:val="none"/>
        </w:rPr>
        <w:t>。</w:t>
      </w:r>
    </w:p>
    <w:p w14:paraId="2C1F469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7.8.2 发出中标通知书后，招标人无正当理由拒签合同，或在签订合同时向中标人提出附加条件的，招标人向中标人退还投标保证金；给中标人造成损失的，还应赔偿损失。</w:t>
      </w:r>
    </w:p>
    <w:p w14:paraId="11CBD75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7.8.3 （不适用）</w:t>
      </w:r>
    </w:p>
    <w:p w14:paraId="3BF3442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7.8.4 （不适用）</w:t>
      </w:r>
    </w:p>
    <w:p w14:paraId="1C7D43F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7.8.5 招标人和中标人在签订合同协议书的同时，须按照本招标文件规定的格式和要求签订廉政合同及安全生产合同，明确双方在廉政建设和安全生产方面的权利和义务以及应</w:t>
      </w:r>
      <w:r>
        <w:rPr>
          <w:rFonts w:hint="eastAsia" w:ascii="宋体" w:hAnsi="宋体"/>
          <w:color w:val="auto"/>
          <w:sz w:val="24"/>
          <w:szCs w:val="24"/>
          <w:highlight w:val="none"/>
          <w:lang w:eastAsia="zh-CN"/>
        </w:rPr>
        <w:t>承担的违约责任。</w:t>
      </w:r>
      <w:r>
        <w:rPr>
          <w:rFonts w:hint="eastAsia" w:ascii="宋体" w:hAnsi="宋体"/>
          <w:color w:val="auto"/>
          <w:sz w:val="24"/>
          <w:szCs w:val="24"/>
          <w:highlight w:val="none"/>
        </w:rPr>
        <w:t xml:space="preserve"> </w:t>
      </w:r>
    </w:p>
    <w:p w14:paraId="11BAED60">
      <w:pPr>
        <w:pStyle w:val="45"/>
        <w:spacing w:line="360" w:lineRule="auto"/>
        <w:rPr>
          <w:rFonts w:ascii="宋体" w:hAnsi="宋体" w:eastAsia="宋体"/>
          <w:b/>
          <w:color w:val="auto"/>
          <w:sz w:val="28"/>
          <w:szCs w:val="28"/>
          <w:highlight w:val="none"/>
        </w:rPr>
      </w:pPr>
      <w:bookmarkStart w:id="297" w:name="_Toc144974542"/>
      <w:bookmarkEnd w:id="297"/>
      <w:bookmarkStart w:id="298" w:name="_Toc152045574"/>
      <w:bookmarkEnd w:id="298"/>
      <w:bookmarkStart w:id="299" w:name="_Toc3038"/>
      <w:bookmarkEnd w:id="299"/>
      <w:bookmarkStart w:id="300" w:name="_Toc152042350"/>
      <w:bookmarkEnd w:id="300"/>
      <w:bookmarkStart w:id="301" w:name="_Toc179632592"/>
      <w:bookmarkEnd w:id="301"/>
      <w:bookmarkStart w:id="302" w:name="_Toc16778785"/>
      <w:bookmarkEnd w:id="302"/>
      <w:bookmarkStart w:id="303" w:name="_Toc27383"/>
      <w:r>
        <w:rPr>
          <w:rFonts w:hint="eastAsia" w:ascii="宋体" w:hAnsi="宋体" w:eastAsia="宋体"/>
          <w:b/>
          <w:color w:val="auto"/>
          <w:sz w:val="28"/>
          <w:szCs w:val="28"/>
          <w:highlight w:val="none"/>
          <w:lang w:val="en-US" w:eastAsia="zh-CN"/>
        </w:rPr>
        <w:t>8</w:t>
      </w:r>
      <w:r>
        <w:rPr>
          <w:rFonts w:hint="eastAsia" w:ascii="宋体" w:hAnsi="宋体" w:eastAsia="宋体"/>
          <w:b/>
          <w:color w:val="auto"/>
          <w:sz w:val="28"/>
          <w:szCs w:val="28"/>
          <w:highlight w:val="none"/>
        </w:rPr>
        <w:t>. 纪律和监督</w:t>
      </w:r>
      <w:bookmarkEnd w:id="303"/>
    </w:p>
    <w:p w14:paraId="0D939123">
      <w:pPr>
        <w:pStyle w:val="45"/>
        <w:spacing w:line="360" w:lineRule="auto"/>
        <w:rPr>
          <w:rFonts w:ascii="宋体" w:hAnsi="宋体" w:eastAsia="宋体"/>
          <w:b/>
          <w:color w:val="auto"/>
          <w:highlight w:val="none"/>
        </w:rPr>
      </w:pPr>
      <w:bookmarkStart w:id="304" w:name="_Toc144974543"/>
      <w:bookmarkEnd w:id="304"/>
      <w:bookmarkStart w:id="305" w:name="_Toc23769"/>
      <w:bookmarkEnd w:id="305"/>
      <w:bookmarkStart w:id="306" w:name="_Toc152042351"/>
      <w:bookmarkEnd w:id="306"/>
      <w:bookmarkStart w:id="307" w:name="_Toc152045575"/>
      <w:bookmarkEnd w:id="307"/>
      <w:bookmarkStart w:id="308" w:name="_Toc179632593"/>
      <w:bookmarkEnd w:id="308"/>
      <w:bookmarkStart w:id="309" w:name="_Toc16778786"/>
      <w:bookmarkEnd w:id="309"/>
      <w:bookmarkStart w:id="310" w:name="_Toc11094"/>
      <w:r>
        <w:rPr>
          <w:rFonts w:hint="eastAsia" w:ascii="宋体" w:hAnsi="宋体" w:eastAsia="宋体"/>
          <w:b/>
          <w:color w:val="auto"/>
          <w:highlight w:val="none"/>
          <w:lang w:val="en-US" w:eastAsia="zh-CN"/>
        </w:rPr>
        <w:t>8</w:t>
      </w:r>
      <w:r>
        <w:rPr>
          <w:rFonts w:hint="eastAsia" w:ascii="宋体" w:hAnsi="宋体" w:eastAsia="宋体"/>
          <w:b/>
          <w:color w:val="auto"/>
          <w:highlight w:val="none"/>
        </w:rPr>
        <w:t>.1 对招标人的纪律要求</w:t>
      </w:r>
      <w:bookmarkEnd w:id="310"/>
    </w:p>
    <w:p w14:paraId="148C1C62">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招标人不得泄漏招标投标活动中应当保密的情况和资料，不得与投标人串通损害国家利益、社会公共利益或者他人合法权益。</w:t>
      </w:r>
    </w:p>
    <w:p w14:paraId="250D3D38">
      <w:pPr>
        <w:pStyle w:val="45"/>
        <w:spacing w:line="360" w:lineRule="auto"/>
        <w:rPr>
          <w:rFonts w:ascii="宋体" w:hAnsi="宋体" w:eastAsia="宋体"/>
          <w:b/>
          <w:color w:val="auto"/>
          <w:highlight w:val="none"/>
        </w:rPr>
      </w:pPr>
      <w:bookmarkStart w:id="311" w:name="_Toc144974544"/>
      <w:bookmarkEnd w:id="311"/>
      <w:bookmarkStart w:id="312" w:name="_Toc179632594"/>
      <w:bookmarkEnd w:id="312"/>
      <w:bookmarkStart w:id="313" w:name="_Toc30704"/>
      <w:bookmarkEnd w:id="313"/>
      <w:bookmarkStart w:id="314" w:name="_Toc26629"/>
      <w:bookmarkEnd w:id="314"/>
      <w:bookmarkStart w:id="315" w:name="_Toc16778787"/>
      <w:bookmarkEnd w:id="315"/>
      <w:bookmarkStart w:id="316" w:name="_Toc152042352"/>
      <w:bookmarkEnd w:id="316"/>
      <w:bookmarkStart w:id="317" w:name="_Toc152045576"/>
      <w:r>
        <w:rPr>
          <w:rFonts w:hint="eastAsia" w:ascii="宋体" w:hAnsi="宋体" w:eastAsia="宋体"/>
          <w:b/>
          <w:color w:val="auto"/>
          <w:highlight w:val="none"/>
          <w:lang w:val="en-US" w:eastAsia="zh-CN"/>
        </w:rPr>
        <w:t>8</w:t>
      </w:r>
      <w:r>
        <w:rPr>
          <w:rFonts w:hint="eastAsia" w:ascii="宋体" w:hAnsi="宋体" w:eastAsia="宋体"/>
          <w:b/>
          <w:color w:val="auto"/>
          <w:highlight w:val="none"/>
        </w:rPr>
        <w:t>.2 对投标人的纪律要求</w:t>
      </w:r>
      <w:bookmarkEnd w:id="317"/>
    </w:p>
    <w:p w14:paraId="353E163F">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投标人不得相互串通投标或与招标人串通投标，不得向招标人或者评标委员会成员行贿谋取中标，不得以他人名义投标或以其他方式弄虚作假骗取中标；投标人不得以任何方式干扰、影响评标工作。</w:t>
      </w:r>
    </w:p>
    <w:p w14:paraId="63E44B50">
      <w:pPr>
        <w:pStyle w:val="45"/>
        <w:keepNext w:val="0"/>
        <w:keepLines w:val="0"/>
        <w:pageBreakBefore w:val="0"/>
        <w:widowControl w:val="0"/>
        <w:kinsoku/>
        <w:overflowPunct w:val="0"/>
        <w:topLinePunct w:val="0"/>
        <w:autoSpaceDE/>
        <w:autoSpaceDN/>
        <w:bidi w:val="0"/>
        <w:adjustRightInd/>
        <w:snapToGrid/>
        <w:spacing w:line="360" w:lineRule="auto"/>
        <w:textAlignment w:val="auto"/>
        <w:rPr>
          <w:rFonts w:ascii="宋体" w:hAnsi="宋体" w:eastAsia="宋体"/>
          <w:b/>
          <w:color w:val="auto"/>
          <w:highlight w:val="none"/>
        </w:rPr>
      </w:pPr>
      <w:bookmarkStart w:id="318" w:name="_Toc16778788"/>
      <w:bookmarkEnd w:id="318"/>
      <w:bookmarkStart w:id="319" w:name="_Toc179632595"/>
      <w:bookmarkEnd w:id="319"/>
      <w:bookmarkStart w:id="320" w:name="_Toc11173"/>
      <w:bookmarkEnd w:id="320"/>
      <w:bookmarkStart w:id="321" w:name="_Toc152045577"/>
      <w:bookmarkEnd w:id="321"/>
      <w:bookmarkStart w:id="322" w:name="_Toc144974545"/>
      <w:bookmarkEnd w:id="322"/>
      <w:bookmarkStart w:id="323" w:name="_Toc23529"/>
      <w:bookmarkEnd w:id="323"/>
      <w:bookmarkStart w:id="324" w:name="_Toc152042353"/>
      <w:r>
        <w:rPr>
          <w:rFonts w:hint="eastAsia" w:ascii="宋体" w:hAnsi="宋体" w:eastAsia="宋体"/>
          <w:b/>
          <w:color w:val="auto"/>
          <w:highlight w:val="none"/>
          <w:lang w:val="en-US" w:eastAsia="zh-CN"/>
        </w:rPr>
        <w:t>8</w:t>
      </w:r>
      <w:r>
        <w:rPr>
          <w:rFonts w:hint="eastAsia" w:ascii="宋体" w:hAnsi="宋体" w:eastAsia="宋体"/>
          <w:b/>
          <w:color w:val="auto"/>
          <w:highlight w:val="none"/>
        </w:rPr>
        <w:t>.3 对评标委员会成员的纪律要求</w:t>
      </w:r>
      <w:bookmarkEnd w:id="324"/>
    </w:p>
    <w:p w14:paraId="7CF4267F">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评标委员会成员不得收受他人的财物或其他好处</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56BE65E7">
      <w:pPr>
        <w:pStyle w:val="45"/>
        <w:keepNext w:val="0"/>
        <w:keepLines w:val="0"/>
        <w:pageBreakBefore w:val="0"/>
        <w:widowControl w:val="0"/>
        <w:kinsoku/>
        <w:overflowPunct w:val="0"/>
        <w:topLinePunct w:val="0"/>
        <w:autoSpaceDE/>
        <w:autoSpaceDN/>
        <w:bidi w:val="0"/>
        <w:adjustRightInd/>
        <w:snapToGrid/>
        <w:spacing w:line="360" w:lineRule="auto"/>
        <w:textAlignment w:val="auto"/>
        <w:rPr>
          <w:rFonts w:ascii="宋体" w:hAnsi="宋体" w:eastAsia="宋体"/>
          <w:b/>
          <w:color w:val="auto"/>
          <w:highlight w:val="none"/>
        </w:rPr>
      </w:pPr>
      <w:bookmarkStart w:id="325" w:name="_Toc14833"/>
      <w:bookmarkEnd w:id="325"/>
      <w:bookmarkStart w:id="326" w:name="_Toc21229"/>
      <w:bookmarkEnd w:id="326"/>
      <w:bookmarkStart w:id="327" w:name="_Toc152042354"/>
      <w:bookmarkEnd w:id="327"/>
      <w:bookmarkStart w:id="328" w:name="_Toc144974546"/>
      <w:bookmarkEnd w:id="328"/>
      <w:bookmarkStart w:id="329" w:name="_Toc179632596"/>
      <w:bookmarkEnd w:id="329"/>
      <w:bookmarkStart w:id="330" w:name="_Toc152045578"/>
      <w:bookmarkEnd w:id="330"/>
      <w:bookmarkStart w:id="331" w:name="_Toc16778789"/>
      <w:r>
        <w:rPr>
          <w:rFonts w:hint="eastAsia" w:ascii="宋体" w:hAnsi="宋体" w:eastAsia="宋体"/>
          <w:b/>
          <w:color w:val="auto"/>
          <w:highlight w:val="none"/>
          <w:lang w:val="en-US" w:eastAsia="zh-CN"/>
        </w:rPr>
        <w:t>8</w:t>
      </w:r>
      <w:r>
        <w:rPr>
          <w:rFonts w:hint="eastAsia" w:ascii="宋体" w:hAnsi="宋体" w:eastAsia="宋体"/>
          <w:b/>
          <w:color w:val="auto"/>
          <w:highlight w:val="none"/>
        </w:rPr>
        <w:t>.4 对与评标活动有关的工作人员的纪律要求</w:t>
      </w:r>
      <w:bookmarkEnd w:id="331"/>
    </w:p>
    <w:p w14:paraId="163CD823">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bookmarkStart w:id="332" w:name="_Toc152042355"/>
      <w:bookmarkEnd w:id="332"/>
      <w:r>
        <w:rPr>
          <w:rFonts w:hint="eastAsia" w:ascii="宋体" w:hAnsi="宋体"/>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730CF9E">
      <w:pPr>
        <w:pStyle w:val="45"/>
        <w:keepNext w:val="0"/>
        <w:keepLines w:val="0"/>
        <w:pageBreakBefore w:val="0"/>
        <w:widowControl w:val="0"/>
        <w:kinsoku/>
        <w:overflowPunct w:val="0"/>
        <w:topLinePunct w:val="0"/>
        <w:autoSpaceDE/>
        <w:autoSpaceDN/>
        <w:bidi w:val="0"/>
        <w:adjustRightInd/>
        <w:snapToGrid/>
        <w:spacing w:line="360" w:lineRule="auto"/>
        <w:textAlignment w:val="auto"/>
        <w:rPr>
          <w:rFonts w:ascii="宋体" w:hAnsi="宋体" w:eastAsia="宋体"/>
          <w:b/>
          <w:color w:val="auto"/>
          <w:highlight w:val="none"/>
        </w:rPr>
      </w:pPr>
      <w:bookmarkStart w:id="333" w:name="_Toc152045579"/>
      <w:bookmarkEnd w:id="333"/>
      <w:bookmarkStart w:id="334" w:name="_Toc152042356"/>
      <w:bookmarkEnd w:id="334"/>
      <w:bookmarkStart w:id="335" w:name="_Toc16778790"/>
      <w:bookmarkEnd w:id="335"/>
      <w:bookmarkStart w:id="336" w:name="_Toc17647"/>
      <w:bookmarkEnd w:id="336"/>
      <w:bookmarkStart w:id="337" w:name="_Toc10515"/>
      <w:bookmarkEnd w:id="337"/>
      <w:bookmarkStart w:id="338" w:name="_Toc179632597"/>
      <w:r>
        <w:rPr>
          <w:rFonts w:hint="eastAsia" w:ascii="宋体" w:hAnsi="宋体" w:eastAsia="宋体"/>
          <w:b/>
          <w:color w:val="auto"/>
          <w:highlight w:val="none"/>
          <w:lang w:val="en-US" w:eastAsia="zh-CN"/>
        </w:rPr>
        <w:t>8</w:t>
      </w:r>
      <w:r>
        <w:rPr>
          <w:rFonts w:hint="eastAsia" w:ascii="宋体" w:hAnsi="宋体" w:eastAsia="宋体"/>
          <w:b/>
          <w:color w:val="auto"/>
          <w:highlight w:val="none"/>
        </w:rPr>
        <w:t>.5 投诉</w:t>
      </w:r>
      <w:bookmarkEnd w:id="338"/>
    </w:p>
    <w:p w14:paraId="53FA6A63">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.5.1 投标人或其他利害关系人认为招标投标活动不符合法律、行政法规规定的，可以自知道或应当知道之日起10日内向有关行政监督部门投诉。投诉应有明确的请求和必要的证明材料。</w:t>
      </w:r>
    </w:p>
    <w:p w14:paraId="480070A1">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监督部门的联系方式见投标人须知前附表。</w:t>
      </w:r>
    </w:p>
    <w:p w14:paraId="4466F4C9">
      <w:pPr>
        <w:keepNext w:val="0"/>
        <w:keepLines w:val="0"/>
        <w:pageBreakBefore w:val="0"/>
        <w:widowControl w:val="0"/>
        <w:kinsoku/>
        <w:wordWrap w:val="0"/>
        <w:overflowPunct w:val="0"/>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.5.2 投标人或其他利害关系人对招标文件、开标和评标结果提出投诉的，应按照本章第2.4款、第5.3款和第7.2款的规定先向招标人提出异议。异议答复期间不计算在第</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.5.1项规定的期限内。</w:t>
      </w:r>
    </w:p>
    <w:p w14:paraId="0F4F2343">
      <w:pPr>
        <w:pStyle w:val="21"/>
        <w:keepNext w:val="0"/>
        <w:keepLines w:val="0"/>
        <w:pageBreakBefore w:val="0"/>
        <w:widowControl w:val="0"/>
        <w:kinsoku/>
        <w:topLinePunct w:val="0"/>
        <w:autoSpaceDE/>
        <w:autoSpaceDN/>
        <w:bidi w:val="0"/>
        <w:adjustRightInd/>
        <w:snapToGrid/>
        <w:spacing w:line="360" w:lineRule="auto"/>
        <w:ind w:left="0" w:leftChars="0" w:firstLine="0" w:firstLineChars="0"/>
        <w:textAlignment w:val="auto"/>
        <w:rPr>
          <w:rFonts w:hint="eastAsia" w:ascii="宋体"/>
          <w:b/>
          <w:color w:val="auto"/>
          <w:sz w:val="28"/>
          <w:szCs w:val="28"/>
          <w:highlight w:val="none"/>
          <w:lang w:val="en-US" w:eastAsia="zh-CN"/>
        </w:rPr>
      </w:pPr>
      <w:r>
        <w:rPr>
          <w:rFonts w:hint="eastAsia" w:ascii="宋体"/>
          <w:b/>
          <w:color w:val="auto"/>
          <w:sz w:val="28"/>
          <w:szCs w:val="28"/>
          <w:highlight w:val="none"/>
          <w:lang w:val="en-US" w:eastAsia="zh-CN"/>
        </w:rPr>
        <w:t>9</w:t>
      </w:r>
      <w:r>
        <w:rPr>
          <w:rFonts w:hint="eastAsia" w:ascii="宋体" w:hAnsi="宋体" w:eastAsia="宋体"/>
          <w:b/>
          <w:color w:val="auto"/>
          <w:sz w:val="28"/>
          <w:szCs w:val="28"/>
          <w:highlight w:val="none"/>
        </w:rPr>
        <w:t>.</w:t>
      </w:r>
      <w:r>
        <w:rPr>
          <w:rFonts w:hint="eastAsia" w:ascii="宋体"/>
          <w:b/>
          <w:color w:val="auto"/>
          <w:sz w:val="28"/>
          <w:szCs w:val="28"/>
          <w:highlight w:val="none"/>
          <w:lang w:val="en-US" w:eastAsia="zh-CN"/>
        </w:rPr>
        <w:t xml:space="preserve"> 是否采用电子招标投标</w:t>
      </w:r>
    </w:p>
    <w:p w14:paraId="717F29BC">
      <w:pPr>
        <w:keepNext w:val="0"/>
        <w:keepLines w:val="0"/>
        <w:pageBreakBefore w:val="0"/>
        <w:widowControl w:val="0"/>
        <w:kinsoku/>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sz w:val="24"/>
          <w:szCs w:val="24"/>
          <w:highlight w:val="none"/>
          <w:lang w:val="en-US" w:eastAsia="zh-CN"/>
        </w:rPr>
        <w:t>本招标项目是否采用电子招标投标方式，见投标人须知前附表。</w:t>
      </w:r>
    </w:p>
    <w:p w14:paraId="50CD4BC8">
      <w:pPr>
        <w:pStyle w:val="45"/>
        <w:keepNext w:val="0"/>
        <w:keepLines w:val="0"/>
        <w:pageBreakBefore w:val="0"/>
        <w:widowControl w:val="0"/>
        <w:numPr>
          <w:ilvl w:val="0"/>
          <w:numId w:val="1"/>
        </w:numPr>
        <w:kinsoku/>
        <w:wordWrap w:val="0"/>
        <w:overflowPunct w:val="0"/>
        <w:topLinePunct w:val="0"/>
        <w:autoSpaceDE/>
        <w:autoSpaceDN/>
        <w:bidi w:val="0"/>
        <w:adjustRightInd/>
        <w:snapToGrid/>
        <w:spacing w:line="360" w:lineRule="auto"/>
        <w:textAlignment w:val="auto"/>
        <w:rPr>
          <w:rFonts w:hint="eastAsia" w:ascii="宋体" w:hAnsi="宋体" w:eastAsia="宋体"/>
          <w:b/>
          <w:color w:val="auto"/>
          <w:sz w:val="28"/>
          <w:szCs w:val="28"/>
          <w:highlight w:val="none"/>
        </w:rPr>
      </w:pPr>
      <w:bookmarkStart w:id="339" w:name="_Toc6998"/>
      <w:bookmarkEnd w:id="339"/>
      <w:bookmarkStart w:id="340" w:name="_Toc179632598"/>
      <w:bookmarkEnd w:id="340"/>
      <w:bookmarkStart w:id="341" w:name="_Toc152042357"/>
      <w:bookmarkEnd w:id="341"/>
      <w:bookmarkStart w:id="342" w:name="_Toc16778792"/>
      <w:bookmarkEnd w:id="342"/>
      <w:bookmarkStart w:id="343" w:name="_Toc152045580"/>
      <w:bookmarkEnd w:id="343"/>
      <w:bookmarkStart w:id="344" w:name="_Toc11240"/>
      <w:bookmarkEnd w:id="344"/>
      <w:bookmarkStart w:id="345" w:name="_Toc7262"/>
      <w:bookmarkEnd w:id="345"/>
      <w:bookmarkStart w:id="346" w:name="_Toc144974547"/>
      <w:bookmarkEnd w:id="346"/>
      <w:bookmarkStart w:id="347" w:name="_Toc14738"/>
      <w:r>
        <w:rPr>
          <w:rFonts w:hint="eastAsia" w:ascii="宋体" w:hAnsi="宋体" w:eastAsia="宋体"/>
          <w:b/>
          <w:color w:val="auto"/>
          <w:sz w:val="28"/>
          <w:szCs w:val="28"/>
          <w:highlight w:val="none"/>
        </w:rPr>
        <w:t>需要补充的内容</w:t>
      </w:r>
      <w:bookmarkEnd w:id="347"/>
    </w:p>
    <w:p w14:paraId="6781E6EA">
      <w:pPr>
        <w:pStyle w:val="45"/>
        <w:keepNext w:val="0"/>
        <w:keepLines w:val="0"/>
        <w:pageBreakBefore w:val="0"/>
        <w:widowControl w:val="0"/>
        <w:numPr>
          <w:ilvl w:val="0"/>
          <w:numId w:val="0"/>
        </w:numPr>
        <w:kinsoku/>
        <w:wordWrap w:val="0"/>
        <w:overflowPunct w:val="0"/>
        <w:topLinePunct w:val="0"/>
        <w:autoSpaceDE/>
        <w:autoSpaceDN/>
        <w:bidi w:val="0"/>
        <w:adjustRightInd/>
        <w:snapToGrid/>
        <w:spacing w:line="360" w:lineRule="auto"/>
        <w:ind w:leftChars="0" w:firstLine="480" w:firstLineChars="200"/>
        <w:textAlignment w:val="auto"/>
        <w:rPr>
          <w:rFonts w:hint="eastAsia" w:ascii="宋体" w:hAnsi="宋体" w:eastAsia="宋体" w:cs="Times New Roman"/>
          <w:b w:val="0"/>
          <w:bCs w:val="0"/>
          <w:color w:val="auto"/>
          <w:kern w:val="2"/>
          <w:sz w:val="24"/>
          <w:szCs w:val="24"/>
          <w:highlight w:val="none"/>
          <w:lang w:val="en-US" w:eastAsia="zh-CN" w:bidi="ar-SA"/>
        </w:rPr>
      </w:pPr>
      <w:r>
        <w:rPr>
          <w:rFonts w:hint="eastAsia" w:ascii="宋体" w:hAnsi="宋体" w:eastAsia="宋体" w:cs="Times New Roman"/>
          <w:b w:val="0"/>
          <w:bCs w:val="0"/>
          <w:color w:val="auto"/>
          <w:kern w:val="2"/>
          <w:sz w:val="24"/>
          <w:szCs w:val="24"/>
          <w:highlight w:val="none"/>
          <w:lang w:val="en-US" w:eastAsia="zh-CN" w:bidi="ar-SA"/>
        </w:rPr>
        <w:t>10.1自购买招标文件之日起，投标人应保证其提供的联系方式（电话、传真、 电子邮件）一直有效，以便及时收到招标人发出的函件（招标文件的澄清、修改等)，并应及时向招标人反馈信息，否则招标人不承担由此引起的一切后果。</w:t>
      </w:r>
    </w:p>
    <w:p w14:paraId="2C8CE16D">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hint="eastAsia" w:ascii="宋体" w:hAnsi="宋体" w:cs="Times New Roman"/>
          <w:color w:val="auto"/>
          <w:sz w:val="24"/>
          <w:szCs w:val="24"/>
          <w:highlight w:val="none"/>
        </w:rPr>
      </w:pPr>
      <w:bookmarkStart w:id="348" w:name="_Toc409717261"/>
      <w:bookmarkEnd w:id="348"/>
      <w:bookmarkStart w:id="349" w:name="_Toc179632599"/>
      <w:bookmarkEnd w:id="349"/>
      <w:bookmarkStart w:id="350" w:name="_Toc462165688"/>
      <w:bookmarkEnd w:id="350"/>
      <w:bookmarkStart w:id="351" w:name="_Toc503884973"/>
      <w:bookmarkEnd w:id="351"/>
      <w:bookmarkStart w:id="352" w:name="_Toc152045581"/>
      <w:bookmarkEnd w:id="352"/>
      <w:bookmarkStart w:id="353" w:name="_Toc503271363"/>
      <w:bookmarkEnd w:id="353"/>
      <w:bookmarkStart w:id="354" w:name="_Toc494383751"/>
      <w:bookmarkEnd w:id="354"/>
      <w:bookmarkStart w:id="355" w:name="_Toc351044531"/>
      <w:bookmarkEnd w:id="355"/>
      <w:bookmarkStart w:id="356" w:name="_Toc144974548"/>
      <w:bookmarkEnd w:id="356"/>
      <w:bookmarkStart w:id="357" w:name="_Toc409440057"/>
      <w:r>
        <w:rPr>
          <w:rFonts w:hint="eastAsia" w:ascii="宋体" w:hAnsi="宋体" w:cs="Times New Roman"/>
          <w:color w:val="auto"/>
          <w:sz w:val="24"/>
          <w:szCs w:val="24"/>
          <w:highlight w:val="none"/>
        </w:rPr>
        <w:t>需要补充的其他内容:见投标人须知前附表。</w:t>
      </w:r>
    </w:p>
    <w:bookmarkEnd w:id="357"/>
    <w:p w14:paraId="7F57FF19">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0348D5BB">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7313411E">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177BA199">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5DDC4C2F">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687EBAB0">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br w:type="page"/>
      </w:r>
    </w:p>
    <w:p w14:paraId="0B8CD4CC">
      <w:pPr>
        <w:pStyle w:val="45"/>
        <w:outlineLvl w:val="1"/>
        <w:rPr>
          <w:rFonts w:ascii="宋体" w:hAnsi="宋体" w:eastAsia="宋体"/>
          <w:b/>
          <w:color w:val="auto"/>
          <w:sz w:val="28"/>
          <w:szCs w:val="28"/>
          <w:highlight w:val="none"/>
        </w:rPr>
      </w:pPr>
      <w:r>
        <w:rPr>
          <w:rFonts w:hint="eastAsia" w:ascii="宋体" w:hAnsi="宋体" w:eastAsia="宋体"/>
          <w:b/>
          <w:color w:val="auto"/>
          <w:sz w:val="28"/>
          <w:szCs w:val="28"/>
          <w:highlight w:val="none"/>
        </w:rPr>
        <w:t>附件</w:t>
      </w:r>
      <w:r>
        <w:rPr>
          <w:rFonts w:hint="eastAsia" w:ascii="宋体" w:hAnsi="宋体" w:eastAsia="宋体"/>
          <w:b/>
          <w:color w:val="auto"/>
          <w:sz w:val="28"/>
          <w:szCs w:val="28"/>
          <w:highlight w:val="none"/>
          <w:lang w:eastAsia="zh-CN"/>
        </w:rPr>
        <w:t>一</w:t>
      </w:r>
      <w:r>
        <w:rPr>
          <w:rFonts w:hint="eastAsia" w:ascii="宋体" w:hAnsi="宋体" w:eastAsia="宋体"/>
          <w:b/>
          <w:color w:val="auto"/>
          <w:sz w:val="28"/>
          <w:szCs w:val="28"/>
          <w:highlight w:val="none"/>
        </w:rPr>
        <w:t xml:space="preserve"> 问题澄清通知</w:t>
      </w:r>
    </w:p>
    <w:p w14:paraId="0928228C">
      <w:pPr>
        <w:spacing w:line="440" w:lineRule="exact"/>
        <w:jc w:val="center"/>
        <w:rPr>
          <w:rFonts w:ascii="宋体" w:hAnsi="宋体"/>
          <w:color w:val="auto"/>
          <w:highlight w:val="none"/>
        </w:rPr>
      </w:pPr>
      <w:r>
        <w:rPr>
          <w:rFonts w:hint="eastAsia" w:ascii="宋体" w:hAnsi="宋体"/>
          <w:color w:val="auto"/>
          <w:highlight w:val="none"/>
        </w:rPr>
        <w:t xml:space="preserve"> </w:t>
      </w:r>
    </w:p>
    <w:p w14:paraId="787331AA">
      <w:pPr>
        <w:spacing w:line="440" w:lineRule="exact"/>
        <w:jc w:val="center"/>
        <w:rPr>
          <w:rFonts w:ascii="宋体" w:hAnsi="宋体"/>
          <w:b/>
          <w:color w:val="auto"/>
          <w:sz w:val="32"/>
          <w:szCs w:val="32"/>
          <w:highlight w:val="none"/>
        </w:rPr>
      </w:pPr>
      <w:r>
        <w:rPr>
          <w:rFonts w:hint="eastAsia" w:ascii="宋体" w:hAnsi="宋体"/>
          <w:b/>
          <w:color w:val="auto"/>
          <w:sz w:val="32"/>
          <w:szCs w:val="32"/>
          <w:highlight w:val="none"/>
        </w:rPr>
        <w:t>问题澄清通知</w:t>
      </w:r>
    </w:p>
    <w:p w14:paraId="78C4717D">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7766578">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5519F83B">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w:t>
      </w:r>
    </w:p>
    <w:p w14:paraId="79BDB3A6">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3F15E49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标段施工招标的评标委员会，对你方的投标文件进行了仔细的审查，现需你方对下列问题以书面形式予以澄清或说明：</w:t>
      </w:r>
    </w:p>
    <w:p w14:paraId="2655DF11">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6559E29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p>
    <w:p w14:paraId="56A41EA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p>
    <w:p w14:paraId="71E3255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5C91623A">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67CA025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请将上述问题的澄清或说明于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时</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分前递交至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（详细地址）或传真至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（传真号码）。采用传真方式的，应在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时</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分前将原件递交至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（详细地址）。</w:t>
      </w:r>
    </w:p>
    <w:p w14:paraId="529A4FE9">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31708AB8">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3D18FD03">
      <w:pPr>
        <w:spacing w:line="360" w:lineRule="auto"/>
        <w:ind w:firstLine="240" w:firstLineChars="100"/>
        <w:jc w:val="right"/>
        <w:rPr>
          <w:rFonts w:ascii="宋体" w:hAnsi="宋体"/>
          <w:color w:val="auto"/>
          <w:sz w:val="24"/>
          <w:szCs w:val="24"/>
          <w:highlight w:val="none"/>
        </w:rPr>
      </w:pPr>
      <w:r>
        <w:rPr>
          <w:rFonts w:hint="eastAsia" w:ascii="宋体" w:hAnsi="宋体"/>
          <w:color w:val="auto"/>
          <w:sz w:val="24"/>
          <w:szCs w:val="24"/>
          <w:highlight w:val="none"/>
        </w:rPr>
        <w:t>评标委员会授权的招标人或招标代理机构：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（签字或盖单位章）</w:t>
      </w:r>
    </w:p>
    <w:p w14:paraId="490704A7">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7F5726DA">
      <w:pPr>
        <w:spacing w:line="360" w:lineRule="auto"/>
        <w:ind w:firstLine="4440" w:firstLineChars="1850"/>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169B3847">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358" w:name="_Toc144974550"/>
      <w:bookmarkEnd w:id="358"/>
      <w:bookmarkStart w:id="359" w:name="_Toc16778795"/>
      <w:bookmarkEnd w:id="359"/>
      <w:bookmarkStart w:id="360" w:name="_Toc11455"/>
      <w:bookmarkEnd w:id="360"/>
      <w:bookmarkStart w:id="361" w:name="_Toc179632601"/>
      <w:bookmarkEnd w:id="361"/>
      <w:bookmarkStart w:id="362" w:name="_Toc152045583"/>
      <w:bookmarkEnd w:id="362"/>
      <w:bookmarkStart w:id="363" w:name="_Toc3907"/>
    </w:p>
    <w:p w14:paraId="0E37B500">
      <w:pPr>
        <w:rPr>
          <w:rFonts w:hint="eastAsia" w:ascii="宋体" w:hAnsi="宋体"/>
          <w:color w:val="auto"/>
          <w:sz w:val="24"/>
          <w:szCs w:val="24"/>
          <w:highlight w:val="none"/>
        </w:rPr>
      </w:pPr>
      <w:r>
        <w:rPr>
          <w:rFonts w:hint="eastAsia" w:ascii="宋体" w:hAnsi="宋体"/>
          <w:color w:val="auto"/>
          <w:sz w:val="24"/>
          <w:szCs w:val="24"/>
          <w:highlight w:val="none"/>
        </w:rPr>
        <w:br w:type="page"/>
      </w:r>
    </w:p>
    <w:p w14:paraId="55B68F49">
      <w:pPr>
        <w:spacing w:line="400" w:lineRule="exact"/>
        <w:rPr>
          <w:rFonts w:ascii="宋体" w:hAnsi="宋体" w:eastAsia="宋体"/>
          <w:b/>
          <w:color w:val="auto"/>
          <w:sz w:val="28"/>
          <w:szCs w:val="28"/>
          <w:highlight w:val="none"/>
        </w:rPr>
      </w:pPr>
      <w:r>
        <w:rPr>
          <w:rFonts w:hint="eastAsia" w:ascii="宋体" w:hAnsi="宋体" w:eastAsia="宋体"/>
          <w:b/>
          <w:color w:val="auto"/>
          <w:sz w:val="28"/>
          <w:szCs w:val="28"/>
          <w:highlight w:val="none"/>
        </w:rPr>
        <w:t>附件</w:t>
      </w:r>
      <w:bookmarkEnd w:id="363"/>
      <w:r>
        <w:rPr>
          <w:rFonts w:hint="eastAsia" w:ascii="宋体" w:hAnsi="宋体" w:eastAsia="宋体"/>
          <w:b/>
          <w:color w:val="auto"/>
          <w:sz w:val="28"/>
          <w:szCs w:val="28"/>
          <w:highlight w:val="none"/>
          <w:lang w:eastAsia="zh-CN"/>
        </w:rPr>
        <w:t>二</w:t>
      </w:r>
      <w:r>
        <w:rPr>
          <w:rFonts w:hint="eastAsia" w:ascii="宋体" w:hAnsi="宋体" w:eastAsia="宋体"/>
          <w:b/>
          <w:color w:val="auto"/>
          <w:sz w:val="28"/>
          <w:szCs w:val="28"/>
          <w:highlight w:val="none"/>
        </w:rPr>
        <w:t xml:space="preserve">  问题的澄清</w:t>
      </w:r>
    </w:p>
    <w:p w14:paraId="5FFD0C40">
      <w:pPr>
        <w:spacing w:line="400" w:lineRule="exact"/>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51A64DAE">
      <w:pPr>
        <w:spacing w:line="400" w:lineRule="exact"/>
        <w:jc w:val="center"/>
        <w:rPr>
          <w:rFonts w:ascii="宋体" w:hAnsi="宋体"/>
          <w:b/>
          <w:color w:val="auto"/>
          <w:sz w:val="32"/>
          <w:szCs w:val="32"/>
          <w:highlight w:val="none"/>
        </w:rPr>
      </w:pPr>
      <w:r>
        <w:rPr>
          <w:rFonts w:hint="eastAsia" w:ascii="宋体" w:hAnsi="宋体"/>
          <w:b/>
          <w:color w:val="auto"/>
          <w:sz w:val="32"/>
          <w:szCs w:val="32"/>
          <w:highlight w:val="none"/>
        </w:rPr>
        <w:t>问题的澄清</w:t>
      </w:r>
    </w:p>
    <w:p w14:paraId="65C1134E">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B0CE24A">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p>
    <w:p w14:paraId="190B6481">
      <w:pPr>
        <w:spacing w:line="440" w:lineRule="exact"/>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标段施工招标评标委员会：</w:t>
      </w:r>
    </w:p>
    <w:p w14:paraId="5D8582D1">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2F075DB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问题澄清通知（编号：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）已收悉，现澄清、说明如下：</w:t>
      </w:r>
    </w:p>
    <w:p w14:paraId="0B748A3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p>
    <w:p w14:paraId="2523BE2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p>
    <w:p w14:paraId="2E41BD6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61B8082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p>
    <w:p w14:paraId="5675078E">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p>
    <w:p w14:paraId="60BC050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上述问题澄清或说明，不改变我方投标文件的实质性内容，构成我方投标文件的组成部分。</w:t>
      </w:r>
    </w:p>
    <w:p w14:paraId="556D9471">
      <w:pPr>
        <w:spacing w:line="440" w:lineRule="exact"/>
        <w:ind w:firstLine="3720" w:firstLineChars="1550"/>
        <w:rPr>
          <w:rFonts w:ascii="宋体" w:hAnsi="宋体"/>
          <w:color w:val="auto"/>
          <w:sz w:val="24"/>
          <w:szCs w:val="24"/>
          <w:highlight w:val="none"/>
        </w:rPr>
      </w:pPr>
      <w:r>
        <w:rPr>
          <w:rFonts w:hint="eastAsia" w:ascii="宋体" w:hAnsi="宋体"/>
          <w:color w:val="auto"/>
          <w:sz w:val="24"/>
          <w:szCs w:val="24"/>
          <w:highlight w:val="none"/>
        </w:rPr>
        <w:t xml:space="preserve"> </w:t>
      </w:r>
    </w:p>
    <w:p w14:paraId="072AD9D4">
      <w:pPr>
        <w:spacing w:line="440" w:lineRule="exact"/>
        <w:ind w:firstLine="3720" w:firstLineChars="1550"/>
        <w:rPr>
          <w:rFonts w:ascii="宋体" w:hAnsi="宋体"/>
          <w:color w:val="auto"/>
          <w:sz w:val="24"/>
          <w:szCs w:val="24"/>
          <w:highlight w:val="none"/>
        </w:rPr>
      </w:pPr>
      <w:r>
        <w:rPr>
          <w:rFonts w:hint="eastAsia" w:ascii="宋体" w:hAnsi="宋体"/>
          <w:color w:val="auto"/>
          <w:sz w:val="24"/>
          <w:szCs w:val="24"/>
          <w:highlight w:val="none"/>
        </w:rPr>
        <w:t>投标人：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w:t>
      </w:r>
    </w:p>
    <w:p w14:paraId="3EBF887C">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p>
    <w:p w14:paraId="06306698">
      <w:pPr>
        <w:spacing w:line="440" w:lineRule="exact"/>
        <w:ind w:firstLine="3720" w:firstLineChars="1550"/>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1B9ED552">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p>
    <w:p w14:paraId="72448310">
      <w:pPr>
        <w:spacing w:line="400" w:lineRule="exact"/>
        <w:jc w:val="right"/>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2D9EE65F">
      <w:pPr>
        <w:spacing w:line="400" w:lineRule="exact"/>
        <w:rPr>
          <w:rFonts w:ascii="宋体" w:hAnsi="宋体"/>
          <w:color w:val="auto"/>
          <w:highlight w:val="none"/>
        </w:rPr>
      </w:pPr>
      <w:r>
        <w:rPr>
          <w:rFonts w:hint="eastAsia" w:ascii="宋体" w:hAnsi="宋体"/>
          <w:color w:val="auto"/>
          <w:highlight w:val="none"/>
        </w:rPr>
        <w:t xml:space="preserve"> </w:t>
      </w:r>
    </w:p>
    <w:p w14:paraId="491DE084">
      <w:pPr>
        <w:adjustRightInd w:val="0"/>
        <w:snapToGrid w:val="0"/>
        <w:spacing w:line="360" w:lineRule="auto"/>
        <w:ind w:firstLine="420" w:firstLineChars="200"/>
        <w:jc w:val="center"/>
        <w:rPr>
          <w:rFonts w:ascii="宋体" w:hAnsi="宋体"/>
          <w:color w:val="auto"/>
          <w:sz w:val="24"/>
          <w:szCs w:val="24"/>
          <w:highlight w:val="none"/>
        </w:rPr>
      </w:pPr>
      <w:bookmarkStart w:id="364" w:name="_Toc179632602"/>
      <w:bookmarkEnd w:id="364"/>
      <w:bookmarkStart w:id="365" w:name="_Toc152045584"/>
      <w:bookmarkEnd w:id="365"/>
      <w:bookmarkStart w:id="366" w:name="_Toc152042361"/>
      <w:bookmarkEnd w:id="366"/>
      <w:bookmarkStart w:id="367" w:name="_Toc144974551"/>
      <w:r>
        <w:rPr>
          <w:rFonts w:hint="eastAsia" w:ascii="宋体" w:hAnsi="宋体"/>
          <w:color w:val="auto"/>
          <w:highlight w:val="none"/>
        </w:rPr>
        <w:br w:type="page"/>
      </w:r>
      <w:bookmarkEnd w:id="367"/>
    </w:p>
    <w:p w14:paraId="21373BC2">
      <w:pPr>
        <w:jc w:val="center"/>
        <w:rPr>
          <w:rFonts w:hint="eastAsia"/>
          <w:color w:val="auto"/>
          <w:highlight w:val="none"/>
        </w:rPr>
      </w:pPr>
      <w:r>
        <w:rPr>
          <w:rFonts w:hint="eastAsia" w:ascii="宋体" w:hAnsi="宋体"/>
          <w:b/>
          <w:color w:val="auto"/>
          <w:kern w:val="44"/>
          <w:sz w:val="44"/>
          <w:szCs w:val="44"/>
          <w:highlight w:val="none"/>
        </w:rPr>
        <w:t>第三章  评标办法（</w:t>
      </w:r>
      <w:r>
        <w:rPr>
          <w:rFonts w:hint="eastAsia" w:ascii="宋体" w:hAnsi="宋体"/>
          <w:b/>
          <w:color w:val="auto"/>
          <w:kern w:val="44"/>
          <w:sz w:val="44"/>
          <w:szCs w:val="44"/>
          <w:highlight w:val="none"/>
          <w:lang w:val="en-US" w:eastAsia="zh-CN"/>
        </w:rPr>
        <w:t>合理低价法</w:t>
      </w:r>
      <w:r>
        <w:rPr>
          <w:rFonts w:hint="eastAsia" w:ascii="宋体" w:hAnsi="宋体"/>
          <w:b/>
          <w:color w:val="auto"/>
          <w:kern w:val="44"/>
          <w:sz w:val="44"/>
          <w:szCs w:val="44"/>
          <w:highlight w:val="none"/>
        </w:rPr>
        <w:t>）</w:t>
      </w:r>
    </w:p>
    <w:p w14:paraId="041AF974">
      <w:pPr>
        <w:pStyle w:val="43"/>
        <w:keepNext w:val="0"/>
        <w:keepLines w:val="0"/>
        <w:pageBreakBefore w:val="0"/>
        <w:widowControl w:val="0"/>
        <w:kinsoku/>
        <w:wordWrap/>
        <w:overflowPunct/>
        <w:topLinePunct w:val="0"/>
        <w:autoSpaceDE w:val="0"/>
        <w:autoSpaceDN w:val="0"/>
        <w:bidi w:val="0"/>
        <w:adjustRightInd w:val="0"/>
        <w:snapToGrid/>
        <w:spacing w:before="0" w:beforeLines="100" w:line="360" w:lineRule="auto"/>
        <w:jc w:val="center"/>
        <w:textAlignment w:val="auto"/>
        <w:outlineLvl w:val="1"/>
        <w:rPr>
          <w:rFonts w:hAnsi="宋体"/>
          <w:b/>
          <w:color w:val="auto"/>
          <w:sz w:val="28"/>
          <w:szCs w:val="28"/>
          <w:highlight w:val="none"/>
        </w:rPr>
      </w:pPr>
      <w:bookmarkStart w:id="368" w:name="_Toc14911"/>
      <w:bookmarkEnd w:id="368"/>
      <w:bookmarkStart w:id="369" w:name="_Toc272772605"/>
      <w:bookmarkEnd w:id="369"/>
      <w:bookmarkStart w:id="370" w:name="_Toc16778799"/>
      <w:bookmarkEnd w:id="370"/>
      <w:bookmarkStart w:id="371" w:name="_Toc341721583"/>
      <w:bookmarkEnd w:id="371"/>
      <w:bookmarkStart w:id="372" w:name="_Toc608"/>
      <w:bookmarkEnd w:id="372"/>
      <w:bookmarkStart w:id="373" w:name="_Toc16509"/>
      <w:bookmarkStart w:id="374" w:name="_Toc4328"/>
      <w:bookmarkStart w:id="375" w:name="_Toc9374"/>
      <w:bookmarkStart w:id="376" w:name="_Toc12840"/>
      <w:r>
        <w:rPr>
          <w:rFonts w:hint="eastAsia" w:hAnsi="宋体"/>
          <w:b/>
          <w:color w:val="auto"/>
          <w:sz w:val="28"/>
          <w:szCs w:val="28"/>
          <w:highlight w:val="none"/>
        </w:rPr>
        <w:t>评标办法前附表</w:t>
      </w:r>
      <w:bookmarkEnd w:id="373"/>
      <w:bookmarkEnd w:id="374"/>
      <w:bookmarkEnd w:id="375"/>
    </w:p>
    <w:bookmarkEnd w:id="376"/>
    <w:tbl>
      <w:tblPr>
        <w:tblStyle w:val="23"/>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8"/>
        <w:gridCol w:w="1123"/>
        <w:gridCol w:w="7467"/>
      </w:tblGrid>
      <w:tr w14:paraId="6B324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2191" w:type="dxa"/>
            <w:gridSpan w:val="2"/>
            <w:tcBorders>
              <w:top w:val="single" w:color="auto" w:sz="4" w:space="0"/>
              <w:left w:val="single" w:color="auto" w:sz="4" w:space="0"/>
              <w:bottom w:val="single" w:color="auto" w:sz="4" w:space="0"/>
              <w:right w:val="single" w:color="auto" w:sz="4" w:space="0"/>
            </w:tcBorders>
            <w:noWrap/>
            <w:vAlign w:val="center"/>
          </w:tcPr>
          <w:p w14:paraId="5E01B55A">
            <w:pPr>
              <w:pStyle w:val="43"/>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b/>
                <w:color w:val="auto"/>
                <w:sz w:val="21"/>
                <w:szCs w:val="21"/>
                <w:highlight w:val="none"/>
              </w:rPr>
            </w:pPr>
            <w:bookmarkStart w:id="377" w:name="_Toc11505"/>
            <w:bookmarkEnd w:id="377"/>
            <w:r>
              <w:rPr>
                <w:rFonts w:hint="eastAsia" w:ascii="宋体" w:hAnsi="宋体" w:eastAsia="宋体" w:cs="宋体"/>
                <w:b/>
                <w:color w:val="auto"/>
                <w:sz w:val="21"/>
                <w:szCs w:val="21"/>
                <w:highlight w:val="none"/>
              </w:rPr>
              <w:t>条款号</w:t>
            </w:r>
          </w:p>
        </w:tc>
        <w:tc>
          <w:tcPr>
            <w:tcW w:w="7467" w:type="dxa"/>
            <w:tcBorders>
              <w:top w:val="single" w:color="auto" w:sz="4" w:space="0"/>
              <w:left w:val="single" w:color="auto" w:sz="4" w:space="0"/>
              <w:bottom w:val="single" w:color="auto" w:sz="4" w:space="0"/>
              <w:right w:val="single" w:color="auto" w:sz="4" w:space="0"/>
            </w:tcBorders>
            <w:noWrap/>
            <w:vAlign w:val="center"/>
          </w:tcPr>
          <w:p w14:paraId="4D540866">
            <w:pPr>
              <w:pStyle w:val="43"/>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评审因素与评审标准</w:t>
            </w:r>
          </w:p>
        </w:tc>
      </w:tr>
      <w:tr w14:paraId="499F8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5" w:hRule="exact"/>
          <w:jc w:val="center"/>
        </w:trPr>
        <w:tc>
          <w:tcPr>
            <w:tcW w:w="1068" w:type="dxa"/>
            <w:noWrap/>
            <w:vAlign w:val="center"/>
          </w:tcPr>
          <w:p w14:paraId="09F4B1B1">
            <w:pPr>
              <w:pStyle w:val="43"/>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23" w:type="dxa"/>
            <w:noWrap/>
            <w:vAlign w:val="center"/>
          </w:tcPr>
          <w:p w14:paraId="474D2D01">
            <w:pPr>
              <w:pStyle w:val="43"/>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tc>
        <w:tc>
          <w:tcPr>
            <w:tcW w:w="7467" w:type="dxa"/>
            <w:noWrap/>
            <w:vAlign w:val="center"/>
          </w:tcPr>
          <w:p w14:paraId="2DC7D60F">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综合评分相等时，评标委员会依次按照以下优先顺序推荐中标候选人：</w:t>
            </w:r>
          </w:p>
          <w:p w14:paraId="7E0B0F6A">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综合评分相等时，以投标报价低的优先；投标报价也相等的，按照施工组织设计整体编制质量高的优先，由评标委员会确定。</w:t>
            </w:r>
          </w:p>
        </w:tc>
      </w:tr>
      <w:tr w14:paraId="73FEC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2" w:hRule="atLeast"/>
          <w:jc w:val="center"/>
        </w:trPr>
        <w:tc>
          <w:tcPr>
            <w:tcW w:w="1068" w:type="dxa"/>
            <w:noWrap/>
            <w:vAlign w:val="top"/>
          </w:tcPr>
          <w:p w14:paraId="534BD5A2">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16D53DCA">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63C2F81A">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66B2202F">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0A3056BD">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6351FF0C">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0885173D">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2C3FE56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0810D62A">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rPr>
            </w:pPr>
          </w:p>
          <w:p w14:paraId="22F09F68">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rPr>
            </w:pPr>
          </w:p>
          <w:p w14:paraId="30CCD088">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BE90BCD">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p>
          <w:p w14:paraId="2D3C23B8">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2.1.3</w:t>
            </w:r>
          </w:p>
          <w:p w14:paraId="36C33C77">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76A27374">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05B7AC88">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4E5F4DA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78F47AAD">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2A970CF9">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21D6193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0A579DA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033722E7">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44FEF9B3">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0949B3D7">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47A3DF42">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516817A4">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6A10B036">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33CDC204">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177C0D07">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4B81FCFD">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5BB698AE">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7B0646BD">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129283F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29134F24">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62E8C26E">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705A687E">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lang w:val="en-US" w:eastAsia="zh-CN"/>
              </w:rPr>
            </w:pPr>
          </w:p>
          <w:p w14:paraId="16993097">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lang w:val="en-US" w:eastAsia="zh-CN"/>
              </w:rPr>
            </w:pPr>
          </w:p>
          <w:p w14:paraId="4993D14F">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p>
          <w:p w14:paraId="2C06A04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2.1.3</w:t>
            </w:r>
          </w:p>
        </w:tc>
        <w:tc>
          <w:tcPr>
            <w:tcW w:w="1123" w:type="dxa"/>
            <w:noWrap/>
            <w:vAlign w:val="top"/>
          </w:tcPr>
          <w:p w14:paraId="5D3E4CAA">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44F4F47F">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3AF6857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399AF262">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00579C4F">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628F55C5">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10896F3B">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rPr>
            </w:pPr>
          </w:p>
          <w:p w14:paraId="6BDDF8F8">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3C81ADC7">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6E004563">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rPr>
            </w:pPr>
          </w:p>
          <w:p w14:paraId="1FA8CD78">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41AFF9FC">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形式评审与响应性评审标准</w:t>
            </w:r>
          </w:p>
          <w:p w14:paraId="76648A12">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24830470">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7B45342A">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40DBC1E">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2CDB5700">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28162AA9">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CABA35F">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2894464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02C0FB69">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1BB6E3B">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741A5DC3">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47657F89">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79CF9A80">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09523F0">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2B4C29A7">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94E974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1A41606B">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33AE25F4">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1F4E53C8">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3EFFB799">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4599A3D4">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rPr>
            </w:pPr>
          </w:p>
          <w:p w14:paraId="1170D428">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rPr>
            </w:pPr>
          </w:p>
          <w:p w14:paraId="1BC523CC">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0E2711F3">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形式评审与响应性评审标准</w:t>
            </w:r>
          </w:p>
        </w:tc>
        <w:tc>
          <w:tcPr>
            <w:tcW w:w="7467" w:type="dxa"/>
            <w:noWrap/>
            <w:vAlign w:val="center"/>
          </w:tcPr>
          <w:p w14:paraId="493D4670">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第一个信封（商务及技术文件）评审标准：</w:t>
            </w:r>
          </w:p>
          <w:p w14:paraId="2881F2D3">
            <w:pPr>
              <w:pStyle w:val="43"/>
              <w:keepNext w:val="0"/>
              <w:keepLines w:val="0"/>
              <w:pageBreakBefore w:val="0"/>
              <w:widowControl w:val="0"/>
              <w:numPr>
                <w:ilvl w:val="0"/>
                <w:numId w:val="2"/>
              </w:numPr>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投标文件按照招标文件规定的格式、内容填写，字迹清晰可辨：</w:t>
            </w:r>
          </w:p>
          <w:p w14:paraId="165AAE47">
            <w:pPr>
              <w:pStyle w:val="43"/>
              <w:keepNext w:val="0"/>
              <w:keepLines w:val="0"/>
              <w:pageBreakBefore w:val="0"/>
              <w:widowControl w:val="0"/>
              <w:numPr>
                <w:ilvl w:val="0"/>
                <w:numId w:val="3"/>
              </w:numPr>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投标函按招标文件规定填报了项目名称、标段号、补遗书编号（如有）、工期、工程质量要求及安全目标；</w:t>
            </w:r>
          </w:p>
          <w:p w14:paraId="1639F7C9">
            <w:pPr>
              <w:pStyle w:val="43"/>
              <w:keepNext w:val="0"/>
              <w:keepLines w:val="0"/>
              <w:pageBreakBefore w:val="0"/>
              <w:widowControl w:val="0"/>
              <w:numPr>
                <w:ilvl w:val="0"/>
                <w:numId w:val="3"/>
              </w:numPr>
              <w:kinsoku/>
              <w:wordWrap/>
              <w:overflowPunct/>
              <w:topLinePunct w:val="0"/>
              <w:bidi w:val="0"/>
              <w:snapToGrid/>
              <w:spacing w:line="360" w:lineRule="atLeast"/>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投标函附录的所有数据均符合招标文件规定；</w:t>
            </w:r>
          </w:p>
          <w:p w14:paraId="0D99FCEF">
            <w:pPr>
              <w:pStyle w:val="43"/>
              <w:keepNext w:val="0"/>
              <w:keepLines w:val="0"/>
              <w:pageBreakBefore w:val="0"/>
              <w:widowControl w:val="0"/>
              <w:numPr>
                <w:ilvl w:val="0"/>
                <w:numId w:val="0"/>
              </w:numPr>
              <w:kinsoku/>
              <w:wordWrap/>
              <w:overflowPunct/>
              <w:topLinePunct w:val="0"/>
              <w:bidi w:val="0"/>
              <w:snapToGrid/>
              <w:spacing w:line="360" w:lineRule="atLeast"/>
              <w:ind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c.投标文件组成齐全完整，内容均按规定填写。</w:t>
            </w:r>
          </w:p>
          <w:p w14:paraId="57F5D15F">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（2）投标文件上法定代表人或其委托代理人的签字、投标人的单位章盖章齐全，符合招标文件规定。</w:t>
            </w:r>
          </w:p>
          <w:p w14:paraId="376A6602">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（3）投标人按照招标文件的规定提供了投标保证金：</w:t>
            </w:r>
          </w:p>
          <w:p w14:paraId="2969C609">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a.投标保证金金额符合招标文件规定的金额，且投标保证金有效期不少于投标有效期；</w:t>
            </w:r>
          </w:p>
          <w:p w14:paraId="558F328E">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b.若投标保证金采用现金或支票形式提交，投标人应在递交投标文件截止时间之前，将投标保证金由投标人的基本账户转入招标</w:t>
            </w:r>
            <w:r>
              <w:rPr>
                <w:rFonts w:hint="eastAsia" w:hAnsi="宋体" w:cs="宋体"/>
                <w:color w:val="auto"/>
                <w:sz w:val="21"/>
                <w:szCs w:val="21"/>
                <w:highlight w:val="none"/>
                <w:lang w:val="en-US" w:eastAsia="zh-CN"/>
              </w:rPr>
              <w:t>文件</w:t>
            </w:r>
            <w:r>
              <w:rPr>
                <w:rFonts w:hint="eastAsia" w:ascii="宋体" w:hAnsi="宋体" w:eastAsia="宋体" w:cs="宋体"/>
                <w:color w:val="auto"/>
                <w:sz w:val="21"/>
                <w:szCs w:val="21"/>
                <w:highlight w:val="none"/>
              </w:rPr>
              <w:t>指定账户；</w:t>
            </w:r>
          </w:p>
          <w:p w14:paraId="28E225B8">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（4）投标人法定代表人授权委托代理人签署投标文件的，须提交授权委托书，且授权人和被授权人均在授权委托书上签名，不得使用印章、签名章或其他电子制版签名代替。</w:t>
            </w:r>
          </w:p>
          <w:p w14:paraId="6CDA2FBF">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（5）投标人法定代表人亲自签署投标文件的，提供了法定代表人身份证明，且法定代表人在法定代表人身份证明上签名，不得使用印章、签名章或其他电子制版签名代替。</w:t>
            </w:r>
          </w:p>
          <w:p w14:paraId="5F70EBCE">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（6）同一投标人未提交两个以上不同的投标文件。</w:t>
            </w:r>
          </w:p>
          <w:p w14:paraId="4276D4C0">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（7）投标文件中未出现有关投标报价的内容。</w:t>
            </w:r>
          </w:p>
          <w:p w14:paraId="5506F34B">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（8）投标文件载明的招标项目完成期限未超过招标文件规定的时限。</w:t>
            </w:r>
          </w:p>
          <w:p w14:paraId="6C598F98">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（9）投标文件对招标文件的实质性要求和条件作出响应。</w:t>
            </w:r>
          </w:p>
          <w:p w14:paraId="58CA202A">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（10）权利义务符合招标文件规定：</w:t>
            </w:r>
          </w:p>
          <w:p w14:paraId="663BDB4B">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a.投标人应接受招标文件规定的风险划分原则，未提出新的风险划分办法；</w:t>
            </w:r>
          </w:p>
          <w:p w14:paraId="2783632C">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b.投标人未增加发包人的责任范围，或减少投标人义务；</w:t>
            </w:r>
          </w:p>
          <w:p w14:paraId="4525C2F9">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c.投标人未提出不同的工程验收、计量、支付办法；</w:t>
            </w:r>
          </w:p>
          <w:p w14:paraId="3BD7EAF2">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d.投标人对合同纠纷、事故处理办法未提出异议；</w:t>
            </w:r>
          </w:p>
          <w:p w14:paraId="620A8DB7">
            <w:pPr>
              <w:pStyle w:val="43"/>
              <w:keepNext w:val="0"/>
              <w:keepLines w:val="0"/>
              <w:pageBreakBefore w:val="0"/>
              <w:widowControl w:val="0"/>
              <w:kinsoku/>
              <w:wordWrap/>
              <w:overflowPunct/>
              <w:topLinePunct w:val="0"/>
              <w:bidi w:val="0"/>
              <w:snapToGrid/>
              <w:spacing w:line="360" w:lineRule="atLeast"/>
              <w:textAlignment w:val="auto"/>
              <w:rPr>
                <w:rFonts w:hint="eastAsia"/>
                <w:color w:val="auto"/>
                <w:highlight w:val="none"/>
              </w:rPr>
            </w:pPr>
            <w:r>
              <w:rPr>
                <w:rFonts w:hint="eastAsia" w:ascii="宋体" w:hAnsi="宋体" w:eastAsia="宋体" w:cs="宋体"/>
                <w:color w:val="auto"/>
                <w:sz w:val="21"/>
                <w:szCs w:val="21"/>
                <w:highlight w:val="none"/>
              </w:rPr>
              <w:t>e.投标人在投标活动中无欺诈行为；</w:t>
            </w:r>
          </w:p>
          <w:p w14:paraId="7C685B6C">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f.投标人未对合同条款有重要保留。</w:t>
            </w:r>
          </w:p>
          <w:p w14:paraId="4ADB285E">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）投标人应按以下要点编制施工组织设计（文字宜精炼、内容具有针对性）：</w:t>
            </w:r>
          </w:p>
          <w:p w14:paraId="3986905D">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a</w:t>
            </w:r>
            <w:r>
              <w:rPr>
                <w:rFonts w:hint="eastAsia" w:ascii="宋体" w:hAnsi="宋体" w:eastAsia="宋体" w:cs="宋体"/>
                <w:color w:val="auto"/>
                <w:sz w:val="21"/>
                <w:szCs w:val="21"/>
                <w:highlight w:val="none"/>
                <w:lang w:eastAsia="zh-CN"/>
              </w:rPr>
              <w:t>.总体施工组织布置及规划</w:t>
            </w:r>
          </w:p>
          <w:p w14:paraId="5CF05439">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b</w:t>
            </w:r>
            <w:r>
              <w:rPr>
                <w:rFonts w:hint="eastAsia" w:ascii="宋体" w:hAnsi="宋体" w:eastAsia="宋体" w:cs="宋体"/>
                <w:color w:val="auto"/>
                <w:sz w:val="21"/>
                <w:szCs w:val="21"/>
                <w:highlight w:val="none"/>
                <w:lang w:eastAsia="zh-CN"/>
              </w:rPr>
              <w:t>.重点、关键和难点工程的施工方案</w:t>
            </w:r>
          </w:p>
          <w:p w14:paraId="74E2D545">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c</w:t>
            </w:r>
            <w:r>
              <w:rPr>
                <w:rFonts w:hint="eastAsia" w:ascii="宋体" w:hAnsi="宋体" w:eastAsia="宋体" w:cs="宋体"/>
                <w:color w:val="auto"/>
                <w:sz w:val="21"/>
                <w:szCs w:val="21"/>
                <w:highlight w:val="none"/>
                <w:lang w:eastAsia="zh-CN"/>
              </w:rPr>
              <w:t xml:space="preserve">.施工进度表或施工网络图 </w:t>
            </w:r>
          </w:p>
          <w:p w14:paraId="5C07C8CB">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d</w:t>
            </w:r>
            <w:r>
              <w:rPr>
                <w:rFonts w:hint="eastAsia" w:ascii="宋体" w:hAnsi="宋体" w:eastAsia="宋体" w:cs="宋体"/>
                <w:color w:val="auto"/>
                <w:sz w:val="21"/>
                <w:szCs w:val="21"/>
                <w:highlight w:val="none"/>
                <w:lang w:eastAsia="zh-CN"/>
              </w:rPr>
              <w:t>.关键工程质量保证措施</w:t>
            </w:r>
          </w:p>
          <w:p w14:paraId="6F91867F">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e</w:t>
            </w:r>
            <w:r>
              <w:rPr>
                <w:rFonts w:hint="eastAsia" w:ascii="宋体" w:hAnsi="宋体" w:eastAsia="宋体" w:cs="宋体"/>
                <w:color w:val="auto"/>
                <w:sz w:val="21"/>
                <w:szCs w:val="21"/>
                <w:highlight w:val="none"/>
                <w:lang w:eastAsia="zh-CN"/>
              </w:rPr>
              <w:t>.安全保证措施</w:t>
            </w:r>
          </w:p>
          <w:p w14:paraId="7695734B">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f</w:t>
            </w:r>
            <w:r>
              <w:rPr>
                <w:rFonts w:hint="eastAsia" w:ascii="宋体" w:hAnsi="宋体" w:eastAsia="宋体" w:cs="宋体"/>
                <w:color w:val="auto"/>
                <w:sz w:val="21"/>
                <w:szCs w:val="21"/>
                <w:highlight w:val="none"/>
                <w:lang w:eastAsia="zh-CN"/>
              </w:rPr>
              <w:t>.环境保护、水土保持、文明施工、文物保护保证措施</w:t>
            </w:r>
          </w:p>
          <w:p w14:paraId="563A2BFF">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g</w:t>
            </w:r>
            <w:r>
              <w:rPr>
                <w:rFonts w:hint="eastAsia" w:ascii="宋体" w:hAnsi="宋体" w:eastAsia="宋体" w:cs="宋体"/>
                <w:color w:val="auto"/>
                <w:sz w:val="21"/>
                <w:szCs w:val="21"/>
                <w:highlight w:val="none"/>
                <w:lang w:eastAsia="zh-CN"/>
              </w:rPr>
              <w:t>.项目风险预测与防范，事故应急预案</w:t>
            </w:r>
          </w:p>
          <w:p w14:paraId="7C40F488">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h</w:t>
            </w:r>
            <w:r>
              <w:rPr>
                <w:rFonts w:hint="eastAsia" w:ascii="宋体" w:hAnsi="宋体" w:eastAsia="宋体" w:cs="宋体"/>
                <w:color w:val="auto"/>
                <w:sz w:val="21"/>
                <w:szCs w:val="21"/>
                <w:highlight w:val="none"/>
                <w:lang w:eastAsia="zh-CN"/>
              </w:rPr>
              <w:t>.其他应说明的事项</w:t>
            </w:r>
          </w:p>
          <w:p w14:paraId="61F2DA6A">
            <w:pPr>
              <w:rPr>
                <w:rFonts w:hint="eastAsia"/>
                <w:color w:val="auto"/>
                <w:highlight w:val="none"/>
                <w:lang w:eastAsia="zh-CN"/>
              </w:rPr>
            </w:pPr>
          </w:p>
          <w:p w14:paraId="0EFCF984">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第二个信封（报价文件）评审标准：</w:t>
            </w:r>
          </w:p>
          <w:p w14:paraId="29B4CDC2">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（1）投标文件按照招标文件规定的格式、内容填写，字迹清晰可辨：</w:t>
            </w:r>
          </w:p>
          <w:p w14:paraId="68FCDD8E">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a.投标函按招标文件规定填报了项目名称、标段号、补遗书编号（如有）、投标价（包括大写金额和小写金额）；</w:t>
            </w:r>
          </w:p>
          <w:p w14:paraId="627ACABE">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b.已标价工程量清单说明文字与招标文件规定一致，未进行实质性修改和删减；</w:t>
            </w:r>
          </w:p>
          <w:p w14:paraId="49893CF2">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c.投标文件组成齐全完整，内容均按规定填写。</w:t>
            </w:r>
          </w:p>
          <w:p w14:paraId="24E68FF8">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（2）投标文件上法定代表人或其委托代理人的签字、投标人的单位章盖章齐全，符合招标文件规定。</w:t>
            </w:r>
          </w:p>
          <w:p w14:paraId="52D79178">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（3）投标报价未超过招标文件设定的最高投标限价。</w:t>
            </w:r>
          </w:p>
          <w:p w14:paraId="0F4A3C5B">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（4）投标报价的大写金额能够确定具体数值。</w:t>
            </w:r>
          </w:p>
          <w:p w14:paraId="2139EBFE">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（5）同一投标人未提交两个以上不同的投标报价。</w:t>
            </w:r>
          </w:p>
          <w:p w14:paraId="1C27D524">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（6）投标人填写完毕的工程量固化清单未对工程量固化清单电子文件中的数据、格式和运算定义进行修改；工程量固化清单中的投标报价和投标函大写金额报价一致。</w:t>
            </w:r>
          </w:p>
        </w:tc>
      </w:tr>
      <w:tr w14:paraId="10D32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2" w:hRule="atLeast"/>
          <w:jc w:val="center"/>
        </w:trPr>
        <w:tc>
          <w:tcPr>
            <w:tcW w:w="1068" w:type="dxa"/>
            <w:noWrap/>
            <w:vAlign w:val="center"/>
          </w:tcPr>
          <w:p w14:paraId="4194860E">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2.1.2</w:t>
            </w:r>
          </w:p>
        </w:tc>
        <w:tc>
          <w:tcPr>
            <w:tcW w:w="1123" w:type="dxa"/>
            <w:noWrap/>
            <w:vAlign w:val="center"/>
          </w:tcPr>
          <w:p w14:paraId="3A1EBBD8">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资格评审</w:t>
            </w:r>
          </w:p>
          <w:p w14:paraId="1FA7D533">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7467" w:type="dxa"/>
            <w:noWrap/>
            <w:vAlign w:val="center"/>
          </w:tcPr>
          <w:p w14:paraId="39CC43B6">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（1）投标人具备有效的营业执照、资质证书、安全生产许可证和基本账户开户许可证。</w:t>
            </w:r>
          </w:p>
          <w:p w14:paraId="112A8B19">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（2）投标人的资质等级符合招标文件规定。</w:t>
            </w:r>
          </w:p>
          <w:p w14:paraId="0F797C84">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（3）投标人的财务状况符合招标文件规定。</w:t>
            </w:r>
          </w:p>
          <w:p w14:paraId="06640F94">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（4）投标人的类似项目业绩符合招标文件规定。</w:t>
            </w:r>
          </w:p>
          <w:p w14:paraId="04DDACBE">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（5）投标人的信誉符合招标文件规定。</w:t>
            </w:r>
          </w:p>
          <w:p w14:paraId="3BFC1F24">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（6）投标人的项目经理和项目总工资格、在岗情况符合招标文件规定。</w:t>
            </w:r>
          </w:p>
          <w:p w14:paraId="3FD0F80B">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lang w:eastAsia="zh-CN"/>
              </w:rPr>
              <w:t>）投标人的其他要求符合招标文件规定。</w:t>
            </w:r>
          </w:p>
          <w:p w14:paraId="4B726815">
            <w:pPr>
              <w:keepNext w:val="0"/>
              <w:keepLines w:val="0"/>
              <w:pageBreakBefore w:val="0"/>
              <w:widowControl w:val="0"/>
              <w:kinsoku/>
              <w:wordWrap/>
              <w:overflowPunct/>
              <w:topLinePunct w:val="0"/>
              <w:bidi w:val="0"/>
              <w:snapToGrid/>
              <w:spacing w:line="360" w:lineRule="atLeast"/>
              <w:jc w:val="left"/>
              <w:textAlignment w:val="auto"/>
              <w:rPr>
                <w:rFonts w:hint="eastAsia"/>
                <w:color w:val="auto"/>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lang w:eastAsia="zh-CN"/>
              </w:rPr>
              <w:t>）投标人不存在第二章“投标人须知”第1.4.3 项或第1.4.4 项规定的任何一种情形。</w:t>
            </w:r>
          </w:p>
        </w:tc>
      </w:tr>
    </w:tbl>
    <w:p w14:paraId="78933E07">
      <w:pPr>
        <w:pStyle w:val="106"/>
        <w:keepNext w:val="0"/>
        <w:keepLines w:val="0"/>
        <w:pageBreakBefore w:val="0"/>
        <w:widowControl w:val="0"/>
        <w:kinsoku/>
        <w:wordWrap/>
        <w:overflowPunct/>
        <w:topLinePunct w:val="0"/>
        <w:bidi w:val="0"/>
        <w:snapToGrid/>
        <w:spacing w:line="360" w:lineRule="atLeast"/>
        <w:ind w:right="0" w:rightChars="0"/>
        <w:jc w:val="both"/>
        <w:textAlignment w:val="auto"/>
        <w:rPr>
          <w:rFonts w:hint="eastAsia" w:ascii="宋体" w:hAnsi="宋体" w:eastAsia="宋体" w:cs="宋体"/>
          <w:color w:val="auto"/>
          <w:kern w:val="0"/>
          <w:sz w:val="21"/>
          <w:szCs w:val="21"/>
          <w:highlight w:val="none"/>
          <w:lang w:val="en-US" w:eastAsia="en-US" w:bidi="ar-SA"/>
        </w:rPr>
      </w:pPr>
    </w:p>
    <w:p w14:paraId="4E729421">
      <w:pPr>
        <w:pStyle w:val="106"/>
        <w:keepNext w:val="0"/>
        <w:keepLines w:val="0"/>
        <w:pageBreakBefore w:val="0"/>
        <w:widowControl w:val="0"/>
        <w:kinsoku/>
        <w:wordWrap/>
        <w:overflowPunct/>
        <w:topLinePunct w:val="0"/>
        <w:bidi w:val="0"/>
        <w:snapToGrid/>
        <w:spacing w:line="360" w:lineRule="atLeast"/>
        <w:ind w:right="0" w:rightChars="0"/>
        <w:jc w:val="both"/>
        <w:textAlignment w:val="auto"/>
        <w:rPr>
          <w:rFonts w:hint="eastAsia" w:ascii="宋体" w:hAnsi="宋体" w:eastAsia="宋体" w:cs="宋体"/>
          <w:color w:val="auto"/>
          <w:kern w:val="0"/>
          <w:sz w:val="21"/>
          <w:szCs w:val="21"/>
          <w:highlight w:val="none"/>
          <w:lang w:val="en-US" w:eastAsia="en-US" w:bidi="ar-SA"/>
        </w:rPr>
      </w:pPr>
    </w:p>
    <w:p w14:paraId="47F8818E">
      <w:pPr>
        <w:pStyle w:val="106"/>
        <w:keepNext w:val="0"/>
        <w:keepLines w:val="0"/>
        <w:pageBreakBefore w:val="0"/>
        <w:widowControl w:val="0"/>
        <w:kinsoku/>
        <w:wordWrap/>
        <w:overflowPunct/>
        <w:topLinePunct w:val="0"/>
        <w:bidi w:val="0"/>
        <w:snapToGrid/>
        <w:spacing w:line="360" w:lineRule="atLeast"/>
        <w:ind w:right="0" w:rightChars="0"/>
        <w:jc w:val="both"/>
        <w:textAlignment w:val="auto"/>
        <w:rPr>
          <w:rFonts w:hint="eastAsia" w:ascii="宋体" w:hAnsi="宋体" w:eastAsia="宋体" w:cs="宋体"/>
          <w:color w:val="auto"/>
          <w:kern w:val="0"/>
          <w:sz w:val="21"/>
          <w:szCs w:val="21"/>
          <w:highlight w:val="none"/>
          <w:lang w:val="en-US" w:eastAsia="en-US" w:bidi="ar-SA"/>
        </w:rPr>
      </w:pPr>
    </w:p>
    <w:tbl>
      <w:tblPr>
        <w:tblStyle w:val="23"/>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1733"/>
        <w:gridCol w:w="6839"/>
      </w:tblGrid>
      <w:tr w14:paraId="51AFE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86" w:type="dxa"/>
            <w:noWrap/>
            <w:vAlign w:val="center"/>
          </w:tcPr>
          <w:p w14:paraId="5CA5D84F">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条款号</w:t>
            </w:r>
          </w:p>
        </w:tc>
        <w:tc>
          <w:tcPr>
            <w:tcW w:w="1733" w:type="dxa"/>
            <w:noWrap/>
            <w:vAlign w:val="center"/>
          </w:tcPr>
          <w:p w14:paraId="23AEDD68">
            <w:pPr>
              <w:pStyle w:val="106"/>
              <w:keepNext w:val="0"/>
              <w:keepLines w:val="0"/>
              <w:pageBreakBefore w:val="0"/>
              <w:widowControl w:val="0"/>
              <w:kinsoku/>
              <w:wordWrap/>
              <w:overflowPunct/>
              <w:topLinePunct w:val="0"/>
              <w:bidi w:val="0"/>
              <w:snapToGrid/>
              <w:spacing w:line="360" w:lineRule="atLeast"/>
              <w:ind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条款内容</w:t>
            </w:r>
          </w:p>
        </w:tc>
        <w:tc>
          <w:tcPr>
            <w:tcW w:w="6839" w:type="dxa"/>
            <w:noWrap/>
            <w:vAlign w:val="center"/>
          </w:tcPr>
          <w:p w14:paraId="647839E3">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编 列 内 容</w:t>
            </w:r>
          </w:p>
        </w:tc>
      </w:tr>
      <w:tr w14:paraId="63E1A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86" w:type="dxa"/>
            <w:noWrap/>
            <w:vAlign w:val="center"/>
          </w:tcPr>
          <w:p w14:paraId="3F88BBD4">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2.2.1</w:t>
            </w:r>
          </w:p>
        </w:tc>
        <w:tc>
          <w:tcPr>
            <w:tcW w:w="1733" w:type="dxa"/>
            <w:noWrap/>
            <w:vAlign w:val="center"/>
          </w:tcPr>
          <w:p w14:paraId="24DF8949">
            <w:pPr>
              <w:pStyle w:val="106"/>
              <w:keepNext w:val="0"/>
              <w:keepLines w:val="0"/>
              <w:pageBreakBefore w:val="0"/>
              <w:widowControl w:val="0"/>
              <w:kinsoku/>
              <w:wordWrap/>
              <w:overflowPunct/>
              <w:topLinePunct w:val="0"/>
              <w:bidi w:val="0"/>
              <w:snapToGrid/>
              <w:spacing w:line="360" w:lineRule="atLeast"/>
              <w:ind w:right="0"/>
              <w:jc w:val="center"/>
              <w:textAlignment w:val="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分值构成</w:t>
            </w:r>
          </w:p>
          <w:p w14:paraId="7DDF3DC6">
            <w:pPr>
              <w:pStyle w:val="106"/>
              <w:keepNext w:val="0"/>
              <w:keepLines w:val="0"/>
              <w:pageBreakBefore w:val="0"/>
              <w:widowControl w:val="0"/>
              <w:kinsoku/>
              <w:wordWrap/>
              <w:overflowPunct/>
              <w:topLinePunct w:val="0"/>
              <w:bidi w:val="0"/>
              <w:snapToGrid/>
              <w:spacing w:line="360" w:lineRule="atLeast"/>
              <w:ind w:right="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（总分100分）</w:t>
            </w:r>
          </w:p>
        </w:tc>
        <w:tc>
          <w:tcPr>
            <w:tcW w:w="6839" w:type="dxa"/>
            <w:noWrap/>
            <w:vAlign w:val="center"/>
          </w:tcPr>
          <w:p w14:paraId="0256F069">
            <w:pPr>
              <w:pStyle w:val="106"/>
              <w:keepNext w:val="0"/>
              <w:keepLines w:val="0"/>
              <w:pageBreakBefore w:val="0"/>
              <w:widowControl w:val="0"/>
              <w:kinsoku/>
              <w:wordWrap/>
              <w:overflowPunct/>
              <w:topLinePunct w:val="0"/>
              <w:bidi w:val="0"/>
              <w:snapToGrid/>
              <w:spacing w:line="360" w:lineRule="atLeast"/>
              <w:ind w:right="0" w:rightChars="0"/>
              <w:jc w:val="left"/>
              <w:textAlignment w:val="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评标价：100 分</w:t>
            </w:r>
          </w:p>
        </w:tc>
      </w:tr>
      <w:tr w14:paraId="6844B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2" w:hRule="atLeast"/>
          <w:jc w:val="center"/>
        </w:trPr>
        <w:tc>
          <w:tcPr>
            <w:tcW w:w="986" w:type="dxa"/>
            <w:noWrap/>
            <w:vAlign w:val="center"/>
          </w:tcPr>
          <w:p w14:paraId="0C3B7C2D">
            <w:pPr>
              <w:pStyle w:val="106"/>
              <w:keepNext w:val="0"/>
              <w:keepLines w:val="0"/>
              <w:pageBreakBefore w:val="0"/>
              <w:widowControl w:val="0"/>
              <w:kinsoku/>
              <w:wordWrap/>
              <w:overflowPunct/>
              <w:topLinePunct w:val="0"/>
              <w:bidi w:val="0"/>
              <w:snapToGrid/>
              <w:spacing w:line="360" w:lineRule="atLeast"/>
              <w:ind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0"/>
                <w:sz w:val="21"/>
                <w:szCs w:val="21"/>
                <w:highlight w:val="none"/>
                <w:lang w:val="en-US" w:eastAsia="zh-CN" w:bidi="ar-SA"/>
              </w:rPr>
              <w:t>2.2.2</w:t>
            </w:r>
          </w:p>
        </w:tc>
        <w:tc>
          <w:tcPr>
            <w:tcW w:w="1733" w:type="dxa"/>
            <w:noWrap/>
            <w:vAlign w:val="center"/>
          </w:tcPr>
          <w:p w14:paraId="31DBA0E5">
            <w:pPr>
              <w:pStyle w:val="46"/>
              <w:keepNext w:val="0"/>
              <w:keepLines w:val="0"/>
              <w:pageBreakBefore w:val="0"/>
              <w:widowControl w:val="0"/>
              <w:kinsoku/>
              <w:wordWrap/>
              <w:overflowPunct/>
              <w:topLinePunct w:val="0"/>
              <w:autoSpaceDE/>
              <w:autoSpaceDN/>
              <w:bidi w:val="0"/>
              <w:adjustRightInd/>
              <w:snapToGrid/>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评标基准价</w:t>
            </w:r>
          </w:p>
          <w:p w14:paraId="064BC589">
            <w:pPr>
              <w:pStyle w:val="46"/>
              <w:keepNext w:val="0"/>
              <w:keepLines w:val="0"/>
              <w:pageBreakBefore w:val="0"/>
              <w:widowControl w:val="0"/>
              <w:kinsoku/>
              <w:wordWrap/>
              <w:overflowPunct/>
              <w:topLinePunct w:val="0"/>
              <w:autoSpaceDE/>
              <w:autoSpaceDN/>
              <w:bidi w:val="0"/>
              <w:adjustRightInd/>
              <w:snapToGrid/>
              <w:spacing w:line="360" w:lineRule="atLeas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计算方法</w:t>
            </w:r>
          </w:p>
        </w:tc>
        <w:tc>
          <w:tcPr>
            <w:tcW w:w="6839" w:type="dxa"/>
            <w:noWrap/>
            <w:vAlign w:val="center"/>
          </w:tcPr>
          <w:p w14:paraId="250C5606">
            <w:pPr>
              <w:pStyle w:val="46"/>
              <w:keepNext w:val="0"/>
              <w:keepLines w:val="0"/>
              <w:pageBreakBefore w:val="0"/>
              <w:widowControl w:val="0"/>
              <w:kinsoku/>
              <w:wordWrap/>
              <w:overflowPunct/>
              <w:topLinePunct w:val="0"/>
              <w:autoSpaceDE/>
              <w:autoSpaceDN/>
              <w:bidi w:val="0"/>
              <w:adjustRightInd/>
              <w:snapToGrid/>
              <w:spacing w:line="360" w:lineRule="atLeas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评标基准价的计算：</w:t>
            </w:r>
          </w:p>
          <w:p w14:paraId="2854607C">
            <w:pPr>
              <w:pStyle w:val="46"/>
              <w:keepNext w:val="0"/>
              <w:keepLines w:val="0"/>
              <w:pageBreakBefore w:val="0"/>
              <w:widowControl w:val="0"/>
              <w:kinsoku/>
              <w:wordWrap/>
              <w:overflowPunct/>
              <w:topLinePunct w:val="0"/>
              <w:autoSpaceDE/>
              <w:autoSpaceDN/>
              <w:bidi w:val="0"/>
              <w:adjustRightInd/>
              <w:snapToGrid/>
              <w:spacing w:line="360" w:lineRule="atLeas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在开标现场，招标人将当场计算并宣布评标基准价。</w:t>
            </w:r>
          </w:p>
          <w:p w14:paraId="25114D55">
            <w:pPr>
              <w:pStyle w:val="46"/>
              <w:keepNext w:val="0"/>
              <w:keepLines w:val="0"/>
              <w:pageBreakBefore w:val="0"/>
              <w:widowControl w:val="0"/>
              <w:numPr>
                <w:ilvl w:val="0"/>
                <w:numId w:val="4"/>
              </w:numPr>
              <w:kinsoku/>
              <w:wordWrap/>
              <w:overflowPunct/>
              <w:topLinePunct w:val="0"/>
              <w:autoSpaceDE/>
              <w:autoSpaceDN/>
              <w:bidi w:val="0"/>
              <w:adjustRightInd/>
              <w:snapToGrid/>
              <w:spacing w:line="360" w:lineRule="atLeas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评标价的确定： </w:t>
            </w:r>
          </w:p>
          <w:p w14:paraId="66574F4A">
            <w:pPr>
              <w:pStyle w:val="46"/>
              <w:keepNext w:val="0"/>
              <w:keepLines w:val="0"/>
              <w:pageBreakBefore w:val="0"/>
              <w:widowControl w:val="0"/>
              <w:kinsoku/>
              <w:wordWrap/>
              <w:overflowPunct/>
              <w:topLinePunct w:val="0"/>
              <w:autoSpaceDE/>
              <w:autoSpaceDN/>
              <w:bidi w:val="0"/>
              <w:adjustRightInd/>
              <w:snapToGrid/>
              <w:spacing w:line="360" w:lineRule="atLeas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评标价=投标函文字报价</w:t>
            </w:r>
          </w:p>
          <w:p w14:paraId="5014C7CB">
            <w:pPr>
              <w:pStyle w:val="46"/>
              <w:keepNext w:val="0"/>
              <w:keepLines w:val="0"/>
              <w:pageBreakBefore w:val="0"/>
              <w:widowControl w:val="0"/>
              <w:kinsoku/>
              <w:wordWrap/>
              <w:overflowPunct/>
              <w:topLinePunct w:val="0"/>
              <w:autoSpaceDE/>
              <w:autoSpaceDN/>
              <w:bidi w:val="0"/>
              <w:adjustRightInd/>
              <w:snapToGrid/>
              <w:spacing w:line="360" w:lineRule="atLeas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）评标价平均值的计算：</w:t>
            </w:r>
          </w:p>
          <w:p w14:paraId="5A5EA19A">
            <w:pPr>
              <w:pStyle w:val="46"/>
              <w:keepNext w:val="0"/>
              <w:keepLines w:val="0"/>
              <w:pageBreakBefore w:val="0"/>
              <w:widowControl w:val="0"/>
              <w:kinsoku/>
              <w:wordWrap/>
              <w:overflowPunct/>
              <w:topLinePunct w:val="0"/>
              <w:autoSpaceDE/>
              <w:autoSpaceDN/>
              <w:bidi w:val="0"/>
              <w:adjustRightInd/>
              <w:snapToGrid/>
              <w:spacing w:line="360" w:lineRule="atLeas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除按第二章“投标人须知”第 5.2.4 项规定开标现场被宣布为不进入评标基准价计算的投标报价之外，所有投标人的评标价去掉一个最高值和一个最低值后的算术平均值即为评标价平均值（如果参与评标价平均值计算的有效投标人少于 5 家时，则计算评标价平均值时不去掉最高值和最低值）；</w:t>
            </w:r>
          </w:p>
          <w:p w14:paraId="30199292">
            <w:pPr>
              <w:pStyle w:val="46"/>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）评标基准价的确定：</w:t>
            </w:r>
          </w:p>
          <w:p w14:paraId="435370A5">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将评标价平均值直接作为评标基准价。 </w:t>
            </w:r>
          </w:p>
          <w:p w14:paraId="17F95CDE">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在评标过程中，评标委员会应对招标人计算的评标基准价进行复核，存在计算错误的应予以修正并在评标报告中作出说明。除此之外，评标基准价在整个评标期间保持不变，不随任何因素发生变化</w:t>
            </w:r>
            <w:r>
              <w:rPr>
                <w:rFonts w:hint="eastAsia" w:ascii="宋体" w:hAnsi="宋体" w:cs="宋体"/>
                <w:color w:val="auto"/>
                <w:sz w:val="21"/>
                <w:szCs w:val="21"/>
                <w:highlight w:val="none"/>
                <w:lang w:val="en-US" w:eastAsia="zh-CN" w:bidi="ar-SA"/>
              </w:rPr>
              <w:t>。</w:t>
            </w:r>
          </w:p>
        </w:tc>
      </w:tr>
      <w:tr w14:paraId="34ED3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86" w:type="dxa"/>
            <w:noWrap/>
            <w:vAlign w:val="center"/>
          </w:tcPr>
          <w:p w14:paraId="62800EA9">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lang w:eastAsia="zh-CN"/>
              </w:rPr>
              <w:t>2.2.3</w:t>
            </w:r>
          </w:p>
        </w:tc>
        <w:tc>
          <w:tcPr>
            <w:tcW w:w="1733" w:type="dxa"/>
            <w:noWrap/>
            <w:vAlign w:val="center"/>
          </w:tcPr>
          <w:p w14:paraId="287C5352">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评标价的偏差率计算公式</w:t>
            </w:r>
          </w:p>
        </w:tc>
        <w:tc>
          <w:tcPr>
            <w:tcW w:w="6839" w:type="dxa"/>
            <w:noWrap/>
            <w:vAlign w:val="center"/>
          </w:tcPr>
          <w:p w14:paraId="173C37E2">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偏差率=100%×（投标人评标价－评标基准价）/评标基准价</w:t>
            </w:r>
          </w:p>
          <w:p w14:paraId="5B0D4AF9">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偏差率保留</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lang w:eastAsia="zh-CN"/>
              </w:rPr>
              <w:t>位小数</w:t>
            </w:r>
          </w:p>
        </w:tc>
      </w:tr>
      <w:tr w14:paraId="2DC0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4" w:hRule="atLeast"/>
          <w:jc w:val="center"/>
        </w:trPr>
        <w:tc>
          <w:tcPr>
            <w:tcW w:w="986" w:type="dxa"/>
            <w:noWrap/>
            <w:vAlign w:val="center"/>
          </w:tcPr>
          <w:p w14:paraId="02EF579F">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2.2.4</w:t>
            </w:r>
          </w:p>
        </w:tc>
        <w:tc>
          <w:tcPr>
            <w:tcW w:w="1733" w:type="dxa"/>
            <w:noWrap/>
            <w:vAlign w:val="center"/>
          </w:tcPr>
          <w:p w14:paraId="65215CCE">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评标价</w:t>
            </w:r>
          </w:p>
        </w:tc>
        <w:tc>
          <w:tcPr>
            <w:tcW w:w="6839" w:type="dxa"/>
            <w:noWrap/>
            <w:vAlign w:val="center"/>
          </w:tcPr>
          <w:p w14:paraId="26829539">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100分</w:t>
            </w:r>
          </w:p>
          <w:p w14:paraId="7DFF0F12">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评标价得分计算公式示例：</w:t>
            </w:r>
          </w:p>
          <w:p w14:paraId="651D548E">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（1）如果投标人的评标价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&gt;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评标基准价，则评标价得分＝100－偏差率×100×E1；</w:t>
            </w:r>
          </w:p>
          <w:p w14:paraId="0E47EF15">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（2）如果投标人的评标价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评标基准价，则评标价得分＝100＋偏差率×100×E2。</w:t>
            </w:r>
          </w:p>
          <w:p w14:paraId="302E6721">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其中：E1 是评标价每高于评标基准价一个百分点的扣分值，E2 是评标价每低于评标基准价一个百分点的扣分值，但 E1应大于E2。</w:t>
            </w:r>
          </w:p>
          <w:p w14:paraId="739686C7">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E1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 xml:space="preserve"> E2</w:t>
            </w:r>
            <w:r>
              <w:rPr>
                <w:rFonts w:hint="eastAsia" w:ascii="宋体" w:hAnsi="宋体" w:cs="宋体"/>
                <w:color w:val="auto"/>
                <w:sz w:val="21"/>
                <w:szCs w:val="21"/>
                <w:highlight w:val="none"/>
                <w:lang w:val="en-US" w:eastAsia="zh-CN"/>
              </w:rPr>
              <w:t>=0.5</w:t>
            </w:r>
          </w:p>
        </w:tc>
      </w:tr>
    </w:tbl>
    <w:p w14:paraId="31729DA2">
      <w:pPr>
        <w:pStyle w:val="43"/>
        <w:spacing w:line="420" w:lineRule="exact"/>
        <w:jc w:val="center"/>
        <w:outlineLvl w:val="1"/>
        <w:rPr>
          <w:rFonts w:hAnsi="宋体"/>
          <w:b/>
          <w:color w:val="auto"/>
          <w:highlight w:val="none"/>
        </w:rPr>
      </w:pPr>
    </w:p>
    <w:p w14:paraId="7D5675D1">
      <w:pPr>
        <w:rPr>
          <w:rFonts w:hAnsi="宋体"/>
          <w:b/>
          <w:color w:val="auto"/>
          <w:highlight w:val="none"/>
        </w:rPr>
      </w:pPr>
    </w:p>
    <w:p w14:paraId="42BBAB4D">
      <w:pPr>
        <w:pStyle w:val="21"/>
        <w:rPr>
          <w:rFonts w:hAnsi="宋体"/>
          <w:b/>
          <w:color w:val="auto"/>
          <w:highlight w:val="none"/>
        </w:rPr>
      </w:pPr>
    </w:p>
    <w:p w14:paraId="48304D69">
      <w:pPr>
        <w:rPr>
          <w:rFonts w:hAnsi="宋体"/>
          <w:b/>
          <w:color w:val="auto"/>
          <w:highlight w:val="none"/>
        </w:rPr>
      </w:pPr>
    </w:p>
    <w:p w14:paraId="1E8857B5">
      <w:pPr>
        <w:pStyle w:val="21"/>
        <w:rPr>
          <w:rFonts w:hAnsi="宋体"/>
          <w:b/>
          <w:color w:val="auto"/>
          <w:highlight w:val="none"/>
        </w:rPr>
      </w:pPr>
    </w:p>
    <w:p w14:paraId="170F0119">
      <w:pPr>
        <w:rPr>
          <w:color w:val="auto"/>
          <w:highlight w:val="none"/>
        </w:rPr>
      </w:pPr>
    </w:p>
    <w:p w14:paraId="06EBA239">
      <w:pPr>
        <w:keepNext w:val="0"/>
        <w:keepLines w:val="0"/>
        <w:pageBreakBefore w:val="0"/>
        <w:widowControl w:val="0"/>
        <w:kinsoku/>
        <w:wordWrap/>
        <w:overflowPunct/>
        <w:topLinePunct w:val="0"/>
        <w:bidi w:val="0"/>
        <w:snapToGrid/>
        <w:spacing w:line="360" w:lineRule="auto"/>
        <w:textAlignment w:val="auto"/>
        <w:outlineLvl w:val="1"/>
        <w:rPr>
          <w:rFonts w:ascii="宋体" w:hAnsi="宋体"/>
          <w:b/>
          <w:color w:val="auto"/>
          <w:sz w:val="28"/>
          <w:szCs w:val="28"/>
          <w:highlight w:val="none"/>
        </w:rPr>
      </w:pPr>
      <w:bookmarkStart w:id="378" w:name="_Toc18862"/>
      <w:bookmarkEnd w:id="378"/>
      <w:r>
        <w:rPr>
          <w:rFonts w:hint="eastAsia" w:ascii="宋体" w:hAnsi="宋体"/>
          <w:b/>
          <w:color w:val="auto"/>
          <w:sz w:val="28"/>
          <w:szCs w:val="28"/>
          <w:highlight w:val="none"/>
        </w:rPr>
        <w:t>1．评标方法</w:t>
      </w:r>
    </w:p>
    <w:p w14:paraId="4C9DE518">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Times New Roman"/>
          <w:bCs/>
          <w:color w:val="auto"/>
          <w:sz w:val="24"/>
          <w:szCs w:val="24"/>
          <w:highlight w:val="none"/>
          <w:lang w:eastAsia="zh-CN"/>
        </w:rPr>
      </w:pPr>
      <w:bookmarkStart w:id="379" w:name="_Toc446"/>
      <w:bookmarkEnd w:id="379"/>
      <w:r>
        <w:rPr>
          <w:rFonts w:hint="eastAsia" w:ascii="宋体" w:hAnsi="宋体" w:cs="Times New Roman"/>
          <w:b w:val="0"/>
          <w:bCs w:val="0"/>
          <w:color w:val="auto"/>
          <w:sz w:val="24"/>
          <w:szCs w:val="24"/>
          <w:highlight w:val="none"/>
        </w:rPr>
        <w:t>本次评标采用合理低价法。评标委员会对满足招标文件实质性要求的投标文件，按照本章第2.2款规定的评分标准进行打分，并</w:t>
      </w:r>
      <w:r>
        <w:rPr>
          <w:rFonts w:hint="eastAsia" w:ascii="宋体" w:hAnsi="宋体" w:cs="Times New Roman"/>
          <w:b w:val="0"/>
          <w:bCs w:val="0"/>
          <w:color w:val="auto"/>
          <w:sz w:val="24"/>
          <w:szCs w:val="24"/>
          <w:highlight w:val="none"/>
          <w:lang w:eastAsia="zh-CN"/>
        </w:rPr>
        <w:t>按照第二章“投标人须知”前附表6.3.2规定推荐中标候选人，</w:t>
      </w:r>
      <w:r>
        <w:rPr>
          <w:rFonts w:hint="eastAsia" w:ascii="宋体" w:hAnsi="宋体" w:cs="Times New Roman"/>
          <w:b w:val="0"/>
          <w:bCs w:val="0"/>
          <w:color w:val="auto"/>
          <w:sz w:val="24"/>
          <w:szCs w:val="24"/>
          <w:highlight w:val="none"/>
        </w:rPr>
        <w:t>但投标报价低于其成本的除外。</w:t>
      </w:r>
      <w:r>
        <w:rPr>
          <w:rFonts w:hint="eastAsia" w:ascii="宋体" w:hAnsi="宋体" w:cs="Times New Roman"/>
          <w:b w:val="0"/>
          <w:bCs w:val="0"/>
          <w:color w:val="auto"/>
          <w:sz w:val="24"/>
          <w:szCs w:val="24"/>
          <w:highlight w:val="none"/>
          <w:lang w:eastAsia="zh-CN"/>
        </w:rPr>
        <w:t>综合评分相等时，以投标报价低的优先；投标报价也相等的，按照施工组织设计</w:t>
      </w:r>
      <w:r>
        <w:rPr>
          <w:rFonts w:hint="eastAsia" w:ascii="宋体" w:hAnsi="宋体" w:cs="Times New Roman"/>
          <w:b w:val="0"/>
          <w:bCs w:val="0"/>
          <w:color w:val="auto"/>
          <w:sz w:val="24"/>
          <w:szCs w:val="24"/>
          <w:highlight w:val="none"/>
          <w:lang w:val="en-US" w:eastAsia="zh-CN"/>
        </w:rPr>
        <w:t>整体编制质量高的</w:t>
      </w:r>
      <w:r>
        <w:rPr>
          <w:rFonts w:hint="eastAsia" w:ascii="宋体" w:hAnsi="宋体" w:cs="Times New Roman"/>
          <w:b w:val="0"/>
          <w:bCs w:val="0"/>
          <w:color w:val="auto"/>
          <w:sz w:val="24"/>
          <w:szCs w:val="24"/>
          <w:highlight w:val="none"/>
          <w:lang w:eastAsia="zh-CN"/>
        </w:rPr>
        <w:t>优先，由评标委员会</w:t>
      </w:r>
      <w:r>
        <w:rPr>
          <w:rFonts w:hint="eastAsia" w:ascii="宋体" w:hAnsi="宋体" w:cs="Times New Roman"/>
          <w:b w:val="0"/>
          <w:bCs w:val="0"/>
          <w:color w:val="auto"/>
          <w:sz w:val="24"/>
          <w:szCs w:val="24"/>
          <w:highlight w:val="none"/>
          <w:lang w:val="en-US" w:eastAsia="zh-CN"/>
        </w:rPr>
        <w:t>确定</w:t>
      </w:r>
      <w:r>
        <w:rPr>
          <w:rFonts w:hint="eastAsia" w:ascii="宋体" w:hAnsi="宋体" w:cs="Times New Roman"/>
          <w:b w:val="0"/>
          <w:bCs w:val="0"/>
          <w:color w:val="auto"/>
          <w:sz w:val="24"/>
          <w:szCs w:val="24"/>
          <w:highlight w:val="none"/>
          <w:lang w:eastAsia="zh-CN"/>
        </w:rPr>
        <w:t>。</w:t>
      </w:r>
    </w:p>
    <w:p w14:paraId="3CD83DF3">
      <w:pPr>
        <w:keepNext w:val="0"/>
        <w:keepLines w:val="0"/>
        <w:pageBreakBefore w:val="0"/>
        <w:widowControl w:val="0"/>
        <w:kinsoku/>
        <w:wordWrap/>
        <w:overflowPunct/>
        <w:topLinePunct w:val="0"/>
        <w:bidi w:val="0"/>
        <w:snapToGrid/>
        <w:spacing w:line="360" w:lineRule="auto"/>
        <w:textAlignment w:val="auto"/>
        <w:outlineLvl w:val="1"/>
        <w:rPr>
          <w:rFonts w:ascii="宋体" w:hAnsi="宋体"/>
          <w:b/>
          <w:color w:val="auto"/>
          <w:sz w:val="28"/>
          <w:szCs w:val="28"/>
          <w:highlight w:val="none"/>
        </w:rPr>
      </w:pPr>
      <w:r>
        <w:rPr>
          <w:rFonts w:hint="eastAsia" w:ascii="宋体" w:hAnsi="宋体"/>
          <w:b/>
          <w:color w:val="auto"/>
          <w:sz w:val="28"/>
          <w:szCs w:val="28"/>
          <w:highlight w:val="none"/>
        </w:rPr>
        <w:t>2．评审标准</w:t>
      </w:r>
    </w:p>
    <w:p w14:paraId="0E49E2B9">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rPr>
          <w:rFonts w:ascii="宋体" w:hAnsi="宋体"/>
          <w:b/>
          <w:color w:val="auto"/>
          <w:kern w:val="0"/>
          <w:sz w:val="24"/>
          <w:szCs w:val="24"/>
          <w:highlight w:val="none"/>
        </w:rPr>
      </w:pPr>
      <w:bookmarkStart w:id="380" w:name="_Toc16778800"/>
      <w:bookmarkEnd w:id="380"/>
      <w:bookmarkStart w:id="381" w:name="_Toc21705"/>
      <w:bookmarkEnd w:id="381"/>
      <w:bookmarkStart w:id="382" w:name="_Toc11113"/>
      <w:bookmarkEnd w:id="382"/>
      <w:bookmarkStart w:id="383" w:name="_Toc3177"/>
      <w:r>
        <w:rPr>
          <w:rFonts w:hint="eastAsia" w:ascii="宋体" w:hAnsi="宋体"/>
          <w:b/>
          <w:color w:val="auto"/>
          <w:kern w:val="0"/>
          <w:sz w:val="24"/>
          <w:szCs w:val="24"/>
          <w:highlight w:val="none"/>
        </w:rPr>
        <w:t>2.1 初步评审标准</w:t>
      </w:r>
      <w:bookmarkEnd w:id="383"/>
    </w:p>
    <w:p w14:paraId="3877092D">
      <w:pPr>
        <w:keepNext w:val="0"/>
        <w:keepLines w:val="0"/>
        <w:pageBreakBefore w:val="0"/>
        <w:widowControl w:val="0"/>
        <w:kinsoku/>
        <w:wordWrap/>
        <w:overflowPunct/>
        <w:topLinePunct w:val="0"/>
        <w:bidi w:val="0"/>
        <w:snapToGrid/>
        <w:spacing w:line="36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2.1.1 形式评审标准：见评标办法前附表。</w:t>
      </w:r>
    </w:p>
    <w:p w14:paraId="6C1A65F7">
      <w:pPr>
        <w:keepNext w:val="0"/>
        <w:keepLines w:val="0"/>
        <w:pageBreakBefore w:val="0"/>
        <w:widowControl w:val="0"/>
        <w:kinsoku/>
        <w:wordWrap/>
        <w:overflowPunct/>
        <w:topLinePunct w:val="0"/>
        <w:bidi w:val="0"/>
        <w:snapToGrid/>
        <w:spacing w:line="36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2.1.2 资格评审标准：见评标办法前附表。</w:t>
      </w:r>
    </w:p>
    <w:p w14:paraId="295EE792">
      <w:pPr>
        <w:keepNext w:val="0"/>
        <w:keepLines w:val="0"/>
        <w:pageBreakBefore w:val="0"/>
        <w:widowControl w:val="0"/>
        <w:kinsoku/>
        <w:wordWrap/>
        <w:overflowPunct/>
        <w:topLinePunct w:val="0"/>
        <w:bidi w:val="0"/>
        <w:snapToGrid/>
        <w:spacing w:line="36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2.1.3响应性评审标准：见评标办法前附表。</w:t>
      </w:r>
    </w:p>
    <w:p w14:paraId="7D0EB63D">
      <w:pPr>
        <w:keepNext w:val="0"/>
        <w:keepLines w:val="0"/>
        <w:pageBreakBefore w:val="0"/>
        <w:widowControl w:val="0"/>
        <w:kinsoku/>
        <w:wordWrap/>
        <w:overflowPunct/>
        <w:topLinePunct w:val="0"/>
        <w:bidi w:val="0"/>
        <w:snapToGrid/>
        <w:spacing w:line="360" w:lineRule="auto"/>
        <w:textAlignment w:val="auto"/>
        <w:rPr>
          <w:rFonts w:hint="eastAsia" w:ascii="宋体" w:hAnsi="宋体"/>
          <w:b w:val="0"/>
          <w:bCs w:val="0"/>
          <w:color w:val="auto"/>
          <w:kern w:val="0"/>
          <w:sz w:val="24"/>
          <w:szCs w:val="24"/>
          <w:highlight w:val="none"/>
        </w:rPr>
      </w:pPr>
      <w:bookmarkStart w:id="384" w:name="_Toc16778801"/>
      <w:bookmarkEnd w:id="384"/>
      <w:bookmarkStart w:id="385" w:name="_Toc30222"/>
      <w:r>
        <w:rPr>
          <w:rFonts w:hint="eastAsia" w:ascii="宋体" w:hAnsi="宋体"/>
          <w:b/>
          <w:bCs w:val="0"/>
          <w:color w:val="auto"/>
          <w:kern w:val="0"/>
          <w:sz w:val="24"/>
          <w:szCs w:val="24"/>
          <w:highlight w:val="none"/>
        </w:rPr>
        <w:t>2.2</w:t>
      </w:r>
      <w:r>
        <w:rPr>
          <w:rFonts w:hint="eastAsia" w:ascii="宋体" w:hAnsi="宋体"/>
          <w:b/>
          <w:bCs w:val="0"/>
          <w:color w:val="auto"/>
          <w:kern w:val="0"/>
          <w:sz w:val="24"/>
          <w:szCs w:val="24"/>
          <w:highlight w:val="none"/>
          <w:lang w:val="en-US" w:eastAsia="zh-CN"/>
        </w:rPr>
        <w:t xml:space="preserve"> </w:t>
      </w:r>
      <w:bookmarkEnd w:id="385"/>
      <w:r>
        <w:rPr>
          <w:rFonts w:hint="eastAsia" w:ascii="宋体" w:hAnsi="宋体"/>
          <w:b/>
          <w:bCs w:val="0"/>
          <w:color w:val="auto"/>
          <w:kern w:val="0"/>
          <w:sz w:val="24"/>
          <w:szCs w:val="24"/>
          <w:highlight w:val="none"/>
        </w:rPr>
        <w:t>分值构成与评分标准</w:t>
      </w:r>
    </w:p>
    <w:p w14:paraId="669F22A9">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 xml:space="preserve">2.2.1 分值构成 </w:t>
      </w:r>
    </w:p>
    <w:p w14:paraId="451540F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 xml:space="preserve">评标价：见评标办法前附表。 </w:t>
      </w:r>
    </w:p>
    <w:p w14:paraId="647BACC2">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2.2.2 评标基准价计算</w:t>
      </w:r>
    </w:p>
    <w:p w14:paraId="4AA3F6DD">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评标基准价计算方法：见评标办法前附表。</w:t>
      </w:r>
    </w:p>
    <w:p w14:paraId="45CFBA34">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 xml:space="preserve">2.2.3 评标价的偏差率计算 </w:t>
      </w:r>
    </w:p>
    <w:p w14:paraId="790C9CD7">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 xml:space="preserve">评标价的偏差率计算公式：见评标办法前附表。 </w:t>
      </w:r>
    </w:p>
    <w:p w14:paraId="7A810B8B">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 xml:space="preserve">2.2.4 评分标准 </w:t>
      </w:r>
    </w:p>
    <w:p w14:paraId="4BE00B0E">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评标价评分标准：见评标办法前附表。</w:t>
      </w:r>
    </w:p>
    <w:p w14:paraId="2B02A66D">
      <w:pPr>
        <w:keepNext w:val="0"/>
        <w:keepLines w:val="0"/>
        <w:pageBreakBefore w:val="0"/>
        <w:widowControl w:val="0"/>
        <w:kinsoku/>
        <w:wordWrap/>
        <w:overflowPunct/>
        <w:topLinePunct w:val="0"/>
        <w:bidi w:val="0"/>
        <w:snapToGrid/>
        <w:spacing w:line="360" w:lineRule="auto"/>
        <w:textAlignment w:val="auto"/>
        <w:rPr>
          <w:rFonts w:hint="eastAsia" w:ascii="宋体" w:hAnsi="宋体" w:cs="Times New Roman"/>
          <w:b/>
          <w:bCs/>
          <w:color w:val="auto"/>
          <w:kern w:val="0"/>
          <w:sz w:val="28"/>
          <w:szCs w:val="28"/>
          <w:highlight w:val="none"/>
        </w:rPr>
      </w:pPr>
      <w:r>
        <w:rPr>
          <w:rFonts w:hint="eastAsia" w:ascii="宋体" w:hAnsi="宋体" w:cs="Times New Roman"/>
          <w:b/>
          <w:bCs/>
          <w:color w:val="auto"/>
          <w:kern w:val="0"/>
          <w:sz w:val="28"/>
          <w:szCs w:val="28"/>
          <w:highlight w:val="none"/>
        </w:rPr>
        <w:t>3. 评标程序</w:t>
      </w:r>
    </w:p>
    <w:p w14:paraId="699F5822">
      <w:pPr>
        <w:keepNext w:val="0"/>
        <w:keepLines w:val="0"/>
        <w:pageBreakBefore w:val="0"/>
        <w:widowControl w:val="0"/>
        <w:kinsoku/>
        <w:wordWrap/>
        <w:overflowPunct/>
        <w:topLinePunct w:val="0"/>
        <w:bidi w:val="0"/>
        <w:snapToGrid/>
        <w:spacing w:line="360" w:lineRule="auto"/>
        <w:textAlignment w:val="auto"/>
        <w:rPr>
          <w:rFonts w:hint="eastAsia" w:ascii="宋体" w:hAnsi="宋体" w:cs="Times New Roman"/>
          <w:b w:val="0"/>
          <w:bCs w:val="0"/>
          <w:color w:val="auto"/>
          <w:kern w:val="0"/>
          <w:sz w:val="24"/>
          <w:szCs w:val="24"/>
          <w:highlight w:val="none"/>
        </w:rPr>
      </w:pPr>
      <w:bookmarkStart w:id="386" w:name="_bookmark100"/>
      <w:bookmarkEnd w:id="386"/>
      <w:r>
        <w:rPr>
          <w:rFonts w:hint="eastAsia" w:ascii="宋体" w:hAnsi="宋体" w:cs="Times New Roman"/>
          <w:b/>
          <w:bCs/>
          <w:color w:val="auto"/>
          <w:kern w:val="0"/>
          <w:sz w:val="24"/>
          <w:szCs w:val="24"/>
          <w:highlight w:val="none"/>
        </w:rPr>
        <w:t>3.1 第一个信封初步评审</w:t>
      </w:r>
    </w:p>
    <w:p w14:paraId="77F6D56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Times New Roman"/>
          <w:b w:val="0"/>
          <w:bCs w:val="0"/>
          <w:color w:val="auto"/>
          <w:kern w:val="0"/>
          <w:sz w:val="24"/>
          <w:szCs w:val="24"/>
          <w:highlight w:val="none"/>
        </w:rPr>
      </w:pPr>
      <w:r>
        <w:rPr>
          <w:rFonts w:hint="eastAsia" w:ascii="宋体" w:hAnsi="宋体" w:cs="Times New Roman"/>
          <w:b w:val="0"/>
          <w:bCs w:val="0"/>
          <w:color w:val="auto"/>
          <w:kern w:val="0"/>
          <w:sz w:val="24"/>
          <w:szCs w:val="24"/>
          <w:highlight w:val="none"/>
        </w:rPr>
        <w:t>3.1.1 评标委员会可以要求投标人提交第二章“投标人须知”第3.5.1项至第3.5.6项规定的有关证明和证件的原件</w:t>
      </w:r>
      <w:r>
        <w:rPr>
          <w:rFonts w:hint="eastAsia" w:ascii="宋体" w:hAnsi="宋体" w:cs="Times New Roman"/>
          <w:b w:val="0"/>
          <w:bCs w:val="0"/>
          <w:color w:val="auto"/>
          <w:kern w:val="0"/>
          <w:sz w:val="24"/>
          <w:szCs w:val="24"/>
          <w:highlight w:val="none"/>
          <w:lang w:eastAsia="zh-CN"/>
        </w:rPr>
        <w:t>，</w:t>
      </w:r>
      <w:r>
        <w:rPr>
          <w:rFonts w:hint="eastAsia" w:ascii="宋体" w:hAnsi="宋体" w:cs="Times New Roman"/>
          <w:b w:val="0"/>
          <w:bCs w:val="0"/>
          <w:color w:val="auto"/>
          <w:kern w:val="0"/>
          <w:sz w:val="24"/>
          <w:szCs w:val="24"/>
          <w:highlight w:val="none"/>
        </w:rPr>
        <w:t>以便核验。评标委员会依据本章第2.1款规定的标准对投标文件第一个信封（商务及技术文件）进行初步评审。有一项不符合评审标准的，评标委员会应否决其投标。</w:t>
      </w:r>
    </w:p>
    <w:p w14:paraId="77B17034">
      <w:pPr>
        <w:keepNext w:val="0"/>
        <w:keepLines w:val="0"/>
        <w:pageBreakBefore w:val="0"/>
        <w:widowControl w:val="0"/>
        <w:kinsoku/>
        <w:wordWrap/>
        <w:overflowPunct/>
        <w:topLinePunct w:val="0"/>
        <w:bidi w:val="0"/>
        <w:snapToGrid/>
        <w:spacing w:line="360" w:lineRule="auto"/>
        <w:textAlignment w:val="auto"/>
        <w:rPr>
          <w:rFonts w:hint="eastAsia" w:ascii="宋体" w:hAnsi="宋体" w:cs="Times New Roman"/>
          <w:b/>
          <w:bCs/>
          <w:color w:val="auto"/>
          <w:kern w:val="0"/>
          <w:sz w:val="24"/>
          <w:szCs w:val="24"/>
          <w:highlight w:val="none"/>
        </w:rPr>
      </w:pPr>
      <w:r>
        <w:rPr>
          <w:rFonts w:hint="eastAsia" w:ascii="宋体" w:hAnsi="宋体" w:cs="Times New Roman"/>
          <w:b/>
          <w:bCs/>
          <w:color w:val="auto"/>
          <w:kern w:val="0"/>
          <w:sz w:val="24"/>
          <w:szCs w:val="24"/>
          <w:highlight w:val="none"/>
        </w:rPr>
        <w:t>3.2 第二个信封开标</w:t>
      </w:r>
    </w:p>
    <w:p w14:paraId="1C8D0D2B">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Times New Roman"/>
          <w:b/>
          <w:bCs/>
          <w:color w:val="auto"/>
          <w:kern w:val="0"/>
          <w:sz w:val="24"/>
          <w:szCs w:val="24"/>
          <w:highlight w:val="none"/>
        </w:rPr>
      </w:pPr>
      <w:r>
        <w:rPr>
          <w:rFonts w:hint="eastAsia" w:ascii="宋体" w:hAnsi="宋体" w:cs="Times New Roman"/>
          <w:b w:val="0"/>
          <w:bCs w:val="0"/>
          <w:color w:val="auto"/>
          <w:kern w:val="0"/>
          <w:sz w:val="24"/>
          <w:szCs w:val="24"/>
          <w:highlight w:val="none"/>
        </w:rPr>
        <w:t>第一个信封（商务及技术文件）评审结束后，招标人将按照第二章“投标人须知” 第5.1款规定的时间和地点对通过投标文件第一个信封（商务及技术文件）评审的投标文件第二个信封（报价文件）进行开标。</w:t>
      </w:r>
    </w:p>
    <w:p w14:paraId="55BEEB12">
      <w:pPr>
        <w:keepNext w:val="0"/>
        <w:keepLines w:val="0"/>
        <w:pageBreakBefore w:val="0"/>
        <w:widowControl w:val="0"/>
        <w:kinsoku/>
        <w:wordWrap/>
        <w:overflowPunct/>
        <w:topLinePunct w:val="0"/>
        <w:bidi w:val="0"/>
        <w:snapToGrid/>
        <w:spacing w:line="360" w:lineRule="auto"/>
        <w:textAlignment w:val="auto"/>
        <w:rPr>
          <w:rFonts w:hint="eastAsia" w:ascii="宋体" w:hAnsi="宋体" w:cs="Times New Roman"/>
          <w:b/>
          <w:bCs/>
          <w:color w:val="auto"/>
          <w:kern w:val="0"/>
          <w:sz w:val="24"/>
          <w:szCs w:val="24"/>
          <w:highlight w:val="none"/>
        </w:rPr>
      </w:pPr>
      <w:r>
        <w:rPr>
          <w:rFonts w:hint="eastAsia" w:ascii="宋体" w:hAnsi="宋体" w:cs="Times New Roman"/>
          <w:b/>
          <w:bCs/>
          <w:color w:val="auto"/>
          <w:kern w:val="0"/>
          <w:sz w:val="24"/>
          <w:szCs w:val="24"/>
          <w:highlight w:val="none"/>
        </w:rPr>
        <w:t>3.3 第二个信封初步评审</w:t>
      </w:r>
    </w:p>
    <w:p w14:paraId="393209B2">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Times New Roman"/>
          <w:b w:val="0"/>
          <w:bCs w:val="0"/>
          <w:color w:val="auto"/>
          <w:kern w:val="0"/>
          <w:sz w:val="24"/>
          <w:szCs w:val="24"/>
          <w:highlight w:val="none"/>
        </w:rPr>
      </w:pPr>
      <w:r>
        <w:rPr>
          <w:rFonts w:hint="eastAsia" w:ascii="宋体" w:hAnsi="宋体" w:cs="Times New Roman"/>
          <w:b w:val="0"/>
          <w:bCs w:val="0"/>
          <w:color w:val="auto"/>
          <w:kern w:val="0"/>
          <w:sz w:val="24"/>
          <w:szCs w:val="24"/>
          <w:highlight w:val="none"/>
        </w:rPr>
        <w:t>3.3.1 评标委员会依据本章第2.1.1项、第2.1.3项规定的评审标准对投标文件第二个信封（报价文件）进行初步评审。有一项不符合评审标准的，评标委员会应否决其投标。</w:t>
      </w:r>
    </w:p>
    <w:p w14:paraId="52B54539">
      <w:pPr>
        <w:keepNext w:val="0"/>
        <w:keepLines w:val="0"/>
        <w:pageBreakBefore w:val="0"/>
        <w:widowControl w:val="0"/>
        <w:kinsoku/>
        <w:wordWrap/>
        <w:overflowPunct/>
        <w:topLinePunct w:val="0"/>
        <w:bidi w:val="0"/>
        <w:snapToGrid/>
        <w:spacing w:line="360" w:lineRule="auto"/>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bCs/>
          <w:color w:val="auto"/>
          <w:kern w:val="0"/>
          <w:sz w:val="24"/>
          <w:szCs w:val="24"/>
          <w:highlight w:val="none"/>
          <w:lang w:val="en-US" w:eastAsia="zh-CN"/>
        </w:rPr>
        <w:t>3.4 第二个信封详细评审</w:t>
      </w:r>
    </w:p>
    <w:p w14:paraId="6C12D31D">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3.4.1 评标委员会按本章第 2.2 款规定的量化因素和分值进行打分，并计算出综合评估得分（即评标价得分）。</w:t>
      </w:r>
    </w:p>
    <w:p w14:paraId="0264A912">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3.4.2 投标人得分分值计算保留小数点后两位，小数点后第三位“四舍五入”。</w:t>
      </w:r>
    </w:p>
    <w:p w14:paraId="33642578">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3.4.3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4B5DC869">
      <w:pPr>
        <w:keepNext w:val="0"/>
        <w:keepLines w:val="0"/>
        <w:pageBreakBefore w:val="0"/>
        <w:widowControl w:val="0"/>
        <w:kinsoku/>
        <w:wordWrap/>
        <w:overflowPunct/>
        <w:topLinePunct w:val="0"/>
        <w:bidi w:val="0"/>
        <w:snapToGrid/>
        <w:spacing w:line="360" w:lineRule="auto"/>
        <w:textAlignment w:val="auto"/>
        <w:rPr>
          <w:rFonts w:hint="default" w:ascii="宋体" w:hAnsi="宋体" w:cs="Times New Roman"/>
          <w:b/>
          <w:bCs/>
          <w:color w:val="auto"/>
          <w:kern w:val="0"/>
          <w:sz w:val="24"/>
          <w:szCs w:val="24"/>
          <w:highlight w:val="none"/>
          <w:lang w:val="en-US" w:eastAsia="zh-CN"/>
        </w:rPr>
      </w:pPr>
      <w:r>
        <w:rPr>
          <w:rFonts w:hint="default" w:ascii="宋体" w:hAnsi="宋体" w:cs="Times New Roman"/>
          <w:b/>
          <w:bCs/>
          <w:color w:val="auto"/>
          <w:kern w:val="0"/>
          <w:sz w:val="24"/>
          <w:szCs w:val="24"/>
          <w:highlight w:val="none"/>
          <w:lang w:val="en-US" w:eastAsia="zh-CN"/>
        </w:rPr>
        <w:t>3.5 投标文件相关信息的核查</w:t>
      </w:r>
    </w:p>
    <w:p w14:paraId="3130841A">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评标委员会应对在评标过程中发现的投标人与投标人之间、投标人与招标人之间存在的串通投标的情形进行评审和认定。投标人存在串通投标</w:t>
      </w:r>
      <w:r>
        <w:rPr>
          <w:rFonts w:hint="eastAsia" w:ascii="宋体" w:hAnsi="宋体" w:cs="Times New Roman"/>
          <w:b w:val="0"/>
          <w:bCs w:val="0"/>
          <w:color w:val="auto"/>
          <w:kern w:val="0"/>
          <w:sz w:val="24"/>
          <w:szCs w:val="24"/>
          <w:highlight w:val="none"/>
          <w:lang w:val="en-US" w:eastAsia="zh-CN"/>
        </w:rPr>
        <w:t>、</w:t>
      </w:r>
      <w:r>
        <w:rPr>
          <w:rFonts w:hint="default" w:ascii="宋体" w:hAnsi="宋体" w:cs="Times New Roman"/>
          <w:b w:val="0"/>
          <w:bCs w:val="0"/>
          <w:color w:val="auto"/>
          <w:kern w:val="0"/>
          <w:sz w:val="24"/>
          <w:szCs w:val="24"/>
          <w:highlight w:val="none"/>
          <w:lang w:val="en-US" w:eastAsia="zh-CN"/>
        </w:rPr>
        <w:t>弄虚作假、行贿等违法行为的，评标委员会应否决其投标。</w:t>
      </w:r>
    </w:p>
    <w:p w14:paraId="21985BCB">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（1）有下列情形之一的，属于投标人相互串通投标： </w:t>
      </w:r>
    </w:p>
    <w:p w14:paraId="59AB10F9">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a.投标人之间协商投标报价等投标文件的实质性内容； </w:t>
      </w:r>
    </w:p>
    <w:p w14:paraId="0EB1522B">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b.投标人之间约定中标人； </w:t>
      </w:r>
    </w:p>
    <w:p w14:paraId="6810D5F6">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c.投标人之间约定部分投标人放弃投标或中标；</w:t>
      </w:r>
    </w:p>
    <w:p w14:paraId="4C0760B0">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d.属于同一集团、协会、商会等组织成员的投标人按照该组织要求协同投标；</w:t>
      </w:r>
    </w:p>
    <w:p w14:paraId="1CE0D3AC">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e.投标人之间为谋取中标或排斥特定投标人而采取的其他联合行动。</w:t>
      </w:r>
    </w:p>
    <w:p w14:paraId="06134EAA">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（2）有下列情形之一的，视为投标人相互串通投标： </w:t>
      </w:r>
    </w:p>
    <w:p w14:paraId="253EF1DF">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a.不同投标人的投标文件由同一单位或个人编制； </w:t>
      </w:r>
    </w:p>
    <w:p w14:paraId="4AC0175A">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b.不同投标人委托同一单位或个人办理投标事宜； </w:t>
      </w:r>
    </w:p>
    <w:p w14:paraId="75DE1675">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c.不同投标人的投标文件载明的项目管理成员为同一人； </w:t>
      </w:r>
    </w:p>
    <w:p w14:paraId="680245A4">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d.不同投标人的投标文件异常一致或投标报价呈规律性差异； </w:t>
      </w:r>
    </w:p>
    <w:p w14:paraId="7E0D84D0">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e.不同投标人的投标文件相互混装； </w:t>
      </w:r>
    </w:p>
    <w:p w14:paraId="4E6F4A79">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f.不同投标人的投标保证金从同一单位或个人的账户转出。</w:t>
      </w:r>
    </w:p>
    <w:p w14:paraId="1FDDFD2F">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（3）有下列情形之一的，属于招标人与投标人串通投标： </w:t>
      </w:r>
    </w:p>
    <w:p w14:paraId="76AE78D9">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a.招标人在开标前开启投标文件并将有关信息泄露给其他投标人</w:t>
      </w:r>
      <w:r>
        <w:rPr>
          <w:rFonts w:hint="eastAsia" w:ascii="宋体" w:hAnsi="宋体" w:cs="Times New Roman"/>
          <w:b w:val="0"/>
          <w:bCs w:val="0"/>
          <w:color w:val="auto"/>
          <w:kern w:val="0"/>
          <w:sz w:val="24"/>
          <w:szCs w:val="24"/>
          <w:highlight w:val="none"/>
          <w:lang w:val="en-US" w:eastAsia="zh-CN"/>
        </w:rPr>
        <w:t>；</w:t>
      </w:r>
    </w:p>
    <w:p w14:paraId="515CE2E7">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b.招标人直接或间接向投标人泄露标底、评标委员会成员等信息； </w:t>
      </w:r>
    </w:p>
    <w:p w14:paraId="1256A365">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c.招标人明示或暗示投标人压低或抬高投标报价； </w:t>
      </w:r>
    </w:p>
    <w:p w14:paraId="2919EBE3">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d.招标人授意投标人撤换、修改投标文件； </w:t>
      </w:r>
    </w:p>
    <w:p w14:paraId="0E36A20C">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e.招标人明示或暗示投标人为特定投标人中标提供方便； </w:t>
      </w:r>
    </w:p>
    <w:p w14:paraId="5D61A8A4">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f.招标人与投标人为谋求特定投标人中标而采取的其他串通行为。</w:t>
      </w:r>
    </w:p>
    <w:p w14:paraId="7744B969">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（4）投标人有下列情形之一的，属于弄虚作假的行为： </w:t>
      </w:r>
    </w:p>
    <w:p w14:paraId="115743A6">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a.使用通过受让或租借等方式获取的资格、资质证书投标； </w:t>
      </w:r>
    </w:p>
    <w:p w14:paraId="52FA1398">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b.使用伪造、变造的许可证件； </w:t>
      </w:r>
    </w:p>
    <w:p w14:paraId="28ED1A10">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c.提供虚假的财务状况或业绩；</w:t>
      </w:r>
    </w:p>
    <w:p w14:paraId="6FA85353">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 xml:space="preserve">d.提供虚假的项目负责人或主要技术人员简历、劳动关系证明； </w:t>
      </w:r>
    </w:p>
    <w:p w14:paraId="0AA94019">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e.提供虚假的信用状况；</w:t>
      </w:r>
    </w:p>
    <w:p w14:paraId="6B5F1BB0">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f.其他弄虚作假的行为。</w:t>
      </w:r>
    </w:p>
    <w:p w14:paraId="311AA33B">
      <w:pPr>
        <w:keepNext w:val="0"/>
        <w:keepLines w:val="0"/>
        <w:pageBreakBefore w:val="0"/>
        <w:widowControl w:val="0"/>
        <w:kinsoku/>
        <w:wordWrap/>
        <w:overflowPunct/>
        <w:topLinePunct w:val="0"/>
        <w:bidi w:val="0"/>
        <w:snapToGrid/>
        <w:spacing w:line="360" w:lineRule="auto"/>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bCs/>
          <w:color w:val="auto"/>
          <w:kern w:val="0"/>
          <w:sz w:val="24"/>
          <w:szCs w:val="24"/>
          <w:highlight w:val="none"/>
          <w:lang w:val="en-US" w:eastAsia="zh-CN"/>
        </w:rPr>
        <w:t>3.6 投标文件的澄清和说明</w:t>
      </w:r>
    </w:p>
    <w:p w14:paraId="1C6E5749">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3.6.1 在评标过程中，评标委员会可以书面形式要求投标人对投标文件中含义不明确的内容、明显文字或计算错误进行书面澄清或说明。评标委员会不接受投标人主动提出的澄清、说明。投标人不按评标委员会要求澄清或说明的，评标委员会应否决其投标。</w:t>
      </w:r>
    </w:p>
    <w:p w14:paraId="2AC125B6">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3.6.2 澄清和说明不得超出投标文件的范围或改变投标文件的实质性内容（算术性错误的修正除外</w:t>
      </w:r>
      <w:r>
        <w:rPr>
          <w:rFonts w:hint="eastAsia" w:ascii="宋体" w:hAnsi="宋体" w:cs="Times New Roman"/>
          <w:b w:val="0"/>
          <w:bCs w:val="0"/>
          <w:color w:val="auto"/>
          <w:kern w:val="0"/>
          <w:sz w:val="24"/>
          <w:szCs w:val="24"/>
          <w:highlight w:val="none"/>
          <w:lang w:val="en-US" w:eastAsia="zh-CN"/>
        </w:rPr>
        <w:t>）。</w:t>
      </w:r>
      <w:r>
        <w:rPr>
          <w:rFonts w:hint="default" w:ascii="宋体" w:hAnsi="宋体" w:cs="Times New Roman"/>
          <w:b w:val="0"/>
          <w:bCs w:val="0"/>
          <w:color w:val="auto"/>
          <w:kern w:val="0"/>
          <w:sz w:val="24"/>
          <w:szCs w:val="24"/>
          <w:highlight w:val="none"/>
          <w:lang w:val="en-US" w:eastAsia="zh-CN"/>
        </w:rPr>
        <w:t>投标人的书面澄清、说明属于投标文件的组成部分。</w:t>
      </w:r>
    </w:p>
    <w:p w14:paraId="60E3A711">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3.6.3 评标委员会不得暗示或诱导投标人作出澄清、说明，对投标人提交的澄清、说明有疑问的，可以要求投标人进一步澄清或说明，直至满足评标委员会的要求。</w:t>
      </w:r>
    </w:p>
    <w:p w14:paraId="687802F3">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3.6.4 凡超出招标文件规定的或给发包人带来未曾要求的利益的变化、偏差或其他因素在评标时不予考虑。</w:t>
      </w:r>
    </w:p>
    <w:p w14:paraId="4B6C0945">
      <w:pPr>
        <w:keepNext w:val="0"/>
        <w:keepLines w:val="0"/>
        <w:pageBreakBefore w:val="0"/>
        <w:widowControl w:val="0"/>
        <w:kinsoku/>
        <w:wordWrap/>
        <w:overflowPunct/>
        <w:topLinePunct w:val="0"/>
        <w:bidi w:val="0"/>
        <w:snapToGrid/>
        <w:spacing w:line="360" w:lineRule="auto"/>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bCs/>
          <w:color w:val="auto"/>
          <w:kern w:val="0"/>
          <w:sz w:val="24"/>
          <w:szCs w:val="24"/>
          <w:highlight w:val="none"/>
          <w:lang w:val="en-US" w:eastAsia="zh-CN"/>
        </w:rPr>
        <w:t>3.7 不得否决投标的情形</w:t>
      </w:r>
    </w:p>
    <w:p w14:paraId="2F7E763B">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投标文件存在第二章“投标人须知”第 1.12.3 项所列情形的，均视为细微偏差，评标委员会不得否决投标人的投标，应按照第二章“投标人须知”第 1.12.4 项规定的原则处理。</w:t>
      </w:r>
    </w:p>
    <w:p w14:paraId="588439E9">
      <w:pPr>
        <w:keepNext w:val="0"/>
        <w:keepLines w:val="0"/>
        <w:pageBreakBefore w:val="0"/>
        <w:widowControl w:val="0"/>
        <w:kinsoku/>
        <w:wordWrap/>
        <w:overflowPunct/>
        <w:topLinePunct w:val="0"/>
        <w:bidi w:val="0"/>
        <w:snapToGrid/>
        <w:spacing w:line="360" w:lineRule="auto"/>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bCs/>
          <w:color w:val="auto"/>
          <w:kern w:val="0"/>
          <w:sz w:val="24"/>
          <w:szCs w:val="24"/>
          <w:highlight w:val="none"/>
          <w:lang w:val="en-US" w:eastAsia="zh-CN"/>
        </w:rPr>
        <w:t>3.8 评标结果</w:t>
      </w:r>
    </w:p>
    <w:p w14:paraId="42F96E4D">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3.8.1 除第二章“投标人须知”前附表授权直接确定中标人外，评标委员会</w:t>
      </w:r>
      <w:r>
        <w:rPr>
          <w:rFonts w:hint="eastAsia" w:ascii="宋体" w:hAnsi="宋体" w:cs="Times New Roman"/>
          <w:b w:val="0"/>
          <w:bCs w:val="0"/>
          <w:color w:val="auto"/>
          <w:kern w:val="0"/>
          <w:sz w:val="24"/>
          <w:szCs w:val="24"/>
          <w:highlight w:val="none"/>
          <w:lang w:val="en-US" w:eastAsia="zh-CN"/>
        </w:rPr>
        <w:t>应按照</w:t>
      </w:r>
      <w:r>
        <w:rPr>
          <w:rFonts w:hint="default" w:ascii="宋体" w:hAnsi="宋体" w:cs="Times New Roman"/>
          <w:b w:val="0"/>
          <w:bCs w:val="0"/>
          <w:color w:val="auto"/>
          <w:kern w:val="0"/>
          <w:sz w:val="24"/>
          <w:szCs w:val="24"/>
          <w:highlight w:val="none"/>
          <w:lang w:val="en-US" w:eastAsia="zh-CN"/>
        </w:rPr>
        <w:t>第二章“投标人须知”前附表</w:t>
      </w:r>
      <w:r>
        <w:rPr>
          <w:rFonts w:hint="eastAsia" w:ascii="宋体" w:hAnsi="宋体" w:cs="Times New Roman"/>
          <w:b w:val="0"/>
          <w:bCs w:val="0"/>
          <w:color w:val="auto"/>
          <w:kern w:val="0"/>
          <w:sz w:val="24"/>
          <w:szCs w:val="24"/>
          <w:highlight w:val="none"/>
          <w:lang w:val="en-US" w:eastAsia="zh-CN"/>
        </w:rPr>
        <w:t>6.3.2规定</w:t>
      </w:r>
      <w:r>
        <w:rPr>
          <w:rFonts w:hint="default" w:ascii="宋体" w:hAnsi="宋体" w:cs="Times New Roman"/>
          <w:b w:val="0"/>
          <w:bCs w:val="0"/>
          <w:color w:val="auto"/>
          <w:kern w:val="0"/>
          <w:sz w:val="24"/>
          <w:szCs w:val="24"/>
          <w:highlight w:val="none"/>
          <w:lang w:val="en-US" w:eastAsia="zh-CN"/>
        </w:rPr>
        <w:t>推荐中标候选人。</w:t>
      </w:r>
    </w:p>
    <w:p w14:paraId="55096CBE">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3.8.2  评标委员会完成评标后，应向招标人提交书面评标报告</w:t>
      </w:r>
      <w:r>
        <w:rPr>
          <w:rFonts w:hint="eastAsia" w:ascii="宋体" w:hAnsi="宋体" w:cs="Times New Roman"/>
          <w:b w:val="0"/>
          <w:bCs w:val="0"/>
          <w:color w:val="auto"/>
          <w:kern w:val="0"/>
          <w:sz w:val="24"/>
          <w:szCs w:val="24"/>
          <w:highlight w:val="none"/>
          <w:lang w:val="en-US" w:eastAsia="zh-CN"/>
        </w:rPr>
        <w:t>，评标报告应当载明每个中标候选人的特点、优势、缺点、风险等评审情况和推荐理由，并对技术、质量、安全、工期的控制能力等提供技术咨询建议。</w:t>
      </w:r>
    </w:p>
    <w:p w14:paraId="4783EB5F">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p>
    <w:p w14:paraId="1775E13E">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p>
    <w:p w14:paraId="29728F64">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p>
    <w:p w14:paraId="22437AE6">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p>
    <w:p w14:paraId="7B2B0F9F">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p>
    <w:p w14:paraId="464672DD">
      <w:pPr>
        <w:pStyle w:val="3"/>
        <w:rPr>
          <w:rFonts w:hint="default" w:ascii="宋体" w:hAnsi="宋体" w:cs="Times New Roman"/>
          <w:b w:val="0"/>
          <w:bCs w:val="0"/>
          <w:color w:val="auto"/>
          <w:kern w:val="0"/>
          <w:sz w:val="24"/>
          <w:szCs w:val="24"/>
          <w:highlight w:val="none"/>
          <w:lang w:val="en-US" w:eastAsia="zh-CN"/>
        </w:rPr>
      </w:pPr>
    </w:p>
    <w:p w14:paraId="25F656D1">
      <w:pPr>
        <w:rPr>
          <w:rFonts w:hint="default" w:ascii="宋体" w:hAnsi="宋体" w:cs="Times New Roman"/>
          <w:b w:val="0"/>
          <w:bCs w:val="0"/>
          <w:color w:val="auto"/>
          <w:kern w:val="0"/>
          <w:sz w:val="24"/>
          <w:szCs w:val="24"/>
          <w:highlight w:val="none"/>
          <w:lang w:val="en-US" w:eastAsia="zh-CN"/>
        </w:rPr>
      </w:pPr>
    </w:p>
    <w:p w14:paraId="59B61EBB">
      <w:pPr>
        <w:pStyle w:val="3"/>
        <w:rPr>
          <w:rFonts w:hint="default" w:ascii="宋体" w:hAnsi="宋体" w:cs="Times New Roman"/>
          <w:b w:val="0"/>
          <w:bCs w:val="0"/>
          <w:color w:val="auto"/>
          <w:kern w:val="0"/>
          <w:sz w:val="24"/>
          <w:szCs w:val="24"/>
          <w:highlight w:val="none"/>
          <w:lang w:val="en-US" w:eastAsia="zh-CN"/>
        </w:rPr>
      </w:pPr>
    </w:p>
    <w:p w14:paraId="0EF0728B">
      <w:pPr>
        <w:rPr>
          <w:rFonts w:hint="default" w:ascii="宋体" w:hAnsi="宋体" w:cs="Times New Roman"/>
          <w:b w:val="0"/>
          <w:bCs w:val="0"/>
          <w:color w:val="auto"/>
          <w:kern w:val="0"/>
          <w:sz w:val="24"/>
          <w:szCs w:val="24"/>
          <w:highlight w:val="none"/>
          <w:lang w:val="en-US" w:eastAsia="zh-CN"/>
        </w:rPr>
      </w:pPr>
    </w:p>
    <w:p w14:paraId="63BBF083">
      <w:pPr>
        <w:bidi w:val="0"/>
        <w:rPr>
          <w:rFonts w:hint="default"/>
          <w:color w:val="auto"/>
          <w:highlight w:val="none"/>
          <w:lang w:val="en-US" w:eastAsia="zh-CN"/>
        </w:rPr>
      </w:pPr>
    </w:p>
    <w:p w14:paraId="69652A5C">
      <w:pPr>
        <w:bidi w:val="0"/>
        <w:rPr>
          <w:rFonts w:hint="default"/>
          <w:color w:val="auto"/>
          <w:highlight w:val="none"/>
          <w:lang w:val="en-US" w:eastAsia="zh-CN"/>
        </w:rPr>
      </w:pPr>
    </w:p>
    <w:p w14:paraId="64F7BCBD">
      <w:pPr>
        <w:pStyle w:val="28"/>
        <w:rPr>
          <w:rFonts w:hint="default"/>
          <w:color w:val="auto"/>
          <w:highlight w:val="none"/>
          <w:lang w:val="en-US" w:eastAsia="zh-CN"/>
        </w:rPr>
      </w:pPr>
    </w:p>
    <w:p w14:paraId="4464E808">
      <w:pPr>
        <w:pStyle w:val="28"/>
        <w:rPr>
          <w:rFonts w:hint="default"/>
          <w:color w:val="auto"/>
          <w:highlight w:val="none"/>
          <w:lang w:val="en-US" w:eastAsia="zh-CN"/>
        </w:rPr>
      </w:pPr>
    </w:p>
    <w:p w14:paraId="7FAADCB5">
      <w:pPr>
        <w:pStyle w:val="28"/>
        <w:rPr>
          <w:rFonts w:hint="default"/>
          <w:color w:val="auto"/>
          <w:highlight w:val="none"/>
          <w:lang w:val="en-US" w:eastAsia="zh-CN"/>
        </w:rPr>
      </w:pPr>
    </w:p>
    <w:p w14:paraId="5C4CB90C">
      <w:pPr>
        <w:pStyle w:val="28"/>
        <w:rPr>
          <w:rFonts w:hint="default"/>
          <w:color w:val="auto"/>
          <w:highlight w:val="none"/>
          <w:lang w:val="en-US" w:eastAsia="zh-CN"/>
        </w:rPr>
      </w:pPr>
    </w:p>
    <w:p w14:paraId="305965E6">
      <w:pPr>
        <w:pStyle w:val="28"/>
        <w:rPr>
          <w:rFonts w:hint="default"/>
          <w:color w:val="auto"/>
          <w:highlight w:val="none"/>
          <w:lang w:val="en-US" w:eastAsia="zh-CN"/>
        </w:rPr>
      </w:pPr>
    </w:p>
    <w:p w14:paraId="38C05B30">
      <w:pPr>
        <w:bidi w:val="0"/>
        <w:rPr>
          <w:rFonts w:hint="default"/>
          <w:color w:val="auto"/>
          <w:highlight w:val="none"/>
          <w:lang w:val="en-US" w:eastAsia="zh-CN"/>
        </w:rPr>
      </w:pPr>
    </w:p>
    <w:p w14:paraId="18712054">
      <w:pPr>
        <w:bidi w:val="0"/>
        <w:rPr>
          <w:rFonts w:hint="default"/>
          <w:color w:val="auto"/>
          <w:highlight w:val="none"/>
          <w:lang w:val="en-US" w:eastAsia="zh-CN"/>
        </w:rPr>
      </w:pPr>
    </w:p>
    <w:p w14:paraId="65EDADCD">
      <w:pPr>
        <w:bidi w:val="0"/>
        <w:rPr>
          <w:rFonts w:hint="default"/>
          <w:color w:val="auto"/>
          <w:highlight w:val="none"/>
          <w:lang w:val="en-US" w:eastAsia="zh-CN"/>
        </w:rPr>
      </w:pPr>
    </w:p>
    <w:p w14:paraId="3A4B628C">
      <w:pPr>
        <w:bidi w:val="0"/>
        <w:rPr>
          <w:rFonts w:hint="default"/>
          <w:color w:val="auto"/>
          <w:highlight w:val="none"/>
          <w:lang w:val="en-US" w:eastAsia="zh-CN"/>
        </w:rPr>
      </w:pPr>
    </w:p>
    <w:p w14:paraId="35351442">
      <w:pPr>
        <w:bidi w:val="0"/>
        <w:rPr>
          <w:rFonts w:hint="default"/>
          <w:color w:val="auto"/>
          <w:highlight w:val="none"/>
          <w:lang w:val="en-US" w:eastAsia="zh-CN"/>
        </w:rPr>
      </w:pPr>
    </w:p>
    <w:p w14:paraId="0AA58D69">
      <w:pPr>
        <w:bidi w:val="0"/>
        <w:rPr>
          <w:rFonts w:hint="default"/>
          <w:color w:val="auto"/>
          <w:highlight w:val="none"/>
          <w:lang w:val="en-US" w:eastAsia="zh-CN"/>
        </w:rPr>
      </w:pPr>
    </w:p>
    <w:p w14:paraId="0D326762">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p>
    <w:p w14:paraId="610282CA">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p>
    <w:p w14:paraId="11B42B18">
      <w:pPr>
        <w:wordWrap w:val="0"/>
        <w:autoSpaceDE w:val="0"/>
        <w:autoSpaceDN w:val="0"/>
        <w:adjustRightInd w:val="0"/>
        <w:spacing w:line="400" w:lineRule="exact"/>
        <w:ind w:right="-34" w:rightChars="-16"/>
        <w:jc w:val="center"/>
        <w:outlineLvl w:val="0"/>
        <w:rPr>
          <w:rFonts w:hint="eastAsia" w:ascii="宋体" w:hAnsi="宋体" w:cs="宋体"/>
          <w:b/>
          <w:color w:val="auto"/>
          <w:kern w:val="0"/>
          <w:sz w:val="36"/>
          <w:highlight w:val="none"/>
        </w:rPr>
      </w:pPr>
      <w:bookmarkStart w:id="387" w:name="_Toc323"/>
      <w:r>
        <w:rPr>
          <w:rFonts w:hint="eastAsia" w:ascii="宋体" w:hAnsi="宋体" w:cs="宋体"/>
          <w:b/>
          <w:color w:val="auto"/>
          <w:kern w:val="0"/>
          <w:sz w:val="36"/>
          <w:highlight w:val="none"/>
        </w:rPr>
        <w:t>第四章 定标办法（核查随机法）</w:t>
      </w:r>
      <w:bookmarkEnd w:id="387"/>
    </w:p>
    <w:p w14:paraId="753F9FA5">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388" w:name="_Toc12050"/>
      <w:bookmarkStart w:id="389" w:name="_Toc4448"/>
      <w:r>
        <w:rPr>
          <w:rFonts w:hint="eastAsia" w:ascii="宋体" w:hAnsi="宋体" w:cs="宋体"/>
          <w:b/>
          <w:bCs/>
          <w:color w:val="auto"/>
          <w:sz w:val="24"/>
          <w:szCs w:val="32"/>
          <w:highlight w:val="none"/>
        </w:rPr>
        <w:t>一、定标依据</w:t>
      </w:r>
      <w:bookmarkEnd w:id="388"/>
      <w:bookmarkEnd w:id="389"/>
    </w:p>
    <w:p w14:paraId="4CB0F121">
      <w:pPr>
        <w:wordWrap w:val="0"/>
        <w:autoSpaceDE w:val="0"/>
        <w:autoSpaceDN w:val="0"/>
        <w:adjustRightInd w:val="0"/>
        <w:spacing w:line="420" w:lineRule="exact"/>
        <w:ind w:firstLine="420" w:firstLineChars="200"/>
        <w:rPr>
          <w:rFonts w:hint="eastAsia" w:ascii="宋体" w:hAnsi="宋体" w:cs="宋体"/>
          <w:color w:val="auto"/>
          <w:szCs w:val="21"/>
          <w:highlight w:val="none"/>
          <w:lang w:val="en-US" w:eastAsia="zh-CN"/>
        </w:rPr>
      </w:pPr>
      <w:bookmarkStart w:id="390" w:name="OLE_LINK41"/>
      <w:r>
        <w:rPr>
          <w:rFonts w:hint="eastAsia" w:ascii="宋体" w:hAnsi="宋体" w:cs="宋体"/>
          <w:color w:val="auto"/>
          <w:szCs w:val="21"/>
          <w:highlight w:val="none"/>
        </w:rPr>
        <w:t>本</w:t>
      </w:r>
      <w:r>
        <w:rPr>
          <w:rFonts w:hint="eastAsia" w:ascii="宋体" w:hAnsi="宋体" w:cs="宋体"/>
          <w:color w:val="auto"/>
          <w:szCs w:val="21"/>
          <w:highlight w:val="none"/>
          <w:lang w:val="en-US" w:eastAsia="zh-CN"/>
        </w:rPr>
        <w:t>次定标办法的制定依据下列文件进行：</w:t>
      </w:r>
    </w:p>
    <w:p w14:paraId="1C8A2306">
      <w:pPr>
        <w:wordWrap w:val="0"/>
        <w:autoSpaceDE w:val="0"/>
        <w:autoSpaceDN w:val="0"/>
        <w:adjustRightInd w:val="0"/>
        <w:spacing w:line="42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1、《中华人民共和国招标投标法》；</w:t>
      </w:r>
    </w:p>
    <w:p w14:paraId="3B6B3271">
      <w:pPr>
        <w:wordWrap w:val="0"/>
        <w:autoSpaceDE w:val="0"/>
        <w:autoSpaceDN w:val="0"/>
        <w:adjustRightInd w:val="0"/>
        <w:spacing w:line="42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2、《中华人民共和国招投标法实施条例》</w:t>
      </w:r>
    </w:p>
    <w:p w14:paraId="120E1C73">
      <w:pPr>
        <w:wordWrap w:val="0"/>
        <w:autoSpaceDE w:val="0"/>
        <w:autoSpaceDN w:val="0"/>
        <w:adjustRightInd w:val="0"/>
        <w:spacing w:line="42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3、《国务院办公厅关于创新完善体制机制推动招标投标市场规范健康发展的意见》(国办发(2024) 21号)</w:t>
      </w:r>
    </w:p>
    <w:p w14:paraId="14146737">
      <w:pPr>
        <w:wordWrap w:val="0"/>
        <w:autoSpaceDE w:val="0"/>
        <w:autoSpaceDN w:val="0"/>
        <w:adjustRightInd w:val="0"/>
        <w:spacing w:line="42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4、《河南省政府投资工程建设项目招标投标“评定分离”管理办法（试行）》豫发改公管规〔2025〕559号；</w:t>
      </w:r>
    </w:p>
    <w:p w14:paraId="470FCD58">
      <w:pPr>
        <w:wordWrap w:val="0"/>
        <w:autoSpaceDE w:val="0"/>
        <w:autoSpaceDN w:val="0"/>
        <w:adjustRightInd w:val="0"/>
        <w:spacing w:line="42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5、关于印发《驻马店市政府投资工程建设项目招标投标“评定分离”规范指引》的通知（驻发改公管[2025]274号）</w:t>
      </w:r>
    </w:p>
    <w:p w14:paraId="740C724F">
      <w:pPr>
        <w:wordWrap w:val="0"/>
        <w:autoSpaceDE w:val="0"/>
        <w:autoSpaceDN w:val="0"/>
        <w:adjustRightInd w:val="0"/>
        <w:spacing w:line="42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6、本项目招标文件；</w:t>
      </w:r>
    </w:p>
    <w:p w14:paraId="4E66B824">
      <w:pPr>
        <w:wordWrap w:val="0"/>
        <w:autoSpaceDE w:val="0"/>
        <w:autoSpaceDN w:val="0"/>
        <w:adjustRightInd w:val="0"/>
        <w:spacing w:line="42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7、评标委员会推荐的合格入围中标候选人名单；</w:t>
      </w:r>
    </w:p>
    <w:p w14:paraId="43052C8B">
      <w:pPr>
        <w:wordWrap w:val="0"/>
        <w:autoSpaceDE w:val="0"/>
        <w:autoSpaceDN w:val="0"/>
        <w:adjustRightInd w:val="0"/>
        <w:spacing w:line="42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8、招标投标全过程资料；</w:t>
      </w:r>
    </w:p>
    <w:p w14:paraId="436303D9">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9、其他有关法律法规和相关制度</w:t>
      </w:r>
      <w:r>
        <w:rPr>
          <w:rFonts w:hint="eastAsia" w:ascii="宋体" w:hAnsi="宋体" w:cs="宋体"/>
          <w:color w:val="auto"/>
          <w:szCs w:val="21"/>
          <w:highlight w:val="none"/>
        </w:rPr>
        <w:t>。</w:t>
      </w:r>
    </w:p>
    <w:bookmarkEnd w:id="390"/>
    <w:p w14:paraId="3A185E91">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391" w:name="_Toc22184"/>
      <w:bookmarkStart w:id="392" w:name="_Toc28603"/>
      <w:r>
        <w:rPr>
          <w:rFonts w:hint="eastAsia" w:ascii="宋体" w:hAnsi="宋体" w:cs="宋体"/>
          <w:b/>
          <w:bCs/>
          <w:color w:val="auto"/>
          <w:sz w:val="24"/>
          <w:szCs w:val="32"/>
          <w:highlight w:val="none"/>
        </w:rPr>
        <w:t>二、定标原则</w:t>
      </w:r>
      <w:bookmarkEnd w:id="391"/>
      <w:bookmarkEnd w:id="392"/>
    </w:p>
    <w:p w14:paraId="5594A099">
      <w:pPr>
        <w:wordWrap w:val="0"/>
        <w:autoSpaceDE w:val="0"/>
        <w:autoSpaceDN w:val="0"/>
        <w:adjustRightInd w:val="0"/>
        <w:spacing w:line="420" w:lineRule="exact"/>
        <w:ind w:firstLine="420" w:firstLineChars="200"/>
        <w:rPr>
          <w:rFonts w:hint="eastAsia" w:ascii="宋体" w:hAnsi="宋体" w:cs="宋体"/>
          <w:color w:val="auto"/>
          <w:szCs w:val="21"/>
          <w:highlight w:val="none"/>
        </w:rPr>
      </w:pPr>
      <w:bookmarkStart w:id="393" w:name="OLE_LINK42"/>
      <w:r>
        <w:rPr>
          <w:rFonts w:hint="eastAsia" w:ascii="宋体" w:hAnsi="宋体" w:cs="宋体"/>
          <w:color w:val="auto"/>
          <w:szCs w:val="21"/>
          <w:highlight w:val="none"/>
        </w:rPr>
        <w:t>遵循公开透明、竞争择优、科学规范、廉洁高效的原则。</w:t>
      </w:r>
      <w:bookmarkEnd w:id="393"/>
      <w:bookmarkStart w:id="394" w:name="_Toc31048"/>
    </w:p>
    <w:p w14:paraId="7EE92DF0">
      <w:pPr>
        <w:wordWrap w:val="0"/>
        <w:spacing w:before="156" w:beforeLines="50" w:after="156" w:afterLines="50" w:line="420" w:lineRule="exact"/>
        <w:outlineLvl w:val="1"/>
        <w:rPr>
          <w:rFonts w:hint="default" w:ascii="宋体" w:hAnsi="宋体" w:eastAsia="宋体" w:cs="宋体"/>
          <w:b/>
          <w:bCs/>
          <w:color w:val="auto"/>
          <w:sz w:val="24"/>
          <w:szCs w:val="32"/>
          <w:highlight w:val="none"/>
          <w:lang w:val="en-US" w:eastAsia="zh-CN"/>
        </w:rPr>
      </w:pPr>
      <w:bookmarkStart w:id="395" w:name="_Toc16772"/>
      <w:r>
        <w:rPr>
          <w:rFonts w:hint="eastAsia" w:ascii="宋体" w:hAnsi="宋体" w:cs="宋体"/>
          <w:b/>
          <w:bCs/>
          <w:color w:val="auto"/>
          <w:sz w:val="24"/>
          <w:szCs w:val="32"/>
          <w:highlight w:val="none"/>
        </w:rPr>
        <w:t>三、定标方法</w:t>
      </w:r>
      <w:bookmarkEnd w:id="394"/>
      <w:bookmarkEnd w:id="395"/>
      <w:r>
        <w:rPr>
          <w:rFonts w:hint="eastAsia" w:ascii="宋体" w:hAnsi="宋体" w:cs="宋体"/>
          <w:b/>
          <w:bCs/>
          <w:color w:val="auto"/>
          <w:sz w:val="24"/>
          <w:szCs w:val="32"/>
          <w:highlight w:val="none"/>
          <w:lang w:val="en-US" w:eastAsia="zh-CN"/>
        </w:rPr>
        <w:t>及因素</w:t>
      </w:r>
    </w:p>
    <w:p w14:paraId="5F02F5CD">
      <w:pPr>
        <w:wordWrap w:val="0"/>
        <w:autoSpaceDE w:val="0"/>
        <w:autoSpaceDN w:val="0"/>
        <w:adjustRightInd w:val="0"/>
        <w:spacing w:line="420" w:lineRule="exact"/>
        <w:ind w:firstLine="420" w:firstLineChars="200"/>
        <w:rPr>
          <w:rFonts w:hint="eastAsia" w:ascii="宋体" w:hAnsi="宋体" w:cs="宋体"/>
          <w:color w:val="auto"/>
          <w:szCs w:val="21"/>
          <w:highlight w:val="none"/>
        </w:rPr>
      </w:pPr>
      <w:bookmarkStart w:id="396" w:name="OLE_LINK43"/>
      <w:r>
        <w:rPr>
          <w:rFonts w:hint="eastAsia" w:ascii="宋体" w:hAnsi="宋体" w:cs="宋体"/>
          <w:color w:val="auto"/>
          <w:szCs w:val="21"/>
          <w:highlight w:val="none"/>
        </w:rPr>
        <w:t>本项目定标方法采用核查随机法确定中标人。</w:t>
      </w:r>
    </w:p>
    <w:p w14:paraId="261836C2">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position w:val="2"/>
          <w:sz w:val="13"/>
          <w:szCs w:val="21"/>
          <w:highlight w:val="none"/>
        </w:rPr>
        <w:instrText xml:space="preserve">√</w:instrText>
      </w:r>
      <w:r>
        <w:rPr>
          <w:rFonts w:hint="eastAsia" w:ascii="宋体" w:hAnsi="宋体" w:cs="宋体"/>
          <w:color w:val="auto"/>
          <w:szCs w:val="21"/>
          <w:highlight w:val="none"/>
        </w:rPr>
        <w:instrText xml:space="preserve">)</w:instrText>
      </w:r>
      <w:r>
        <w:rPr>
          <w:rFonts w:hint="eastAsia" w:ascii="宋体" w:hAnsi="宋体" w:cs="宋体"/>
          <w:color w:val="auto"/>
          <w:szCs w:val="21"/>
          <w:highlight w:val="none"/>
        </w:rPr>
        <w:fldChar w:fldCharType="end"/>
      </w:r>
      <w:r>
        <w:rPr>
          <w:rFonts w:hint="eastAsia" w:ascii="宋体" w:hAnsi="宋体" w:cs="宋体"/>
          <w:color w:val="auto"/>
          <w:szCs w:val="21"/>
          <w:highlight w:val="none"/>
        </w:rPr>
        <w:t>核查随机法:定标委员会在通过核查的中标候选人中按照随机选取方式确定中标人。</w:t>
      </w:r>
    </w:p>
    <w:p w14:paraId="2C5B39B8">
      <w:pPr>
        <w:wordWrap w:val="0"/>
        <w:autoSpaceDE w:val="0"/>
        <w:autoSpaceDN w:val="0"/>
        <w:adjustRightInd w:val="0"/>
        <w:spacing w:line="42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定标因素：</w:t>
      </w:r>
      <w:r>
        <w:rPr>
          <w:rFonts w:hint="eastAsia" w:ascii="宋体" w:hAnsi="宋体" w:cs="宋体"/>
          <w:color w:val="auto"/>
          <w:szCs w:val="21"/>
          <w:highlight w:val="none"/>
          <w:lang w:val="en-US" w:eastAsia="zh-CN"/>
        </w:rPr>
        <w:t>本项目</w:t>
      </w:r>
      <w:r>
        <w:rPr>
          <w:rFonts w:hint="eastAsia" w:ascii="宋体" w:hAnsi="宋体" w:cs="宋体"/>
          <w:color w:val="auto"/>
          <w:szCs w:val="21"/>
          <w:highlight w:val="none"/>
          <w:lang w:eastAsia="zh-CN"/>
        </w:rPr>
        <w:t>采用</w:t>
      </w:r>
      <w:r>
        <w:rPr>
          <w:rFonts w:hint="eastAsia" w:ascii="宋体" w:hAnsi="宋体" w:cs="宋体"/>
          <w:color w:val="auto"/>
          <w:szCs w:val="21"/>
          <w:highlight w:val="none"/>
          <w:lang w:val="en-US" w:eastAsia="zh-CN"/>
        </w:rPr>
        <w:t>双信封合理低价</w:t>
      </w:r>
    </w:p>
    <w:bookmarkEnd w:id="396"/>
    <w:p w14:paraId="56C11A38">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397" w:name="_Toc31431"/>
      <w:bookmarkStart w:id="398" w:name="_Toc18476"/>
      <w:r>
        <w:rPr>
          <w:rFonts w:hint="eastAsia" w:ascii="宋体" w:hAnsi="宋体" w:cs="宋体"/>
          <w:b/>
          <w:bCs/>
          <w:color w:val="auto"/>
          <w:sz w:val="24"/>
          <w:szCs w:val="32"/>
          <w:highlight w:val="none"/>
        </w:rPr>
        <w:t>四、定标委员会的组建</w:t>
      </w:r>
      <w:bookmarkEnd w:id="397"/>
      <w:bookmarkEnd w:id="398"/>
    </w:p>
    <w:p w14:paraId="22BC02E2">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定标委员会成员数量为5人及以上单数，招标人单位成员不得低于成员总数的三分之二。定标委员会组长由招标人确定，原则上由招标人的法定代表人、主要负责人或分管负责人担任，其他成员可由招标人自行选定定标委员会成员与中标候选人有利害关系的，应当主动申请回避。定标委员会名单在中标结果确定前应当保密。</w:t>
      </w:r>
    </w:p>
    <w:p w14:paraId="3FD9DD1F">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定标委员会成员应当对定标过程保密，对所提出的定标意见承担个人责任，不得私下与投标人或者其他利害关系人接触。</w:t>
      </w:r>
    </w:p>
    <w:p w14:paraId="50B1C9E6">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有下列情况之一的，不得担任定标委员会成员：</w:t>
      </w:r>
    </w:p>
    <w:p w14:paraId="2A15309E">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1.与中标候选人或中标候选人主要负责人有近亲属关系或有经济利益关系的，可能影响定标公正的；</w:t>
      </w:r>
    </w:p>
    <w:p w14:paraId="706FD8D7">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2.曾因在招标投标有关活动中从事违法行为而受过行政处罚或刑事处罚的；</w:t>
      </w:r>
    </w:p>
    <w:p w14:paraId="2E4E1B0A">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3.中标候选人的在职人员或招标项目代理机构的在职人员。</w:t>
      </w:r>
    </w:p>
    <w:p w14:paraId="3F586615">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399" w:name="_Toc28259"/>
      <w:bookmarkStart w:id="400" w:name="_Toc9111"/>
      <w:r>
        <w:rPr>
          <w:rFonts w:hint="eastAsia" w:ascii="宋体" w:hAnsi="宋体" w:cs="宋体"/>
          <w:b/>
          <w:bCs/>
          <w:color w:val="auto"/>
          <w:sz w:val="24"/>
          <w:szCs w:val="32"/>
          <w:highlight w:val="none"/>
        </w:rPr>
        <w:t>五、定标核查</w:t>
      </w:r>
      <w:bookmarkEnd w:id="399"/>
      <w:bookmarkEnd w:id="400"/>
    </w:p>
    <w:p w14:paraId="49F49C4C">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5.1定标委员会将对中标候选人进行定标核查。</w:t>
      </w:r>
    </w:p>
    <w:p w14:paraId="3869BBC8">
      <w:p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核查内容包括：</w:t>
      </w:r>
    </w:p>
    <w:p w14:paraId="23B6C0D1">
      <w:pPr>
        <w:numPr>
          <w:ilvl w:val="0"/>
          <w:numId w:val="5"/>
        </w:numPr>
        <w:spacing w:line="420" w:lineRule="exact"/>
        <w:ind w:firstLine="420" w:firstLineChars="200"/>
        <w:rPr>
          <w:rFonts w:ascii="宋体" w:hAnsi="宋体" w:cs="宋体"/>
          <w:strike w:val="0"/>
          <w:dstrike w:val="0"/>
          <w:color w:val="auto"/>
          <w:kern w:val="0"/>
          <w:szCs w:val="21"/>
          <w:highlight w:val="none"/>
        </w:rPr>
      </w:pPr>
      <w:r>
        <w:rPr>
          <w:rFonts w:hint="eastAsia" w:ascii="宋体" w:hAnsi="宋体" w:cs="宋体"/>
          <w:color w:val="auto"/>
          <w:szCs w:val="21"/>
          <w:highlight w:val="none"/>
        </w:rPr>
        <w:t xml:space="preserve">企业信用信息：①投标人通过“信用中国”网站（https://www.creditchina.gov.cn/）“失信被执行人”-跳转至“中国执行信息公开网”网站（https://zxgk.court.gov.cn/shixin/）查询企业、法定代表人、拟派项目经理，并提供查询结果证明材料，有失信记录的将被取消投标资格（投标人须提供网站查询打印页，打印页需包括查询日期，查询日期为公告发布之后至投标截止时间前）。 </w:t>
      </w:r>
      <w:r>
        <w:rPr>
          <w:rFonts w:ascii="宋体" w:hAnsi="宋体" w:cs="宋体"/>
          <w:color w:val="auto"/>
          <w:szCs w:val="21"/>
          <w:highlight w:val="none"/>
        </w:rPr>
        <w:t>②</w:t>
      </w:r>
      <w:r>
        <w:rPr>
          <w:rFonts w:hint="eastAsia" w:ascii="宋体" w:hAnsi="宋体" w:cs="宋体"/>
          <w:color w:val="auto"/>
          <w:szCs w:val="21"/>
          <w:highlight w:val="none"/>
        </w:rPr>
        <w:t>投标人未被列入政府采购严重违法失信行为记录名单，须提供企业在“中国政府采购网站（www.ccgp.gov.cn）的“政府采购严重违法失信行为名单”查询结果页面截图；（查询日期为公告发布之后至投标截止时间前）</w:t>
      </w:r>
      <w:r>
        <w:rPr>
          <w:rFonts w:ascii="宋体" w:hAnsi="宋体" w:cs="宋体"/>
          <w:strike w:val="0"/>
          <w:dstrike w:val="0"/>
          <w:color w:val="auto"/>
          <w:szCs w:val="21"/>
          <w:highlight w:val="none"/>
        </w:rPr>
        <w:t>③</w:t>
      </w:r>
      <w:r>
        <w:rPr>
          <w:rFonts w:hint="eastAsia" w:ascii="宋体" w:hAnsi="宋体" w:cs="宋体"/>
          <w:strike w:val="0"/>
          <w:dstrike w:val="0"/>
          <w:color w:val="auto"/>
          <w:szCs w:val="21"/>
          <w:highlight w:val="none"/>
        </w:rPr>
        <w:t>单位负责人</w:t>
      </w:r>
      <w:r>
        <w:rPr>
          <w:rFonts w:hint="eastAsia" w:ascii="宋体" w:hAnsi="宋体" w:cs="宋体"/>
          <w:strike w:val="0"/>
          <w:dstrike w:val="0"/>
          <w:color w:val="auto"/>
          <w:kern w:val="0"/>
          <w:szCs w:val="21"/>
          <w:highlight w:val="none"/>
        </w:rPr>
        <w:t>为同一人或者存在控股、管理关系的不同单位，不得同时参加本项目投标</w:t>
      </w:r>
      <w:r>
        <w:rPr>
          <w:rFonts w:hint="eastAsia" w:ascii="宋体" w:hAnsi="宋体" w:cs="宋体"/>
          <w:strike w:val="0"/>
          <w:dstrike w:val="0"/>
          <w:color w:val="auto"/>
          <w:szCs w:val="21"/>
          <w:highlight w:val="none"/>
        </w:rPr>
        <w:t>（提供加盖投标人公章的“国家企业信用信息公示系统”中公示的公司信息、股东或投资人相关信息）。</w:t>
      </w:r>
    </w:p>
    <w:p w14:paraId="69CF75D9">
      <w:pPr>
        <w:numPr>
          <w:ilvl w:val="0"/>
          <w:numId w:val="5"/>
        </w:num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营业执照、资质证书</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安全生产许可证</w:t>
      </w:r>
      <w:r>
        <w:rPr>
          <w:rFonts w:hint="eastAsia" w:ascii="宋体" w:hAnsi="宋体" w:cs="宋体"/>
          <w:color w:val="auto"/>
          <w:szCs w:val="21"/>
          <w:highlight w:val="none"/>
        </w:rPr>
        <w:t xml:space="preserve">； </w:t>
      </w:r>
    </w:p>
    <w:p w14:paraId="6D0DA301">
      <w:pPr>
        <w:wordWrap w:val="0"/>
        <w:spacing w:line="45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（3）项目负责人</w:t>
      </w:r>
      <w:r>
        <w:rPr>
          <w:rFonts w:hint="eastAsia" w:ascii="宋体" w:hAnsi="宋体" w:cs="宋体"/>
          <w:color w:val="auto"/>
          <w:szCs w:val="21"/>
          <w:highlight w:val="none"/>
          <w:lang w:val="en-US" w:eastAsia="zh-CN"/>
        </w:rPr>
        <w:t>注册证书及安全生产考核合格证及职称证，</w:t>
      </w:r>
      <w:r>
        <w:rPr>
          <w:rFonts w:hint="eastAsia" w:ascii="宋体" w:hAnsi="宋体" w:eastAsia="宋体" w:cs="宋体"/>
          <w:color w:val="auto"/>
          <w:kern w:val="2"/>
          <w:sz w:val="21"/>
          <w:szCs w:val="21"/>
          <w:highlight w:val="none"/>
          <w:lang w:val="en-US" w:eastAsia="zh-CN" w:bidi="ar-SA"/>
        </w:rPr>
        <w:t>项目总工职称证</w:t>
      </w:r>
      <w:r>
        <w:rPr>
          <w:rFonts w:hint="eastAsia" w:ascii="宋体" w:hAnsi="宋体" w:cs="宋体"/>
          <w:color w:val="auto"/>
          <w:szCs w:val="21"/>
          <w:highlight w:val="none"/>
        </w:rPr>
        <w:t>。</w:t>
      </w:r>
    </w:p>
    <w:p w14:paraId="6A6E174B">
      <w:p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（4）社保证明：项目负责人、项目组成人员、委托代理人需提供社保证明； </w:t>
      </w:r>
    </w:p>
    <w:p w14:paraId="5A9A9D21">
      <w:p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（5）企业实力：主要包括企业规模、资质等级、拟派团队人员的实力、财务状况、企业业绩及履约情况等；</w:t>
      </w:r>
    </w:p>
    <w:p w14:paraId="22144BD1">
      <w:pPr>
        <w:spacing w:line="42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（6）</w:t>
      </w:r>
      <w:r>
        <w:rPr>
          <w:rFonts w:hint="eastAsia" w:ascii="宋体" w:hAnsi="宋体" w:cs="宋体"/>
          <w:color w:val="auto"/>
          <w:szCs w:val="21"/>
          <w:highlight w:val="none"/>
          <w:lang w:val="en-US" w:eastAsia="zh-CN"/>
        </w:rPr>
        <w:t>技术方案：总体施工组织布置及规划，重点、关键和难点工程的施工方案，</w:t>
      </w:r>
      <w:r>
        <w:rPr>
          <w:rFonts w:hint="eastAsia" w:ascii="宋体" w:hAnsi="宋体" w:eastAsia="宋体" w:cs="宋体"/>
          <w:color w:val="auto"/>
          <w:highlight w:val="none"/>
        </w:rPr>
        <w:t>施工进度表或施工网络图</w:t>
      </w:r>
      <w:r>
        <w:rPr>
          <w:rFonts w:hint="eastAsia" w:ascii="宋体" w:hAnsi="宋体" w:cs="宋体"/>
          <w:color w:val="auto"/>
          <w:szCs w:val="21"/>
          <w:highlight w:val="none"/>
          <w:lang w:val="en-US" w:eastAsia="zh-CN"/>
        </w:rPr>
        <w:t>，关键工程质量保证措施，安全保证措施，环境保护、水土保持、文明施工、文物保护保证措施，项目风险预测与防范，事故应急预案，其他应说明的事项</w:t>
      </w:r>
      <w:r>
        <w:rPr>
          <w:rFonts w:hint="eastAsia" w:ascii="宋体" w:hAnsi="宋体" w:cs="宋体"/>
          <w:color w:val="auto"/>
          <w:szCs w:val="21"/>
          <w:highlight w:val="none"/>
          <w:lang w:eastAsia="zh-CN"/>
        </w:rPr>
        <w:t>；</w:t>
      </w:r>
    </w:p>
    <w:p w14:paraId="5C7F9334">
      <w:pPr>
        <w:pStyle w:val="28"/>
        <w:rPr>
          <w:rFonts w:hint="eastAsia" w:eastAsia="宋体"/>
          <w:color w:val="auto"/>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lang w:eastAsia="zh-CN"/>
        </w:rPr>
        <w:t xml:space="preserve">）招标人认为需要核查及核评的其他内容。 </w:t>
      </w:r>
    </w:p>
    <w:p w14:paraId="73F77857">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 定标委员会应当首先对中标候选人进行核查，形成核查报告，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w:t>
      </w:r>
      <w:r>
        <w:rPr>
          <w:rFonts w:hint="eastAsia" w:ascii="宋体" w:hAnsi="宋体" w:cs="宋体"/>
          <w:color w:val="auto"/>
          <w:szCs w:val="21"/>
          <w:highlight w:val="none"/>
          <w:lang w:val="en-US" w:eastAsia="zh-CN"/>
        </w:rPr>
        <w:t>本项目不采取考察或质询方式进行核查。</w:t>
      </w:r>
    </w:p>
    <w:p w14:paraId="6E1A865F">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5.3 核查内容不得设置不合理限制和隐性壁垒。招标文件中没有规定的核查标准和方法不得作为定标核查的依据，不得在定标过程中新增定标条件和要求。</w:t>
      </w:r>
    </w:p>
    <w:p w14:paraId="38529D8D">
      <w:pPr>
        <w:wordWrap w:val="0"/>
        <w:autoSpaceDE w:val="0"/>
        <w:autoSpaceDN w:val="0"/>
        <w:adjustRightInd w:val="0"/>
        <w:spacing w:line="420" w:lineRule="exact"/>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rPr>
        <w:t>5.4 定标委员会经核查发现中标候选人确有弄虚作假、串通投标等情形的，应当否决相应中标候选人的中标资格，并及时向行政监督部门报告</w:t>
      </w:r>
      <w:r>
        <w:rPr>
          <w:rFonts w:hint="eastAsia" w:ascii="宋体" w:hAnsi="宋体" w:cs="宋体"/>
          <w:color w:val="auto"/>
          <w:szCs w:val="21"/>
          <w:highlight w:val="none"/>
          <w:lang w:eastAsia="zh-CN"/>
        </w:rPr>
        <w:t>，并依规否决相应中标候选人资格，同时向该候选人书面说明。</w:t>
      </w:r>
    </w:p>
    <w:p w14:paraId="19C7F67F">
      <w:pPr>
        <w:wordWrap w:val="0"/>
        <w:autoSpaceDE w:val="0"/>
        <w:autoSpaceDN w:val="0"/>
        <w:adjustRightInd w:val="0"/>
        <w:spacing w:line="42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5.5</w:t>
      </w:r>
      <w:r>
        <w:rPr>
          <w:rFonts w:hint="eastAsia" w:ascii="宋体" w:hAnsi="宋体" w:eastAsia="宋体" w:cs="宋体"/>
          <w:color w:val="auto"/>
          <w:szCs w:val="21"/>
          <w:highlight w:val="none"/>
        </w:rPr>
        <w:t>经核查核评后合格的中标候选人即可按照核查随机法进入随机抽取程序，如经核查核评合格的中标候选人数量≥</w:t>
      </w:r>
      <w:r>
        <w:rPr>
          <w:rFonts w:hint="eastAsia" w:ascii="宋体" w:hAnsi="宋体" w:eastAsia="宋体" w:cs="宋体"/>
          <w:color w:val="auto"/>
          <w:szCs w:val="21"/>
          <w:highlight w:val="none"/>
          <w:lang w:val="en"/>
        </w:rPr>
        <w:t>2</w:t>
      </w:r>
      <w:r>
        <w:rPr>
          <w:rFonts w:hint="eastAsia" w:ascii="宋体" w:hAnsi="宋体" w:eastAsia="宋体" w:cs="宋体"/>
          <w:color w:val="auto"/>
          <w:szCs w:val="21"/>
          <w:highlight w:val="none"/>
        </w:rPr>
        <w:t>家（含</w:t>
      </w:r>
      <w:r>
        <w:rPr>
          <w:rFonts w:hint="eastAsia" w:ascii="宋体" w:hAnsi="宋体" w:eastAsia="宋体" w:cs="宋体"/>
          <w:color w:val="auto"/>
          <w:szCs w:val="21"/>
          <w:highlight w:val="none"/>
          <w:lang w:val="en"/>
        </w:rPr>
        <w:t>2</w:t>
      </w:r>
      <w:r>
        <w:rPr>
          <w:rFonts w:hint="eastAsia" w:ascii="宋体" w:hAnsi="宋体" w:eastAsia="宋体" w:cs="宋体"/>
          <w:color w:val="auto"/>
          <w:szCs w:val="21"/>
          <w:highlight w:val="none"/>
        </w:rPr>
        <w:t>家）时，招标人应继续进入随机抽取程序；如经核查核评合格的中标候选人数量＜</w:t>
      </w:r>
      <w:r>
        <w:rPr>
          <w:rFonts w:hint="eastAsia" w:ascii="宋体" w:hAnsi="宋体" w:eastAsia="宋体" w:cs="宋体"/>
          <w:color w:val="auto"/>
          <w:szCs w:val="21"/>
          <w:highlight w:val="none"/>
          <w:lang w:val="en"/>
        </w:rPr>
        <w:t>2</w:t>
      </w:r>
      <w:r>
        <w:rPr>
          <w:rFonts w:hint="eastAsia" w:ascii="宋体" w:hAnsi="宋体" w:eastAsia="宋体" w:cs="宋体"/>
          <w:color w:val="auto"/>
          <w:szCs w:val="21"/>
          <w:highlight w:val="none"/>
        </w:rPr>
        <w:t>家（不含</w:t>
      </w:r>
      <w:r>
        <w:rPr>
          <w:rFonts w:hint="eastAsia" w:ascii="宋体" w:hAnsi="宋体" w:eastAsia="宋体" w:cs="宋体"/>
          <w:color w:val="auto"/>
          <w:szCs w:val="21"/>
          <w:highlight w:val="none"/>
          <w:lang w:val="en"/>
        </w:rPr>
        <w:t>2</w:t>
      </w:r>
      <w:r>
        <w:rPr>
          <w:rFonts w:hint="eastAsia" w:ascii="宋体" w:hAnsi="宋体" w:eastAsia="宋体" w:cs="宋体"/>
          <w:color w:val="auto"/>
          <w:szCs w:val="21"/>
          <w:highlight w:val="none"/>
        </w:rPr>
        <w:t>家）时，招标人应重新招标。</w:t>
      </w:r>
    </w:p>
    <w:p w14:paraId="4DBA1671">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401" w:name="_Toc18959"/>
      <w:bookmarkStart w:id="402" w:name="_Toc23939"/>
      <w:bookmarkStart w:id="403" w:name="_Toc11203"/>
      <w:r>
        <w:rPr>
          <w:rFonts w:hint="eastAsia" w:ascii="宋体" w:hAnsi="宋体" w:cs="宋体"/>
          <w:b/>
          <w:bCs/>
          <w:color w:val="auto"/>
          <w:sz w:val="24"/>
          <w:szCs w:val="32"/>
          <w:highlight w:val="none"/>
        </w:rPr>
        <w:t>六、定标程序</w:t>
      </w:r>
      <w:bookmarkEnd w:id="401"/>
      <w:bookmarkEnd w:id="402"/>
      <w:bookmarkEnd w:id="403"/>
    </w:p>
    <w:p w14:paraId="7AF76028">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 xml:space="preserve">定标委员会将通过核查随机法进行定标。 </w:t>
      </w:r>
    </w:p>
    <w:p w14:paraId="60FDF45E">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定标地点为</w:t>
      </w:r>
      <w:r>
        <w:rPr>
          <w:rFonts w:hint="eastAsia" w:hAnsi="宋体" w:cs="宋体"/>
          <w:color w:val="auto"/>
          <w:sz w:val="21"/>
          <w:szCs w:val="21"/>
          <w:highlight w:val="none"/>
          <w:lang w:val="en-US" w:eastAsia="zh-CN"/>
        </w:rPr>
        <w:t>平舆县</w:t>
      </w:r>
      <w:r>
        <w:rPr>
          <w:rFonts w:hint="eastAsia" w:hAnsi="宋体" w:cs="宋体"/>
          <w:color w:val="auto"/>
          <w:sz w:val="21"/>
          <w:szCs w:val="21"/>
          <w:highlight w:val="none"/>
        </w:rPr>
        <w:t>公共资源交易中心，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0A0AB2B7">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1、在定标现场放置标注为“1”、“2”的2组自然数代码球.</w:t>
      </w:r>
    </w:p>
    <w:p w14:paraId="48C2A083">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2、第一轮随机确定选用的代码球组号：在抽取箱内放入2个标注为“1”、“2”的代码球，</w:t>
      </w:r>
      <w:r>
        <w:rPr>
          <w:rFonts w:hint="eastAsia" w:hAnsi="宋体" w:cs="宋体"/>
          <w:color w:val="auto"/>
          <w:sz w:val="21"/>
          <w:szCs w:val="21"/>
          <w:highlight w:val="none"/>
          <w:lang w:val="en-US" w:eastAsia="zh-CN"/>
        </w:rPr>
        <w:t>由定标委员会成员</w:t>
      </w:r>
      <w:r>
        <w:rPr>
          <w:rFonts w:hint="eastAsia" w:hAnsi="宋体" w:cs="宋体"/>
          <w:color w:val="auto"/>
          <w:sz w:val="21"/>
          <w:szCs w:val="21"/>
          <w:highlight w:val="none"/>
        </w:rPr>
        <w:t>从中随机选取1个代码球，选取代码球数字即为本次定标选用的代码球组号。</w:t>
      </w:r>
    </w:p>
    <w:p w14:paraId="36F43324">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3、第二轮随机确定抽取顺序：在抽取箱放入标有从1到N自然数的乒乓球（N为经评审合格的中标候选人数），由中标候选人抽取代码球，代码球上的数字对应为相应中标候选人。</w:t>
      </w:r>
    </w:p>
    <w:p w14:paraId="1F11F8C0">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4、第三轮随机选取中标人：在抽取箱内放入N个代码球，定标委员会</w:t>
      </w:r>
      <w:r>
        <w:rPr>
          <w:rFonts w:hint="eastAsia" w:hAnsi="宋体" w:cs="宋体"/>
          <w:color w:val="auto"/>
          <w:sz w:val="21"/>
          <w:szCs w:val="21"/>
          <w:highlight w:val="none"/>
          <w:lang w:val="en-US" w:eastAsia="zh-CN"/>
        </w:rPr>
        <w:t>成员</w:t>
      </w:r>
      <w:r>
        <w:rPr>
          <w:rFonts w:hint="eastAsia" w:hAnsi="宋体" w:cs="宋体"/>
          <w:color w:val="auto"/>
          <w:sz w:val="21"/>
          <w:szCs w:val="21"/>
          <w:highlight w:val="none"/>
        </w:rPr>
        <w:t>从中随机抽取1个代码球，抽中代码球对应的中标候选人即为中标人。</w:t>
      </w:r>
    </w:p>
    <w:p w14:paraId="0ED24B6C">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5、招标人授权的定标委员会代表将中标候选人对应的代码球和抽取结果进行记录，并由招标人授权的定标委员会和监督部门、公证部门（如邀请）进行签字确认。</w:t>
      </w:r>
    </w:p>
    <w:p w14:paraId="4718B7C8">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651543E9">
      <w:pPr>
        <w:wordWrap w:val="0"/>
        <w:autoSpaceDE w:val="0"/>
        <w:autoSpaceDN w:val="0"/>
        <w:adjustRightInd w:val="0"/>
        <w:spacing w:line="420" w:lineRule="exact"/>
        <w:outlineLvl w:val="1"/>
        <w:rPr>
          <w:rFonts w:hint="eastAsia" w:ascii="宋体" w:hAnsi="宋体" w:eastAsia="宋体" w:cs="宋体"/>
          <w:b/>
          <w:bCs/>
          <w:color w:val="auto"/>
          <w:sz w:val="24"/>
          <w:szCs w:val="24"/>
          <w:highlight w:val="none"/>
        </w:rPr>
      </w:pPr>
      <w:bookmarkStart w:id="404" w:name="_Toc16119"/>
      <w:bookmarkStart w:id="405" w:name="_Toc27971"/>
      <w:bookmarkStart w:id="406" w:name="_Toc21472"/>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定标报告</w:t>
      </w:r>
    </w:p>
    <w:p w14:paraId="603881DA">
      <w:pPr>
        <w:wordWrap w:val="0"/>
        <w:autoSpaceDE w:val="0"/>
        <w:autoSpaceDN w:val="0"/>
        <w:adjustRightInd w:val="0"/>
        <w:spacing w:line="420" w:lineRule="exact"/>
        <w:ind w:firstLine="420" w:firstLineChars="200"/>
        <w:outlineLvl w:val="1"/>
        <w:rPr>
          <w:rFonts w:hint="eastAsia" w:ascii="宋体" w:hAnsi="宋体" w:cs="宋体"/>
          <w:color w:val="auto"/>
          <w:szCs w:val="21"/>
          <w:highlight w:val="none"/>
        </w:rPr>
      </w:pPr>
      <w:r>
        <w:rPr>
          <w:rFonts w:hint="eastAsia" w:ascii="宋体" w:hAnsi="宋体" w:eastAsia="宋体" w:cs="宋体"/>
          <w:color w:val="auto"/>
          <w:kern w:val="2"/>
          <w:sz w:val="21"/>
          <w:szCs w:val="21"/>
          <w:highlight w:val="none"/>
          <w:lang w:val="en-US" w:eastAsia="zh-CN" w:bidi="ar-SA"/>
        </w:rPr>
        <w:t>定标委员会应当按照招标文件中明确的定标原则、方法和程序，在中标候选人中确定中标人，并形成书面定标报告，对所出具的定标报告承担责任。定标报告应当包括定标时间、定标地点、定标委员会成员名单、定标原则、定标方法、定标因素、定标程序及定标结果等内容。</w:t>
      </w:r>
    </w:p>
    <w:p w14:paraId="4C6E7E69">
      <w:pPr>
        <w:wordWrap w:val="0"/>
        <w:autoSpaceDE w:val="0"/>
        <w:autoSpaceDN w:val="0"/>
        <w:adjustRightInd w:val="0"/>
        <w:spacing w:line="420" w:lineRule="exact"/>
        <w:ind w:firstLine="420" w:firstLineChars="200"/>
        <w:outlineLvl w:val="1"/>
        <w:rPr>
          <w:rFonts w:hint="eastAsia" w:ascii="宋体" w:hAnsi="宋体" w:cs="宋体"/>
          <w:color w:val="auto"/>
          <w:szCs w:val="21"/>
          <w:highlight w:val="none"/>
        </w:rPr>
      </w:pPr>
      <w:r>
        <w:rPr>
          <w:rFonts w:hint="eastAsia" w:ascii="宋体" w:hAnsi="宋体" w:cs="宋体"/>
          <w:color w:val="auto"/>
          <w:szCs w:val="21"/>
          <w:highlight w:val="none"/>
        </w:rPr>
        <w:t>招标人应当在定标工作完成后3日内发布中标结果公示，公示期不少于3日。</w:t>
      </w:r>
      <w:r>
        <w:rPr>
          <w:rFonts w:hint="eastAsia" w:ascii="宋体" w:hAnsi="宋体" w:cs="宋体"/>
          <w:color w:val="auto"/>
          <w:szCs w:val="21"/>
          <w:highlight w:val="none"/>
          <w:lang w:val="en-US" w:eastAsia="zh-CN"/>
        </w:rPr>
        <w:t>公示媒介：《驻马店市公共资源交易平台》《中国招标投标公共服务平台》、《河南省政府采购网》。</w:t>
      </w:r>
      <w:r>
        <w:rPr>
          <w:rFonts w:hint="eastAsia" w:ascii="宋体" w:hAnsi="宋体" w:cs="宋体"/>
          <w:color w:val="auto"/>
          <w:szCs w:val="21"/>
          <w:highlight w:val="none"/>
        </w:rPr>
        <w:t>中标结果公示应当载明定标时间、定标地点、定标方法、中标人名称、中标价格、质量、工期（服务期限）、资格条件、项目负责人信息，中标候选人的核查、考察、比较优势，核查未通过的中标候选人名单和原因，以及异议和投诉渠道等内容。对中标结果公示有异议的，应当在公示期内向招标人提出。</w:t>
      </w:r>
      <w:bookmarkEnd w:id="404"/>
    </w:p>
    <w:p w14:paraId="30082CE6">
      <w:pPr>
        <w:wordWrap w:val="0"/>
        <w:autoSpaceDE w:val="0"/>
        <w:autoSpaceDN w:val="0"/>
        <w:adjustRightInd w:val="0"/>
        <w:spacing w:line="420" w:lineRule="exact"/>
        <w:outlineLvl w:val="1"/>
        <w:rPr>
          <w:rFonts w:hint="eastAsia" w:ascii="宋体" w:hAnsi="宋体" w:cs="宋体"/>
          <w:b/>
          <w:bCs/>
          <w:color w:val="auto"/>
          <w:sz w:val="24"/>
          <w:szCs w:val="24"/>
          <w:highlight w:val="none"/>
        </w:rPr>
      </w:pPr>
      <w:bookmarkStart w:id="407" w:name="_Toc23427"/>
      <w:r>
        <w:rPr>
          <w:rFonts w:hint="eastAsia" w:ascii="宋体" w:hAnsi="宋体" w:cs="宋体"/>
          <w:b/>
          <w:bCs/>
          <w:color w:val="auto"/>
          <w:sz w:val="24"/>
          <w:szCs w:val="24"/>
          <w:highlight w:val="none"/>
        </w:rPr>
        <w:t>八、定标后结果处置</w:t>
      </w:r>
      <w:bookmarkEnd w:id="405"/>
      <w:bookmarkEnd w:id="406"/>
      <w:bookmarkEnd w:id="407"/>
    </w:p>
    <w:p w14:paraId="20933716">
      <w:pPr>
        <w:wordWrap w:val="0"/>
        <w:autoSpaceDE w:val="0"/>
        <w:autoSpaceDN w:val="0"/>
        <w:adjustRightInd w:val="0"/>
        <w:spacing w:line="420" w:lineRule="exact"/>
        <w:ind w:firstLine="420" w:firstLineChars="200"/>
        <w:rPr>
          <w:rFonts w:hint="eastAsia" w:ascii="宋体" w:hAnsi="宋体" w:cs="宋体"/>
          <w:color w:val="auto"/>
          <w:szCs w:val="21"/>
          <w:highlight w:val="none"/>
        </w:rPr>
      </w:pPr>
      <w:bookmarkStart w:id="408" w:name="OLE_LINK49"/>
      <w:r>
        <w:rPr>
          <w:rFonts w:hint="eastAsia" w:ascii="宋体" w:hAnsi="宋体" w:cs="宋体"/>
          <w:color w:val="auto"/>
          <w:szCs w:val="21"/>
          <w:highlight w:val="none"/>
        </w:rPr>
        <w:t>（1）确定的中标人经公示后无异议，可以发放《中标通知书》。</w:t>
      </w:r>
    </w:p>
    <w:p w14:paraId="43922E29">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7AE50259">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（3）对中标人以非正当理由放弃中标或被依法依规取消中标资格的，招标人应当向有关行政监督部门报告。</w:t>
      </w:r>
    </w:p>
    <w:p w14:paraId="28191748">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（4）定标后有下列情形之一的，应当重新定标:</w:t>
      </w:r>
    </w:p>
    <w:p w14:paraId="51C9D48A">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(一)定标委员会未按定标办法公正履职的;</w:t>
      </w:r>
    </w:p>
    <w:p w14:paraId="1E95A075">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二</w:t>
      </w:r>
      <w:r>
        <w:rPr>
          <w:rFonts w:hint="eastAsia" w:ascii="宋体" w:hAnsi="宋体" w:cs="宋体"/>
          <w:color w:val="auto"/>
          <w:szCs w:val="21"/>
          <w:highlight w:val="none"/>
        </w:rPr>
        <w:t>)招标文件规定的其他情形。</w:t>
      </w:r>
    </w:p>
    <w:bookmarkEnd w:id="408"/>
    <w:p w14:paraId="4E4BB627">
      <w:pPr>
        <w:rPr>
          <w:color w:val="auto"/>
          <w:highlight w:val="none"/>
        </w:rPr>
      </w:pPr>
    </w:p>
    <w:p w14:paraId="0975B302">
      <w:pPr>
        <w:pStyle w:val="2"/>
        <w:keepNext/>
        <w:keepLines/>
        <w:pageBreakBefore w:val="0"/>
        <w:widowControl w:val="0"/>
        <w:kinsoku/>
        <w:wordWrap/>
        <w:overflowPunct/>
        <w:topLinePunct w:val="0"/>
        <w:autoSpaceDE/>
        <w:autoSpaceDN/>
        <w:bidi w:val="0"/>
        <w:adjustRightInd/>
        <w:snapToGrid/>
        <w:spacing w:before="0" w:beforeLines="1700"/>
        <w:jc w:val="both"/>
        <w:textAlignment w:val="auto"/>
        <w:rPr>
          <w:rFonts w:hint="eastAsia" w:ascii="宋体" w:hAnsi="宋体"/>
          <w:color w:val="auto"/>
          <w:sz w:val="48"/>
          <w:szCs w:val="48"/>
          <w:highlight w:val="none"/>
        </w:rPr>
      </w:pPr>
    </w:p>
    <w:p w14:paraId="4D298DDE">
      <w:pPr>
        <w:rPr>
          <w:rFonts w:hint="eastAsia" w:ascii="宋体" w:hAnsi="宋体"/>
          <w:color w:val="auto"/>
          <w:sz w:val="48"/>
          <w:szCs w:val="48"/>
          <w:highlight w:val="none"/>
        </w:rPr>
      </w:pPr>
    </w:p>
    <w:p w14:paraId="7BDBE7C9">
      <w:pPr>
        <w:rPr>
          <w:rFonts w:hint="eastAsia" w:ascii="宋体" w:hAnsi="宋体"/>
          <w:color w:val="auto"/>
          <w:sz w:val="48"/>
          <w:szCs w:val="48"/>
          <w:highlight w:val="none"/>
        </w:rPr>
      </w:pPr>
    </w:p>
    <w:p w14:paraId="4CA1421A">
      <w:pPr>
        <w:pStyle w:val="2"/>
        <w:keepNext/>
        <w:keepLines/>
        <w:pageBreakBefore w:val="0"/>
        <w:widowControl w:val="0"/>
        <w:numPr>
          <w:ilvl w:val="0"/>
          <w:numId w:val="6"/>
        </w:numPr>
        <w:kinsoku/>
        <w:wordWrap/>
        <w:overflowPunct/>
        <w:topLinePunct w:val="0"/>
        <w:autoSpaceDE/>
        <w:autoSpaceDN/>
        <w:bidi w:val="0"/>
        <w:adjustRightInd/>
        <w:snapToGrid/>
        <w:spacing w:before="0" w:beforeLines="1700"/>
        <w:jc w:val="center"/>
        <w:textAlignment w:val="auto"/>
        <w:rPr>
          <w:rFonts w:hint="eastAsia"/>
          <w:color w:val="auto"/>
          <w:highlight w:val="none"/>
        </w:rPr>
      </w:pPr>
      <w:r>
        <w:rPr>
          <w:rFonts w:hint="eastAsia" w:ascii="宋体" w:hAnsi="宋体"/>
          <w:color w:val="auto"/>
          <w:sz w:val="48"/>
          <w:szCs w:val="48"/>
          <w:highlight w:val="none"/>
        </w:rPr>
        <w:t>合同条款及格式</w:t>
      </w:r>
    </w:p>
    <w:p w14:paraId="7551DAFB">
      <w:pPr>
        <w:jc w:val="center"/>
        <w:rPr>
          <w:rFonts w:hint="eastAsia" w:eastAsia="宋体"/>
          <w:color w:val="auto"/>
          <w:sz w:val="28"/>
          <w:szCs w:val="28"/>
          <w:highlight w:val="none"/>
          <w:lang w:eastAsia="zh-CN"/>
        </w:rPr>
      </w:pP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供参考，以最终签订为准</w:t>
      </w:r>
      <w:r>
        <w:rPr>
          <w:rFonts w:hint="eastAsia" w:ascii="宋体" w:hAnsi="宋体"/>
          <w:color w:val="auto"/>
          <w:sz w:val="28"/>
          <w:szCs w:val="28"/>
          <w:highlight w:val="none"/>
          <w:lang w:eastAsia="zh-CN"/>
        </w:rPr>
        <w:t>）</w:t>
      </w:r>
    </w:p>
    <w:p w14:paraId="51ECFE00">
      <w:pPr>
        <w:numPr>
          <w:ilvl w:val="0"/>
          <w:numId w:val="0"/>
        </w:numPr>
        <w:rPr>
          <w:color w:val="auto"/>
          <w:highlight w:val="none"/>
        </w:rPr>
      </w:pPr>
    </w:p>
    <w:p w14:paraId="0D119EE2">
      <w:pPr>
        <w:spacing w:line="520" w:lineRule="exact"/>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4EA6C318">
      <w:pPr>
        <w:spacing w:line="520" w:lineRule="exact"/>
        <w:jc w:val="center"/>
        <w:rPr>
          <w:rFonts w:ascii="宋体" w:hAnsi="宋体"/>
          <w:b/>
          <w:bCs/>
          <w:color w:val="auto"/>
          <w:sz w:val="52"/>
          <w:szCs w:val="52"/>
          <w:highlight w:val="none"/>
        </w:rPr>
      </w:pPr>
    </w:p>
    <w:p w14:paraId="40097E56">
      <w:pPr>
        <w:spacing w:line="520" w:lineRule="exact"/>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2B1F27A1">
      <w:pPr>
        <w:rPr>
          <w:rFonts w:hint="eastAsia" w:ascii="宋体" w:hAnsi="宋体"/>
          <w:b/>
          <w:bCs/>
          <w:color w:val="auto"/>
          <w:sz w:val="52"/>
          <w:szCs w:val="52"/>
          <w:highlight w:val="none"/>
        </w:rPr>
      </w:pPr>
      <w:r>
        <w:rPr>
          <w:rFonts w:hint="eastAsia" w:ascii="宋体"/>
          <w:b/>
          <w:bCs/>
          <w:color w:val="auto"/>
          <w:sz w:val="52"/>
          <w:szCs w:val="52"/>
          <w:highlight w:val="none"/>
        </w:rPr>
        <w:t xml:space="preserve"> </w:t>
      </w:r>
    </w:p>
    <w:p w14:paraId="44B66416">
      <w:pPr>
        <w:pStyle w:val="3"/>
        <w:ind w:left="2420" w:leftChars="1081" w:hanging="150" w:hangingChars="34"/>
        <w:rPr>
          <w:rFonts w:ascii="宋体" w:eastAsia="宋体"/>
          <w:b/>
          <w:bCs/>
          <w:color w:val="auto"/>
          <w:sz w:val="44"/>
          <w:szCs w:val="44"/>
          <w:highlight w:val="none"/>
        </w:rPr>
      </w:pPr>
      <w:bookmarkStart w:id="409" w:name="_Toc10382"/>
      <w:r>
        <w:rPr>
          <w:rFonts w:hint="eastAsia" w:ascii="宋体" w:eastAsia="宋体"/>
          <w:b/>
          <w:bCs/>
          <w:color w:val="auto"/>
          <w:sz w:val="44"/>
          <w:szCs w:val="44"/>
          <w:highlight w:val="none"/>
        </w:rPr>
        <w:t>第一节  通用合同条款</w:t>
      </w:r>
      <w:bookmarkEnd w:id="409"/>
    </w:p>
    <w:p w14:paraId="6C11881E">
      <w:pPr>
        <w:adjustRightInd w:val="0"/>
        <w:snapToGrid w:val="0"/>
        <w:spacing w:line="360" w:lineRule="auto"/>
        <w:jc w:val="center"/>
        <w:rPr>
          <w:rFonts w:ascii="宋体" w:hAnsi="宋体"/>
          <w:b/>
          <w:color w:val="auto"/>
          <w:sz w:val="28"/>
          <w:szCs w:val="28"/>
          <w:highlight w:val="none"/>
        </w:rPr>
      </w:pPr>
      <w:r>
        <w:rPr>
          <w:rFonts w:hint="eastAsia" w:ascii="宋体" w:hAnsi="宋体"/>
          <w:color w:val="auto"/>
          <w:sz w:val="28"/>
          <w:szCs w:val="28"/>
          <w:highlight w:val="none"/>
        </w:rPr>
        <w:t>采用《</w:t>
      </w:r>
      <w:r>
        <w:rPr>
          <w:rFonts w:hint="eastAsia" w:ascii="宋体" w:hAnsi="宋体"/>
          <w:color w:val="auto"/>
          <w:sz w:val="28"/>
          <w:szCs w:val="28"/>
          <w:highlight w:val="none"/>
          <w:lang w:eastAsia="zh-CN"/>
        </w:rPr>
        <w:t>公路工程</w:t>
      </w:r>
      <w:r>
        <w:rPr>
          <w:rFonts w:hint="eastAsia" w:ascii="宋体" w:hAnsi="宋体"/>
          <w:color w:val="auto"/>
          <w:sz w:val="28"/>
          <w:szCs w:val="28"/>
          <w:highlight w:val="none"/>
        </w:rPr>
        <w:t>标准施工招标文件》（2018年版）的“通用合同条款”。</w:t>
      </w:r>
    </w:p>
    <w:p w14:paraId="4CA4DA7F">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02979499">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221CE8C0">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6094B027">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0F34B42E">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76ECFE4C">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1A340D1C">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62EC0A19">
      <w:pPr>
        <w:spacing w:line="520" w:lineRule="exact"/>
        <w:jc w:val="center"/>
        <w:outlineLvl w:val="1"/>
        <w:rPr>
          <w:rStyle w:val="66"/>
          <w:rFonts w:hint="eastAsia" w:ascii="宋体" w:hAnsi="宋体" w:eastAsia="宋体"/>
          <w:color w:val="auto"/>
          <w:sz w:val="44"/>
          <w:szCs w:val="44"/>
          <w:highlight w:val="none"/>
        </w:rPr>
      </w:pPr>
      <w:bookmarkStart w:id="410" w:name="_Toc16322"/>
      <w:bookmarkEnd w:id="410"/>
      <w:bookmarkStart w:id="411" w:name="_Toc19584"/>
    </w:p>
    <w:p w14:paraId="02F575EF">
      <w:pPr>
        <w:spacing w:line="520" w:lineRule="exact"/>
        <w:jc w:val="center"/>
        <w:outlineLvl w:val="1"/>
        <w:rPr>
          <w:rStyle w:val="66"/>
          <w:rFonts w:hint="eastAsia" w:ascii="宋体" w:hAnsi="宋体" w:eastAsia="宋体"/>
          <w:color w:val="auto"/>
          <w:sz w:val="44"/>
          <w:szCs w:val="44"/>
          <w:highlight w:val="none"/>
        </w:rPr>
      </w:pPr>
    </w:p>
    <w:p w14:paraId="7D39CA19">
      <w:pPr>
        <w:spacing w:line="520" w:lineRule="exact"/>
        <w:jc w:val="center"/>
        <w:outlineLvl w:val="1"/>
        <w:rPr>
          <w:rStyle w:val="66"/>
          <w:rFonts w:hint="eastAsia" w:ascii="宋体" w:hAnsi="宋体" w:eastAsia="宋体"/>
          <w:color w:val="auto"/>
          <w:sz w:val="44"/>
          <w:szCs w:val="44"/>
          <w:highlight w:val="none"/>
        </w:rPr>
      </w:pPr>
    </w:p>
    <w:p w14:paraId="29EA0943">
      <w:pPr>
        <w:spacing w:line="520" w:lineRule="exact"/>
        <w:jc w:val="center"/>
        <w:outlineLvl w:val="1"/>
        <w:rPr>
          <w:rStyle w:val="66"/>
          <w:rFonts w:hint="eastAsia" w:ascii="宋体" w:hAnsi="宋体" w:eastAsia="宋体"/>
          <w:color w:val="auto"/>
          <w:sz w:val="44"/>
          <w:szCs w:val="44"/>
          <w:highlight w:val="none"/>
        </w:rPr>
      </w:pPr>
    </w:p>
    <w:p w14:paraId="1379DB65">
      <w:pPr>
        <w:spacing w:line="520" w:lineRule="exact"/>
        <w:jc w:val="center"/>
        <w:outlineLvl w:val="1"/>
        <w:rPr>
          <w:rStyle w:val="66"/>
          <w:rFonts w:hint="eastAsia" w:ascii="宋体" w:hAnsi="宋体" w:eastAsia="宋体"/>
          <w:color w:val="auto"/>
          <w:sz w:val="44"/>
          <w:szCs w:val="44"/>
          <w:highlight w:val="none"/>
        </w:rPr>
      </w:pPr>
    </w:p>
    <w:p w14:paraId="7D7478CC">
      <w:pPr>
        <w:spacing w:line="520" w:lineRule="exact"/>
        <w:jc w:val="center"/>
        <w:outlineLvl w:val="1"/>
        <w:rPr>
          <w:rStyle w:val="66"/>
          <w:rFonts w:hint="eastAsia" w:ascii="宋体" w:hAnsi="宋体" w:eastAsia="宋体"/>
          <w:color w:val="auto"/>
          <w:sz w:val="44"/>
          <w:szCs w:val="44"/>
          <w:highlight w:val="none"/>
        </w:rPr>
      </w:pPr>
    </w:p>
    <w:p w14:paraId="044CF674">
      <w:pPr>
        <w:spacing w:line="520" w:lineRule="exact"/>
        <w:jc w:val="center"/>
        <w:outlineLvl w:val="1"/>
        <w:rPr>
          <w:rStyle w:val="66"/>
          <w:rFonts w:hint="eastAsia" w:ascii="宋体" w:hAnsi="宋体" w:eastAsia="宋体"/>
          <w:color w:val="auto"/>
          <w:sz w:val="44"/>
          <w:szCs w:val="44"/>
          <w:highlight w:val="none"/>
        </w:rPr>
      </w:pPr>
    </w:p>
    <w:p w14:paraId="28AB64C5">
      <w:pPr>
        <w:spacing w:line="520" w:lineRule="exact"/>
        <w:jc w:val="center"/>
        <w:outlineLvl w:val="1"/>
        <w:rPr>
          <w:rFonts w:ascii="宋体" w:hAnsi="宋体"/>
          <w:bCs/>
          <w:color w:val="auto"/>
          <w:sz w:val="44"/>
          <w:szCs w:val="44"/>
          <w:highlight w:val="none"/>
        </w:rPr>
      </w:pPr>
      <w:r>
        <w:rPr>
          <w:rStyle w:val="66"/>
          <w:rFonts w:hint="eastAsia" w:ascii="宋体" w:hAnsi="宋体" w:eastAsia="宋体"/>
          <w:color w:val="auto"/>
          <w:sz w:val="44"/>
          <w:szCs w:val="44"/>
          <w:highlight w:val="none"/>
        </w:rPr>
        <w:t>第二节  专用合同条款</w:t>
      </w:r>
      <w:bookmarkEnd w:id="411"/>
    </w:p>
    <w:p w14:paraId="60797A21">
      <w:pPr>
        <w:keepNext w:val="0"/>
        <w:keepLines w:val="0"/>
        <w:pageBreakBefore w:val="0"/>
        <w:widowControl w:val="0"/>
        <w:kinsoku/>
        <w:wordWrap/>
        <w:overflowPunct/>
        <w:topLinePunct w:val="0"/>
        <w:autoSpaceDE/>
        <w:autoSpaceDN/>
        <w:bidi w:val="0"/>
        <w:adjustRightInd/>
        <w:snapToGrid/>
        <w:spacing w:before="0" w:beforeLines="50" w:line="520" w:lineRule="exact"/>
        <w:jc w:val="center"/>
        <w:textAlignment w:val="auto"/>
        <w:rPr>
          <w:rFonts w:ascii="宋体" w:hAnsi="宋体"/>
          <w:color w:val="auto"/>
          <w:sz w:val="32"/>
          <w:szCs w:val="32"/>
          <w:highlight w:val="none"/>
        </w:rPr>
      </w:pPr>
      <w:bookmarkStart w:id="412" w:name="_Toc132601562"/>
      <w:bookmarkEnd w:id="412"/>
      <w:r>
        <w:rPr>
          <w:rFonts w:hint="eastAsia" w:ascii="宋体" w:hAnsi="宋体"/>
          <w:b/>
          <w:bCs w:val="0"/>
          <w:color w:val="auto"/>
          <w:sz w:val="28"/>
          <w:szCs w:val="28"/>
          <w:highlight w:val="none"/>
        </w:rPr>
        <w:t>A.公路工程专用合同条款</w:t>
      </w:r>
    </w:p>
    <w:p w14:paraId="2D981DCF">
      <w:pPr>
        <w:keepNext w:val="0"/>
        <w:keepLines w:val="0"/>
        <w:pageBreakBefore w:val="0"/>
        <w:widowControl w:val="0"/>
        <w:kinsoku/>
        <w:wordWrap/>
        <w:overflowPunct/>
        <w:topLinePunct w:val="0"/>
        <w:autoSpaceDN/>
        <w:bidi w:val="0"/>
        <w:adjustRightInd/>
        <w:snapToGrid/>
        <w:spacing w:line="520" w:lineRule="exact"/>
        <w:textAlignment w:val="auto"/>
        <w:rPr>
          <w:rFonts w:ascii="宋体" w:hAnsi="宋体"/>
          <w:color w:val="auto"/>
          <w:sz w:val="32"/>
          <w:szCs w:val="32"/>
          <w:highlight w:val="none"/>
        </w:rPr>
      </w:pPr>
      <w:r>
        <w:rPr>
          <w:rFonts w:hint="eastAsia" w:ascii="宋体" w:hAnsi="宋体"/>
          <w:color w:val="auto"/>
          <w:sz w:val="32"/>
          <w:szCs w:val="32"/>
          <w:highlight w:val="none"/>
        </w:rPr>
        <w:t xml:space="preserve"> </w:t>
      </w:r>
    </w:p>
    <w:p w14:paraId="45D906A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 一般约定</w:t>
      </w:r>
    </w:p>
    <w:p w14:paraId="5167F17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1.1词语定义</w:t>
      </w:r>
    </w:p>
    <w:p w14:paraId="23CD0291">
      <w:pPr>
        <w:pStyle w:val="21"/>
        <w:keepNext w:val="0"/>
        <w:keepLines w:val="0"/>
        <w:pageBreakBefore w:val="0"/>
        <w:widowControl w:val="0"/>
        <w:kinsoku/>
        <w:wordWrap/>
        <w:overflowPunct/>
        <w:topLinePunct w:val="0"/>
        <w:autoSpaceDN/>
        <w:bidi w:val="0"/>
        <w:adjustRightInd/>
        <w:snapToGrid/>
        <w:ind w:firstLine="482" w:firstLineChars="200"/>
        <w:textAlignment w:val="auto"/>
        <w:rPr>
          <w:rFonts w:ascii="宋体"/>
          <w:color w:val="auto"/>
          <w:highlight w:val="none"/>
        </w:rPr>
      </w:pPr>
      <w:r>
        <w:rPr>
          <w:rFonts w:hint="eastAsia" w:ascii="宋体"/>
          <w:b/>
          <w:bCs/>
          <w:color w:val="auto"/>
          <w:highlight w:val="none"/>
        </w:rPr>
        <w:t>1.1.1  合同</w:t>
      </w:r>
    </w:p>
    <w:p w14:paraId="3C7CA4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1.1.1.6 目细化为：</w:t>
      </w:r>
    </w:p>
    <w:p w14:paraId="1AEC55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技术规范：指本合同所约定的技术标准和要求，是合同文件的组成部分。通用合同条款中“技术标准和要求”一词具有相同含义。</w:t>
      </w:r>
    </w:p>
    <w:p w14:paraId="38F52D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1.1.1.8 目细化为：</w:t>
      </w:r>
    </w:p>
    <w:p w14:paraId="1F7C78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 5.1～表 5.5）。</w:t>
      </w:r>
    </w:p>
    <w:p w14:paraId="2304E75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本项补充第 1.1.1.10 目：</w:t>
      </w:r>
    </w:p>
    <w:p w14:paraId="67DACE4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1.1.1.10 补遗书：指发出招标文件之后由招标人向已取得招标文件的投标人发出的、编号的对招标文件所作的澄清、修改书。</w:t>
      </w:r>
    </w:p>
    <w:p w14:paraId="45B036D7">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1.1.2 合同当事人和人员</w:t>
      </w:r>
    </w:p>
    <w:p w14:paraId="66572E8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本项补充第 1.1.2.8 目：</w:t>
      </w:r>
    </w:p>
    <w:p w14:paraId="061E7E2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1.1.2.8 承包人项目总工：指由承包人书面委派常驻现场负责管理本合同工程的总工程师或技术总负责人。</w:t>
      </w:r>
    </w:p>
    <w:p w14:paraId="65DF5CEE">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1.1.3 工程和设备</w:t>
      </w:r>
    </w:p>
    <w:p w14:paraId="28DBBA9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1.1.3.4 目细化为：</w:t>
      </w:r>
    </w:p>
    <w:p w14:paraId="3FA471C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单位工程：指在建设项目中，根据签订的合同，具有独立施工条件的工程。</w:t>
      </w:r>
    </w:p>
    <w:p w14:paraId="4B1EFBF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1.1.3.10 目细化为：</w:t>
      </w:r>
    </w:p>
    <w:p w14:paraId="0D68618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永久占地：指为实施本合同工程而需要的一切永久占用的土地，包括公路两侧路权范围内的用地。</w:t>
      </w:r>
    </w:p>
    <w:p w14:paraId="53B0E77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1.1.3.11 目细化为：</w:t>
      </w:r>
    </w:p>
    <w:p w14:paraId="1008FCF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临时占地：指为实施本合同工程而需要的一切临时占用的土地，包括施工所用的临时支线、便道、便桥和现场的临时出入通道，以及生产（办公）、生活等临时设施用地等。</w:t>
      </w:r>
    </w:p>
    <w:p w14:paraId="72427C1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本项补充第 1.1.3.12 目、第 1.1.3.13 目：</w:t>
      </w:r>
    </w:p>
    <w:p w14:paraId="396EED9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1.1.3.12 分部工程：指在单位工程中，按结构部位、路段长度及施工特点或施工任务划分的若干个工程。</w:t>
      </w:r>
    </w:p>
    <w:p w14:paraId="0F864F6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1.1.3.13 分项工程：指在分部工程中，按不同的施工方法、材料、工序及路段长度等划分的若干个工程。</w:t>
      </w:r>
    </w:p>
    <w:p w14:paraId="7AA9B8C6">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1.1.6 其他</w:t>
      </w:r>
      <w:r>
        <w:rPr>
          <w:rFonts w:hint="eastAsia" w:ascii="宋体" w:hAnsi="宋体"/>
          <w:color w:val="auto"/>
          <w:sz w:val="24"/>
          <w:szCs w:val="24"/>
          <w:highlight w:val="none"/>
        </w:rPr>
        <w:t xml:space="preserve"> </w:t>
      </w:r>
    </w:p>
    <w:p w14:paraId="78D651A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本项补充第 1.1.6.2 目～第 1.1.6.9 目：</w:t>
      </w:r>
    </w:p>
    <w:p w14:paraId="7BF9E80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1.1.6.2 竣工验收：指《公路工程竣（交）工验收办法》中的竣工验收。通用合同条款中“国家验收”一词具有相同含义。</w:t>
      </w:r>
    </w:p>
    <w:p w14:paraId="704116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1.1.6.3 交工：指《公路工程竣（交）工验收办法》中的交工。通用合同条款中“竣工”一词具有相同含义。</w:t>
      </w:r>
    </w:p>
    <w:p w14:paraId="3A46A0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1.1.6.4 交工验收：指《公路工程竣（交）工验收办法》中的交工验收。通用合同条款中“竣工验收”一词具有相同含义。</w:t>
      </w:r>
    </w:p>
    <w:p w14:paraId="61B2D4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1.1.6.5 交工验收证书：指《公路工程竣（交）工验收办法》中的交工验收证书。通用合同条款中“工程接收证书”一词具有相同含义。</w:t>
      </w:r>
    </w:p>
    <w:p w14:paraId="51F7AF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olor w:val="auto"/>
          <w:sz w:val="24"/>
          <w:szCs w:val="24"/>
          <w:highlight w:val="none"/>
          <w:lang w:val="en-US" w:eastAsia="zh-CN"/>
        </w:rPr>
      </w:pPr>
      <w:r>
        <w:rPr>
          <w:rFonts w:hint="eastAsia" w:ascii="宋体" w:hAnsi="宋体"/>
          <w:color w:val="auto"/>
          <w:sz w:val="24"/>
          <w:szCs w:val="24"/>
          <w:highlight w:val="none"/>
        </w:rPr>
        <w:t>1.1.6.6 转包：指承包人违反法律和不履行合同规定的责任和义务，将中标工程全部委托或以专业分包的名义将中标工程肢解后全部委托给其他施工企业施工的行为</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针对此项投标人需做出不违法转包分包的相应承诺，作为投标文件组成部分。</w:t>
      </w:r>
    </w:p>
    <w:p w14:paraId="1A12EB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1.1.6.7 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6A92F55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1.1.6.8 劳务分包：指承包人与具有施工劳务资质的劳务企业签订劳务分包合同，由劳务企业提供劳务人员及机具，由承包人统一组织施工、统一控制工程质量、施工进度、材料采购、生产安全的施工行为。</w:t>
      </w:r>
    </w:p>
    <w:p w14:paraId="2E4C45B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1.1.6.9 雇用民工：指承包人与具有相应劳动能力的自然人签订劳动合同，由承包人统一组织管理，从事分项工程施工或配套工程施工的行为。</w:t>
      </w:r>
    </w:p>
    <w:p w14:paraId="318F784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1.4 合同文件的优先顺序</w:t>
      </w:r>
    </w:p>
    <w:p w14:paraId="04DF4B3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本款约定为：</w:t>
      </w:r>
    </w:p>
    <w:p w14:paraId="48613FB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组成合同的各项文件应互相解释，互为说明。除项目专用合同条款另有约定外，解释合同文件的优先顺序如下：</w:t>
      </w:r>
    </w:p>
    <w:p w14:paraId="69CBF62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（1）合同协议书及各种合同附件（含评标期间和合同谈判过程中的澄清文件和补充资料）；</w:t>
      </w:r>
    </w:p>
    <w:p w14:paraId="1D697B5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（2）中标通知书；</w:t>
      </w:r>
    </w:p>
    <w:p w14:paraId="0FE88DD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（3）投标函及投标函附录；</w:t>
      </w:r>
    </w:p>
    <w:p w14:paraId="4B1A8A4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（4）项目专用合同条款；</w:t>
      </w:r>
    </w:p>
    <w:p w14:paraId="71BC8FF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（5）公路工程专用合同条款；</w:t>
      </w:r>
    </w:p>
    <w:p w14:paraId="272C650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（6）通用合同条款；</w:t>
      </w:r>
    </w:p>
    <w:p w14:paraId="7655762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（7）工程量清单计量规则；</w:t>
      </w:r>
    </w:p>
    <w:p w14:paraId="301AF23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（8）技术规范；</w:t>
      </w:r>
    </w:p>
    <w:p w14:paraId="3714B57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（9）图纸；</w:t>
      </w:r>
    </w:p>
    <w:p w14:paraId="0653E95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（10）已标价工程量清单；</w:t>
      </w:r>
    </w:p>
    <w:p w14:paraId="7879EC9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（11）承包人有关人员、设备投入的承诺及投标文件中的施工组织设计；</w:t>
      </w:r>
    </w:p>
    <w:p w14:paraId="2921AE4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（12）其他合同文件。</w:t>
      </w:r>
    </w:p>
    <w:p w14:paraId="0E815A0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 合同协议书</w:t>
      </w:r>
    </w:p>
    <w:p w14:paraId="3B87B99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1C0BCE3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制备本合同文件的费用由发包人承担。在合同协议书签订并生效之前，投标函和中标通知书将对双方具有约束力。</w:t>
      </w:r>
    </w:p>
    <w:p w14:paraId="42C8007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1.6 图纸和承包人文件</w:t>
      </w:r>
    </w:p>
    <w:p w14:paraId="15961915">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1.6.1 图纸的提供</w:t>
      </w:r>
    </w:p>
    <w:p w14:paraId="3007003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6E35CD5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监理人应在发出中标通知书之后 42 天内，向承包人免费提供由发包人或其委托的设计单位设计的施工图纸、技术规范和其他技术资料 2 份，并向承包人进行技术交底。承包人需要更多份数时，应自费复制。由于发包人未按时提供图纸造成工期延误的，按第 11.3 款的约定办理。</w:t>
      </w:r>
    </w:p>
    <w:p w14:paraId="171F7708">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1.6.2 承包人提供的文件</w:t>
      </w:r>
    </w:p>
    <w:p w14:paraId="115D699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7786099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有下列情形之一的，承包人应免费向监理人提交相关部分工程的施工图纸 3 份，并附必要的计算书、技术资料，或施工工艺图、设备安装图及安装设备的使用和维护手册各 2 份供监理人批准。</w:t>
      </w:r>
    </w:p>
    <w:p w14:paraId="6FD4162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（1）为使第 1.6.1 项所述的施工图纸适合于经施工测量后的纵、横断面；</w:t>
      </w:r>
    </w:p>
    <w:p w14:paraId="1988492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（2）为使第 1.6.1 项所述的施工图纸适合于现场具体地形；</w:t>
      </w:r>
    </w:p>
    <w:p w14:paraId="30D1B1C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（3）为使第 1.6.1 项所述的施工图纸适合于因尺寸与位置变化而引起局部变更；</w:t>
      </w:r>
    </w:p>
    <w:p w14:paraId="31777DB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（4）由于合同要求与施工需要。</w:t>
      </w:r>
    </w:p>
    <w:p w14:paraId="30A868E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此类图纸应按监理人规定的格式和图幅绘制。监理人在收到由承包人绘制的上述工程、工艺图纸、计算书和有关技术资料后 14 天内应予批准或提出修改要求，承包人应按监理人提出的要求作出修改，重新向监理人提交，监理人应在 7 天内批准或提出进一步的修改意见。</w:t>
      </w:r>
    </w:p>
    <w:p w14:paraId="5A69442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1.6.4 图纸的错误</w:t>
      </w:r>
    </w:p>
    <w:p w14:paraId="4600090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3CCF258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当承包人在查阅合同文件或在本合同工程实施过程中，发现有关的工程设计、技术规范、图纸或其他资料中的任何差错、遗漏或缺陷后，应及时通知监理人。监理人接到该通知后，应立即就此作出决定，并通知承包人和发包人。</w:t>
      </w:r>
    </w:p>
    <w:p w14:paraId="223C154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1.9 严禁贿赂</w:t>
      </w:r>
    </w:p>
    <w:p w14:paraId="3E5A3CE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2F8BF0B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5AFE20E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 发包人义务</w:t>
      </w:r>
    </w:p>
    <w:p w14:paraId="3C1CFA9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2.3 提供施工场地</w:t>
      </w:r>
    </w:p>
    <w:p w14:paraId="66A4229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w:t>
      </w:r>
    </w:p>
    <w:p w14:paraId="0F7D3B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发包人负责办理永久占地的征用及与之有关的拆迁赔偿手续并承担相关费用。承包人在按第 10 条规定提交施工进度计划的同时，应向监理人提交一份按施工先后次序所需的永久占地计划。监理人应在收到此计划后的 14 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 以使承包人能够连续不间断地施工。由于承包人施工考虑不周或措施不当等原因而造成的超计划占地或拆迁等所发生的征用和赔偿费用，应由承包人承担。</w:t>
      </w:r>
    </w:p>
    <w:p w14:paraId="424CF5A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highlight w:val="none"/>
        </w:rPr>
      </w:pPr>
      <w:r>
        <w:rPr>
          <w:rFonts w:hint="eastAsia" w:ascii="宋体" w:hAnsi="宋体"/>
          <w:color w:val="auto"/>
          <w:sz w:val="24"/>
          <w:szCs w:val="24"/>
          <w:highlight w:val="none"/>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36DFE3E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3. 监理人</w:t>
      </w:r>
    </w:p>
    <w:p w14:paraId="42578B0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3.1 监理人的职责和权力</w:t>
      </w:r>
    </w:p>
    <w:p w14:paraId="492B031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3.1.1 项补充：</w:t>
      </w:r>
    </w:p>
    <w:p w14:paraId="0938CD0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监理人在行使下列权力前需要经发包人事先批准：</w:t>
      </w:r>
    </w:p>
    <w:p w14:paraId="108FF03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（1）根据第 4.3 款，同意分包本工程的某些非关键性工作或者适合专业化队伍施工的专项工程；</w:t>
      </w:r>
    </w:p>
    <w:p w14:paraId="31A8582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（2）确定第 4.11 款下产生的费用增加额； </w:t>
      </w:r>
    </w:p>
    <w:p w14:paraId="52DDDDD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（3）根据第 11.1 款、第 12.3 款、第 12.4 款发布开工通知、暂停施工指示或复工通知；</w:t>
      </w:r>
    </w:p>
    <w:p w14:paraId="60159C5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（4）决定第 11.3 款、第 11.4 款下的工期延长；</w:t>
      </w:r>
    </w:p>
    <w:p w14:paraId="24074E8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（5）审查批准技术方案或设计的变更；</w:t>
      </w:r>
    </w:p>
    <w:p w14:paraId="4F9600B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（6）根据第 15.3 款发出的变更指示，其单项工程变更或累计变更涉及的金额超过了项目专用合同条款数据表中规定的金额；</w:t>
      </w:r>
    </w:p>
    <w:p w14:paraId="4413660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（7）确定第 15.4 款下变更工作的单价；</w:t>
      </w:r>
    </w:p>
    <w:p w14:paraId="6DB2A0E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（8）按照第 15.6 款决定有关暂列金额的使用；</w:t>
      </w:r>
    </w:p>
    <w:p w14:paraId="4817CA1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（9）确定第 15.8 款下的暂估价金额；</w:t>
      </w:r>
    </w:p>
    <w:p w14:paraId="1CB3032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（10）确定第 23.1 款下的索赔额。</w:t>
      </w:r>
    </w:p>
    <w:p w14:paraId="63D50BC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 3.5 款商定或确定。</w:t>
      </w:r>
    </w:p>
    <w:p w14:paraId="2ACE540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3.5 商定或确定</w:t>
      </w:r>
    </w:p>
    <w:p w14:paraId="57F5A4F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3.5.1 项补充：</w:t>
      </w:r>
    </w:p>
    <w:p w14:paraId="1807CD1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如果这项商定或确定导致费用增加和（或）工期延长，或者涉及确定变更工程的价格，则总监理工程师在发出通知前，应征得发包人的同意。</w:t>
      </w:r>
    </w:p>
    <w:p w14:paraId="4176939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 承包人</w:t>
      </w:r>
    </w:p>
    <w:p w14:paraId="3FA9CB06">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4.1 承包人的一般义务</w:t>
      </w:r>
    </w:p>
    <w:p w14:paraId="3C80911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4.1.9 工程的维护和照管</w:t>
      </w:r>
    </w:p>
    <w:p w14:paraId="5222AC2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0F76E9C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6C59333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（2）在承包人负责照管与维护期间，如果本工程或材料、设备等发生损失或损</w:t>
      </w:r>
    </w:p>
    <w:p w14:paraId="2639071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害，除不可抗力原因之外，承包人均应自费弥补，并达到合同要求。承包人还应对按第 19 条规定而实施作业过程中由承包人造成的对工程的任何损失或损害负责。</w:t>
      </w:r>
    </w:p>
    <w:p w14:paraId="679CB131">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4.1.10 其他义务</w:t>
      </w:r>
    </w:p>
    <w:p w14:paraId="1C7C9EA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49050EB2">
      <w:pPr>
        <w:keepNext w:val="0"/>
        <w:keepLines w:val="0"/>
        <w:pageBreakBefore w:val="0"/>
        <w:widowControl w:val="0"/>
        <w:numPr>
          <w:ilvl w:val="0"/>
          <w:numId w:val="7"/>
        </w:numPr>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临时占地由承包人向当地政府土地管理部门申请，并办理租用手续，承包人按有关规定直接支付其费用，发包人对此将予以协调。</w:t>
      </w:r>
    </w:p>
    <w:p w14:paraId="7891745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列入工程量清单第100章中由承包人按总额报价。</w:t>
      </w:r>
    </w:p>
    <w:p w14:paraId="06AB523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p>
    <w:p w14:paraId="397B433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32F923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w:t>
      </w:r>
      <w:r>
        <w:rPr>
          <w:rFonts w:hint="eastAsia" w:ascii="宋体" w:hAnsi="宋体"/>
          <w:color w:val="auto"/>
          <w:sz w:val="24"/>
          <w:szCs w:val="24"/>
          <w:highlight w:val="none"/>
          <w:lang w:eastAsia="zh-CN"/>
        </w:rPr>
        <w:t>全国公路建设市场监督管理系统</w:t>
      </w:r>
      <w:r>
        <w:rPr>
          <w:rFonts w:hint="eastAsia" w:ascii="宋体" w:hAnsi="宋体"/>
          <w:color w:val="auto"/>
          <w:sz w:val="24"/>
          <w:szCs w:val="24"/>
          <w:highlight w:val="none"/>
          <w:lang w:val="en-US" w:eastAsia="zh-CN"/>
        </w:rPr>
        <w:t>（http：//glxy.mot.gov.cn）</w:t>
      </w:r>
      <w:r>
        <w:rPr>
          <w:rFonts w:hint="eastAsia" w:ascii="宋体" w:hAnsi="宋体"/>
          <w:color w:val="auto"/>
          <w:sz w:val="24"/>
          <w:szCs w:val="24"/>
          <w:highlight w:val="none"/>
        </w:rPr>
        <w:t>。</w:t>
      </w:r>
    </w:p>
    <w:p w14:paraId="01EB343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w:t>
      </w:r>
    </w:p>
    <w:p w14:paraId="2DA5A58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工资支付表应如实记录支付单位、支付时间、支付对象、支付数额、支付对象的身份证号和签字等信息。民工花名册和工资支付表应报监理人备查。</w:t>
      </w:r>
    </w:p>
    <w:p w14:paraId="47FA8BF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14:paraId="3EA2107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应列入工程量清单第 100 章中。</w:t>
      </w:r>
    </w:p>
    <w:p w14:paraId="774E3CF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（6）承包人应履行项目专用合同条款约定的其他义务。</w:t>
      </w:r>
    </w:p>
    <w:p w14:paraId="2E960E5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4.2 履约保证金</w:t>
      </w:r>
    </w:p>
    <w:p w14:paraId="189C464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195445B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承包人应保证其履约保证金在发包人签发交工验收证书且承包人按照合同约定缴纳质量保证金前一直有效。发包人应在收到承包人缴纳的质量保证金后28天内将履约保证金退还给承包人。</w:t>
      </w:r>
    </w:p>
    <w:p w14:paraId="79B788E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承包人拒绝按照本合同约定缴纳质量保证金的，发包人有权从交工付款证书中扣留相应金额作为质量保证金，或者直接将履约保证金金额用于保证承包人在缺陷责任期内履行缺陷修复义务。</w:t>
      </w:r>
    </w:p>
    <w:p w14:paraId="09109B0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4.3分包</w:t>
      </w:r>
    </w:p>
    <w:p w14:paraId="7CFAB65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4.3.2 项～第 4.3.4 项细化为：</w:t>
      </w:r>
    </w:p>
    <w:p w14:paraId="202F917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4.3.2 承包人不得将工程关键性工作分包给第三人。经发包人同意，承包人可将工程的其他部分或工作分包给第三人。分包包括专业分包和劳务分包。</w:t>
      </w:r>
    </w:p>
    <w:p w14:paraId="5EBB29C3">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4.3.3 专业分包</w:t>
      </w:r>
    </w:p>
    <w:p w14:paraId="30FC0AA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在工程施工过程中，承包人进行专业分包必须遵守以下规定：</w:t>
      </w:r>
    </w:p>
    <w:p w14:paraId="3BFDF0D8">
      <w:pPr>
        <w:keepNext w:val="0"/>
        <w:keepLines w:val="0"/>
        <w:pageBreakBefore w:val="0"/>
        <w:widowControl w:val="0"/>
        <w:numPr>
          <w:ilvl w:val="0"/>
          <w:numId w:val="8"/>
        </w:numPr>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允许专业分包的工程范围仅限于非关键性工程或者适合专业化队伍施工的专项工程。未列入投标文件的专项工程，承包人不得分包。但因工程变更增加了有特殊性技术要求、特殊工艺或者涉及专利保护等的专项工程，且按规定无须再进行招标的，由承包人提出书面申请，经发包人书面同意，可以分包。</w:t>
      </w:r>
    </w:p>
    <w:p w14:paraId="4328AE8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（2）专业分包人的资格能力（含安全生产能力）应与其分包工程的标准和规模相适应，且应当具备如下条件：</w:t>
      </w:r>
    </w:p>
    <w:p w14:paraId="70C743D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a.具有经工商登记的法人资格；</w:t>
      </w:r>
    </w:p>
    <w:p w14:paraId="06260DB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b.具有从事类似工程经验的管理与技术人员；</w:t>
      </w:r>
    </w:p>
    <w:p w14:paraId="6E04D35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c.具有（自有或租赁）分包工程所需的施工设备。 </w:t>
      </w:r>
    </w:p>
    <w:p w14:paraId="6647710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承包人应向监理人提交专业分包人的资格能力证明材料，经监理人审查并报发包人批准后，可以将相应专业工程分包给该专业分包人。</w:t>
      </w:r>
    </w:p>
    <w:p w14:paraId="4383FEA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（3）专业分包工程不得再次分包。</w:t>
      </w:r>
    </w:p>
    <w:p w14:paraId="1CCB7A3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和专业分包人应当按照交通运输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3E9D95E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3CC80CB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承包人应当建立健全相关分包管理制度和台账，对专业分包工程的质量、安全、进度和专业分包人的行为等实施全过程管理，按照合同约定对专业分包工程的实施向发包人负责，并承担赔偿责任。专业分包合同不免除承包合同中规定的承包人的责任或者义务。</w:t>
      </w:r>
    </w:p>
    <w:p w14:paraId="75702C0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（7）专业分包人应当依据专业分包合同的约定，组织分包工程的施工，并对分包工程的质量、安全和进度等实施有效控制。专业分包人对其分包的工程向承包人负责，并就所分包的工程向发包人承担连带责任。</w:t>
      </w:r>
    </w:p>
    <w:p w14:paraId="055D3FF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713908C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违反上述规定之一者属违规分包。</w:t>
      </w:r>
    </w:p>
    <w:p w14:paraId="69582645">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4.3.4 劳务分包</w:t>
      </w:r>
    </w:p>
    <w:p w14:paraId="54EF928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在工程施工过程中，承包人进行劳务分包必须遵守以下规定：</w:t>
      </w:r>
    </w:p>
    <w:p w14:paraId="7731AE8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（1）劳务分包人应具有施工劳务资质。</w:t>
      </w:r>
    </w:p>
    <w:p w14:paraId="2132CB3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（2）劳务分包应当依法签订劳务分包合同，劳务分包合同必须由承包人的法定</w:t>
      </w:r>
    </w:p>
    <w:p w14:paraId="688AA54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7B30A20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承包人雇用的劳务作业应加入到承包人的施工班组统一管理。有关施工质量、施工安全、施工进度、环境保护、技术方案、试验检测、材料保管与供应、机械设备等都必须由承包人管理与调配，不得以包代管。</w:t>
      </w:r>
    </w:p>
    <w:p w14:paraId="40F1410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（4）承包人应当对劳务分包人员进行安全培训和管理，劳务分包人不得将其分包的劳务作业再次分包。</w:t>
      </w:r>
    </w:p>
    <w:p w14:paraId="27638C9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违反上述规定之一者属违规分包。</w:t>
      </w:r>
    </w:p>
    <w:p w14:paraId="341E85D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4.3.6 项、第 4.3.7 项：</w:t>
      </w:r>
    </w:p>
    <w:p w14:paraId="7AEE8BE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4.3.6 发包人对承包人与分包人之间的法律与经济纠纷不承担任何责任和义务。</w:t>
      </w:r>
    </w:p>
    <w:p w14:paraId="0113001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4.3.7 本项目的各项分包工作均应遵守《公路工程施工分包管理办法》的有关规定。</w:t>
      </w:r>
    </w:p>
    <w:p w14:paraId="7F874576">
      <w:pPr>
        <w:keepNext w:val="0"/>
        <w:keepLines w:val="0"/>
        <w:pageBreakBefore w:val="0"/>
        <w:widowControl w:val="0"/>
        <w:kinsoku/>
        <w:wordWrap/>
        <w:overflowPunct/>
        <w:topLinePunct w:val="0"/>
        <w:autoSpaceDN/>
        <w:bidi w:val="0"/>
        <w:adjustRightInd/>
        <w:snapToGrid/>
        <w:spacing w:line="360" w:lineRule="auto"/>
        <w:textAlignment w:val="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4.4 联合体</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本工程不适用</w:t>
      </w:r>
      <w:r>
        <w:rPr>
          <w:rFonts w:hint="eastAsia" w:ascii="宋体" w:hAnsi="宋体"/>
          <w:b/>
          <w:bCs/>
          <w:color w:val="auto"/>
          <w:sz w:val="24"/>
          <w:szCs w:val="24"/>
          <w:highlight w:val="none"/>
          <w:lang w:eastAsia="zh-CN"/>
        </w:rPr>
        <w:t>）</w:t>
      </w:r>
    </w:p>
    <w:p w14:paraId="2A8DA6F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4.4.4 项：</w:t>
      </w:r>
    </w:p>
    <w:p w14:paraId="61B5F7B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4.4.4 未经发包人事先同意，联合体的组成与结构不得变动。</w:t>
      </w:r>
    </w:p>
    <w:p w14:paraId="6067DA5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4.6承包人人员的管理</w:t>
      </w:r>
    </w:p>
    <w:p w14:paraId="78DF982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4.6.3 项细化为：</w:t>
      </w:r>
    </w:p>
    <w:p w14:paraId="455E678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13A3450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4.6.5 项：</w:t>
      </w:r>
    </w:p>
    <w:p w14:paraId="1435D29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4.6.5 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3A468B3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4.7 撤换承包人项目经理和其他人员</w:t>
      </w:r>
    </w:p>
    <w:p w14:paraId="1AB3983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5A46BE8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47D1298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4.9 工程价款应专款专用</w:t>
      </w:r>
    </w:p>
    <w:p w14:paraId="2652FD3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本款细化为： </w:t>
      </w:r>
    </w:p>
    <w:p w14:paraId="24FE74D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0824C7C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4.10 承包人现场查勘</w:t>
      </w:r>
    </w:p>
    <w:p w14:paraId="7F6A856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4.10.1 项细化为：</w:t>
      </w:r>
    </w:p>
    <w:p w14:paraId="1D77998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责任。</w:t>
      </w:r>
    </w:p>
    <w:p w14:paraId="7E2520D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4.11 不利物质条件</w:t>
      </w:r>
    </w:p>
    <w:p w14:paraId="482FD45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4.11.2 项细化为：</w:t>
      </w:r>
    </w:p>
    <w:p w14:paraId="36850E2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4.11.2 承包人遇到不可预见的不利物质条件时，应采取适应不利物质条件的合理措施继续施工，并及时通知监理人。监理人应当及时发出指示，指示构成变更的，按第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p>
    <w:p w14:paraId="3936D03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4.11.3 项：</w:t>
      </w:r>
    </w:p>
    <w:p w14:paraId="6F98BA4B">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4.11.3 可预见的不利物质条件</w:t>
      </w:r>
    </w:p>
    <w:p w14:paraId="6E4F4FC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（1）对于项目专用合同条款中已经明确指出的不利物质条件无论承包人是否有其经历和经验均视为承包人在接受合同时已预见其影响，并已在签约合同价中计入因其影响而可能发生的一切费用。</w:t>
      </w:r>
    </w:p>
    <w:p w14:paraId="54C94CF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（2）对于项目专用合同条款未明确指出，但是在不利物质条件发生之前，监理人已经指示承包人有可能发生，但承包人未能及时采取有效措施，而导致的损失和后果均由承包人承担。</w:t>
      </w:r>
    </w:p>
    <w:p w14:paraId="6F2C6D2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4.12 款、第 4.13 款：</w:t>
      </w:r>
    </w:p>
    <w:p w14:paraId="2CD9FC3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4.12 投标文件的完备性</w:t>
      </w:r>
    </w:p>
    <w:p w14:paraId="1F42CC6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p>
    <w:p w14:paraId="7FA4F0F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4.13 开展党建工作要求</w:t>
      </w:r>
    </w:p>
    <w:p w14:paraId="6F5E000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对于政府投资的国家高速公路项目，或承包人为国有控股或参股企业的，承包人应按规定在项目现场设立基层党组织。不满足上述情形的，承包人应创造条件使党员能够参加党组织生活并接受相应管理。</w:t>
      </w:r>
    </w:p>
    <w:p w14:paraId="3FD21C8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267A028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5. 材料和工程设备</w:t>
      </w:r>
    </w:p>
    <w:p w14:paraId="7E0F9A23">
      <w:pPr>
        <w:keepNext w:val="0"/>
        <w:keepLines w:val="0"/>
        <w:pageBreakBefore w:val="0"/>
        <w:widowControl w:val="0"/>
        <w:kinsoku/>
        <w:wordWrap/>
        <w:overflowPunct/>
        <w:topLinePunct w:val="0"/>
        <w:autoSpaceDN/>
        <w:bidi w:val="0"/>
        <w:adjustRightInd/>
        <w:snapToGrid/>
        <w:spacing w:line="360" w:lineRule="auto"/>
        <w:textAlignment w:val="auto"/>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rPr>
        <w:t>5.2 发包人提供的材料和工程设备</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本工程不适用</w:t>
      </w:r>
      <w:r>
        <w:rPr>
          <w:rFonts w:hint="eastAsia" w:ascii="宋体" w:hAnsi="宋体"/>
          <w:b/>
          <w:bCs/>
          <w:color w:val="auto"/>
          <w:sz w:val="24"/>
          <w:szCs w:val="24"/>
          <w:highlight w:val="none"/>
          <w:lang w:eastAsia="zh-CN"/>
        </w:rPr>
        <w:t>）</w:t>
      </w:r>
    </w:p>
    <w:p w14:paraId="7A896BD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5.2.3 项补充：</w:t>
      </w:r>
    </w:p>
    <w:p w14:paraId="0DE6A89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14:paraId="32D16D7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6. 施工设备和临时设施</w:t>
      </w:r>
    </w:p>
    <w:p w14:paraId="5F8D131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6.1 承包人提供的施工设备和临时设施</w:t>
      </w:r>
    </w:p>
    <w:p w14:paraId="4BE15A5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6.1.2 项约定为：</w:t>
      </w:r>
    </w:p>
    <w:p w14:paraId="326A794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承包人应自行承担修建临时设施的费用，需要临时占地的，应由承包人按第4.1.10 项（1）目的规定办理。</w:t>
      </w:r>
    </w:p>
    <w:p w14:paraId="10A2997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6.3 要求承包人增加或更换施工设备</w:t>
      </w:r>
    </w:p>
    <w:p w14:paraId="0567FB8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本款细化为： </w:t>
      </w:r>
    </w:p>
    <w:p w14:paraId="5CC0061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承诺的施工设备必须按时到达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569E178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7. 交通运输</w:t>
      </w:r>
    </w:p>
    <w:p w14:paraId="669461D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7.1 道路通行权和场外设施</w:t>
      </w:r>
    </w:p>
    <w:p w14:paraId="188B662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本款约定为： 承包人应根据合同工程的施工需要，负责办理取得出入施工场地的专用和临时道路的通行权，以及取得为工程建设所需修建场外设施的权利，并承担有关费用。 需要发包人协调时，发包人应协助承包人办理相关手续。</w:t>
      </w:r>
    </w:p>
    <w:p w14:paraId="536C3F4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8. 测量放线</w:t>
      </w:r>
    </w:p>
    <w:p w14:paraId="5F8D6A2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8.4 监理人使用施工控制网</w:t>
      </w:r>
    </w:p>
    <w:p w14:paraId="58F9880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w:t>
      </w:r>
    </w:p>
    <w:p w14:paraId="13883A0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经监理人批准，其他相关承包人也可免费使用施工控制网。</w:t>
      </w:r>
    </w:p>
    <w:p w14:paraId="2F86610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9. 施工安全、治安保卫和环境保护</w:t>
      </w:r>
    </w:p>
    <w:p w14:paraId="7E84196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9.2 承包人的施工安全责任</w:t>
      </w:r>
    </w:p>
    <w:p w14:paraId="73158B1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9.2.1 项细化为：</w:t>
      </w:r>
    </w:p>
    <w:p w14:paraId="3F95EFC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3BA316C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承包人应根据本工程的实际安全施工要求，编制施工安全技术措施，并在签订合同协议书后 28 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638356A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本项目需要编制专项施工方案的工程包括但不限于以下内容：</w:t>
      </w:r>
    </w:p>
    <w:p w14:paraId="5E1FFE9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（1）不良地质条件下有潜在危险性的土方开挖；</w:t>
      </w:r>
    </w:p>
    <w:p w14:paraId="06E7889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（2）桩基础、挡墙基础、深水基础及围堰工程；</w:t>
      </w:r>
    </w:p>
    <w:p w14:paraId="173FD12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）桥梁工程中的梁、柱等构件施工等；</w:t>
      </w:r>
    </w:p>
    <w:p w14:paraId="635C31A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）其他危险性较大的工程。</w:t>
      </w:r>
    </w:p>
    <w:p w14:paraId="5838524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监理人和发包人在检查中发现有安全问题或有违反安全管理规章制度的情况时，可视为承包人违约，应按第 22.1 款的规定办理。</w:t>
      </w:r>
    </w:p>
    <w:p w14:paraId="160B950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9.2.5 项细化为：</w:t>
      </w:r>
    </w:p>
    <w:p w14:paraId="612E332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除项目专用合同条款另有约定外，安全生产费用应为投标价（不含安全生产费及建筑工程一切险及第三者责任险的保险费）的 1.5%（若发包人公布了最高投标限价时，按最高投标限价的 1.5%计）。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 3.5 款商定或确定。</w:t>
      </w:r>
    </w:p>
    <w:p w14:paraId="79113BA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9.2.8 项～第 9.2.11 项：</w:t>
      </w:r>
    </w:p>
    <w:p w14:paraId="7B4C5C4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9.2.8 承包人应充分关注和保障所有在现场工作的人员的安全，采取以下有效措施，使现场和本合同工程的实施保持有条不紊，以免使上述人员的安全受到威胁。</w:t>
      </w:r>
    </w:p>
    <w:p w14:paraId="1DC8753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（1）按《公路水运工程安全生产监督管理办法》规定的最低数量和资质条件配备专职安全生产管理人员；</w:t>
      </w:r>
    </w:p>
    <w:p w14:paraId="70B580D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4F0FBFD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（3）所有施工机具设备和高空作业设备均应定期检查，并有安全员的签字记录；</w:t>
      </w:r>
    </w:p>
    <w:p w14:paraId="7567420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（4）根据本合同各单位工程的施工特点，严格执行《公路水运工程安全生产监督管理办法》《公路工程施工安全技术规范》等有关规定。</w:t>
      </w:r>
    </w:p>
    <w:p w14:paraId="68B8CE2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9.2.9 为了保护本合同工程免遭损坏，或为了现场附近和过往群众的安全与方便，在确有必要的时候和地方，或当监理人或有关主管部门要求时，承包人应自费提供照明、警卫、护栅、警告标志等安全防护设施。</w:t>
      </w:r>
    </w:p>
    <w:p w14:paraId="3B82878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9.2.10 在通航水域施工时，承包人应与当地主管部门取得联系，设置必要的导航标志，及时发布航行通告，确保施工水域安全。</w:t>
      </w:r>
    </w:p>
    <w:p w14:paraId="75DF289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9.2.11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146EB1B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9.4环境保护</w:t>
      </w:r>
    </w:p>
    <w:p w14:paraId="3000D89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9.4.7 项~第 9.4.11 项：</w:t>
      </w:r>
    </w:p>
    <w:p w14:paraId="12799E9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9.4.7 承包人应切实执行技术规范中有关环境保护方面的条款和规定。</w:t>
      </w:r>
    </w:p>
    <w:p w14:paraId="06C9D56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 150m 以内的施工现场，施工时间应加以控制。</w:t>
      </w:r>
    </w:p>
    <w:p w14:paraId="489D3B6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（2）对于公路施工中粉尘污染的主要污染源―灰土拌和、施工车辆和筑路机械运行及运输产生的扬尘,应采取有效措施减轻其对施工现场的大气污染,保护人民健康，如：</w:t>
      </w:r>
    </w:p>
    <w:p w14:paraId="57D8AF4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a.拌和设备应有较好的密封，或有防尘设备。</w:t>
      </w:r>
    </w:p>
    <w:p w14:paraId="6182A22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b.施工通道、沥青混凝土拌和站及灰土拌和站应经常进行洒水降尘。</w:t>
      </w:r>
    </w:p>
    <w:p w14:paraId="46EB9A9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c.路面施工应注意保持水分，以免扬尘。</w:t>
      </w:r>
    </w:p>
    <w:p w14:paraId="05F6AA1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d.隧道出渣和桥梁钻孔灌注桩施工时排出的泥浆要进行妥善处理，严禁向河流或农田排放。</w:t>
      </w:r>
    </w:p>
    <w:p w14:paraId="1995BFF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（3）采取可靠措施保证原有交通的正常通行，维持沿线村镇的居民饮水、农田灌溉、生产生活用电及通信等管线的正常使用。</w:t>
      </w:r>
    </w:p>
    <w:p w14:paraId="586524D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9.4.8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47A83EA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9.4.9 在施工期间，承包人应随时保持现场整洁，施工设备和材料、工程设备应整齐妥善存放和储存，废料与垃圾及不再需要的临时设施应及时从现场清除、拆除并运走。</w:t>
      </w:r>
    </w:p>
    <w:p w14:paraId="642A0B0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9.4.10 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16B7EE3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9.4.11 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14:paraId="2DAA9CD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10. 进度计划</w:t>
      </w:r>
    </w:p>
    <w:p w14:paraId="7230677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10.1 合同进度计划</w:t>
      </w:r>
    </w:p>
    <w:p w14:paraId="7D86E8F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583A4F0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承包人编制施工方案说明的内容见项目专用合同条款。</w:t>
      </w:r>
    </w:p>
    <w:p w14:paraId="55433DA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承包人向监理人报送施工进度计划和施工方案说明的期限：签订合同协议书后28 天之内。</w:t>
      </w:r>
    </w:p>
    <w:p w14:paraId="1487136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监理人应在14天内对承包人施工进度计划和施工方案说明予以批复或提出修改意见。</w:t>
      </w:r>
    </w:p>
    <w:p w14:paraId="708F2D8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合同进度计划应按照关键线路网络图和主要工作横道图两种形式分别编绘，并应包括每月预计完成的工作量和形象进度。</w:t>
      </w:r>
    </w:p>
    <w:p w14:paraId="48B632D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10.2 合同进度计划的修订</w:t>
      </w:r>
    </w:p>
    <w:p w14:paraId="5AC3C0B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w:t>
      </w:r>
    </w:p>
    <w:p w14:paraId="5B27301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承包人提交合同进度计划修订申请报告，并附有关措施和相关资料的期限：实际进度发生滞后的当月25日前。</w:t>
      </w:r>
    </w:p>
    <w:p w14:paraId="69DAF4C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监理人批复修订合同进度计划的期限：收到修订合同进度计划后14天内。</w:t>
      </w:r>
    </w:p>
    <w:p w14:paraId="15C3BF4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10.3 款、第 10.4 款：</w:t>
      </w:r>
    </w:p>
    <w:p w14:paraId="7F44088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10.3 年度施工计划</w:t>
      </w:r>
    </w:p>
    <w:p w14:paraId="5DCCB6C5">
      <w:pPr>
        <w:keepNext w:val="0"/>
        <w:keepLines w:val="0"/>
        <w:pageBreakBefore w:val="0"/>
        <w:widowControl w:val="0"/>
        <w:kinsoku/>
        <w:wordWrap/>
        <w:overflowPunct/>
        <w:topLinePunct w:val="0"/>
        <w:autoSpaceDE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在每年11月底前，根据已同意的合同进度计划或其修订的计划，向监理人提交2份格式和内容符合监理人合理规定的下一年度的施工计划，以供审查。该计划应包括本年度估计完成的和下一年度预计完成的分项工程数量和工作量，以及为实施此计划将采取的措施。</w:t>
      </w:r>
    </w:p>
    <w:p w14:paraId="0AF2D45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10.4 合同用款计划</w:t>
      </w:r>
    </w:p>
    <w:p w14:paraId="29AFCF7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在签订本合同协议书后28天之内，按招标文件中规定的格式，向监理人提交2份按合同规定承包人有权得到支付的详细的季度合同用款计划，以备监理人查阅。如果监理人提出要求，承包人还应按季度提交修订的合同用款计划。</w:t>
      </w:r>
    </w:p>
    <w:p w14:paraId="4071D8E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 开工和交工</w:t>
      </w:r>
    </w:p>
    <w:p w14:paraId="714AF9F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11.1 开工</w:t>
      </w:r>
    </w:p>
    <w:p w14:paraId="1A6AC33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11.1.2 项补充：</w:t>
      </w:r>
    </w:p>
    <w:p w14:paraId="4E941D3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承包人应在分部工程开工前14天向监理人提交分部工程开工报审表，若承包人的开工准备、工作计划和质量控制方法是可接受的且已获得批准，则经监理人书面同意，分部工程才能开工。</w:t>
      </w:r>
    </w:p>
    <w:p w14:paraId="0C7BB95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11.3 发包人的工期延误</w:t>
      </w:r>
    </w:p>
    <w:p w14:paraId="5182D54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39502A8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即使由于上述原因造成工期延误，如果受影响的工程并非处在工程施工进度网络计划的关键线路上，则承包人无权要求延长总工期。</w:t>
      </w:r>
    </w:p>
    <w:p w14:paraId="7D2ADE4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11.4 异常恶劣的气候条件</w:t>
      </w:r>
    </w:p>
    <w:p w14:paraId="276BFC4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w:t>
      </w:r>
    </w:p>
    <w:p w14:paraId="788006F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异常气候是指项目所在地30年以上一遇的罕见气候现象（包括温度、降水、降雪、风等）。异常恶劣的气候条件在项目专用合同条款中作具体约定。</w:t>
      </w:r>
    </w:p>
    <w:p w14:paraId="54E51A6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11.5 承包人的工期延误</w:t>
      </w:r>
    </w:p>
    <w:p w14:paraId="72FFF17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439FD2B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承包人应严格执行监理人批准的合同进度计划，对工作量计划和形象进度计划分别控制。除第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08A16DF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第22.1款终止对承包人的雇用，也可将本合同工程中的一部分工作交由其他承包人或其他分包人完成。在不解除本合同规定的承包人责任和义务的同时，承包人应承担因此所增加的一切费用。</w:t>
      </w:r>
    </w:p>
    <w:p w14:paraId="0C81119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p>
    <w:p w14:paraId="219461F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（4）承包人支付逾期交工违约金，不免除承包人完成工程及修补缺陷的义务。</w:t>
      </w:r>
    </w:p>
    <w:p w14:paraId="347C3C8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217442A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11.6 工期提前</w:t>
      </w:r>
    </w:p>
    <w:p w14:paraId="2C31768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03852F3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发包人不得随意要求承包人提前交工，承包人也不得随意提出提前交工的建议。如遇特殊情况，确需将工期提前的，发包人和承包人必须采取有效措施，确保工程质量。</w:t>
      </w:r>
    </w:p>
    <w:p w14:paraId="0C721C6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2CF13AD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本条补充第11.7款：</w:t>
      </w:r>
    </w:p>
    <w:p w14:paraId="2EDDD2D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11.7 工作时间的限制</w:t>
      </w:r>
    </w:p>
    <w:p w14:paraId="33B9F97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承包人在夜间或国家规定的节假日进行永久工程的施工，应向监理人报告，以便监理人履行监理职责和义务。 </w:t>
      </w:r>
    </w:p>
    <w:p w14:paraId="5B40D46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但是，为了抢救生命或保护财产，或为了工程的安全、质量而不可避免地短暂作业，则不必事先向监理人报告。但承包人应在事后立即向监理人报告。</w:t>
      </w:r>
    </w:p>
    <w:p w14:paraId="2FBB1FF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本款规定不适用于习惯上或施工本身要求实行连续生产的作业。</w:t>
      </w:r>
    </w:p>
    <w:p w14:paraId="79EBF46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12. 暂停施工</w:t>
      </w:r>
    </w:p>
    <w:p w14:paraId="622D2E4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12.1 承包人暂停施工的责任</w:t>
      </w:r>
    </w:p>
    <w:p w14:paraId="384297C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本款第（5）项细化为：</w:t>
      </w:r>
    </w:p>
    <w:p w14:paraId="03C7DF9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（5）现场气候条件导致的必要停工（第11.4款约定的异常恶劣的气候条件除外）；</w:t>
      </w:r>
    </w:p>
    <w:p w14:paraId="5D3EF80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（6）项目专用合同条款可能约定的由承包人承担的其他暂停施工。</w:t>
      </w:r>
    </w:p>
    <w:p w14:paraId="747B7BD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 工程质量</w:t>
      </w:r>
    </w:p>
    <w:p w14:paraId="3799580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13.1 工程质量要求</w:t>
      </w:r>
    </w:p>
    <w:p w14:paraId="1B39CA0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13.1.1 项约定为：</w:t>
      </w:r>
    </w:p>
    <w:p w14:paraId="54CB282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工程质量验收按技术规范及《公路</w:t>
      </w:r>
      <w:r>
        <w:rPr>
          <w:rFonts w:hint="eastAsia" w:ascii="宋体" w:hAnsi="宋体"/>
          <w:color w:val="auto"/>
          <w:sz w:val="24"/>
          <w:szCs w:val="24"/>
          <w:highlight w:val="none"/>
          <w:lang w:eastAsia="zh-CN"/>
        </w:rPr>
        <w:t>养护</w:t>
      </w:r>
      <w:r>
        <w:rPr>
          <w:rFonts w:hint="eastAsia" w:ascii="宋体" w:hAnsi="宋体"/>
          <w:color w:val="auto"/>
          <w:sz w:val="24"/>
          <w:szCs w:val="24"/>
          <w:highlight w:val="none"/>
        </w:rPr>
        <w:t>工程质量检验评定标准》执行。</w:t>
      </w:r>
    </w:p>
    <w:p w14:paraId="0248C84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13.1.4 项、第 13.1.5 项：</w:t>
      </w:r>
    </w:p>
    <w:p w14:paraId="6BE8197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13.1.4 发包人和承包人应严格遵守《关于严格落实公路工程质量责任制的若干意见》的相关规定，认真执行工程质量责任登记制度并按要求填写工程质量责任登记表。</w:t>
      </w:r>
    </w:p>
    <w:p w14:paraId="26D343B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13.1.5 本项目严格执行质量责任追究制度。质量事故处理实行“四不放过”原则：事故原因调查不清不放过；事故责任者没有受到教育不放过；没有防范措施不放过；相关责任人没受到处理不放过。</w:t>
      </w:r>
    </w:p>
    <w:p w14:paraId="6F96DF0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13.2 承包人的质量管理</w:t>
      </w:r>
    </w:p>
    <w:p w14:paraId="457B8AF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13.2.1 项补充：</w:t>
      </w:r>
    </w:p>
    <w:p w14:paraId="6AE683D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承包人提交工程质量保证措施文件的期限：签订合同协议书后28天之内。</w:t>
      </w:r>
    </w:p>
    <w:p w14:paraId="7385DAD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13.2.3 项～第 13.2.10 项：</w:t>
      </w:r>
    </w:p>
    <w:p w14:paraId="57B7704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13.2.3 公路工程施行质量责任终身制。承包人应当书面明确相应的项目负责人和质量负责人。承包人的相关人员按照国家法律法规和有关规定在工程合理使用年限内承担相应的质量责任。</w:t>
      </w:r>
    </w:p>
    <w:p w14:paraId="03FBB68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13.2.4 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27CB7C3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13.2.5 承包人对工程施工质量负责，应当按合同约定设立现场质量管理机构、配备工程技术人员和质量管理人员，落实工程施工质量责任制。</w:t>
      </w:r>
    </w:p>
    <w:p w14:paraId="0DF45BF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13.2.6 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p>
    <w:p w14:paraId="5083551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13.2.7 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6E534A9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13.2.8 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14:paraId="2B13A1A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13.2.9 承包人应当依法规范分包行为，并对承担的工程质量负总责，分包单位对分包合同范围内的工程质量负责。</w:t>
      </w:r>
    </w:p>
    <w:p w14:paraId="2C774CC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13.2.10 承包人驻工程现场机构应在现场驻地和重要的分部、分项工程施工现场设置明显的工程质量责任登记表公示牌。</w:t>
      </w:r>
    </w:p>
    <w:p w14:paraId="05C4358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13.4 监理人的质量检查</w:t>
      </w:r>
    </w:p>
    <w:p w14:paraId="18D6229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6CF2C20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监理人及其委派的检验人员，应能进入工程现场，以及材料或工程设备的制造、加工或制配的车间和场所，包括不属于承包人的车间或场所进行检查，承包人应为此提供便利和协助。</w:t>
      </w:r>
    </w:p>
    <w:p w14:paraId="5840FDF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监理人可以将材料或工程设备的检查和检验委托给一家独立的有质量检验认证资格的检验单位。该独立检验单位的检验结果应视为监理人完成的。监理人应将这种委托的通知书不少于7天前交给承包人。</w:t>
      </w:r>
    </w:p>
    <w:p w14:paraId="751D219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13.5 工程隐蔽部位覆盖前的检查</w:t>
      </w:r>
    </w:p>
    <w:p w14:paraId="06DB4A4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13.5.1 项补充：</w:t>
      </w:r>
    </w:p>
    <w:p w14:paraId="30B2BF5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7B261B9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13.6 清除不合格工程</w:t>
      </w:r>
    </w:p>
    <w:p w14:paraId="2AA4564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13.6.1 项细化为：</w:t>
      </w:r>
    </w:p>
    <w:p w14:paraId="2D33F7F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4C1784D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（2）如果承包人未在规定时间内执行监理人的指示，发包人有权雇用他人执行，由此增加的费用和（或）工期延误由承包人承担。</w:t>
      </w:r>
    </w:p>
    <w:p w14:paraId="5DB58B0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14. 试验和检验</w:t>
      </w:r>
    </w:p>
    <w:p w14:paraId="738DDA5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14.4 款：</w:t>
      </w:r>
    </w:p>
    <w:p w14:paraId="7919F58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14.4 试验和检验费用</w:t>
      </w:r>
    </w:p>
    <w:p w14:paraId="5531220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1）承包人应负责提供合同和技术规范规定的试验和检验所需的全部样品，并承担其费用。</w:t>
      </w:r>
    </w:p>
    <w:p w14:paraId="5A90D95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（2）在合同中明确规定的试验和检验，包括无须在工程量清单中单独列项和已在工程量清单中单独列项的试验和检验，其试验和检验的费用由承包人承担。</w:t>
      </w:r>
    </w:p>
    <w:p w14:paraId="7635EEE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0060233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 变更</w:t>
      </w:r>
    </w:p>
    <w:p w14:paraId="3FE2DB7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15.1 变更的范围和内容</w:t>
      </w:r>
    </w:p>
    <w:p w14:paraId="6F7D299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本款第（1）项细化为：</w:t>
      </w:r>
    </w:p>
    <w:p w14:paraId="6BD0BDD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（1）取消合同中任何一项工作，但被取消的工作不能转由发包人或其他人实施，由于承包人违约造成的情况除外；</w:t>
      </w:r>
    </w:p>
    <w:p w14:paraId="1B51FDC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15.3 变更程序</w:t>
      </w:r>
    </w:p>
    <w:p w14:paraId="296FA2F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15.3.4 项：</w:t>
      </w:r>
    </w:p>
    <w:p w14:paraId="579BAC5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15.3.4 设计变更程序应执行《公路工程设计变更管理办法》的相关规定。</w:t>
      </w:r>
    </w:p>
    <w:p w14:paraId="166ACD7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15.4 变更的估价原则</w:t>
      </w:r>
    </w:p>
    <w:p w14:paraId="0451A84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0B94DD5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除项目专用合同条款另有约定外，因变更引起的价格调整按照本款约定处理。</w:t>
      </w:r>
    </w:p>
    <w:p w14:paraId="05FA054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15.4.1 如果取消某项工作，则该项工作的总额价不予支付。</w:t>
      </w:r>
    </w:p>
    <w:p w14:paraId="5F8BFCA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15.4.2 已标价工程量清单中有适用于变更工作的子目的，采用该子目的单价。</w:t>
      </w:r>
    </w:p>
    <w:p w14:paraId="7706674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15.4.3 已标价工程量清单中无适用于变更工作的子目，但有类似子目的，可在合理范围内参照类似子目的单价，由监理人按第3.5款商定或确定变更工作的单价。</w:t>
      </w:r>
    </w:p>
    <w:p w14:paraId="6EE3DEA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15.4.4 已标价工程量清单中无适用或类似子目的单价，可在综合考虑承包人在投标时所提供的单价分析表的基础上，由监理人按第3.5款商定或确定变更工作的单价。</w:t>
      </w:r>
    </w:p>
    <w:p w14:paraId="46E3ABC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15.4.5 如果本工程的变更指示是因承包人过错、承包人违反合同或承包人责任造成的，则这种违约引起的任何额外费用应由承包人承担。</w:t>
      </w:r>
    </w:p>
    <w:p w14:paraId="2D2864F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15.5 承包人的合理化建议</w:t>
      </w:r>
    </w:p>
    <w:p w14:paraId="4490987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15.5.2 项约定为：</w:t>
      </w:r>
    </w:p>
    <w:p w14:paraId="7E8B82E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承包人提出的合理化建议缩短了工期，发包人按第 11.6 款的规定给予奖励。</w:t>
      </w:r>
    </w:p>
    <w:p w14:paraId="0F6F65E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承包人提出的合理化建议降低了合同价格或者提高了工程经济效益的，发包人按项目专用合同条款数据表中规定的金额给予奖励。</w:t>
      </w:r>
    </w:p>
    <w:p w14:paraId="1180682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15.6 暂列金额</w:t>
      </w:r>
    </w:p>
    <w:p w14:paraId="68EEC65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2F3070D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15.6.1 暂列金额应由监理人报发包人批准后指令全部或部分地使用，或者根本不予动用。</w:t>
      </w:r>
    </w:p>
    <w:p w14:paraId="4FCA76F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15.6.2 对于经发包人批准的每一笔暂列金额，监理人有权向承包人发出实施工程或提供材料、工程设备或服务的指令。这些指令应由承包人完成，监理人应根据第15.4款约定的变更估价原则和第15.7款的规定，对合同价格进行相应调整。</w:t>
      </w:r>
    </w:p>
    <w:p w14:paraId="65BCB23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15.6.3 当监理人提出要求时，承包人应提供有关暂列金额支出的所有报价单、发 票、凭证和账单或收据，除非该工作是根据已标价工程量清单列明的单价或总额价进行的估价。</w:t>
      </w:r>
    </w:p>
    <w:p w14:paraId="5284E7F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16. 价格调整</w:t>
      </w:r>
    </w:p>
    <w:p w14:paraId="6965F0F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16.1 物价波动引起的价格调整</w:t>
      </w:r>
    </w:p>
    <w:p w14:paraId="2172199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本款约定为：</w:t>
      </w:r>
    </w:p>
    <w:p w14:paraId="49739D0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（1）在合同执行期间（包括工期拖延期间）由于人工、材料和设备价格的上涨而引起工程施工成本增加的风险由承包人自行承担，合同价格不会因此而调整。</w:t>
      </w:r>
    </w:p>
    <w:p w14:paraId="756515F0">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rPr>
        <w:t>16.1.1 采用价格指数调整价格差额</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本工程不适用</w:t>
      </w:r>
      <w:r>
        <w:rPr>
          <w:rFonts w:hint="eastAsia" w:ascii="宋体" w:hAnsi="宋体"/>
          <w:b/>
          <w:bCs/>
          <w:color w:val="auto"/>
          <w:sz w:val="24"/>
          <w:szCs w:val="24"/>
          <w:highlight w:val="none"/>
          <w:lang w:eastAsia="zh-CN"/>
        </w:rPr>
        <w:t>）</w:t>
      </w:r>
    </w:p>
    <w:p w14:paraId="7F3E64B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 计量与支付</w:t>
      </w:r>
    </w:p>
    <w:p w14:paraId="70EA988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17.1 计量</w:t>
      </w:r>
    </w:p>
    <w:p w14:paraId="74CDB99B">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17.1.2 计量方法</w:t>
      </w:r>
    </w:p>
    <w:p w14:paraId="4C4CBDB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本项约定为：</w:t>
      </w:r>
    </w:p>
    <w:p w14:paraId="583AE15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工程的计量应以净值为准，除非项目专用合同条款另有约定。工程量清单中各个子目的具体计量方法按本合同文件工程量清单计量规则中的规定执行。</w:t>
      </w:r>
    </w:p>
    <w:p w14:paraId="3A06086B">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17.1.4 单价子目的计量</w:t>
      </w:r>
    </w:p>
    <w:p w14:paraId="336C392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w:t>
      </w:r>
    </w:p>
    <w:p w14:paraId="2F4A2F6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（7）承包人未在已标价工程量清单中填入单价或总额价的工程子目，将被认为其已包含在本合同的其他子目的单价和总额价中，发包人将不另行支付。</w:t>
      </w:r>
    </w:p>
    <w:p w14:paraId="29092552">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17.1.5 总价子目的计量</w:t>
      </w:r>
    </w:p>
    <w:p w14:paraId="4E7C2D7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w:t>
      </w:r>
    </w:p>
    <w:p w14:paraId="762B688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本项目工程量清单中要求承包人以“总额”方式报价的子目，各子目的支付原则和支付进度按项目专用合同条款的规定执行。</w:t>
      </w:r>
    </w:p>
    <w:p w14:paraId="05B60E38">
      <w:pPr>
        <w:keepNext w:val="0"/>
        <w:keepLines w:val="0"/>
        <w:pageBreakBefore w:val="0"/>
        <w:widowControl w:val="0"/>
        <w:kinsoku/>
        <w:wordWrap/>
        <w:overflowPunct/>
        <w:topLinePunct w:val="0"/>
        <w:autoSpaceDN/>
        <w:bidi w:val="0"/>
        <w:adjustRightInd/>
        <w:snapToGrid/>
        <w:spacing w:line="360" w:lineRule="auto"/>
        <w:textAlignment w:val="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17.2预付款</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本工程不适用</w:t>
      </w:r>
      <w:r>
        <w:rPr>
          <w:rFonts w:hint="eastAsia" w:ascii="宋体" w:hAnsi="宋体"/>
          <w:b/>
          <w:bCs/>
          <w:color w:val="auto"/>
          <w:sz w:val="24"/>
          <w:szCs w:val="24"/>
          <w:highlight w:val="none"/>
          <w:lang w:eastAsia="zh-CN"/>
        </w:rPr>
        <w:t>）</w:t>
      </w:r>
    </w:p>
    <w:p w14:paraId="7B397FE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17.2.1预付款</w:t>
      </w:r>
    </w:p>
    <w:p w14:paraId="67545E0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本项约定为：</w:t>
      </w:r>
    </w:p>
    <w:p w14:paraId="7AB75AF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预付款包括开工预付款和材料、设备预付款。具体额度和预付办法如下：</w:t>
      </w:r>
    </w:p>
    <w:p w14:paraId="3049F22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（1）开工预付款的金额在项目专用合同条款数据表中约定。在承包人签订了合同协议书且承包人承诺的主要设备进场后，监理人应在当期进度付款证书中向承包人支付开工预付款。</w:t>
      </w:r>
    </w:p>
    <w:p w14:paraId="0B6EF68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承包人不得将该预付款用于与本工程无关的支出，监理人有权监督承包人对该项费用的使用，如经查实承包人滥用开工预付款，发包人有权立即向银行索赔履约保证金，并解除合同。</w:t>
      </w:r>
    </w:p>
    <w:p w14:paraId="65E1C3B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（2）材料、设备预付款按项目专用合同条款数据表中所列主要材料、设备单据费用（进口的材料、设备为到岸价，国内采购的为出厂价或销售价，地方材料为堆场价）的百分比支付。其预付条件为：</w:t>
      </w:r>
    </w:p>
    <w:p w14:paraId="50A307C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a.材料、设备符合规范要求并经监理人认可；</w:t>
      </w:r>
    </w:p>
    <w:p w14:paraId="446534F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b.承包人已出具材料、设备费用凭证或支付单据；</w:t>
      </w:r>
    </w:p>
    <w:p w14:paraId="7CB043F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c.材料、设备已在现场交货，且存储良好，监理人认为材料、设备的存储方法符合要求。</w:t>
      </w:r>
    </w:p>
    <w:p w14:paraId="7DF590B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则监理人应将此项金额作为材料、设备预付款计入下一次的进度付款证书中。在预计交工前3个月，将不再支付材料、设备预付款。</w:t>
      </w:r>
    </w:p>
    <w:p w14:paraId="2BDF5C98">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17.2.2 预付款保函</w:t>
      </w:r>
    </w:p>
    <w:p w14:paraId="3982E81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6421D7B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承包人无须向发包人提交预付款保函。发包人向承包人支付的预付款，应按照本合同第 17.2.1 项规定使用，承包人提交的履约保证金对预付款的正常使用承担保证责任。</w:t>
      </w:r>
    </w:p>
    <w:p w14:paraId="4F8BF327">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17.2.3 预付款的扣回与还清</w:t>
      </w:r>
    </w:p>
    <w:p w14:paraId="64EED8D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本项约定为：</w:t>
      </w:r>
    </w:p>
    <w:p w14:paraId="26FFA91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开工预付款在进度付款证书的累计金额未达到签约合同价的30%之前不予扣回，在达到签约合同价30%之后，开始按工程进度以固定比例（即每完成签约合同价的1%，扣回开工预付款的2%）分期从各月的进度付款证书中扣回，全部金额在进度付款证书的累计金额达到签约合同价的80%时扣完。</w:t>
      </w:r>
    </w:p>
    <w:p w14:paraId="11DA8E4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（2）当材料、设备已用于或安装在永久工程之中时，材料、设备预付款应从进度付款证书中扣回，扣回期不超过3个月。已经支付材料、设备预付款的材料、设备的所有权应属于发包人。</w:t>
      </w:r>
    </w:p>
    <w:p w14:paraId="0925F65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17.3 工程进度付款</w:t>
      </w:r>
    </w:p>
    <w:p w14:paraId="3D64C0B4">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17.3.3 进度付款证书和支付时间</w:t>
      </w:r>
    </w:p>
    <w:p w14:paraId="1F579A2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本项（1）目补充：</w:t>
      </w:r>
    </w:p>
    <w:p w14:paraId="18FE312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7B9387B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61BCB45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发包人应在监理人收到进度付款申请单且承包人提交了合格的增值税专用发票后的28天内，将进度应付款支付给承包人。</w:t>
      </w:r>
    </w:p>
    <w:p w14:paraId="683D9E6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发包人不按期支付的，按项目专用合同条款数据表中约定的利率向承包人支付逾期付款违约金。违约金计算基数为发包人的全部未付款额，时间从应付而未付该款额之日算起（不计复利）。</w:t>
      </w:r>
    </w:p>
    <w:p w14:paraId="1412BA0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17.3.5 项：</w:t>
      </w:r>
    </w:p>
    <w:p w14:paraId="0846B860">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17.3.5 农民工工资保证金</w:t>
      </w:r>
    </w:p>
    <w:p w14:paraId="56DD7B6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（1）为确保施工过程中农民工工资实时、足额发放到位，承包人应按照项目专用合同条款约定的时间和金额缴存农民工工资保证金。</w:t>
      </w:r>
    </w:p>
    <w:p w14:paraId="30C760D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（2）农民工工资保证金可采用银行保函或现金、支票形式。采用银行保函时，出具保函的银行须具有相应担保能力，且按照发包人批准的格式出具，所需费用由承包人承担。</w:t>
      </w:r>
    </w:p>
    <w:p w14:paraId="38B5910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（3）农民工工资保证金的扣留条件、返还时间按照项目专用合同条款的约定执行。</w:t>
      </w:r>
    </w:p>
    <w:p w14:paraId="70BA6B1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17.4质量保证金</w:t>
      </w:r>
    </w:p>
    <w:p w14:paraId="656CED4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17.4.1 项、第 17.4.2 项细化为：</w:t>
      </w:r>
    </w:p>
    <w:p w14:paraId="7F46548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17.4.1 交工验收证书签发后14天内，承包人应向发包人缴纳质量保证金。质量保证金可采用银行保函或现金、支票形式，金额应符合项目专用合同条款数据表的规定。采用银行保函时，出具保函的银行须具有相应担保能力，且按照发包人批准的格式出具，所需费用由承包人承担。</w:t>
      </w:r>
    </w:p>
    <w:p w14:paraId="07BBDA0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质量保证金采用现金、支票形式提交的，发包人应在项目专用合同条款数据表中明确是否计付利息以及利息的计算方式。</w:t>
      </w:r>
    </w:p>
    <w:p w14:paraId="0D389B9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17.4.2 在第 1.1.4.5 目约定的缺陷责任期满，且质量监督机构已按规定对工程质 量检测鉴定合格，承包人向发包人申请到期应返还承包人剩余的质量保证金金额，发包人应在14天内会同承包人按照合同约定的内容核实承包人是否完成缺陷责任。如无异议，发包人应当在核实后将剩余保证金返还承包人。</w:t>
      </w:r>
    </w:p>
    <w:p w14:paraId="792BFAB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17.5交工结算</w:t>
      </w:r>
    </w:p>
    <w:p w14:paraId="59066476">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17.5.1交工付款申请单</w:t>
      </w:r>
    </w:p>
    <w:p w14:paraId="56CE2B2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本项（1）目约定为：</w:t>
      </w:r>
    </w:p>
    <w:p w14:paraId="2F429A9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承包人向监理人提交交工付款申请单（包括相关证明材料）的份数在项目专用合同条款数据表中约定；期限：交工验收证书签发后42天内。</w:t>
      </w:r>
    </w:p>
    <w:p w14:paraId="50E17814">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17.5.2 交工付款证书及支付时间</w:t>
      </w:r>
    </w:p>
    <w:p w14:paraId="0451D28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5695B6B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发包人应在监理人出具交工付款证书且承包人提交了合格的增值税专用发票后的14天内，将应支付款支付给承包人。发包人不按期支付的，按第 17.3.3（2）目的约定，将逾期付款违约金支付给承包人。</w:t>
      </w:r>
    </w:p>
    <w:p w14:paraId="73F1F19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17.6 最终结清</w:t>
      </w:r>
    </w:p>
    <w:p w14:paraId="7491A567">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17.6.1 最终结清申请单</w:t>
      </w:r>
    </w:p>
    <w:p w14:paraId="7A96525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本项（1）目约定为：</w:t>
      </w:r>
    </w:p>
    <w:p w14:paraId="7EF15C2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承包人向监理人提交最终结清申请单（包括相关证明材料）的份数在项目专用合同条款数据表中约定；期限：缺陷责任期终止证书签发后28天内。</w:t>
      </w:r>
    </w:p>
    <w:p w14:paraId="4CCE79F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最终结清申请单中的总金额应认为是代表了根据合同规定应付给承包人的全部款项的最后结算。</w:t>
      </w:r>
    </w:p>
    <w:p w14:paraId="43E18D5B">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17.6.2 最终结清证书和支</w:t>
      </w:r>
      <w:r>
        <w:rPr>
          <w:rFonts w:hint="eastAsia" w:ascii="宋体" w:hAnsi="宋体" w:eastAsia="宋体"/>
          <w:b/>
          <w:bCs/>
          <w:color w:val="auto"/>
          <w:sz w:val="24"/>
          <w:szCs w:val="24"/>
          <w:highlight w:val="none"/>
        </w:rPr>
        <w:t>付时间</w:t>
      </w:r>
    </w:p>
    <w:p w14:paraId="71C3B53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303CC49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（2）发包人应在监理人出具最终结清证书且承包人提交了合格的增值税专用发票后的14天内，将应支付款支付给承包人。发包人不按期支付的，按第 17.3.3（2）目的约定，将逾期付款违约金支付给承包人。</w:t>
      </w:r>
    </w:p>
    <w:p w14:paraId="76065B1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18. 交工验收</w:t>
      </w:r>
    </w:p>
    <w:p w14:paraId="232B454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18.2 交工验收申请报告</w:t>
      </w:r>
    </w:p>
    <w:p w14:paraId="781266B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本款第（2）项约定为： </w:t>
      </w:r>
    </w:p>
    <w:p w14:paraId="599958D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竣工资料的内容：承包人应按照《公路工程竣（交）工验收办法》和相关规定编制竣工资料。</w:t>
      </w:r>
    </w:p>
    <w:p w14:paraId="44B517E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竣工资料的份数在项目专用合同条款数据表中约定。</w:t>
      </w:r>
    </w:p>
    <w:p w14:paraId="1011033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18.3 验收</w:t>
      </w:r>
    </w:p>
    <w:p w14:paraId="17AE70E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18.3.2 项补充：</w:t>
      </w:r>
    </w:p>
    <w:p w14:paraId="1AFF49C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43832A2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18.3.5 项约定为：</w:t>
      </w:r>
    </w:p>
    <w:p w14:paraId="2E3C85E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经验收合格工程的实际交工日期，以最终提交交工验收申请报告的日期为准，并在交工验收证书中写明。</w:t>
      </w:r>
    </w:p>
    <w:p w14:paraId="16FC82C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本款补充第18.3.7项：</w:t>
      </w:r>
    </w:p>
    <w:p w14:paraId="7DD4902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18.3.7 组织办理交工验收和签发交工验收证书的费用由发包人承担。但按照第 18.3.4项规定达不到合格标准的交工验收费用由承包人承担。</w:t>
      </w:r>
    </w:p>
    <w:p w14:paraId="4449C7A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18.9 款：</w:t>
      </w:r>
    </w:p>
    <w:p w14:paraId="5EDB743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18.9 竣工文件</w:t>
      </w:r>
    </w:p>
    <w:p w14:paraId="6959092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承包人应按照《公路工程竣（交）工验收办法》的相关规定，在缺陷责任期内为竣工验收补充竣工资料，并在签发缺陷责任期终止证书之前提交。</w:t>
      </w:r>
    </w:p>
    <w:p w14:paraId="58185BA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19. 缺陷责任与保修责任</w:t>
      </w:r>
    </w:p>
    <w:p w14:paraId="0805A68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19.2 缺陷责任</w:t>
      </w:r>
    </w:p>
    <w:p w14:paraId="3DA421F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19.2.2 项补充：</w:t>
      </w:r>
    </w:p>
    <w:p w14:paraId="79596C7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在缺陷责任期内，承包人应尽快完成在交工验收证书中写明的未完成工作，并完成对本工程缺陷的修复或监理人指令的修补工作。</w:t>
      </w:r>
    </w:p>
    <w:p w14:paraId="164E35A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19.5 承包人的进入权</w:t>
      </w:r>
    </w:p>
    <w:p w14:paraId="0AE94B1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5AB66DF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承包人在缺陷修复施工过程中，应服从管养单位的有关安全管理规定，由于承包人自身原因造成的人员伤亡、设备和材料的损毁及罚款等责任由承包人自负。</w:t>
      </w:r>
    </w:p>
    <w:p w14:paraId="1590F99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19.7 保修责任</w:t>
      </w:r>
    </w:p>
    <w:p w14:paraId="50B62B0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70DB34F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5133EC9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（2）在全部工程交工验收前，已经发包人提前验收的单位工程，其保修期的起算日期相应提前。</w:t>
      </w:r>
    </w:p>
    <w:p w14:paraId="46681DF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（3）工程保修期终止后28天内，监理人签发保修期终止证书。</w:t>
      </w:r>
    </w:p>
    <w:p w14:paraId="3F49322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（4）若承包人不履行保修义务和责任，则承包人应承担由于违约造成的法律后果，并由发包人将其违约行为上报省级交通运输主管部门，作为不良记录纳入</w:t>
      </w:r>
      <w:r>
        <w:rPr>
          <w:rFonts w:hint="eastAsia" w:ascii="宋体" w:hAnsi="宋体"/>
          <w:color w:val="auto"/>
          <w:sz w:val="24"/>
          <w:szCs w:val="24"/>
          <w:highlight w:val="none"/>
          <w:lang w:eastAsia="zh-CN"/>
        </w:rPr>
        <w:t>全国公路建设市场监督管理系统</w:t>
      </w:r>
      <w:r>
        <w:rPr>
          <w:rFonts w:hint="eastAsia" w:ascii="宋体" w:hAnsi="宋体"/>
          <w:color w:val="auto"/>
          <w:sz w:val="24"/>
          <w:szCs w:val="24"/>
          <w:highlight w:val="none"/>
          <w:lang w:val="en-US" w:eastAsia="zh-CN"/>
        </w:rPr>
        <w:t>（http：//glxy.mot.gov.cn）</w:t>
      </w:r>
      <w:r>
        <w:rPr>
          <w:rFonts w:hint="eastAsia" w:ascii="宋体" w:hAnsi="宋体"/>
          <w:color w:val="auto"/>
          <w:sz w:val="24"/>
          <w:szCs w:val="24"/>
          <w:highlight w:val="none"/>
        </w:rPr>
        <w:t>。</w:t>
      </w:r>
    </w:p>
    <w:p w14:paraId="44809B3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20. 保险</w:t>
      </w:r>
    </w:p>
    <w:p w14:paraId="3606CBE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20.1工程保险</w:t>
      </w:r>
      <w:r>
        <w:rPr>
          <w:rFonts w:hint="eastAsia" w:ascii="宋体" w:hAnsi="宋体"/>
          <w:color w:val="auto"/>
          <w:sz w:val="24"/>
          <w:szCs w:val="24"/>
          <w:highlight w:val="none"/>
        </w:rPr>
        <w:t xml:space="preserve"> </w:t>
      </w:r>
    </w:p>
    <w:p w14:paraId="4128DB4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本款约定为：</w:t>
      </w:r>
    </w:p>
    <w:p w14:paraId="0B2C151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建筑工程一切险的投保内容：为本合同工程的永久工程、临时工程和设备及已运至施工工地用于永久工程的材料和设备所投的保险。</w:t>
      </w:r>
    </w:p>
    <w:p w14:paraId="01775A1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保险费率：在项目专用合同条款数据表中约定。</w:t>
      </w:r>
    </w:p>
    <w:p w14:paraId="4384A49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保险期限：开工日起直至本合同工程签发缺陷责任期终止证书止（即合同工期＋缺陷责任期）。</w:t>
      </w:r>
    </w:p>
    <w:p w14:paraId="205AACB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承包人应以发包人和承包人的共同名义投保建筑工程一切险。</w:t>
      </w:r>
    </w:p>
    <w:p w14:paraId="7AC7D2C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20.4 第三者责任险</w:t>
      </w:r>
    </w:p>
    <w:p w14:paraId="3A1C6CE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20.4.2 项补充：</w:t>
      </w:r>
    </w:p>
    <w:p w14:paraId="275EE5D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在缺陷责任期终止证书颁发前，承包人应以承包人和发包人的共同名义投保第三责任险，费用由承包人承担</w:t>
      </w:r>
      <w:r>
        <w:rPr>
          <w:rFonts w:hint="eastAsia" w:ascii="宋体" w:hAnsi="宋体"/>
          <w:color w:val="auto"/>
          <w:sz w:val="24"/>
          <w:szCs w:val="24"/>
          <w:highlight w:val="none"/>
        </w:rPr>
        <w:t>。</w:t>
      </w:r>
    </w:p>
    <w:p w14:paraId="61681F0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20.5 其他保险</w:t>
      </w:r>
    </w:p>
    <w:p w14:paraId="4F6468E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本款约定为： </w:t>
      </w:r>
    </w:p>
    <w:p w14:paraId="1383FB5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承包人应为其施工设备</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进场的材料和工程设备</w:t>
      </w:r>
      <w:r>
        <w:rPr>
          <w:rFonts w:hint="eastAsia" w:ascii="宋体" w:hAnsi="宋体"/>
          <w:color w:val="auto"/>
          <w:sz w:val="24"/>
          <w:szCs w:val="24"/>
          <w:highlight w:val="none"/>
        </w:rPr>
        <w:t>等办理保险，其投保金额应足以现场重置。办理本款保险的一切费用均由承包人承担，并包括在工程量清单的单价及总额价中。</w:t>
      </w:r>
    </w:p>
    <w:p w14:paraId="047FDEC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20.6对各项保险的一般要求</w:t>
      </w:r>
    </w:p>
    <w:p w14:paraId="1595F61B">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20.6</w:t>
      </w:r>
      <w:r>
        <w:rPr>
          <w:rFonts w:hint="eastAsia" w:ascii="宋体" w:hAnsi="宋体"/>
          <w:b/>
          <w:bCs/>
          <w:color w:val="auto"/>
          <w:sz w:val="24"/>
          <w:szCs w:val="24"/>
          <w:highlight w:val="none"/>
          <w:lang w:val="en-US" w:eastAsia="zh-CN"/>
        </w:rPr>
        <w:t>.</w:t>
      </w:r>
      <w:r>
        <w:rPr>
          <w:rFonts w:hint="eastAsia" w:ascii="宋体" w:hAnsi="宋体"/>
          <w:b/>
          <w:bCs/>
          <w:color w:val="auto"/>
          <w:sz w:val="24"/>
          <w:szCs w:val="24"/>
          <w:highlight w:val="none"/>
        </w:rPr>
        <w:t>1保险凭证</w:t>
      </w:r>
      <w:r>
        <w:rPr>
          <w:rFonts w:hint="eastAsia" w:ascii="宋体" w:hAnsi="宋体"/>
          <w:color w:val="auto"/>
          <w:sz w:val="24"/>
          <w:szCs w:val="24"/>
          <w:highlight w:val="none"/>
        </w:rPr>
        <w:t xml:space="preserve"> </w:t>
      </w:r>
    </w:p>
    <w:p w14:paraId="55DE406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本项约定为：</w:t>
      </w:r>
    </w:p>
    <w:p w14:paraId="14A7636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承包人向发包人提交各项保险生效的证据和保险单副本的期限：开工后56天内。</w:t>
      </w:r>
    </w:p>
    <w:p w14:paraId="3C056BD3">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20.6.3 持续保险</w:t>
      </w:r>
    </w:p>
    <w:p w14:paraId="45EF7AA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w:t>
      </w:r>
    </w:p>
    <w:p w14:paraId="6787E21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在整个合同期内，承包人应按合同条款规定保证足够的保险额。</w:t>
      </w:r>
    </w:p>
    <w:p w14:paraId="08DC44A4">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20.6.4 保险金不足的补偿</w:t>
      </w:r>
    </w:p>
    <w:p w14:paraId="18BF89B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1DEE000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保险金不足以补偿损失的（包括免赔额和超过赔偿限额的部分），应由承包人按合同约定负责补偿。</w:t>
      </w:r>
    </w:p>
    <w:p w14:paraId="0FD49F8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20.6.5 未按约定投保的补救</w:t>
      </w:r>
    </w:p>
    <w:p w14:paraId="0A44FE5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6D9F1C2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14142CA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21. 不可抗力</w:t>
      </w:r>
    </w:p>
    <w:p w14:paraId="1A23407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21.1 不可抗力的确认</w:t>
      </w:r>
    </w:p>
    <w:p w14:paraId="570F258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21.1.1 项细化为：</w:t>
      </w:r>
    </w:p>
    <w:p w14:paraId="68312CC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不可抗力是指承包人和发包人在订立合同时不可预见，在工程施工过程中不可避免发生并不能克服的自然灾害和社会性突发事件。</w:t>
      </w:r>
    </w:p>
    <w:p w14:paraId="0D6AEB1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包括但不限于：</w:t>
      </w:r>
    </w:p>
    <w:p w14:paraId="4253572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（1）地震、海啸、火山爆发、泥石流、暴雨（雪）、台风、龙卷风、水灾等自然灾害；</w:t>
      </w:r>
    </w:p>
    <w:p w14:paraId="593C3AD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（2）战争、骚乱、暴动，但纯属承包人或其分包人派遣与雇用的人员由于本合同工程施工原因引起者除外；</w:t>
      </w:r>
    </w:p>
    <w:p w14:paraId="689AB7D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（3）核反应、辐射或放射性污染；</w:t>
      </w:r>
    </w:p>
    <w:p w14:paraId="071C13F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（4）空中飞行物体坠落或非发包人或承包人责任造成的爆炸、火灾；</w:t>
      </w:r>
    </w:p>
    <w:p w14:paraId="3C737B5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（5）瘟疫；</w:t>
      </w:r>
    </w:p>
    <w:p w14:paraId="70D80EC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（6）项目专用合同条款约定的其他情形。</w:t>
      </w:r>
    </w:p>
    <w:p w14:paraId="57F7AA1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21.3不可抗力后果及其处理</w:t>
      </w:r>
    </w:p>
    <w:p w14:paraId="5ED7F7B7">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21.3.4因不可抗力解除合同</w:t>
      </w:r>
    </w:p>
    <w:p w14:paraId="6611EC0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6654399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p>
    <w:p w14:paraId="285AF62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22. 违约</w:t>
      </w:r>
    </w:p>
    <w:p w14:paraId="515975F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22.1 承包人违约</w:t>
      </w:r>
    </w:p>
    <w:p w14:paraId="01585604">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22.2.1 承包人违约的情形</w:t>
      </w:r>
    </w:p>
    <w:p w14:paraId="7A782E2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6FA84B4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（2）承包人违反第5.3款或第6.4款的约定，未经监理人批准，私自将已按合同约定进入施工场地的施工设备、临时设施、材料或工程设备撤离施工场地；</w:t>
      </w:r>
    </w:p>
    <w:p w14:paraId="47FFFDF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本项（7）目细化为：</w:t>
      </w:r>
    </w:p>
    <w:p w14:paraId="3875FED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（7）承包人未能按期开工；</w:t>
      </w:r>
    </w:p>
    <w:p w14:paraId="378EFCC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（8）承包人违反第 4.6 款或第 6.3 款的规定，未按承诺或未按监理人的要求及时配备称职的主要管理人员、技术骨干或关键施工设备；</w:t>
      </w:r>
    </w:p>
    <w:p w14:paraId="7F2CF10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（9）经监理人和发包人检查，发现承包人有安全问题或有违反安全管理规章制度的情况；</w:t>
      </w:r>
    </w:p>
    <w:p w14:paraId="29B11DF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（10）承包人不按合同约定履行义务的其他情况。</w:t>
      </w:r>
    </w:p>
    <w:p w14:paraId="4D38E237">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22.1.2 对承包人违约的处理</w:t>
      </w:r>
    </w:p>
    <w:p w14:paraId="0585F13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w:t>
      </w:r>
    </w:p>
    <w:p w14:paraId="59D5B69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（4）承包人发生第22.1.1项约定的违约情况时，无论发包人是否解除合同，发包人均有权向承包人课以项目专用合同条款中规定的违约金，并由发包人将其违约行为上报省级交通运输主管部门，作为不良记录纳入</w:t>
      </w:r>
      <w:r>
        <w:rPr>
          <w:rFonts w:hint="eastAsia" w:ascii="宋体" w:hAnsi="宋体"/>
          <w:color w:val="auto"/>
          <w:sz w:val="24"/>
          <w:szCs w:val="24"/>
          <w:highlight w:val="none"/>
          <w:lang w:eastAsia="zh-CN"/>
        </w:rPr>
        <w:t>全国公路建设市场监督管理系统</w:t>
      </w:r>
      <w:r>
        <w:rPr>
          <w:rFonts w:hint="eastAsia" w:ascii="宋体" w:hAnsi="宋体"/>
          <w:color w:val="auto"/>
          <w:sz w:val="24"/>
          <w:szCs w:val="24"/>
          <w:highlight w:val="none"/>
          <w:lang w:val="en-US" w:eastAsia="zh-CN"/>
        </w:rPr>
        <w:t>（http：//glxy.mot.gov.cn）</w:t>
      </w:r>
      <w:r>
        <w:rPr>
          <w:rFonts w:hint="eastAsia" w:ascii="宋体" w:hAnsi="宋体"/>
          <w:color w:val="auto"/>
          <w:sz w:val="24"/>
          <w:szCs w:val="24"/>
          <w:highlight w:val="none"/>
        </w:rPr>
        <w:t>。</w:t>
      </w:r>
    </w:p>
    <w:p w14:paraId="7FBE1E3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22.2 发包人违约</w:t>
      </w:r>
    </w:p>
    <w:p w14:paraId="069CF254">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22.2.1 发包人违约的情形</w:t>
      </w:r>
    </w:p>
    <w:p w14:paraId="4217A43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本项（5）目细化为：</w:t>
      </w:r>
    </w:p>
    <w:p w14:paraId="0E88FDD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（5）发包人无正当理由不按时返还履约保证金、质量保证金或农民工工资保证金的；</w:t>
      </w:r>
    </w:p>
    <w:p w14:paraId="5F28298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（6）发包人不履行合同约定其他义务的。</w:t>
      </w:r>
    </w:p>
    <w:p w14:paraId="19C501D5">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22.2.2 承包人有权暂停施工</w:t>
      </w:r>
    </w:p>
    <w:p w14:paraId="2FB7ADD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2B2FE7D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发生除第22.2.1（4）、（5）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7C806D8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发包人发生第 22.2.1（5）目的违约情况时，承包人可向发包人发出通知，要求发包人采取有效措施纠正违约行为。发包人收到承包人通知后的 28 天内仍不返还履约保证金、质量保证金或农民工工资保证金的，发包人应按项目专用合同条款的约定向承包人支付逾期返还保证金的违约金。</w:t>
      </w:r>
    </w:p>
    <w:p w14:paraId="2C0CBF86">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22.2.4 解除合同后的付款</w:t>
      </w:r>
    </w:p>
    <w:p w14:paraId="1BB882C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2DD2501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（2）承包人为该工程施工订购并已付款的材料、工程设备和其他物品的金额。发包人付款后，该材料、工程设备和其他物品归发包人所有；</w:t>
      </w:r>
    </w:p>
    <w:p w14:paraId="5CE7614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23. 索赔</w:t>
      </w:r>
    </w:p>
    <w:p w14:paraId="7228CBD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23.1 承包人索赔的提出</w:t>
      </w:r>
    </w:p>
    <w:p w14:paraId="6D6F71F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本款第（4）项细化为：</w:t>
      </w:r>
    </w:p>
    <w:p w14:paraId="4747298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（4）在索赔事件影响结束后的28天内，承包人应向监理人递交最终索赔通知书，说明最终要求索赔的追加付款金额和（或）延长的工期，并附必要的记录和证明材料。</w:t>
      </w:r>
    </w:p>
    <w:p w14:paraId="6A3FEB7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23.2 承包人索赔处理程序</w:t>
      </w:r>
    </w:p>
    <w:p w14:paraId="29A047D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本款第（2）项细化为：</w:t>
      </w:r>
    </w:p>
    <w:p w14:paraId="6D4907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监理人应按第3.5款商定或确定追加的付款和（或）延长的工期，并在收到上述索赔通知书或有关索赔的进一步证明材料后的42天内，将索赔处理结果报发包人批准后答复承包人。如果承包人提出的索赔要求未能遵守第23.1（2）～（4）项的规定，则承包人只限于索赔由监理人按当时记录予以核实的那部分款额和（或）工期延长天数。</w:t>
      </w:r>
    </w:p>
    <w:p w14:paraId="6DD7762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24. 争议的解决</w:t>
      </w:r>
    </w:p>
    <w:p w14:paraId="7F86542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24.3 争议评审</w:t>
      </w:r>
    </w:p>
    <w:p w14:paraId="6827295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24.3.1 项补充：</w:t>
      </w:r>
    </w:p>
    <w:p w14:paraId="2B9AF8C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争议评审组由3人或5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6343C9B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24.4 款、第 24.5 款（适用于采用仲裁方式最终解决争议的项目）。</w:t>
      </w:r>
    </w:p>
    <w:p w14:paraId="3E4C3EA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24.4 仲裁</w:t>
      </w:r>
    </w:p>
    <w:p w14:paraId="0138240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（1）对于未能友好解决或未能通过争议评审解决的争议，发包人或承包人任一方均有权提交给第 24.1 款约定的仲裁委员会仲裁。</w:t>
      </w:r>
    </w:p>
    <w:p w14:paraId="66B57C4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仲裁可在交工之前或之后进行，但发包人、监理人和承包人各自的义务不得因在工程实施期间进行仲裁而有所改变。如果仲裁是在终止合同的情况下进行，则对合同工程应采取保护措施，措施费由败诉方承担。</w:t>
      </w:r>
    </w:p>
    <w:p w14:paraId="128386D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（3）仲裁裁决是终局性的并对发包人和承包人双方具有约束力。</w:t>
      </w:r>
    </w:p>
    <w:p w14:paraId="1264CCD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（4）全部仲裁费用应由败诉方承担；或按仲裁委员会裁决的比例分担。</w:t>
      </w:r>
    </w:p>
    <w:p w14:paraId="7178200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24.5 仲裁的执行</w:t>
      </w:r>
    </w:p>
    <w:p w14:paraId="20A74E0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（1）任何一方不履行仲裁机构的裁决的，对方可以向有管辖权的人民法院申请执行。</w:t>
      </w:r>
    </w:p>
    <w:p w14:paraId="7E7C561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14:paraId="6B92F143">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2FAF7305">
      <w:pPr>
        <w:pStyle w:val="13"/>
        <w:snapToGrid w:val="0"/>
        <w:spacing w:line="300" w:lineRule="auto"/>
        <w:rPr>
          <w:rFonts w:hint="eastAsia" w:hAnsi="宋体"/>
          <w:b/>
          <w:bCs/>
          <w:color w:val="auto"/>
          <w:sz w:val="44"/>
          <w:szCs w:val="44"/>
          <w:highlight w:val="none"/>
        </w:rPr>
      </w:pPr>
      <w:r>
        <w:rPr>
          <w:rFonts w:hint="eastAsia" w:hAnsi="宋体"/>
          <w:b/>
          <w:bCs/>
          <w:color w:val="auto"/>
          <w:sz w:val="44"/>
          <w:szCs w:val="44"/>
          <w:highlight w:val="none"/>
        </w:rPr>
        <w:t xml:space="preserve"> </w:t>
      </w:r>
    </w:p>
    <w:p w14:paraId="19A88EB6">
      <w:pPr>
        <w:pStyle w:val="10"/>
        <w:rPr>
          <w:rFonts w:hint="eastAsia" w:hAnsi="宋体"/>
          <w:b/>
          <w:bCs/>
          <w:color w:val="auto"/>
          <w:sz w:val="44"/>
          <w:szCs w:val="44"/>
          <w:highlight w:val="none"/>
        </w:rPr>
      </w:pPr>
    </w:p>
    <w:p w14:paraId="3EFAB5DB">
      <w:pPr>
        <w:pStyle w:val="10"/>
        <w:rPr>
          <w:rFonts w:hint="eastAsia" w:hAnsi="宋体"/>
          <w:b/>
          <w:bCs/>
          <w:color w:val="auto"/>
          <w:sz w:val="44"/>
          <w:szCs w:val="44"/>
          <w:highlight w:val="none"/>
        </w:rPr>
      </w:pPr>
    </w:p>
    <w:p w14:paraId="3B192F82">
      <w:pPr>
        <w:pStyle w:val="10"/>
        <w:rPr>
          <w:rFonts w:hint="eastAsia" w:hAnsi="宋体"/>
          <w:b/>
          <w:bCs/>
          <w:color w:val="auto"/>
          <w:sz w:val="44"/>
          <w:szCs w:val="44"/>
          <w:highlight w:val="none"/>
        </w:rPr>
      </w:pPr>
    </w:p>
    <w:p w14:paraId="4CBFA654">
      <w:pPr>
        <w:pStyle w:val="10"/>
        <w:rPr>
          <w:rFonts w:hint="eastAsia" w:hAnsi="宋体"/>
          <w:b/>
          <w:bCs/>
          <w:color w:val="auto"/>
          <w:sz w:val="44"/>
          <w:szCs w:val="44"/>
          <w:highlight w:val="none"/>
        </w:rPr>
      </w:pPr>
    </w:p>
    <w:p w14:paraId="1FA0F501">
      <w:pPr>
        <w:pStyle w:val="13"/>
        <w:snapToGrid w:val="0"/>
        <w:spacing w:line="300" w:lineRule="auto"/>
        <w:jc w:val="center"/>
        <w:rPr>
          <w:rFonts w:ascii="宋体" w:hAnsi="宋体"/>
          <w:b/>
          <w:bCs w:val="0"/>
          <w:color w:val="auto"/>
          <w:sz w:val="28"/>
          <w:szCs w:val="28"/>
          <w:highlight w:val="none"/>
        </w:rPr>
      </w:pPr>
      <w:r>
        <w:rPr>
          <w:rFonts w:hint="eastAsia" w:ascii="宋体" w:hAnsi="宋体"/>
          <w:b/>
          <w:bCs w:val="0"/>
          <w:color w:val="auto"/>
          <w:sz w:val="28"/>
          <w:szCs w:val="28"/>
          <w:highlight w:val="none"/>
        </w:rPr>
        <w:t>B.项目专用合同条款</w:t>
      </w:r>
    </w:p>
    <w:p w14:paraId="163BD525">
      <w:pPr>
        <w:spacing w:line="520" w:lineRule="exact"/>
        <w:ind w:firstLine="482" w:firstLineChars="200"/>
        <w:jc w:val="left"/>
        <w:rPr>
          <w:rFonts w:ascii="宋体" w:hAnsi="宋体"/>
          <w:b/>
          <w:color w:val="auto"/>
          <w:sz w:val="24"/>
          <w:szCs w:val="24"/>
          <w:highlight w:val="none"/>
        </w:rPr>
      </w:pPr>
      <w:r>
        <w:rPr>
          <w:rFonts w:hint="eastAsia" w:ascii="宋体" w:hAnsi="宋体"/>
          <w:b/>
          <w:color w:val="auto"/>
          <w:sz w:val="24"/>
          <w:szCs w:val="24"/>
          <w:highlight w:val="none"/>
        </w:rPr>
        <w:t>说明：</w:t>
      </w:r>
    </w:p>
    <w:p w14:paraId="7D4E2F86">
      <w:pPr>
        <w:spacing w:line="52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招标人在根据《公路工程标准施工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p>
    <w:p w14:paraId="5E489079">
      <w:pPr>
        <w:spacing w:line="520" w:lineRule="exact"/>
        <w:ind w:firstLine="600"/>
        <w:rPr>
          <w:rFonts w:ascii="宋体" w:hAnsi="宋体"/>
          <w:bCs/>
          <w:color w:val="auto"/>
          <w:sz w:val="24"/>
          <w:szCs w:val="24"/>
          <w:highlight w:val="none"/>
        </w:rPr>
      </w:pPr>
      <w:r>
        <w:rPr>
          <w:rFonts w:hint="eastAsia" w:ascii="宋体" w:hAnsi="宋体"/>
          <w:bCs/>
          <w:color w:val="auto"/>
          <w:sz w:val="24"/>
          <w:szCs w:val="24"/>
          <w:highlight w:val="none"/>
        </w:rPr>
        <w:t>2.项目专用合同条款的编号应与通用合同条款和公路工程专用合同款一致。</w:t>
      </w:r>
    </w:p>
    <w:p w14:paraId="25200263">
      <w:pPr>
        <w:spacing w:line="520" w:lineRule="exact"/>
        <w:ind w:firstLine="600"/>
        <w:rPr>
          <w:rFonts w:ascii="宋体" w:hAnsi="宋体"/>
          <w:bCs/>
          <w:color w:val="auto"/>
          <w:sz w:val="24"/>
          <w:szCs w:val="24"/>
          <w:highlight w:val="none"/>
        </w:rPr>
      </w:pPr>
      <w:r>
        <w:rPr>
          <w:rFonts w:hint="eastAsia" w:ascii="宋体" w:hAnsi="宋体"/>
          <w:bCs/>
          <w:color w:val="auto"/>
          <w:sz w:val="24"/>
          <w:szCs w:val="24"/>
          <w:highlight w:val="none"/>
        </w:rPr>
        <w:t>3.项目专用合同条款可对下列内容进行补充和细化：</w:t>
      </w:r>
    </w:p>
    <w:p w14:paraId="0E575154">
      <w:pPr>
        <w:spacing w:line="520" w:lineRule="exact"/>
        <w:ind w:firstLine="600"/>
        <w:rPr>
          <w:rFonts w:ascii="宋体" w:hAnsi="宋体"/>
          <w:bCs/>
          <w:color w:val="auto"/>
          <w:sz w:val="24"/>
          <w:szCs w:val="24"/>
          <w:highlight w:val="none"/>
        </w:rPr>
      </w:pPr>
      <w:r>
        <w:rPr>
          <w:rFonts w:hint="eastAsia" w:ascii="宋体" w:hAnsi="宋体"/>
          <w:bCs/>
          <w:color w:val="auto"/>
          <w:sz w:val="24"/>
          <w:szCs w:val="24"/>
          <w:highlight w:val="none"/>
        </w:rPr>
        <w:t>（1）“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14:paraId="6CE26761">
      <w:pPr>
        <w:spacing w:line="520" w:lineRule="exact"/>
        <w:ind w:firstLine="600"/>
        <w:rPr>
          <w:rFonts w:ascii="宋体" w:hAnsi="宋体"/>
          <w:bCs/>
          <w:color w:val="auto"/>
          <w:sz w:val="24"/>
          <w:szCs w:val="24"/>
          <w:highlight w:val="none"/>
        </w:rPr>
      </w:pPr>
      <w:r>
        <w:rPr>
          <w:rFonts w:hint="eastAsia" w:ascii="宋体" w:hAnsi="宋体"/>
          <w:bCs/>
          <w:color w:val="auto"/>
          <w:sz w:val="24"/>
          <w:szCs w:val="24"/>
          <w:highlight w:val="none"/>
        </w:rPr>
        <w:t>（2）“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p>
    <w:p w14:paraId="71CF27AA">
      <w:pPr>
        <w:spacing w:line="520" w:lineRule="exact"/>
        <w:ind w:firstLine="600"/>
        <w:rPr>
          <w:rFonts w:hint="eastAsia" w:ascii="宋体" w:hAnsi="宋体"/>
          <w:bCs/>
          <w:color w:val="auto"/>
          <w:sz w:val="24"/>
          <w:szCs w:val="24"/>
          <w:highlight w:val="none"/>
        </w:rPr>
      </w:pPr>
      <w:r>
        <w:rPr>
          <w:rFonts w:hint="eastAsia" w:ascii="宋体" w:hAnsi="宋体"/>
          <w:bCs/>
          <w:color w:val="auto"/>
          <w:sz w:val="24"/>
          <w:szCs w:val="24"/>
          <w:highlight w:val="none"/>
        </w:rPr>
        <w:t>（3）其他需要补充、细化的内容。</w:t>
      </w:r>
    </w:p>
    <w:p w14:paraId="7A6AB92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 </w:t>
      </w:r>
    </w:p>
    <w:p w14:paraId="52AA17C1">
      <w:pPr>
        <w:keepNext w:val="0"/>
        <w:keepLines w:val="0"/>
        <w:pageBreakBefore w:val="0"/>
        <w:widowControl w:val="0"/>
        <w:kinsoku/>
        <w:wordWrap/>
        <w:overflowPunct/>
        <w:topLinePunct w:val="0"/>
        <w:autoSpaceDE/>
        <w:autoSpaceDN/>
        <w:bidi w:val="0"/>
        <w:adjustRightInd w:val="0"/>
        <w:snapToGrid w:val="0"/>
        <w:spacing w:after="0" w:afterLines="100"/>
        <w:jc w:val="center"/>
        <w:textAlignment w:val="auto"/>
        <w:rPr>
          <w:rFonts w:hint="eastAsia" w:ascii="宋体" w:hAnsi="宋体"/>
          <w:b/>
          <w:bCs/>
          <w:color w:val="auto"/>
          <w:sz w:val="28"/>
          <w:szCs w:val="28"/>
          <w:highlight w:val="none"/>
        </w:rPr>
      </w:pPr>
    </w:p>
    <w:p w14:paraId="6927F11C">
      <w:pPr>
        <w:keepNext w:val="0"/>
        <w:keepLines w:val="0"/>
        <w:pageBreakBefore w:val="0"/>
        <w:widowControl w:val="0"/>
        <w:kinsoku/>
        <w:wordWrap/>
        <w:overflowPunct/>
        <w:topLinePunct w:val="0"/>
        <w:autoSpaceDE/>
        <w:autoSpaceDN/>
        <w:bidi w:val="0"/>
        <w:adjustRightInd w:val="0"/>
        <w:snapToGrid w:val="0"/>
        <w:spacing w:after="0" w:afterLines="100"/>
        <w:jc w:val="center"/>
        <w:textAlignment w:val="auto"/>
        <w:rPr>
          <w:rFonts w:hint="eastAsia" w:ascii="宋体" w:hAnsi="宋体"/>
          <w:b/>
          <w:bCs/>
          <w:color w:val="auto"/>
          <w:sz w:val="28"/>
          <w:szCs w:val="28"/>
          <w:highlight w:val="none"/>
        </w:rPr>
      </w:pPr>
    </w:p>
    <w:p w14:paraId="2B86E128">
      <w:pPr>
        <w:keepNext w:val="0"/>
        <w:keepLines w:val="0"/>
        <w:pageBreakBefore w:val="0"/>
        <w:widowControl w:val="0"/>
        <w:kinsoku/>
        <w:wordWrap/>
        <w:overflowPunct/>
        <w:topLinePunct w:val="0"/>
        <w:autoSpaceDE/>
        <w:autoSpaceDN/>
        <w:bidi w:val="0"/>
        <w:adjustRightInd w:val="0"/>
        <w:snapToGrid w:val="0"/>
        <w:spacing w:after="0" w:afterLines="100"/>
        <w:jc w:val="center"/>
        <w:textAlignment w:val="auto"/>
        <w:rPr>
          <w:rFonts w:hint="eastAsia" w:ascii="宋体" w:hAnsi="宋体"/>
          <w:b/>
          <w:bCs/>
          <w:color w:val="auto"/>
          <w:sz w:val="28"/>
          <w:szCs w:val="28"/>
          <w:highlight w:val="none"/>
        </w:rPr>
      </w:pPr>
    </w:p>
    <w:p w14:paraId="7A02CC32">
      <w:pPr>
        <w:keepNext w:val="0"/>
        <w:keepLines w:val="0"/>
        <w:pageBreakBefore w:val="0"/>
        <w:widowControl w:val="0"/>
        <w:kinsoku/>
        <w:wordWrap/>
        <w:overflowPunct/>
        <w:topLinePunct w:val="0"/>
        <w:autoSpaceDE/>
        <w:autoSpaceDN/>
        <w:bidi w:val="0"/>
        <w:adjustRightInd w:val="0"/>
        <w:snapToGrid w:val="0"/>
        <w:spacing w:after="0" w:afterLines="100"/>
        <w:jc w:val="center"/>
        <w:textAlignment w:val="auto"/>
        <w:rPr>
          <w:rFonts w:ascii="宋体" w:hAnsi="宋体"/>
          <w:color w:val="auto"/>
          <w:sz w:val="32"/>
          <w:szCs w:val="32"/>
          <w:highlight w:val="none"/>
        </w:rPr>
      </w:pPr>
      <w:r>
        <w:rPr>
          <w:rFonts w:hint="eastAsia" w:ascii="宋体" w:hAnsi="宋体"/>
          <w:b/>
          <w:bCs/>
          <w:color w:val="auto"/>
          <w:sz w:val="28"/>
          <w:szCs w:val="28"/>
          <w:highlight w:val="none"/>
        </w:rPr>
        <w:t>项目专用合同条款数据表</w:t>
      </w:r>
    </w:p>
    <w:p w14:paraId="41344F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说明：本数据表是项目专用合同条款中适用于本项目的信息和数据的归纳与提示，是项目专用合同条款的组成部分。第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章“投标文件格式”的投标函附录中的数据（供投标人确认）与本表所列有重复。编写招标文件的单位应仔细校核，不使数据出现差错或不一致。</w:t>
      </w:r>
    </w:p>
    <w:tbl>
      <w:tblPr>
        <w:tblStyle w:val="23"/>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229"/>
        <w:gridCol w:w="7707"/>
      </w:tblGrid>
      <w:tr w14:paraId="1A02E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0B431A2">
            <w:pPr>
              <w:autoSpaceDE w:val="0"/>
              <w:adjustRightInd w:val="0"/>
              <w:snapToGrid w:val="0"/>
              <w:spacing w:line="360" w:lineRule="exact"/>
              <w:jc w:val="center"/>
              <w:rPr>
                <w:rFonts w:ascii="宋体" w:hAnsi="宋体"/>
                <w:b/>
                <w:color w:val="auto"/>
                <w:highlight w:val="none"/>
              </w:rPr>
            </w:pPr>
            <w:r>
              <w:rPr>
                <w:rFonts w:hint="eastAsia" w:ascii="宋体" w:hAnsi="宋体"/>
                <w:b/>
                <w:color w:val="auto"/>
                <w:highlight w:val="none"/>
              </w:rPr>
              <w:t>序号</w:t>
            </w:r>
          </w:p>
        </w:tc>
        <w:tc>
          <w:tcPr>
            <w:tcW w:w="1229" w:type="dxa"/>
            <w:tcBorders>
              <w:top w:val="single" w:color="auto" w:sz="4" w:space="0"/>
              <w:left w:val="single" w:color="auto" w:sz="4" w:space="0"/>
              <w:bottom w:val="single" w:color="auto" w:sz="4" w:space="0"/>
              <w:right w:val="single" w:color="auto" w:sz="4" w:space="0"/>
            </w:tcBorders>
            <w:noWrap/>
            <w:vAlign w:val="center"/>
          </w:tcPr>
          <w:p w14:paraId="37B35564">
            <w:pPr>
              <w:autoSpaceDE w:val="0"/>
              <w:adjustRightInd w:val="0"/>
              <w:snapToGrid w:val="0"/>
              <w:spacing w:line="360" w:lineRule="exact"/>
              <w:jc w:val="center"/>
              <w:rPr>
                <w:rFonts w:ascii="宋体" w:hAnsi="宋体"/>
                <w:b/>
                <w:color w:val="auto"/>
                <w:highlight w:val="none"/>
              </w:rPr>
            </w:pPr>
            <w:r>
              <w:rPr>
                <w:rFonts w:hint="eastAsia" w:ascii="宋体" w:hAnsi="宋体"/>
                <w:b/>
                <w:color w:val="auto"/>
                <w:highlight w:val="none"/>
              </w:rPr>
              <w:t>条款号</w:t>
            </w:r>
          </w:p>
        </w:tc>
        <w:tc>
          <w:tcPr>
            <w:tcW w:w="7707" w:type="dxa"/>
            <w:tcBorders>
              <w:top w:val="single" w:color="auto" w:sz="4" w:space="0"/>
              <w:left w:val="single" w:color="auto" w:sz="4" w:space="0"/>
              <w:bottom w:val="single" w:color="auto" w:sz="4" w:space="0"/>
              <w:right w:val="single" w:color="auto" w:sz="4" w:space="0"/>
            </w:tcBorders>
            <w:noWrap/>
            <w:vAlign w:val="center"/>
          </w:tcPr>
          <w:p w14:paraId="215D5813">
            <w:pPr>
              <w:autoSpaceDE w:val="0"/>
              <w:adjustRightInd w:val="0"/>
              <w:snapToGrid w:val="0"/>
              <w:spacing w:line="360" w:lineRule="exact"/>
              <w:jc w:val="center"/>
              <w:rPr>
                <w:rFonts w:ascii="宋体" w:hAnsi="宋体"/>
                <w:b/>
                <w:color w:val="auto"/>
                <w:highlight w:val="none"/>
              </w:rPr>
            </w:pPr>
            <w:r>
              <w:rPr>
                <w:rFonts w:hint="eastAsia" w:ascii="宋体" w:hAnsi="宋体"/>
                <w:b/>
                <w:color w:val="auto"/>
                <w:highlight w:val="none"/>
              </w:rPr>
              <w:t>信息或数据</w:t>
            </w:r>
          </w:p>
        </w:tc>
      </w:tr>
      <w:tr w14:paraId="2571F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 w:type="dxa"/>
            <w:tcBorders>
              <w:top w:val="single" w:color="auto" w:sz="4" w:space="0"/>
              <w:left w:val="single" w:color="auto" w:sz="4" w:space="0"/>
              <w:bottom w:val="single" w:color="auto" w:sz="4" w:space="0"/>
              <w:right w:val="single" w:color="auto" w:sz="4" w:space="0"/>
            </w:tcBorders>
            <w:noWrap/>
            <w:vAlign w:val="center"/>
          </w:tcPr>
          <w:p w14:paraId="60C25ADE">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w:t>
            </w:r>
          </w:p>
        </w:tc>
        <w:tc>
          <w:tcPr>
            <w:tcW w:w="1229" w:type="dxa"/>
            <w:tcBorders>
              <w:top w:val="single" w:color="auto" w:sz="4" w:space="0"/>
              <w:left w:val="single" w:color="auto" w:sz="4" w:space="0"/>
              <w:bottom w:val="single" w:color="auto" w:sz="4" w:space="0"/>
              <w:right w:val="single" w:color="auto" w:sz="4" w:space="0"/>
            </w:tcBorders>
            <w:noWrap/>
            <w:vAlign w:val="center"/>
          </w:tcPr>
          <w:p w14:paraId="514ED161">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1.1.2.2</w:t>
            </w:r>
          </w:p>
        </w:tc>
        <w:tc>
          <w:tcPr>
            <w:tcW w:w="7707" w:type="dxa"/>
            <w:tcBorders>
              <w:top w:val="single" w:color="auto" w:sz="4" w:space="0"/>
              <w:left w:val="single" w:color="auto" w:sz="4" w:space="0"/>
              <w:bottom w:val="single" w:color="auto" w:sz="4" w:space="0"/>
              <w:right w:val="single" w:color="auto" w:sz="4" w:space="0"/>
            </w:tcBorders>
            <w:noWrap/>
            <w:vAlign w:val="center"/>
          </w:tcPr>
          <w:p w14:paraId="48B9C2FB">
            <w:pPr>
              <w:autoSpaceDE w:val="0"/>
              <w:adjustRightInd w:val="0"/>
              <w:snapToGrid w:val="0"/>
              <w:spacing w:line="360" w:lineRule="exact"/>
              <w:rPr>
                <w:rFonts w:hint="eastAsia" w:ascii="宋体" w:hAnsi="宋体" w:eastAsia="宋体"/>
                <w:color w:val="auto"/>
                <w:highlight w:val="none"/>
                <w:lang w:eastAsia="zh-CN"/>
              </w:rPr>
            </w:pPr>
            <w:r>
              <w:rPr>
                <w:rFonts w:hint="eastAsia" w:ascii="宋体" w:hAnsi="宋体"/>
                <w:color w:val="auto"/>
                <w:highlight w:val="none"/>
              </w:rPr>
              <w:t>发包人:</w:t>
            </w:r>
            <w:r>
              <w:rPr>
                <w:rFonts w:hint="eastAsia" w:ascii="宋体" w:hAnsi="宋体"/>
                <w:color w:val="auto"/>
                <w:highlight w:val="none"/>
                <w:lang w:eastAsia="zh-CN"/>
              </w:rPr>
              <w:t>平舆县公路事业发展中心</w:t>
            </w:r>
          </w:p>
          <w:p w14:paraId="335D64BB">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 xml:space="preserve">地  址: </w:t>
            </w:r>
            <w:r>
              <w:rPr>
                <w:rFonts w:hint="eastAsia" w:ascii="宋体" w:hAnsi="宋体" w:cs="宋体"/>
                <w:color w:val="auto"/>
                <w:sz w:val="21"/>
                <w:szCs w:val="21"/>
                <w:highlight w:val="none"/>
                <w:lang w:val="en-US" w:eastAsia="zh-CN"/>
              </w:rPr>
              <w:t>河南省平舆县海棠路1号</w:t>
            </w:r>
            <w:r>
              <w:rPr>
                <w:rFonts w:hint="eastAsia" w:ascii="宋体" w:hAnsi="宋体"/>
                <w:color w:val="auto"/>
                <w:highlight w:val="none"/>
              </w:rPr>
              <w:t xml:space="preserve">     邮编：463000</w:t>
            </w:r>
          </w:p>
        </w:tc>
      </w:tr>
      <w:tr w14:paraId="689F1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0C96944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w:t>
            </w:r>
          </w:p>
        </w:tc>
        <w:tc>
          <w:tcPr>
            <w:tcW w:w="1229" w:type="dxa"/>
            <w:tcBorders>
              <w:top w:val="single" w:color="auto" w:sz="4" w:space="0"/>
              <w:left w:val="single" w:color="auto" w:sz="4" w:space="0"/>
              <w:bottom w:val="single" w:color="auto" w:sz="4" w:space="0"/>
              <w:right w:val="single" w:color="auto" w:sz="4" w:space="0"/>
            </w:tcBorders>
            <w:noWrap/>
            <w:vAlign w:val="center"/>
          </w:tcPr>
          <w:p w14:paraId="1E0B8ACD">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1.1.2.6</w:t>
            </w:r>
          </w:p>
        </w:tc>
        <w:tc>
          <w:tcPr>
            <w:tcW w:w="7707" w:type="dxa"/>
            <w:tcBorders>
              <w:top w:val="single" w:color="auto" w:sz="4" w:space="0"/>
              <w:left w:val="single" w:color="auto" w:sz="4" w:space="0"/>
              <w:bottom w:val="single" w:color="auto" w:sz="4" w:space="0"/>
              <w:right w:val="single" w:color="auto" w:sz="4" w:space="0"/>
            </w:tcBorders>
            <w:noWrap/>
            <w:vAlign w:val="center"/>
          </w:tcPr>
          <w:p w14:paraId="0BC688CB">
            <w:pPr>
              <w:autoSpaceDE w:val="0"/>
              <w:adjustRightInd w:val="0"/>
              <w:snapToGrid w:val="0"/>
              <w:spacing w:line="360" w:lineRule="exact"/>
              <w:rPr>
                <w:rFonts w:hint="eastAsia" w:ascii="宋体" w:hAnsi="宋体"/>
                <w:color w:val="auto"/>
                <w:highlight w:val="none"/>
              </w:rPr>
            </w:pPr>
            <w:r>
              <w:rPr>
                <w:rFonts w:hint="eastAsia" w:ascii="宋体" w:hAnsi="宋体"/>
                <w:color w:val="auto"/>
                <w:highlight w:val="none"/>
              </w:rPr>
              <w:t>监理人：</w:t>
            </w:r>
            <w:r>
              <w:rPr>
                <w:rFonts w:hint="eastAsia" w:ascii="宋体" w:hAnsi="宋体"/>
                <w:color w:val="auto"/>
                <w:highlight w:val="none"/>
                <w:lang w:val="en-US" w:eastAsia="zh-CN"/>
              </w:rPr>
              <w:t>待定</w:t>
            </w:r>
            <w:r>
              <w:rPr>
                <w:rFonts w:hint="eastAsia" w:ascii="宋体" w:hAnsi="宋体"/>
                <w:color w:val="auto"/>
                <w:highlight w:val="none"/>
              </w:rPr>
              <w:t xml:space="preserve">      </w:t>
            </w:r>
          </w:p>
          <w:p w14:paraId="6445CC06">
            <w:pPr>
              <w:autoSpaceDE w:val="0"/>
              <w:adjustRightInd w:val="0"/>
              <w:snapToGrid w:val="0"/>
              <w:spacing w:line="360" w:lineRule="exact"/>
              <w:rPr>
                <w:rFonts w:hint="eastAsia" w:ascii="宋体" w:hAnsi="宋体" w:eastAsia="宋体"/>
                <w:color w:val="auto"/>
                <w:highlight w:val="none"/>
                <w:lang w:eastAsia="zh-CN"/>
              </w:rPr>
            </w:pPr>
            <w:r>
              <w:rPr>
                <w:rFonts w:hint="eastAsia" w:ascii="宋体" w:hAnsi="宋体"/>
                <w:color w:val="auto"/>
                <w:highlight w:val="none"/>
              </w:rPr>
              <w:t>地  址：</w:t>
            </w:r>
            <w:r>
              <w:rPr>
                <w:rFonts w:hint="eastAsia" w:ascii="宋体" w:hAnsi="宋体"/>
                <w:color w:val="auto"/>
                <w:highlight w:val="none"/>
                <w:lang w:eastAsia="zh-CN"/>
              </w:rPr>
              <w:t>待定</w:t>
            </w:r>
            <w:r>
              <w:rPr>
                <w:rFonts w:hint="eastAsia" w:ascii="宋体" w:hAnsi="宋体"/>
                <w:color w:val="auto"/>
                <w:highlight w:val="none"/>
              </w:rPr>
              <w:t xml:space="preserve">                 邮编：</w:t>
            </w:r>
            <w:r>
              <w:rPr>
                <w:rFonts w:hint="eastAsia" w:ascii="宋体" w:hAnsi="宋体"/>
                <w:color w:val="auto"/>
                <w:highlight w:val="none"/>
                <w:lang w:eastAsia="zh-CN"/>
              </w:rPr>
              <w:t>待定</w:t>
            </w:r>
          </w:p>
        </w:tc>
      </w:tr>
      <w:tr w14:paraId="6E8E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3875EB6C">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3</w:t>
            </w:r>
          </w:p>
        </w:tc>
        <w:tc>
          <w:tcPr>
            <w:tcW w:w="1229" w:type="dxa"/>
            <w:tcBorders>
              <w:top w:val="single" w:color="auto" w:sz="4" w:space="0"/>
              <w:left w:val="single" w:color="auto" w:sz="4" w:space="0"/>
              <w:bottom w:val="single" w:color="auto" w:sz="4" w:space="0"/>
              <w:right w:val="single" w:color="auto" w:sz="4" w:space="0"/>
            </w:tcBorders>
            <w:noWrap/>
            <w:vAlign w:val="center"/>
          </w:tcPr>
          <w:p w14:paraId="197008B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1.1.4.5</w:t>
            </w:r>
          </w:p>
        </w:tc>
        <w:tc>
          <w:tcPr>
            <w:tcW w:w="7707" w:type="dxa"/>
            <w:tcBorders>
              <w:top w:val="single" w:color="auto" w:sz="4" w:space="0"/>
              <w:left w:val="single" w:color="auto" w:sz="4" w:space="0"/>
              <w:bottom w:val="single" w:color="auto" w:sz="4" w:space="0"/>
              <w:right w:val="single" w:color="auto" w:sz="4" w:space="0"/>
            </w:tcBorders>
            <w:noWrap/>
            <w:vAlign w:val="center"/>
          </w:tcPr>
          <w:p w14:paraId="118B437C">
            <w:pPr>
              <w:autoSpaceDE w:val="0"/>
              <w:spacing w:line="360" w:lineRule="exact"/>
              <w:rPr>
                <w:rFonts w:ascii="宋体" w:hAnsi="宋体"/>
                <w:color w:val="auto"/>
                <w:highlight w:val="none"/>
              </w:rPr>
            </w:pPr>
            <w:r>
              <w:rPr>
                <w:rFonts w:hint="eastAsia" w:ascii="宋体" w:hAnsi="宋体"/>
                <w:color w:val="auto"/>
                <w:highlight w:val="none"/>
              </w:rPr>
              <w:t>缺陷责任期：自实际交工日期起计算</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12个</w:t>
            </w:r>
            <w:r>
              <w:rPr>
                <w:rFonts w:hint="eastAsia" w:ascii="宋体" w:hAnsi="宋体"/>
                <w:color w:val="auto"/>
                <w:highlight w:val="none"/>
                <w:u w:val="single"/>
              </w:rPr>
              <w:t xml:space="preserve"> </w:t>
            </w:r>
            <w:r>
              <w:rPr>
                <w:rFonts w:hint="eastAsia" w:ascii="宋体" w:hAnsi="宋体"/>
                <w:color w:val="auto"/>
                <w:highlight w:val="none"/>
              </w:rPr>
              <w:t xml:space="preserve">月。          </w:t>
            </w:r>
          </w:p>
        </w:tc>
      </w:tr>
      <w:tr w14:paraId="3E9F0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1CB612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4</w:t>
            </w:r>
          </w:p>
        </w:tc>
        <w:tc>
          <w:tcPr>
            <w:tcW w:w="1229" w:type="dxa"/>
            <w:tcBorders>
              <w:top w:val="single" w:color="auto" w:sz="4" w:space="0"/>
              <w:left w:val="single" w:color="auto" w:sz="4" w:space="0"/>
              <w:bottom w:val="single" w:color="auto" w:sz="4" w:space="0"/>
              <w:right w:val="single" w:color="auto" w:sz="4" w:space="0"/>
            </w:tcBorders>
            <w:noWrap/>
            <w:vAlign w:val="center"/>
          </w:tcPr>
          <w:p w14:paraId="63BE7C05">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1.6.3</w:t>
            </w:r>
          </w:p>
        </w:tc>
        <w:tc>
          <w:tcPr>
            <w:tcW w:w="7707" w:type="dxa"/>
            <w:tcBorders>
              <w:top w:val="single" w:color="auto" w:sz="4" w:space="0"/>
              <w:left w:val="single" w:color="auto" w:sz="4" w:space="0"/>
              <w:bottom w:val="single" w:color="auto" w:sz="4" w:space="0"/>
              <w:right w:val="single" w:color="auto" w:sz="4" w:space="0"/>
            </w:tcBorders>
            <w:noWrap/>
            <w:vAlign w:val="center"/>
          </w:tcPr>
          <w:p w14:paraId="67706C80">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图纸需要修改和补充的，应由监理人取得发包人同意后，在该工程或工程相应部位施工前</w:t>
            </w:r>
            <w:r>
              <w:rPr>
                <w:rFonts w:hint="eastAsia" w:ascii="宋体" w:hAnsi="宋体"/>
                <w:color w:val="auto"/>
                <w:highlight w:val="none"/>
                <w:u w:val="single"/>
              </w:rPr>
              <w:t>7</w:t>
            </w:r>
            <w:r>
              <w:rPr>
                <w:rFonts w:hint="eastAsia" w:ascii="宋体" w:hAnsi="宋体"/>
                <w:color w:val="auto"/>
                <w:highlight w:val="none"/>
              </w:rPr>
              <w:t>天签发图纸修改图给承包人</w:t>
            </w:r>
          </w:p>
        </w:tc>
      </w:tr>
      <w:tr w14:paraId="262D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04913E8F">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5</w:t>
            </w:r>
          </w:p>
        </w:tc>
        <w:tc>
          <w:tcPr>
            <w:tcW w:w="1229" w:type="dxa"/>
            <w:tcBorders>
              <w:top w:val="single" w:color="auto" w:sz="4" w:space="0"/>
              <w:left w:val="single" w:color="auto" w:sz="4" w:space="0"/>
              <w:bottom w:val="single" w:color="auto" w:sz="4" w:space="0"/>
              <w:right w:val="single" w:color="auto" w:sz="4" w:space="0"/>
            </w:tcBorders>
            <w:noWrap/>
            <w:vAlign w:val="center"/>
          </w:tcPr>
          <w:p w14:paraId="73A94DC3">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3.1.1</w:t>
            </w:r>
          </w:p>
        </w:tc>
        <w:tc>
          <w:tcPr>
            <w:tcW w:w="7707" w:type="dxa"/>
            <w:tcBorders>
              <w:top w:val="single" w:color="auto" w:sz="4" w:space="0"/>
              <w:left w:val="single" w:color="auto" w:sz="4" w:space="0"/>
              <w:bottom w:val="single" w:color="auto" w:sz="4" w:space="0"/>
              <w:right w:val="single" w:color="auto" w:sz="4" w:space="0"/>
            </w:tcBorders>
            <w:noWrap/>
            <w:vAlign w:val="center"/>
          </w:tcPr>
          <w:p w14:paraId="2E95476A">
            <w:pPr>
              <w:autoSpaceDE w:val="0"/>
              <w:adjustRightInd w:val="0"/>
              <w:snapToGrid w:val="0"/>
              <w:spacing w:line="360" w:lineRule="exact"/>
              <w:rPr>
                <w:rFonts w:hint="eastAsia" w:ascii="宋体" w:hAnsi="宋体" w:eastAsia="宋体"/>
                <w:color w:val="auto"/>
                <w:highlight w:val="none"/>
                <w:lang w:eastAsia="zh-CN"/>
              </w:rPr>
            </w:pPr>
            <w:r>
              <w:rPr>
                <w:rFonts w:hint="eastAsia" w:ascii="宋体" w:hAnsi="宋体"/>
                <w:color w:val="auto"/>
                <w:highlight w:val="none"/>
                <w:lang w:eastAsia="zh-CN"/>
              </w:rPr>
              <w:t>所有变更按相关规定处理</w:t>
            </w:r>
          </w:p>
        </w:tc>
      </w:tr>
      <w:tr w14:paraId="506DF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0C3522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6</w:t>
            </w:r>
          </w:p>
        </w:tc>
        <w:tc>
          <w:tcPr>
            <w:tcW w:w="1229" w:type="dxa"/>
            <w:tcBorders>
              <w:top w:val="single" w:color="auto" w:sz="4" w:space="0"/>
              <w:left w:val="single" w:color="auto" w:sz="4" w:space="0"/>
              <w:bottom w:val="single" w:color="auto" w:sz="4" w:space="0"/>
              <w:right w:val="single" w:color="auto" w:sz="4" w:space="0"/>
            </w:tcBorders>
            <w:noWrap/>
            <w:vAlign w:val="center"/>
          </w:tcPr>
          <w:p w14:paraId="06F27FE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5.2.1</w:t>
            </w:r>
          </w:p>
        </w:tc>
        <w:tc>
          <w:tcPr>
            <w:tcW w:w="7707" w:type="dxa"/>
            <w:tcBorders>
              <w:top w:val="single" w:color="auto" w:sz="4" w:space="0"/>
              <w:left w:val="single" w:color="auto" w:sz="4" w:space="0"/>
              <w:bottom w:val="single" w:color="auto" w:sz="4" w:space="0"/>
              <w:right w:val="single" w:color="auto" w:sz="4" w:space="0"/>
            </w:tcBorders>
            <w:noWrap/>
            <w:vAlign w:val="center"/>
          </w:tcPr>
          <w:p w14:paraId="58362725">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发包人是否提供材料或工程设备：</w:t>
            </w:r>
            <w:r>
              <w:rPr>
                <w:rFonts w:hint="eastAsia" w:ascii="宋体" w:hAnsi="宋体"/>
                <w:color w:val="auto"/>
                <w:highlight w:val="none"/>
                <w:u w:val="single"/>
              </w:rPr>
              <w:t xml:space="preserve"> 否 </w:t>
            </w:r>
          </w:p>
        </w:tc>
      </w:tr>
      <w:tr w14:paraId="0D96B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21565C5E">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7</w:t>
            </w:r>
          </w:p>
        </w:tc>
        <w:tc>
          <w:tcPr>
            <w:tcW w:w="1229" w:type="dxa"/>
            <w:tcBorders>
              <w:top w:val="single" w:color="auto" w:sz="4" w:space="0"/>
              <w:left w:val="single" w:color="auto" w:sz="4" w:space="0"/>
              <w:bottom w:val="single" w:color="auto" w:sz="4" w:space="0"/>
              <w:right w:val="single" w:color="auto" w:sz="4" w:space="0"/>
            </w:tcBorders>
            <w:noWrap/>
            <w:vAlign w:val="center"/>
          </w:tcPr>
          <w:p w14:paraId="5ED66060">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6.2</w:t>
            </w:r>
          </w:p>
        </w:tc>
        <w:tc>
          <w:tcPr>
            <w:tcW w:w="7707" w:type="dxa"/>
            <w:tcBorders>
              <w:top w:val="single" w:color="auto" w:sz="4" w:space="0"/>
              <w:left w:val="single" w:color="auto" w:sz="4" w:space="0"/>
              <w:bottom w:val="single" w:color="auto" w:sz="4" w:space="0"/>
              <w:right w:val="single" w:color="auto" w:sz="4" w:space="0"/>
            </w:tcBorders>
            <w:noWrap/>
            <w:vAlign w:val="center"/>
          </w:tcPr>
          <w:p w14:paraId="567108A3">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发包人是否提供施工设备和临时设施：</w:t>
            </w:r>
            <w:r>
              <w:rPr>
                <w:rFonts w:hint="eastAsia" w:ascii="宋体" w:hAnsi="宋体"/>
                <w:color w:val="auto"/>
                <w:highlight w:val="none"/>
                <w:u w:val="single"/>
              </w:rPr>
              <w:t xml:space="preserve"> 否 </w:t>
            </w:r>
          </w:p>
        </w:tc>
      </w:tr>
      <w:tr w14:paraId="67AFF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 w:type="dxa"/>
            <w:tcBorders>
              <w:top w:val="single" w:color="auto" w:sz="4" w:space="0"/>
              <w:left w:val="single" w:color="auto" w:sz="4" w:space="0"/>
              <w:bottom w:val="single" w:color="auto" w:sz="4" w:space="0"/>
              <w:right w:val="single" w:color="auto" w:sz="4" w:space="0"/>
            </w:tcBorders>
            <w:noWrap/>
            <w:vAlign w:val="center"/>
          </w:tcPr>
          <w:p w14:paraId="1CFED8E4">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8</w:t>
            </w:r>
          </w:p>
        </w:tc>
        <w:tc>
          <w:tcPr>
            <w:tcW w:w="1229" w:type="dxa"/>
            <w:tcBorders>
              <w:top w:val="single" w:color="auto" w:sz="4" w:space="0"/>
              <w:left w:val="single" w:color="auto" w:sz="4" w:space="0"/>
              <w:bottom w:val="single" w:color="auto" w:sz="4" w:space="0"/>
              <w:right w:val="single" w:color="auto" w:sz="4" w:space="0"/>
            </w:tcBorders>
            <w:noWrap/>
            <w:vAlign w:val="center"/>
          </w:tcPr>
          <w:p w14:paraId="0CCFD3D0">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8.1.1</w:t>
            </w:r>
          </w:p>
        </w:tc>
        <w:tc>
          <w:tcPr>
            <w:tcW w:w="7707" w:type="dxa"/>
            <w:tcBorders>
              <w:top w:val="single" w:color="auto" w:sz="4" w:space="0"/>
              <w:left w:val="single" w:color="auto" w:sz="4" w:space="0"/>
              <w:bottom w:val="single" w:color="auto" w:sz="4" w:space="0"/>
              <w:right w:val="single" w:color="auto" w:sz="4" w:space="0"/>
            </w:tcBorders>
            <w:noWrap/>
            <w:vAlign w:val="center"/>
          </w:tcPr>
          <w:p w14:paraId="00602CF6">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发包人提供测量基准点、基准线和水准点及其书面资料的期限：</w:t>
            </w:r>
            <w:r>
              <w:rPr>
                <w:rFonts w:hint="eastAsia" w:ascii="宋体" w:hAnsi="宋体"/>
                <w:color w:val="auto"/>
                <w:highlight w:val="none"/>
                <w:u w:val="single"/>
              </w:rPr>
              <w:t xml:space="preserve">开工日期7天前 </w:t>
            </w:r>
          </w:p>
          <w:p w14:paraId="0D60FA92">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承包人将施工控制网资料报送监理人审批的期限：</w:t>
            </w:r>
            <w:r>
              <w:rPr>
                <w:rFonts w:hint="eastAsia" w:ascii="宋体" w:hAnsi="宋体"/>
                <w:color w:val="auto"/>
                <w:highlight w:val="none"/>
                <w:u w:val="single"/>
              </w:rPr>
              <w:t xml:space="preserve">承包人在与发包人签订合同协议后的28天内提交给监理人 </w:t>
            </w:r>
          </w:p>
        </w:tc>
      </w:tr>
      <w:tr w14:paraId="1B3A9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AA891D3">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9</w:t>
            </w:r>
          </w:p>
        </w:tc>
        <w:tc>
          <w:tcPr>
            <w:tcW w:w="1229" w:type="dxa"/>
            <w:tcBorders>
              <w:top w:val="single" w:color="auto" w:sz="4" w:space="0"/>
              <w:left w:val="single" w:color="auto" w:sz="4" w:space="0"/>
              <w:bottom w:val="single" w:color="auto" w:sz="4" w:space="0"/>
              <w:right w:val="single" w:color="auto" w:sz="4" w:space="0"/>
            </w:tcBorders>
            <w:noWrap/>
            <w:vAlign w:val="center"/>
          </w:tcPr>
          <w:p w14:paraId="622555D7">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11.5（3）</w:t>
            </w:r>
          </w:p>
        </w:tc>
        <w:tc>
          <w:tcPr>
            <w:tcW w:w="7707" w:type="dxa"/>
            <w:tcBorders>
              <w:top w:val="single" w:color="auto" w:sz="4" w:space="0"/>
              <w:left w:val="single" w:color="auto" w:sz="4" w:space="0"/>
              <w:bottom w:val="single" w:color="auto" w:sz="4" w:space="0"/>
              <w:right w:val="single" w:color="auto" w:sz="4" w:space="0"/>
            </w:tcBorders>
            <w:noWrap/>
            <w:vAlign w:val="center"/>
          </w:tcPr>
          <w:p w14:paraId="07809757">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逾期交工违约金：人民币</w:t>
            </w:r>
            <w:r>
              <w:rPr>
                <w:rFonts w:hint="eastAsia" w:ascii="宋体" w:hAnsi="宋体"/>
                <w:color w:val="auto"/>
                <w:highlight w:val="none"/>
                <w:u w:val="single"/>
              </w:rPr>
              <w:t xml:space="preserve"> 5000</w:t>
            </w:r>
            <w:r>
              <w:rPr>
                <w:rFonts w:hint="eastAsia" w:ascii="宋体" w:hAnsi="宋体"/>
                <w:color w:val="auto"/>
                <w:highlight w:val="none"/>
              </w:rPr>
              <w:t>元/天</w:t>
            </w:r>
          </w:p>
        </w:tc>
      </w:tr>
      <w:tr w14:paraId="3840F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1A615EC">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10</w:t>
            </w:r>
          </w:p>
        </w:tc>
        <w:tc>
          <w:tcPr>
            <w:tcW w:w="1229" w:type="dxa"/>
            <w:tcBorders>
              <w:top w:val="single" w:color="auto" w:sz="4" w:space="0"/>
              <w:left w:val="single" w:color="auto" w:sz="4" w:space="0"/>
              <w:bottom w:val="single" w:color="auto" w:sz="4" w:space="0"/>
              <w:right w:val="single" w:color="auto" w:sz="4" w:space="0"/>
            </w:tcBorders>
            <w:noWrap/>
            <w:vAlign w:val="center"/>
          </w:tcPr>
          <w:p w14:paraId="45762218">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11.5（3）</w:t>
            </w:r>
          </w:p>
        </w:tc>
        <w:tc>
          <w:tcPr>
            <w:tcW w:w="7707" w:type="dxa"/>
            <w:tcBorders>
              <w:top w:val="single" w:color="auto" w:sz="4" w:space="0"/>
              <w:left w:val="single" w:color="auto" w:sz="4" w:space="0"/>
              <w:bottom w:val="single" w:color="auto" w:sz="4" w:space="0"/>
              <w:right w:val="single" w:color="auto" w:sz="4" w:space="0"/>
            </w:tcBorders>
            <w:noWrap/>
            <w:vAlign w:val="center"/>
          </w:tcPr>
          <w:p w14:paraId="61FEAD54">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逾期交工违约金限额：</w:t>
            </w:r>
            <w:r>
              <w:rPr>
                <w:rFonts w:hint="eastAsia" w:ascii="宋体" w:hAnsi="宋体"/>
                <w:color w:val="auto"/>
                <w:highlight w:val="none"/>
                <w:u w:val="single"/>
                <w:lang w:val="en-US" w:eastAsia="zh-CN"/>
              </w:rPr>
              <w:t xml:space="preserve">  2  </w:t>
            </w:r>
            <w:r>
              <w:rPr>
                <w:rFonts w:hint="eastAsia" w:ascii="宋体" w:hAnsi="宋体"/>
                <w:color w:val="auto"/>
                <w:highlight w:val="none"/>
                <w:u w:val="single"/>
              </w:rPr>
              <w:t>%</w:t>
            </w:r>
            <w:r>
              <w:rPr>
                <w:rFonts w:hint="eastAsia" w:ascii="宋体" w:hAnsi="宋体"/>
                <w:color w:val="auto"/>
                <w:highlight w:val="none"/>
              </w:rPr>
              <w:t>签约合同价</w:t>
            </w:r>
          </w:p>
        </w:tc>
      </w:tr>
      <w:tr w14:paraId="0877C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4B34901A">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w:t>
            </w:r>
          </w:p>
        </w:tc>
        <w:tc>
          <w:tcPr>
            <w:tcW w:w="1229" w:type="dxa"/>
            <w:tcBorders>
              <w:top w:val="single" w:color="auto" w:sz="4" w:space="0"/>
              <w:left w:val="single" w:color="auto" w:sz="4" w:space="0"/>
              <w:bottom w:val="single" w:color="auto" w:sz="4" w:space="0"/>
              <w:right w:val="single" w:color="auto" w:sz="4" w:space="0"/>
            </w:tcBorders>
            <w:noWrap/>
            <w:vAlign w:val="center"/>
          </w:tcPr>
          <w:p w14:paraId="2958E34E">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11.6</w:t>
            </w:r>
          </w:p>
        </w:tc>
        <w:tc>
          <w:tcPr>
            <w:tcW w:w="7707" w:type="dxa"/>
            <w:tcBorders>
              <w:top w:val="single" w:color="auto" w:sz="4" w:space="0"/>
              <w:left w:val="single" w:color="auto" w:sz="4" w:space="0"/>
              <w:bottom w:val="single" w:color="auto" w:sz="4" w:space="0"/>
              <w:right w:val="single" w:color="auto" w:sz="4" w:space="0"/>
            </w:tcBorders>
            <w:noWrap/>
            <w:vAlign w:val="center"/>
          </w:tcPr>
          <w:p w14:paraId="100F0EAA">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提前交工的奖金：不适用</w:t>
            </w:r>
          </w:p>
        </w:tc>
      </w:tr>
      <w:tr w14:paraId="7D2A5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37615776">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12</w:t>
            </w:r>
          </w:p>
        </w:tc>
        <w:tc>
          <w:tcPr>
            <w:tcW w:w="1229" w:type="dxa"/>
            <w:tcBorders>
              <w:top w:val="single" w:color="auto" w:sz="4" w:space="0"/>
              <w:left w:val="single" w:color="auto" w:sz="4" w:space="0"/>
              <w:bottom w:val="single" w:color="auto" w:sz="4" w:space="0"/>
              <w:right w:val="single" w:color="auto" w:sz="4" w:space="0"/>
            </w:tcBorders>
            <w:noWrap/>
            <w:vAlign w:val="center"/>
          </w:tcPr>
          <w:p w14:paraId="2DCBB511">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11.6</w:t>
            </w:r>
          </w:p>
        </w:tc>
        <w:tc>
          <w:tcPr>
            <w:tcW w:w="7707" w:type="dxa"/>
            <w:tcBorders>
              <w:top w:val="single" w:color="auto" w:sz="4" w:space="0"/>
              <w:left w:val="single" w:color="auto" w:sz="4" w:space="0"/>
              <w:bottom w:val="single" w:color="auto" w:sz="4" w:space="0"/>
              <w:right w:val="single" w:color="auto" w:sz="4" w:space="0"/>
            </w:tcBorders>
            <w:noWrap/>
            <w:vAlign w:val="center"/>
          </w:tcPr>
          <w:p w14:paraId="2EC2705E">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提前交工的奖金限额：不适用</w:t>
            </w:r>
          </w:p>
        </w:tc>
      </w:tr>
      <w:tr w14:paraId="67CF1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377B4888">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13</w:t>
            </w:r>
          </w:p>
        </w:tc>
        <w:tc>
          <w:tcPr>
            <w:tcW w:w="1229" w:type="dxa"/>
            <w:tcBorders>
              <w:top w:val="single" w:color="auto" w:sz="4" w:space="0"/>
              <w:left w:val="single" w:color="auto" w:sz="4" w:space="0"/>
              <w:bottom w:val="single" w:color="auto" w:sz="4" w:space="0"/>
              <w:right w:val="single" w:color="auto" w:sz="4" w:space="0"/>
            </w:tcBorders>
            <w:noWrap/>
            <w:vAlign w:val="center"/>
          </w:tcPr>
          <w:p w14:paraId="5906CD91">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15.5.2</w:t>
            </w:r>
          </w:p>
        </w:tc>
        <w:tc>
          <w:tcPr>
            <w:tcW w:w="7707" w:type="dxa"/>
            <w:tcBorders>
              <w:top w:val="single" w:color="auto" w:sz="4" w:space="0"/>
              <w:left w:val="single" w:color="auto" w:sz="4" w:space="0"/>
              <w:bottom w:val="single" w:color="auto" w:sz="4" w:space="0"/>
              <w:right w:val="single" w:color="auto" w:sz="4" w:space="0"/>
            </w:tcBorders>
            <w:noWrap/>
            <w:vAlign w:val="center"/>
          </w:tcPr>
          <w:p w14:paraId="4473A041">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承包人提出的合理化建议降低了合同价格或者提高了工程经济效益的，发包人按所节约成本的</w:t>
            </w:r>
            <w:r>
              <w:rPr>
                <w:rFonts w:hint="eastAsia" w:ascii="宋体" w:hAnsi="宋体"/>
                <w:color w:val="auto"/>
                <w:highlight w:val="none"/>
                <w:u w:val="single"/>
              </w:rPr>
              <w:t>0</w:t>
            </w:r>
            <w:r>
              <w:rPr>
                <w:rFonts w:hint="eastAsia" w:ascii="宋体" w:hAnsi="宋体"/>
                <w:color w:val="auto"/>
                <w:highlight w:val="none"/>
              </w:rPr>
              <w:t>%或增加收益的</w:t>
            </w:r>
            <w:r>
              <w:rPr>
                <w:rFonts w:hint="eastAsia" w:ascii="宋体" w:hAnsi="宋体"/>
                <w:color w:val="auto"/>
                <w:highlight w:val="none"/>
                <w:u w:val="single"/>
              </w:rPr>
              <w:t>0</w:t>
            </w:r>
            <w:r>
              <w:rPr>
                <w:rFonts w:hint="eastAsia" w:ascii="宋体" w:hAnsi="宋体"/>
                <w:color w:val="auto"/>
                <w:highlight w:val="none"/>
              </w:rPr>
              <w:t>%给予奖励</w:t>
            </w:r>
          </w:p>
        </w:tc>
      </w:tr>
      <w:tr w14:paraId="46267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C0E3326">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14</w:t>
            </w:r>
          </w:p>
        </w:tc>
        <w:tc>
          <w:tcPr>
            <w:tcW w:w="1229" w:type="dxa"/>
            <w:tcBorders>
              <w:top w:val="single" w:color="auto" w:sz="4" w:space="0"/>
              <w:left w:val="single" w:color="auto" w:sz="4" w:space="0"/>
              <w:bottom w:val="single" w:color="auto" w:sz="4" w:space="0"/>
              <w:right w:val="single" w:color="auto" w:sz="4" w:space="0"/>
            </w:tcBorders>
            <w:noWrap/>
            <w:vAlign w:val="center"/>
          </w:tcPr>
          <w:p w14:paraId="3D995EC2">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16.1</w:t>
            </w:r>
          </w:p>
        </w:tc>
        <w:tc>
          <w:tcPr>
            <w:tcW w:w="7707" w:type="dxa"/>
            <w:tcBorders>
              <w:top w:val="single" w:color="auto" w:sz="4" w:space="0"/>
              <w:left w:val="single" w:color="auto" w:sz="4" w:space="0"/>
              <w:bottom w:val="single" w:color="auto" w:sz="4" w:space="0"/>
              <w:right w:val="single" w:color="auto" w:sz="4" w:space="0"/>
            </w:tcBorders>
            <w:noWrap/>
            <w:vAlign w:val="center"/>
          </w:tcPr>
          <w:p w14:paraId="5BEA7B31">
            <w:pPr>
              <w:autoSpaceDE w:val="0"/>
              <w:adjustRightInd w:val="0"/>
              <w:snapToGrid w:val="0"/>
              <w:spacing w:line="360" w:lineRule="exact"/>
              <w:rPr>
                <w:rFonts w:ascii="宋体" w:hAnsi="宋体"/>
                <w:color w:val="auto"/>
                <w:highlight w:val="none"/>
              </w:rPr>
            </w:pPr>
            <w:r>
              <w:rPr>
                <w:rFonts w:hint="eastAsia" w:ascii="MS Mincho" w:hAnsi="MS Mincho" w:eastAsia="MS Mincho" w:cs="MS Mincho"/>
                <w:color w:val="auto"/>
                <w:highlight w:val="none"/>
              </w:rPr>
              <w:t>☑</w:t>
            </w:r>
            <w:r>
              <w:rPr>
                <w:rFonts w:hint="eastAsia" w:ascii="宋体" w:hAnsi="宋体"/>
                <w:color w:val="auto"/>
                <w:highlight w:val="none"/>
              </w:rPr>
              <w:t>合同期内不调价</w:t>
            </w:r>
          </w:p>
        </w:tc>
      </w:tr>
      <w:tr w14:paraId="28AF0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4902A344">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15</w:t>
            </w:r>
          </w:p>
        </w:tc>
        <w:tc>
          <w:tcPr>
            <w:tcW w:w="1229" w:type="dxa"/>
            <w:tcBorders>
              <w:top w:val="single" w:color="auto" w:sz="4" w:space="0"/>
              <w:left w:val="single" w:color="auto" w:sz="4" w:space="0"/>
              <w:bottom w:val="single" w:color="auto" w:sz="4" w:space="0"/>
              <w:right w:val="single" w:color="auto" w:sz="4" w:space="0"/>
            </w:tcBorders>
            <w:noWrap/>
            <w:vAlign w:val="center"/>
          </w:tcPr>
          <w:p w14:paraId="2928070E">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17.2.1（1）</w:t>
            </w:r>
          </w:p>
        </w:tc>
        <w:tc>
          <w:tcPr>
            <w:tcW w:w="7707" w:type="dxa"/>
            <w:tcBorders>
              <w:top w:val="single" w:color="auto" w:sz="4" w:space="0"/>
              <w:left w:val="single" w:color="auto" w:sz="4" w:space="0"/>
              <w:bottom w:val="single" w:color="auto" w:sz="4" w:space="0"/>
              <w:right w:val="single" w:color="auto" w:sz="4" w:space="0"/>
            </w:tcBorders>
            <w:noWrap/>
            <w:vAlign w:val="center"/>
          </w:tcPr>
          <w:p w14:paraId="02335768">
            <w:pPr>
              <w:autoSpaceDE w:val="0"/>
              <w:adjustRightInd w:val="0"/>
              <w:snapToGrid w:val="0"/>
              <w:spacing w:line="360" w:lineRule="exact"/>
              <w:rPr>
                <w:rFonts w:hint="default" w:ascii="宋体" w:hAnsi="宋体" w:eastAsia="宋体"/>
                <w:color w:val="auto"/>
                <w:highlight w:val="none"/>
                <w:lang w:val="en-US" w:eastAsia="zh-CN"/>
              </w:rPr>
            </w:pPr>
            <w:r>
              <w:rPr>
                <w:rFonts w:hint="eastAsia" w:ascii="宋体" w:hAnsi="宋体"/>
                <w:color w:val="auto"/>
                <w:highlight w:val="none"/>
              </w:rPr>
              <w:t>开工预付款比例：</w:t>
            </w:r>
            <w:r>
              <w:rPr>
                <w:rFonts w:hint="eastAsia" w:ascii="宋体" w:hAnsi="宋体"/>
                <w:color w:val="auto"/>
                <w:highlight w:val="none"/>
                <w:u w:val="single"/>
                <w:lang w:val="en-US" w:eastAsia="zh-CN"/>
              </w:rPr>
              <w:t xml:space="preserve">  0%  </w:t>
            </w:r>
          </w:p>
        </w:tc>
      </w:tr>
      <w:tr w14:paraId="7F383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31975D9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16</w:t>
            </w:r>
          </w:p>
        </w:tc>
        <w:tc>
          <w:tcPr>
            <w:tcW w:w="1229" w:type="dxa"/>
            <w:tcBorders>
              <w:top w:val="single" w:color="auto" w:sz="4" w:space="0"/>
              <w:left w:val="single" w:color="auto" w:sz="4" w:space="0"/>
              <w:bottom w:val="single" w:color="auto" w:sz="4" w:space="0"/>
              <w:right w:val="single" w:color="auto" w:sz="4" w:space="0"/>
            </w:tcBorders>
            <w:noWrap/>
            <w:vAlign w:val="center"/>
          </w:tcPr>
          <w:p w14:paraId="6F1F0A7A">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17.2.1（2）</w:t>
            </w:r>
          </w:p>
        </w:tc>
        <w:tc>
          <w:tcPr>
            <w:tcW w:w="7707" w:type="dxa"/>
            <w:tcBorders>
              <w:top w:val="single" w:color="auto" w:sz="4" w:space="0"/>
              <w:left w:val="single" w:color="auto" w:sz="4" w:space="0"/>
              <w:bottom w:val="single" w:color="auto" w:sz="4" w:space="0"/>
              <w:right w:val="single" w:color="auto" w:sz="4" w:space="0"/>
            </w:tcBorders>
            <w:noWrap/>
            <w:vAlign w:val="center"/>
          </w:tcPr>
          <w:p w14:paraId="61BC42A9">
            <w:pPr>
              <w:autoSpaceDE w:val="0"/>
              <w:adjustRightInd w:val="0"/>
              <w:snapToGrid w:val="0"/>
              <w:spacing w:line="360" w:lineRule="exact"/>
              <w:rPr>
                <w:rFonts w:hint="default" w:ascii="宋体" w:hAnsi="宋体" w:eastAsia="宋体"/>
                <w:color w:val="auto"/>
                <w:highlight w:val="none"/>
                <w:lang w:val="en-US" w:eastAsia="zh-CN"/>
              </w:rPr>
            </w:pPr>
            <w:r>
              <w:rPr>
                <w:rFonts w:hint="eastAsia" w:ascii="宋体" w:hAnsi="宋体"/>
                <w:color w:val="auto"/>
                <w:highlight w:val="none"/>
              </w:rPr>
              <w:t>材料、设备预付款比例：</w:t>
            </w:r>
            <w:r>
              <w:rPr>
                <w:rFonts w:hint="eastAsia" w:ascii="宋体" w:hAnsi="宋体"/>
                <w:color w:val="auto"/>
                <w:highlight w:val="none"/>
                <w:u w:val="single"/>
                <w:lang w:val="en-US" w:eastAsia="zh-CN"/>
              </w:rPr>
              <w:t xml:space="preserve"> 0% </w:t>
            </w:r>
          </w:p>
        </w:tc>
      </w:tr>
      <w:tr w14:paraId="5DE3C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CB54DB8">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w:t>
            </w:r>
          </w:p>
        </w:tc>
        <w:tc>
          <w:tcPr>
            <w:tcW w:w="1229" w:type="dxa"/>
            <w:tcBorders>
              <w:top w:val="single" w:color="auto" w:sz="4" w:space="0"/>
              <w:left w:val="single" w:color="auto" w:sz="4" w:space="0"/>
              <w:bottom w:val="single" w:color="auto" w:sz="4" w:space="0"/>
              <w:right w:val="single" w:color="auto" w:sz="4" w:space="0"/>
            </w:tcBorders>
            <w:noWrap/>
            <w:vAlign w:val="center"/>
          </w:tcPr>
          <w:p w14:paraId="4F5DF22E">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17.3.2</w:t>
            </w:r>
          </w:p>
        </w:tc>
        <w:tc>
          <w:tcPr>
            <w:tcW w:w="7707" w:type="dxa"/>
            <w:tcBorders>
              <w:top w:val="single" w:color="auto" w:sz="4" w:space="0"/>
              <w:left w:val="single" w:color="auto" w:sz="4" w:space="0"/>
              <w:bottom w:val="single" w:color="auto" w:sz="4" w:space="0"/>
              <w:right w:val="single" w:color="auto" w:sz="4" w:space="0"/>
            </w:tcBorders>
            <w:noWrap/>
            <w:vAlign w:val="center"/>
          </w:tcPr>
          <w:p w14:paraId="72A4EFA7">
            <w:pPr>
              <w:pStyle w:val="43"/>
              <w:autoSpaceDN/>
              <w:spacing w:line="360" w:lineRule="exact"/>
              <w:jc w:val="both"/>
              <w:rPr>
                <w:rFonts w:hAnsi="宋体" w:cs="Times New Roman"/>
                <w:color w:val="auto"/>
                <w:sz w:val="21"/>
                <w:szCs w:val="21"/>
                <w:highlight w:val="none"/>
              </w:rPr>
            </w:pPr>
            <w:r>
              <w:rPr>
                <w:rFonts w:hint="eastAsia" w:hAnsi="宋体" w:cs="Times New Roman"/>
                <w:color w:val="auto"/>
                <w:sz w:val="21"/>
                <w:szCs w:val="21"/>
                <w:highlight w:val="none"/>
              </w:rPr>
              <w:t>承包人在每个付款周期末向监理人提交进度付款申请单的份数：</w:t>
            </w:r>
            <w:r>
              <w:rPr>
                <w:rFonts w:hint="eastAsia" w:hAnsi="宋体" w:cs="Times New Roman"/>
                <w:color w:val="auto"/>
                <w:sz w:val="21"/>
                <w:szCs w:val="21"/>
                <w:highlight w:val="none"/>
                <w:u w:val="single"/>
              </w:rPr>
              <w:t xml:space="preserve"> 6 </w:t>
            </w:r>
            <w:r>
              <w:rPr>
                <w:rFonts w:hint="eastAsia" w:hAnsi="宋体" w:cs="Times New Roman"/>
                <w:color w:val="auto"/>
                <w:sz w:val="21"/>
                <w:szCs w:val="21"/>
                <w:highlight w:val="none"/>
              </w:rPr>
              <w:t>份</w:t>
            </w:r>
          </w:p>
        </w:tc>
      </w:tr>
      <w:tr w14:paraId="6E8B7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B01C12E">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18</w:t>
            </w:r>
          </w:p>
        </w:tc>
        <w:tc>
          <w:tcPr>
            <w:tcW w:w="1229" w:type="dxa"/>
            <w:tcBorders>
              <w:top w:val="single" w:color="auto" w:sz="4" w:space="0"/>
              <w:left w:val="single" w:color="auto" w:sz="4" w:space="0"/>
              <w:bottom w:val="single" w:color="auto" w:sz="4" w:space="0"/>
              <w:right w:val="single" w:color="auto" w:sz="4" w:space="0"/>
            </w:tcBorders>
            <w:noWrap/>
            <w:vAlign w:val="center"/>
          </w:tcPr>
          <w:p w14:paraId="78AA5842">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17.3.3（1）</w:t>
            </w:r>
          </w:p>
        </w:tc>
        <w:tc>
          <w:tcPr>
            <w:tcW w:w="7707" w:type="dxa"/>
            <w:tcBorders>
              <w:top w:val="single" w:color="auto" w:sz="4" w:space="0"/>
              <w:left w:val="single" w:color="auto" w:sz="4" w:space="0"/>
              <w:bottom w:val="single" w:color="auto" w:sz="4" w:space="0"/>
              <w:right w:val="single" w:color="auto" w:sz="4" w:space="0"/>
            </w:tcBorders>
            <w:noWrap/>
            <w:vAlign w:val="center"/>
          </w:tcPr>
          <w:p w14:paraId="115714D0">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进度付款申请证书最低限额：人民币</w:t>
            </w:r>
            <w:r>
              <w:rPr>
                <w:rFonts w:hint="eastAsia" w:ascii="宋体" w:hAnsi="宋体"/>
                <w:color w:val="auto"/>
                <w:highlight w:val="none"/>
                <w:lang w:val="en-US" w:eastAsia="zh-CN"/>
              </w:rPr>
              <w:t xml:space="preserve"> </w:t>
            </w:r>
            <w:r>
              <w:rPr>
                <w:rFonts w:hint="eastAsia" w:ascii="宋体" w:hAnsi="宋体"/>
                <w:color w:val="auto"/>
                <w:highlight w:val="none"/>
                <w:u w:val="single"/>
                <w:lang w:val="en-US" w:eastAsia="zh-CN"/>
              </w:rPr>
              <w:t xml:space="preserve">  500 </w:t>
            </w:r>
            <w:r>
              <w:rPr>
                <w:rFonts w:hint="eastAsia" w:ascii="宋体" w:hAnsi="宋体"/>
                <w:color w:val="auto"/>
                <w:highlight w:val="none"/>
              </w:rPr>
              <w:t>万元</w:t>
            </w:r>
          </w:p>
        </w:tc>
      </w:tr>
      <w:tr w14:paraId="466D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3F926B2">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19</w:t>
            </w:r>
          </w:p>
        </w:tc>
        <w:tc>
          <w:tcPr>
            <w:tcW w:w="1229" w:type="dxa"/>
            <w:tcBorders>
              <w:top w:val="single" w:color="auto" w:sz="4" w:space="0"/>
              <w:left w:val="single" w:color="auto" w:sz="4" w:space="0"/>
              <w:bottom w:val="single" w:color="auto" w:sz="4" w:space="0"/>
              <w:right w:val="single" w:color="auto" w:sz="4" w:space="0"/>
            </w:tcBorders>
            <w:noWrap/>
            <w:vAlign w:val="center"/>
          </w:tcPr>
          <w:p w14:paraId="236A671A">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17.3.3（2）</w:t>
            </w:r>
          </w:p>
        </w:tc>
        <w:tc>
          <w:tcPr>
            <w:tcW w:w="7707" w:type="dxa"/>
            <w:tcBorders>
              <w:top w:val="single" w:color="auto" w:sz="4" w:space="0"/>
              <w:left w:val="single" w:color="auto" w:sz="4" w:space="0"/>
              <w:bottom w:val="single" w:color="auto" w:sz="4" w:space="0"/>
              <w:right w:val="single" w:color="auto" w:sz="4" w:space="0"/>
            </w:tcBorders>
            <w:noWrap/>
            <w:vAlign w:val="center"/>
          </w:tcPr>
          <w:p w14:paraId="65A7B5C8">
            <w:pPr>
              <w:autoSpaceDE w:val="0"/>
              <w:adjustRightInd w:val="0"/>
              <w:snapToGrid w:val="0"/>
              <w:spacing w:line="360" w:lineRule="exact"/>
              <w:rPr>
                <w:rFonts w:hint="default" w:ascii="宋体" w:hAnsi="宋体" w:eastAsia="宋体"/>
                <w:color w:val="auto"/>
                <w:highlight w:val="none"/>
                <w:lang w:val="en-US" w:eastAsia="zh-CN"/>
              </w:rPr>
            </w:pPr>
            <w:r>
              <w:rPr>
                <w:rFonts w:hint="eastAsia" w:ascii="宋体" w:hAnsi="宋体"/>
                <w:color w:val="auto"/>
                <w:highlight w:val="none"/>
              </w:rPr>
              <w:t>逾期付款违约金的利率：</w:t>
            </w:r>
            <w:r>
              <w:rPr>
                <w:rFonts w:hint="eastAsia" w:ascii="宋体" w:hAnsi="宋体"/>
                <w:color w:val="auto"/>
                <w:highlight w:val="none"/>
                <w:u w:val="single"/>
                <w:lang w:val="en-US" w:eastAsia="zh-CN"/>
              </w:rPr>
              <w:t xml:space="preserve">   0%   </w:t>
            </w:r>
          </w:p>
        </w:tc>
      </w:tr>
      <w:tr w14:paraId="7F384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BF15F4C">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20</w:t>
            </w:r>
          </w:p>
        </w:tc>
        <w:tc>
          <w:tcPr>
            <w:tcW w:w="1229" w:type="dxa"/>
            <w:tcBorders>
              <w:top w:val="single" w:color="auto" w:sz="4" w:space="0"/>
              <w:left w:val="single" w:color="auto" w:sz="4" w:space="0"/>
              <w:bottom w:val="single" w:color="auto" w:sz="4" w:space="0"/>
              <w:right w:val="single" w:color="auto" w:sz="4" w:space="0"/>
            </w:tcBorders>
            <w:noWrap/>
            <w:vAlign w:val="center"/>
          </w:tcPr>
          <w:p w14:paraId="53BC27CD">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17.4.1</w:t>
            </w:r>
          </w:p>
        </w:tc>
        <w:tc>
          <w:tcPr>
            <w:tcW w:w="7707" w:type="dxa"/>
            <w:tcBorders>
              <w:top w:val="single" w:color="auto" w:sz="4" w:space="0"/>
              <w:left w:val="single" w:color="auto" w:sz="4" w:space="0"/>
              <w:bottom w:val="single" w:color="auto" w:sz="4" w:space="0"/>
              <w:right w:val="single" w:color="auto" w:sz="4" w:space="0"/>
            </w:tcBorders>
            <w:noWrap/>
            <w:vAlign w:val="center"/>
          </w:tcPr>
          <w:p w14:paraId="3A0C9480">
            <w:pPr>
              <w:autoSpaceDE w:val="0"/>
              <w:adjustRightInd w:val="0"/>
              <w:snapToGrid w:val="0"/>
              <w:spacing w:line="360" w:lineRule="exact"/>
              <w:rPr>
                <w:rFonts w:hint="default" w:ascii="宋体" w:hAnsi="宋体" w:eastAsia="宋体"/>
                <w:color w:val="auto"/>
                <w:highlight w:val="none"/>
                <w:lang w:val="en-US" w:eastAsia="zh-CN"/>
              </w:rPr>
            </w:pPr>
            <w:r>
              <w:rPr>
                <w:rFonts w:hint="eastAsia" w:ascii="宋体" w:hAnsi="宋体"/>
                <w:color w:val="auto"/>
                <w:highlight w:val="none"/>
              </w:rPr>
              <w:t>质量保证金金额：</w:t>
            </w:r>
            <w:r>
              <w:rPr>
                <w:rFonts w:hint="eastAsia" w:ascii="宋体" w:hAnsi="宋体"/>
                <w:color w:val="auto"/>
                <w:highlight w:val="none"/>
                <w:u w:val="single"/>
              </w:rPr>
              <w:t xml:space="preserve"> 3  </w:t>
            </w:r>
            <w:r>
              <w:rPr>
                <w:rFonts w:hint="eastAsia" w:ascii="宋体" w:hAnsi="宋体"/>
                <w:color w:val="auto"/>
                <w:highlight w:val="none"/>
              </w:rPr>
              <w:t>%</w:t>
            </w:r>
            <w:r>
              <w:rPr>
                <w:rFonts w:hint="eastAsia" w:ascii="宋体" w:hAnsi="宋体"/>
                <w:color w:val="auto"/>
                <w:highlight w:val="none"/>
                <w:lang w:val="en-US" w:eastAsia="zh-CN"/>
              </w:rPr>
              <w:t>审计结算</w:t>
            </w:r>
            <w:r>
              <w:rPr>
                <w:rFonts w:hint="eastAsia" w:ascii="宋体" w:hAnsi="宋体"/>
                <w:color w:val="auto"/>
                <w:highlight w:val="none"/>
              </w:rPr>
              <w:t>价格</w:t>
            </w:r>
          </w:p>
          <w:p w14:paraId="24C28D5E">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质量保证金是否计付利息：否</w:t>
            </w:r>
          </w:p>
        </w:tc>
      </w:tr>
      <w:tr w14:paraId="5E7AC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472BEA80">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21</w:t>
            </w:r>
          </w:p>
        </w:tc>
        <w:tc>
          <w:tcPr>
            <w:tcW w:w="1229" w:type="dxa"/>
            <w:tcBorders>
              <w:top w:val="single" w:color="auto" w:sz="4" w:space="0"/>
              <w:left w:val="single" w:color="auto" w:sz="4" w:space="0"/>
              <w:bottom w:val="single" w:color="auto" w:sz="4" w:space="0"/>
              <w:right w:val="single" w:color="auto" w:sz="4" w:space="0"/>
            </w:tcBorders>
            <w:noWrap/>
            <w:vAlign w:val="center"/>
          </w:tcPr>
          <w:p w14:paraId="09600F83">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17.5.1（1）</w:t>
            </w:r>
          </w:p>
        </w:tc>
        <w:tc>
          <w:tcPr>
            <w:tcW w:w="7707" w:type="dxa"/>
            <w:tcBorders>
              <w:top w:val="single" w:color="auto" w:sz="4" w:space="0"/>
              <w:left w:val="single" w:color="auto" w:sz="4" w:space="0"/>
              <w:bottom w:val="single" w:color="auto" w:sz="4" w:space="0"/>
              <w:right w:val="single" w:color="auto" w:sz="4" w:space="0"/>
            </w:tcBorders>
            <w:noWrap/>
            <w:vAlign w:val="center"/>
          </w:tcPr>
          <w:p w14:paraId="783C0F95">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承包人向监理人提交交工付款申请单（包括相关证明材料）的份数：</w:t>
            </w:r>
            <w:r>
              <w:rPr>
                <w:rFonts w:hint="eastAsia" w:ascii="宋体" w:hAnsi="宋体"/>
                <w:color w:val="auto"/>
                <w:highlight w:val="none"/>
                <w:u w:val="single"/>
              </w:rPr>
              <w:t xml:space="preserve"> 6</w:t>
            </w:r>
            <w:r>
              <w:rPr>
                <w:rFonts w:hint="eastAsia" w:ascii="宋体" w:hAnsi="宋体"/>
                <w:color w:val="auto"/>
                <w:highlight w:val="none"/>
              </w:rPr>
              <w:t>份</w:t>
            </w:r>
          </w:p>
        </w:tc>
      </w:tr>
      <w:tr w14:paraId="21C6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41D436F2">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22</w:t>
            </w:r>
          </w:p>
        </w:tc>
        <w:tc>
          <w:tcPr>
            <w:tcW w:w="1229" w:type="dxa"/>
            <w:tcBorders>
              <w:top w:val="single" w:color="auto" w:sz="4" w:space="0"/>
              <w:left w:val="single" w:color="auto" w:sz="4" w:space="0"/>
              <w:bottom w:val="single" w:color="auto" w:sz="4" w:space="0"/>
              <w:right w:val="single" w:color="auto" w:sz="4" w:space="0"/>
            </w:tcBorders>
            <w:noWrap/>
            <w:vAlign w:val="center"/>
          </w:tcPr>
          <w:p w14:paraId="2AE6C5DD">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17.6.1（1）</w:t>
            </w:r>
          </w:p>
        </w:tc>
        <w:tc>
          <w:tcPr>
            <w:tcW w:w="7707" w:type="dxa"/>
            <w:tcBorders>
              <w:top w:val="single" w:color="auto" w:sz="4" w:space="0"/>
              <w:left w:val="single" w:color="auto" w:sz="4" w:space="0"/>
              <w:bottom w:val="single" w:color="auto" w:sz="4" w:space="0"/>
              <w:right w:val="single" w:color="auto" w:sz="4" w:space="0"/>
            </w:tcBorders>
            <w:noWrap/>
            <w:vAlign w:val="center"/>
          </w:tcPr>
          <w:p w14:paraId="50E845D5">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承包人向监理人提交最终结清申请单（包括相关证明材料）的份数：</w:t>
            </w:r>
            <w:r>
              <w:rPr>
                <w:rFonts w:hint="eastAsia" w:ascii="宋体" w:hAnsi="宋体"/>
                <w:color w:val="auto"/>
                <w:highlight w:val="none"/>
                <w:u w:val="single"/>
              </w:rPr>
              <w:t xml:space="preserve"> 6 </w:t>
            </w:r>
            <w:r>
              <w:rPr>
                <w:rFonts w:hint="eastAsia" w:ascii="宋体" w:hAnsi="宋体"/>
                <w:color w:val="auto"/>
                <w:highlight w:val="none"/>
              </w:rPr>
              <w:t>份</w:t>
            </w:r>
          </w:p>
        </w:tc>
      </w:tr>
      <w:tr w14:paraId="35A68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EC350A4">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23</w:t>
            </w:r>
          </w:p>
        </w:tc>
        <w:tc>
          <w:tcPr>
            <w:tcW w:w="1229" w:type="dxa"/>
            <w:tcBorders>
              <w:top w:val="single" w:color="auto" w:sz="4" w:space="0"/>
              <w:left w:val="single" w:color="auto" w:sz="4" w:space="0"/>
              <w:bottom w:val="single" w:color="auto" w:sz="4" w:space="0"/>
              <w:right w:val="single" w:color="auto" w:sz="4" w:space="0"/>
            </w:tcBorders>
            <w:noWrap/>
            <w:vAlign w:val="center"/>
          </w:tcPr>
          <w:p w14:paraId="7878BF25">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18.2（2）</w:t>
            </w:r>
          </w:p>
        </w:tc>
        <w:tc>
          <w:tcPr>
            <w:tcW w:w="7707" w:type="dxa"/>
            <w:tcBorders>
              <w:top w:val="single" w:color="auto" w:sz="4" w:space="0"/>
              <w:left w:val="single" w:color="auto" w:sz="4" w:space="0"/>
              <w:bottom w:val="single" w:color="auto" w:sz="4" w:space="0"/>
              <w:right w:val="single" w:color="auto" w:sz="4" w:space="0"/>
            </w:tcBorders>
            <w:noWrap/>
            <w:vAlign w:val="center"/>
          </w:tcPr>
          <w:p w14:paraId="2E4E91F3">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竣工资料的份数：</w:t>
            </w:r>
            <w:r>
              <w:rPr>
                <w:rFonts w:hint="eastAsia" w:ascii="宋体" w:hAnsi="宋体"/>
                <w:color w:val="auto"/>
                <w:highlight w:val="none"/>
                <w:u w:val="single"/>
                <w:lang w:val="en-US" w:eastAsia="zh-CN"/>
              </w:rPr>
              <w:t xml:space="preserve"> 3 </w:t>
            </w:r>
            <w:r>
              <w:rPr>
                <w:rFonts w:hint="eastAsia" w:ascii="宋体" w:hAnsi="宋体"/>
                <w:color w:val="auto"/>
                <w:highlight w:val="none"/>
              </w:rPr>
              <w:t>份</w:t>
            </w:r>
          </w:p>
        </w:tc>
      </w:tr>
      <w:tr w14:paraId="2F13F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2B1691D3">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24</w:t>
            </w:r>
          </w:p>
        </w:tc>
        <w:tc>
          <w:tcPr>
            <w:tcW w:w="1229" w:type="dxa"/>
            <w:tcBorders>
              <w:top w:val="single" w:color="auto" w:sz="4" w:space="0"/>
              <w:left w:val="single" w:color="auto" w:sz="4" w:space="0"/>
              <w:bottom w:val="single" w:color="auto" w:sz="4" w:space="0"/>
              <w:right w:val="single" w:color="auto" w:sz="4" w:space="0"/>
            </w:tcBorders>
            <w:noWrap/>
            <w:vAlign w:val="center"/>
          </w:tcPr>
          <w:p w14:paraId="44F3F1FA">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18.5.1</w:t>
            </w:r>
          </w:p>
        </w:tc>
        <w:tc>
          <w:tcPr>
            <w:tcW w:w="7707" w:type="dxa"/>
            <w:tcBorders>
              <w:top w:val="single" w:color="auto" w:sz="4" w:space="0"/>
              <w:left w:val="single" w:color="auto" w:sz="4" w:space="0"/>
              <w:bottom w:val="single" w:color="auto" w:sz="4" w:space="0"/>
              <w:right w:val="single" w:color="auto" w:sz="4" w:space="0"/>
            </w:tcBorders>
            <w:noWrap/>
            <w:vAlign w:val="center"/>
          </w:tcPr>
          <w:p w14:paraId="240E1356">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单位工程或工程设备是否需投入施工期运行：</w:t>
            </w:r>
            <w:r>
              <w:rPr>
                <w:rFonts w:hint="eastAsia" w:ascii="宋体" w:hAnsi="宋体"/>
                <w:color w:val="auto"/>
                <w:highlight w:val="none"/>
                <w:u w:val="single"/>
              </w:rPr>
              <w:t>否</w:t>
            </w:r>
          </w:p>
        </w:tc>
      </w:tr>
      <w:tr w14:paraId="79255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BC22043">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25</w:t>
            </w:r>
          </w:p>
        </w:tc>
        <w:tc>
          <w:tcPr>
            <w:tcW w:w="1229" w:type="dxa"/>
            <w:tcBorders>
              <w:top w:val="single" w:color="auto" w:sz="4" w:space="0"/>
              <w:left w:val="single" w:color="auto" w:sz="4" w:space="0"/>
              <w:bottom w:val="single" w:color="auto" w:sz="4" w:space="0"/>
              <w:right w:val="single" w:color="auto" w:sz="4" w:space="0"/>
            </w:tcBorders>
            <w:noWrap/>
            <w:vAlign w:val="center"/>
          </w:tcPr>
          <w:p w14:paraId="7B399190">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18.6.1</w:t>
            </w:r>
          </w:p>
        </w:tc>
        <w:tc>
          <w:tcPr>
            <w:tcW w:w="7707" w:type="dxa"/>
            <w:tcBorders>
              <w:top w:val="single" w:color="auto" w:sz="4" w:space="0"/>
              <w:left w:val="single" w:color="auto" w:sz="4" w:space="0"/>
              <w:bottom w:val="single" w:color="auto" w:sz="4" w:space="0"/>
              <w:right w:val="single" w:color="auto" w:sz="4" w:space="0"/>
            </w:tcBorders>
            <w:noWrap/>
            <w:vAlign w:val="center"/>
          </w:tcPr>
          <w:p w14:paraId="7754E5F5">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本工程及工程设备是否进行试运行：</w:t>
            </w:r>
            <w:r>
              <w:rPr>
                <w:rFonts w:hint="eastAsia" w:ascii="宋体" w:hAnsi="宋体"/>
                <w:color w:val="auto"/>
                <w:highlight w:val="none"/>
                <w:u w:val="single"/>
              </w:rPr>
              <w:t>否</w:t>
            </w:r>
          </w:p>
        </w:tc>
      </w:tr>
      <w:tr w14:paraId="70D36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0A3AF24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26</w:t>
            </w:r>
          </w:p>
        </w:tc>
        <w:tc>
          <w:tcPr>
            <w:tcW w:w="1229" w:type="dxa"/>
            <w:tcBorders>
              <w:top w:val="single" w:color="auto" w:sz="4" w:space="0"/>
              <w:left w:val="single" w:color="auto" w:sz="4" w:space="0"/>
              <w:bottom w:val="single" w:color="auto" w:sz="4" w:space="0"/>
              <w:right w:val="single" w:color="auto" w:sz="4" w:space="0"/>
            </w:tcBorders>
            <w:noWrap/>
            <w:vAlign w:val="center"/>
          </w:tcPr>
          <w:p w14:paraId="6B9A0EDA">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19.7（1）</w:t>
            </w:r>
          </w:p>
        </w:tc>
        <w:tc>
          <w:tcPr>
            <w:tcW w:w="7707" w:type="dxa"/>
            <w:tcBorders>
              <w:top w:val="single" w:color="auto" w:sz="4" w:space="0"/>
              <w:left w:val="single" w:color="auto" w:sz="4" w:space="0"/>
              <w:bottom w:val="single" w:color="auto" w:sz="4" w:space="0"/>
              <w:right w:val="single" w:color="auto" w:sz="4" w:space="0"/>
            </w:tcBorders>
            <w:noWrap/>
            <w:vAlign w:val="center"/>
          </w:tcPr>
          <w:p w14:paraId="441E312D">
            <w:pPr>
              <w:autoSpaceDE w:val="0"/>
              <w:adjustRightInd w:val="0"/>
              <w:snapToGrid w:val="0"/>
              <w:spacing w:line="360" w:lineRule="exact"/>
              <w:rPr>
                <w:rFonts w:hint="default" w:ascii="宋体" w:hAnsi="宋体" w:eastAsia="宋体"/>
                <w:color w:val="auto"/>
                <w:highlight w:val="none"/>
                <w:lang w:val="en-US" w:eastAsia="zh-CN"/>
              </w:rPr>
            </w:pPr>
            <w:r>
              <w:rPr>
                <w:rFonts w:hint="eastAsia" w:ascii="宋体" w:hAnsi="宋体"/>
                <w:color w:val="auto"/>
                <w:highlight w:val="none"/>
              </w:rPr>
              <w:t>保修期：</w:t>
            </w:r>
            <w:r>
              <w:rPr>
                <w:rFonts w:hint="eastAsia" w:ascii="宋体" w:hAnsi="宋体"/>
                <w:color w:val="auto"/>
                <w:highlight w:val="none"/>
                <w:u w:val="single"/>
                <w:lang w:val="en-US" w:eastAsia="zh-CN"/>
              </w:rPr>
              <w:t xml:space="preserve">  5 </w:t>
            </w:r>
            <w:r>
              <w:rPr>
                <w:rFonts w:hint="eastAsia" w:ascii="宋体" w:hAnsi="宋体"/>
                <w:color w:val="auto"/>
                <w:highlight w:val="none"/>
                <w:u w:val="none"/>
                <w:lang w:val="en-US" w:eastAsia="zh-CN"/>
              </w:rPr>
              <w:t xml:space="preserve">年    </w:t>
            </w:r>
          </w:p>
        </w:tc>
      </w:tr>
      <w:tr w14:paraId="4DB3F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186B635">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27</w:t>
            </w:r>
          </w:p>
        </w:tc>
        <w:tc>
          <w:tcPr>
            <w:tcW w:w="1229" w:type="dxa"/>
            <w:tcBorders>
              <w:top w:val="single" w:color="auto" w:sz="4" w:space="0"/>
              <w:left w:val="single" w:color="auto" w:sz="4" w:space="0"/>
              <w:bottom w:val="single" w:color="auto" w:sz="4" w:space="0"/>
              <w:right w:val="single" w:color="auto" w:sz="4" w:space="0"/>
            </w:tcBorders>
            <w:noWrap/>
            <w:vAlign w:val="center"/>
          </w:tcPr>
          <w:p w14:paraId="49CED723">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20.1</w:t>
            </w:r>
          </w:p>
        </w:tc>
        <w:tc>
          <w:tcPr>
            <w:tcW w:w="7707" w:type="dxa"/>
            <w:tcBorders>
              <w:top w:val="single" w:color="auto" w:sz="4" w:space="0"/>
              <w:left w:val="single" w:color="auto" w:sz="4" w:space="0"/>
              <w:bottom w:val="single" w:color="auto" w:sz="4" w:space="0"/>
              <w:right w:val="single" w:color="auto" w:sz="4" w:space="0"/>
            </w:tcBorders>
            <w:noWrap/>
            <w:vAlign w:val="center"/>
          </w:tcPr>
          <w:p w14:paraId="6EE1CB6A">
            <w:pPr>
              <w:autoSpaceDE w:val="0"/>
              <w:adjustRightInd w:val="0"/>
              <w:snapToGrid w:val="0"/>
              <w:spacing w:line="360" w:lineRule="exact"/>
              <w:rPr>
                <w:rFonts w:ascii="宋体" w:hAnsi="宋体"/>
                <w:color w:val="auto"/>
                <w:highlight w:val="none"/>
              </w:rPr>
            </w:pPr>
            <w:r>
              <w:rPr>
                <w:rFonts w:hint="eastAsia" w:ascii="宋体" w:hAnsi="宋体"/>
                <w:color w:val="auto"/>
                <w:highlight w:val="none"/>
                <w:lang w:eastAsia="zh-CN"/>
              </w:rPr>
              <w:t>建筑</w:t>
            </w:r>
            <w:r>
              <w:rPr>
                <w:rFonts w:hint="eastAsia" w:ascii="宋体" w:hAnsi="宋体"/>
                <w:color w:val="auto"/>
                <w:highlight w:val="none"/>
              </w:rPr>
              <w:t>工程一切险的保险费率：</w:t>
            </w:r>
            <w:r>
              <w:rPr>
                <w:rFonts w:hint="eastAsia" w:ascii="宋体" w:hAnsi="宋体"/>
                <w:color w:val="auto"/>
                <w:highlight w:val="none"/>
                <w:u w:val="single"/>
                <w:lang w:val="en-US" w:eastAsia="zh-CN"/>
              </w:rPr>
              <w:t xml:space="preserve"> / </w:t>
            </w:r>
            <w:r>
              <w:rPr>
                <w:rFonts w:hint="eastAsia" w:ascii="宋体" w:hAnsi="宋体"/>
                <w:color w:val="auto"/>
                <w:highlight w:val="none"/>
                <w:u w:val="single"/>
              </w:rPr>
              <w:t xml:space="preserve"> </w:t>
            </w:r>
            <w:r>
              <w:rPr>
                <w:rFonts w:hint="eastAsia" w:ascii="宋体" w:hAnsi="宋体"/>
                <w:color w:val="auto"/>
                <w:highlight w:val="none"/>
              </w:rPr>
              <w:t>‰</w:t>
            </w:r>
          </w:p>
        </w:tc>
      </w:tr>
      <w:tr w14:paraId="1C854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4C92C3D">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28</w:t>
            </w:r>
          </w:p>
        </w:tc>
        <w:tc>
          <w:tcPr>
            <w:tcW w:w="1229" w:type="dxa"/>
            <w:tcBorders>
              <w:top w:val="single" w:color="auto" w:sz="4" w:space="0"/>
              <w:left w:val="single" w:color="auto" w:sz="4" w:space="0"/>
              <w:bottom w:val="single" w:color="auto" w:sz="4" w:space="0"/>
              <w:right w:val="single" w:color="auto" w:sz="4" w:space="0"/>
            </w:tcBorders>
            <w:noWrap/>
            <w:vAlign w:val="center"/>
          </w:tcPr>
          <w:p w14:paraId="417AAE55">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20.4.2</w:t>
            </w:r>
          </w:p>
        </w:tc>
        <w:tc>
          <w:tcPr>
            <w:tcW w:w="7707" w:type="dxa"/>
            <w:tcBorders>
              <w:top w:val="single" w:color="auto" w:sz="4" w:space="0"/>
              <w:left w:val="single" w:color="auto" w:sz="4" w:space="0"/>
              <w:bottom w:val="single" w:color="auto" w:sz="4" w:space="0"/>
              <w:right w:val="single" w:color="auto" w:sz="4" w:space="0"/>
            </w:tcBorders>
            <w:noWrap/>
            <w:vAlign w:val="center"/>
          </w:tcPr>
          <w:p w14:paraId="07D801E7">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第三者责任的最低投保金额：</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100   </w:t>
            </w:r>
            <w:r>
              <w:rPr>
                <w:rFonts w:hint="eastAsia" w:ascii="宋体" w:hAnsi="宋体"/>
                <w:color w:val="auto"/>
                <w:highlight w:val="none"/>
              </w:rPr>
              <w:t>万元人民币，事故次数不限（不计免赔额）保险费率：</w:t>
            </w:r>
            <w:r>
              <w:rPr>
                <w:rFonts w:hint="eastAsia" w:ascii="宋体" w:hAnsi="宋体"/>
                <w:color w:val="auto"/>
                <w:highlight w:val="none"/>
                <w:u w:val="single"/>
                <w:lang w:val="en-US" w:eastAsia="zh-CN"/>
              </w:rPr>
              <w:t xml:space="preserve"> /  </w:t>
            </w:r>
            <w:r>
              <w:rPr>
                <w:rFonts w:hint="eastAsia" w:ascii="宋体" w:hAnsi="宋体"/>
                <w:color w:val="auto"/>
                <w:highlight w:val="none"/>
              </w:rPr>
              <w:t>‰</w:t>
            </w:r>
          </w:p>
        </w:tc>
      </w:tr>
      <w:tr w14:paraId="4B193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2416074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29</w:t>
            </w:r>
          </w:p>
        </w:tc>
        <w:tc>
          <w:tcPr>
            <w:tcW w:w="1229" w:type="dxa"/>
            <w:tcBorders>
              <w:top w:val="single" w:color="auto" w:sz="4" w:space="0"/>
              <w:left w:val="single" w:color="auto" w:sz="4" w:space="0"/>
              <w:bottom w:val="single" w:color="auto" w:sz="4" w:space="0"/>
              <w:right w:val="single" w:color="auto" w:sz="4" w:space="0"/>
            </w:tcBorders>
            <w:noWrap/>
            <w:vAlign w:val="center"/>
          </w:tcPr>
          <w:p w14:paraId="05EC8D44">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24.1</w:t>
            </w:r>
          </w:p>
        </w:tc>
        <w:tc>
          <w:tcPr>
            <w:tcW w:w="7707" w:type="dxa"/>
            <w:tcBorders>
              <w:top w:val="single" w:color="auto" w:sz="4" w:space="0"/>
              <w:left w:val="single" w:color="auto" w:sz="4" w:space="0"/>
              <w:bottom w:val="single" w:color="auto" w:sz="4" w:space="0"/>
              <w:right w:val="single" w:color="auto" w:sz="4" w:space="0"/>
            </w:tcBorders>
            <w:noWrap/>
            <w:vAlign w:val="center"/>
          </w:tcPr>
          <w:p w14:paraId="61350802">
            <w:pPr>
              <w:autoSpaceDE w:val="0"/>
              <w:adjustRightInd w:val="0"/>
              <w:snapToGrid w:val="0"/>
              <w:spacing w:line="360" w:lineRule="exact"/>
              <w:rPr>
                <w:rFonts w:hint="eastAsia" w:ascii="宋体" w:hAnsi="宋体" w:eastAsia="宋体"/>
                <w:color w:val="auto"/>
                <w:highlight w:val="none"/>
                <w:u w:val="single"/>
                <w:lang w:eastAsia="zh-CN"/>
              </w:rPr>
            </w:pPr>
            <w:r>
              <w:rPr>
                <w:rFonts w:hint="eastAsia" w:ascii="宋体" w:hAnsi="宋体"/>
                <w:color w:val="auto"/>
                <w:highlight w:val="none"/>
              </w:rPr>
              <w:t>争议的最终解决方式：</w:t>
            </w:r>
            <w:r>
              <w:rPr>
                <w:rFonts w:hint="eastAsia" w:ascii="宋体" w:hAnsi="宋体"/>
                <w:color w:val="auto"/>
                <w:highlight w:val="none"/>
                <w:u w:val="single"/>
              </w:rPr>
              <w:t>诉讼</w:t>
            </w:r>
          </w:p>
        </w:tc>
      </w:tr>
    </w:tbl>
    <w:p w14:paraId="137D7011">
      <w:pPr>
        <w:adjustRightInd w:val="0"/>
        <w:snapToGrid w:val="0"/>
        <w:spacing w:beforeLines="50" w:afterLines="50" w:line="360" w:lineRule="auto"/>
        <w:rPr>
          <w:rFonts w:ascii="宋体" w:hAnsi="宋体"/>
          <w:color w:val="auto"/>
          <w:sz w:val="28"/>
          <w:szCs w:val="28"/>
          <w:highlight w:val="none"/>
        </w:rPr>
      </w:pPr>
      <w:r>
        <w:rPr>
          <w:rFonts w:hint="eastAsia" w:ascii="宋体" w:hAnsi="宋体"/>
          <w:color w:val="auto"/>
          <w:sz w:val="28"/>
          <w:szCs w:val="28"/>
          <w:highlight w:val="none"/>
        </w:rPr>
        <w:t xml:space="preserve"> </w:t>
      </w:r>
    </w:p>
    <w:p w14:paraId="396EBC75">
      <w:pPr>
        <w:autoSpaceDE w:val="0"/>
        <w:adjustRightInd w:val="0"/>
        <w:snapToGrid w:val="0"/>
        <w:spacing w:beforeLines="50" w:afterLines="50" w:line="348" w:lineRule="auto"/>
        <w:jc w:val="center"/>
        <w:rPr>
          <w:rFonts w:ascii="宋体" w:hAnsi="宋体"/>
          <w:color w:val="auto"/>
          <w:sz w:val="32"/>
          <w:szCs w:val="32"/>
          <w:highlight w:val="none"/>
        </w:rPr>
      </w:pPr>
      <w:r>
        <w:rPr>
          <w:rFonts w:hint="eastAsia" w:ascii="宋体" w:hAnsi="宋体"/>
          <w:color w:val="auto"/>
          <w:sz w:val="28"/>
          <w:szCs w:val="28"/>
          <w:highlight w:val="none"/>
        </w:rPr>
        <w:br w:type="page"/>
      </w:r>
      <w:r>
        <w:rPr>
          <w:rFonts w:hint="eastAsia" w:ascii="宋体" w:hAnsi="宋体"/>
          <w:b/>
          <w:bCs/>
          <w:color w:val="auto"/>
          <w:sz w:val="28"/>
          <w:szCs w:val="28"/>
          <w:highlight w:val="none"/>
        </w:rPr>
        <w:t>项目专用合同条款</w:t>
      </w:r>
    </w:p>
    <w:p w14:paraId="15529AE6">
      <w:pPr>
        <w:keepNext w:val="0"/>
        <w:keepLines w:val="0"/>
        <w:pageBreakBefore w:val="0"/>
        <w:widowControl w:val="0"/>
        <w:kinsoku/>
        <w:wordWrap/>
        <w:overflowPunct/>
        <w:topLinePunct w:val="0"/>
        <w:autoSpaceDE w:val="0"/>
        <w:autoSpaceDN/>
        <w:bidi w:val="0"/>
        <w:adjustRightInd w:val="0"/>
        <w:snapToGrid w:val="0"/>
        <w:spacing w:after="0" w:afterLines="100" w:line="40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说明：本部分所列的项目专用合同条款是对“公路工程专用合同条款”中规定必须在项目专用合同条款中明确的内容的集中，招标人编制的“项目专用合同条款”不限于本部分所列内容。</w:t>
      </w:r>
      <w:r>
        <w:rPr>
          <w:rFonts w:hint="eastAsia" w:ascii="宋体" w:hAnsi="宋体"/>
          <w:color w:val="auto"/>
          <w:sz w:val="24"/>
          <w:szCs w:val="24"/>
          <w:highlight w:val="none"/>
          <w:lang w:val="en-US" w:eastAsia="zh-CN"/>
        </w:rPr>
        <w:t xml:space="preserve">  </w:t>
      </w:r>
    </w:p>
    <w:p w14:paraId="7AE8047C">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4.1 承包人的一般义务</w:t>
      </w:r>
    </w:p>
    <w:p w14:paraId="4CCF29C2">
      <w:pPr>
        <w:keepNext w:val="0"/>
        <w:keepLines w:val="0"/>
        <w:pageBreakBefore w:val="0"/>
        <w:widowControl w:val="0"/>
        <w:kinsoku/>
        <w:wordWrap/>
        <w:overflowPunct/>
        <w:topLinePunct w:val="0"/>
        <w:autoSpaceDE w:val="0"/>
        <w:autoSpaceDN/>
        <w:bidi w:val="0"/>
        <w:adjustRightInd w:val="0"/>
        <w:snapToGrid w:val="0"/>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4.1.10 其他义务</w:t>
      </w:r>
    </w:p>
    <w:p w14:paraId="58CEBB80">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（4）承包人应履行的其他义务：</w:t>
      </w:r>
      <w:r>
        <w:rPr>
          <w:rFonts w:hint="eastAsia" w:ascii="宋体" w:hAnsi="宋体"/>
          <w:color w:val="auto"/>
          <w:sz w:val="24"/>
          <w:szCs w:val="24"/>
          <w:highlight w:val="none"/>
          <w:u w:val="single"/>
        </w:rPr>
        <w:t>承包人应主动维护发包人和监理人的一切合法权利，不得损害发包人和监理人的利益</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rPr>
        <w:tab/>
      </w:r>
    </w:p>
    <w:p w14:paraId="6C8C0C9F">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u w:val="single"/>
        </w:rPr>
      </w:pPr>
      <w:r>
        <w:rPr>
          <w:rFonts w:hint="eastAsia" w:ascii="宋体" w:hAnsi="宋体"/>
          <w:color w:val="auto"/>
          <w:sz w:val="24"/>
          <w:szCs w:val="24"/>
          <w:highlight w:val="none"/>
        </w:rPr>
        <w:t>4.11 不利物质条件</w:t>
      </w:r>
    </w:p>
    <w:p w14:paraId="5D35D402">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4.11.1 不利物质条件的范围：</w:t>
      </w:r>
      <w:r>
        <w:rPr>
          <w:rFonts w:hint="eastAsia" w:ascii="宋体" w:hAnsi="宋体"/>
          <w:color w:val="auto"/>
          <w:sz w:val="24"/>
          <w:szCs w:val="24"/>
          <w:highlight w:val="none"/>
          <w:u w:val="single"/>
          <w:lang w:val="en-US" w:eastAsia="zh-CN"/>
        </w:rPr>
        <w:t>进场道路出现塌方、遇到已废弃的地下管道、废弃建筑物。</w:t>
      </w:r>
    </w:p>
    <w:p w14:paraId="09EF3701">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10.1 合同进度计划</w:t>
      </w:r>
    </w:p>
    <w:p w14:paraId="7DC418B4">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承包人编制施工方案的内容：</w:t>
      </w:r>
      <w:r>
        <w:rPr>
          <w:rFonts w:hint="eastAsia" w:ascii="宋体" w:hAnsi="宋体"/>
          <w:color w:val="auto"/>
          <w:sz w:val="24"/>
          <w:szCs w:val="24"/>
          <w:highlight w:val="none"/>
          <w:u w:val="single"/>
        </w:rPr>
        <w:t xml:space="preserve"> 按照部颁公路工程施工技术操作规程和资格后审文件中规定的机械设备型号编制的符合本工程特点的详细的施工组织设计内容实施</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rPr>
        <w:tab/>
      </w:r>
    </w:p>
    <w:p w14:paraId="6A23423D">
      <w:pPr>
        <w:pStyle w:val="11"/>
        <w:keepNext w:val="0"/>
        <w:keepLines w:val="0"/>
        <w:pageBreakBefore w:val="0"/>
        <w:widowControl w:val="0"/>
        <w:kinsoku/>
        <w:wordWrap/>
        <w:overflowPunct/>
        <w:topLinePunct w:val="0"/>
        <w:autoSpaceDE w:val="0"/>
        <w:autoSpaceDN/>
        <w:bidi w:val="0"/>
        <w:spacing w:line="360" w:lineRule="auto"/>
        <w:ind w:firstLine="0" w:firstLineChars="0"/>
        <w:jc w:val="both"/>
        <w:textAlignment w:val="auto"/>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11.4 异常恶劣的气候条件</w:t>
      </w:r>
    </w:p>
    <w:p w14:paraId="0A8DA298">
      <w:pPr>
        <w:pStyle w:val="11"/>
        <w:keepNext w:val="0"/>
        <w:keepLines w:val="0"/>
        <w:pageBreakBefore w:val="0"/>
        <w:widowControl w:val="0"/>
        <w:kinsoku/>
        <w:wordWrap/>
        <w:overflowPunct/>
        <w:topLinePunct w:val="0"/>
        <w:autoSpaceDE w:val="0"/>
        <w:autoSpaceDN/>
        <w:bidi w:val="0"/>
        <w:spacing w:line="360" w:lineRule="auto"/>
        <w:ind w:firstLine="480" w:firstLineChars="200"/>
        <w:jc w:val="both"/>
        <w:textAlignment w:val="auto"/>
        <w:rPr>
          <w:rFonts w:ascii="宋体" w:hAnsi="宋体" w:eastAsia="宋体"/>
          <w:b w:val="0"/>
          <w:bCs/>
          <w:color w:val="auto"/>
          <w:sz w:val="24"/>
          <w:szCs w:val="24"/>
          <w:highlight w:val="none"/>
          <w:u w:val="single"/>
        </w:rPr>
      </w:pPr>
      <w:r>
        <w:rPr>
          <w:rFonts w:hint="eastAsia" w:ascii="宋体" w:hAnsi="宋体" w:eastAsia="宋体"/>
          <w:b w:val="0"/>
          <w:bCs/>
          <w:color w:val="auto"/>
          <w:sz w:val="24"/>
          <w:szCs w:val="24"/>
          <w:highlight w:val="none"/>
        </w:rPr>
        <w:t>异常恶劣的气候条件的范围：</w:t>
      </w:r>
      <w:r>
        <w:rPr>
          <w:rFonts w:hint="eastAsia" w:ascii="宋体" w:hAnsi="宋体" w:eastAsia="宋体"/>
          <w:b w:val="0"/>
          <w:bCs/>
          <w:color w:val="auto"/>
          <w:sz w:val="24"/>
          <w:szCs w:val="24"/>
          <w:highlight w:val="none"/>
          <w:u w:val="single"/>
        </w:rPr>
        <w:t xml:space="preserve"> / </w:t>
      </w:r>
    </w:p>
    <w:p w14:paraId="39676EA2">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12.1 承包人暂停</w:t>
      </w:r>
      <w:r>
        <w:rPr>
          <w:rFonts w:hint="eastAsia" w:ascii="宋体" w:hAnsi="宋体"/>
          <w:color w:val="auto"/>
          <w:sz w:val="24"/>
          <w:szCs w:val="24"/>
          <w:highlight w:val="none"/>
          <w:lang w:eastAsia="zh-CN"/>
        </w:rPr>
        <w:t>施</w:t>
      </w:r>
      <w:r>
        <w:rPr>
          <w:rFonts w:hint="eastAsia" w:ascii="宋体" w:hAnsi="宋体"/>
          <w:color w:val="auto"/>
          <w:sz w:val="24"/>
          <w:szCs w:val="24"/>
          <w:highlight w:val="none"/>
        </w:rPr>
        <w:t xml:space="preserve">工的责任  </w:t>
      </w:r>
    </w:p>
    <w:p w14:paraId="4288B1B0">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default" w:ascii="宋体" w:hAnsi="宋体" w:eastAsia="宋体"/>
          <w:strike w:val="0"/>
          <w:dstrike w:val="0"/>
          <w:color w:val="auto"/>
          <w:sz w:val="24"/>
          <w:szCs w:val="24"/>
          <w:highlight w:val="none"/>
          <w:u w:val="single"/>
        </w:rPr>
      </w:pPr>
      <w:r>
        <w:rPr>
          <w:rFonts w:hint="default" w:ascii="宋体" w:hAnsi="宋体" w:eastAsia="宋体"/>
          <w:strike w:val="0"/>
          <w:dstrike w:val="0"/>
          <w:color w:val="auto"/>
          <w:sz w:val="24"/>
          <w:szCs w:val="24"/>
          <w:highlight w:val="none"/>
          <w:u w:val="single"/>
        </w:rPr>
        <w:t>因下列暂停施工增加的费用和</w:t>
      </w:r>
      <w:r>
        <w:rPr>
          <w:rFonts w:hint="eastAsia" w:ascii="宋体" w:hAnsi="宋体" w:eastAsia="宋体"/>
          <w:strike w:val="0"/>
          <w:dstrike w:val="0"/>
          <w:color w:val="auto"/>
          <w:sz w:val="24"/>
          <w:szCs w:val="24"/>
          <w:highlight w:val="none"/>
          <w:u w:val="single"/>
          <w:lang w:eastAsia="zh-CN"/>
        </w:rPr>
        <w:t>(</w:t>
      </w:r>
      <w:r>
        <w:rPr>
          <w:rFonts w:hint="default" w:ascii="宋体" w:hAnsi="宋体" w:eastAsia="宋体"/>
          <w:strike w:val="0"/>
          <w:dstrike w:val="0"/>
          <w:color w:val="auto"/>
          <w:sz w:val="24"/>
          <w:szCs w:val="24"/>
          <w:highlight w:val="none"/>
          <w:u w:val="single"/>
        </w:rPr>
        <w:t>或</w:t>
      </w:r>
      <w:r>
        <w:rPr>
          <w:rFonts w:hint="eastAsia" w:ascii="宋体" w:hAnsi="宋体" w:eastAsia="宋体"/>
          <w:strike w:val="0"/>
          <w:dstrike w:val="0"/>
          <w:color w:val="auto"/>
          <w:sz w:val="24"/>
          <w:szCs w:val="24"/>
          <w:highlight w:val="none"/>
          <w:u w:val="single"/>
          <w:lang w:eastAsia="zh-CN"/>
        </w:rPr>
        <w:t>)</w:t>
      </w:r>
      <w:r>
        <w:rPr>
          <w:rFonts w:hint="default" w:ascii="宋体" w:hAnsi="宋体" w:eastAsia="宋体"/>
          <w:strike w:val="0"/>
          <w:dstrike w:val="0"/>
          <w:color w:val="auto"/>
          <w:sz w:val="24"/>
          <w:szCs w:val="24"/>
          <w:highlight w:val="none"/>
          <w:u w:val="single"/>
        </w:rPr>
        <w:t>工期延误由承包人承担:</w:t>
      </w:r>
    </w:p>
    <w:p w14:paraId="164A7BFF">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default" w:ascii="宋体" w:hAnsi="宋体" w:eastAsia="宋体"/>
          <w:strike w:val="0"/>
          <w:dstrike w:val="0"/>
          <w:color w:val="auto"/>
          <w:sz w:val="24"/>
          <w:szCs w:val="24"/>
          <w:highlight w:val="none"/>
          <w:u w:val="single"/>
          <w:lang w:eastAsia="zh-CN"/>
        </w:rPr>
      </w:pPr>
      <w:r>
        <w:rPr>
          <w:rFonts w:hint="eastAsia" w:ascii="宋体" w:hAnsi="宋体" w:eastAsia="宋体"/>
          <w:strike w:val="0"/>
          <w:dstrike w:val="0"/>
          <w:color w:val="auto"/>
          <w:sz w:val="24"/>
          <w:szCs w:val="24"/>
          <w:highlight w:val="none"/>
          <w:u w:val="single"/>
          <w:lang w:eastAsia="zh-CN"/>
        </w:rPr>
        <w:t>(</w:t>
      </w:r>
      <w:r>
        <w:rPr>
          <w:rFonts w:hint="default" w:ascii="宋体" w:hAnsi="宋体" w:eastAsia="宋体"/>
          <w:strike w:val="0"/>
          <w:dstrike w:val="0"/>
          <w:color w:val="auto"/>
          <w:sz w:val="24"/>
          <w:szCs w:val="24"/>
          <w:highlight w:val="none"/>
          <w:u w:val="single"/>
        </w:rPr>
        <w:t>1</w:t>
      </w:r>
      <w:r>
        <w:rPr>
          <w:rFonts w:hint="eastAsia" w:ascii="宋体" w:hAnsi="宋体" w:eastAsia="宋体"/>
          <w:strike w:val="0"/>
          <w:dstrike w:val="0"/>
          <w:color w:val="auto"/>
          <w:sz w:val="24"/>
          <w:szCs w:val="24"/>
          <w:highlight w:val="none"/>
          <w:u w:val="single"/>
          <w:lang w:eastAsia="zh-CN"/>
        </w:rPr>
        <w:t>)</w:t>
      </w:r>
      <w:r>
        <w:rPr>
          <w:rFonts w:hint="default" w:ascii="宋体" w:hAnsi="宋体" w:eastAsia="宋体"/>
          <w:strike w:val="0"/>
          <w:dstrike w:val="0"/>
          <w:color w:val="auto"/>
          <w:sz w:val="24"/>
          <w:szCs w:val="24"/>
          <w:highlight w:val="none"/>
          <w:u w:val="single"/>
        </w:rPr>
        <w:t>承包人违约引起的暂停施工</w:t>
      </w:r>
      <w:r>
        <w:rPr>
          <w:rFonts w:hint="default" w:ascii="宋体" w:hAnsi="宋体" w:eastAsia="宋体"/>
          <w:strike w:val="0"/>
          <w:dstrike w:val="0"/>
          <w:color w:val="auto"/>
          <w:sz w:val="24"/>
          <w:szCs w:val="24"/>
          <w:highlight w:val="none"/>
          <w:u w:val="single"/>
          <w:lang w:eastAsia="zh-CN"/>
        </w:rPr>
        <w:t>；</w:t>
      </w:r>
    </w:p>
    <w:p w14:paraId="6E0669E1">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default" w:ascii="宋体" w:hAnsi="宋体" w:eastAsia="宋体"/>
          <w:strike w:val="0"/>
          <w:dstrike w:val="0"/>
          <w:color w:val="auto"/>
          <w:sz w:val="24"/>
          <w:szCs w:val="24"/>
          <w:highlight w:val="none"/>
          <w:u w:val="single"/>
          <w:lang w:eastAsia="zh-CN"/>
        </w:rPr>
      </w:pPr>
      <w:r>
        <w:rPr>
          <w:rFonts w:hint="eastAsia" w:ascii="宋体" w:hAnsi="宋体" w:eastAsia="宋体"/>
          <w:strike w:val="0"/>
          <w:dstrike w:val="0"/>
          <w:color w:val="auto"/>
          <w:sz w:val="24"/>
          <w:szCs w:val="24"/>
          <w:highlight w:val="none"/>
          <w:u w:val="single"/>
          <w:lang w:eastAsia="zh-CN"/>
        </w:rPr>
        <w:t>(</w:t>
      </w:r>
      <w:r>
        <w:rPr>
          <w:rFonts w:hint="default" w:ascii="宋体" w:hAnsi="宋体" w:eastAsia="宋体"/>
          <w:strike w:val="0"/>
          <w:dstrike w:val="0"/>
          <w:color w:val="auto"/>
          <w:sz w:val="24"/>
          <w:szCs w:val="24"/>
          <w:highlight w:val="none"/>
          <w:u w:val="single"/>
        </w:rPr>
        <w:t>2</w:t>
      </w:r>
      <w:r>
        <w:rPr>
          <w:rFonts w:hint="eastAsia" w:ascii="宋体" w:hAnsi="宋体" w:eastAsia="宋体"/>
          <w:strike w:val="0"/>
          <w:dstrike w:val="0"/>
          <w:color w:val="auto"/>
          <w:sz w:val="24"/>
          <w:szCs w:val="24"/>
          <w:highlight w:val="none"/>
          <w:u w:val="single"/>
          <w:lang w:eastAsia="zh-CN"/>
        </w:rPr>
        <w:t>)</w:t>
      </w:r>
      <w:r>
        <w:rPr>
          <w:rFonts w:hint="default" w:ascii="宋体" w:hAnsi="宋体" w:eastAsia="宋体"/>
          <w:strike w:val="0"/>
          <w:dstrike w:val="0"/>
          <w:color w:val="auto"/>
          <w:sz w:val="24"/>
          <w:szCs w:val="24"/>
          <w:highlight w:val="none"/>
          <w:u w:val="single"/>
        </w:rPr>
        <w:t>由于承包人原因为工程合理施工和安全保障所必需的暂停施工</w:t>
      </w:r>
      <w:r>
        <w:rPr>
          <w:rFonts w:hint="default" w:ascii="宋体" w:hAnsi="宋体" w:eastAsia="宋体"/>
          <w:strike w:val="0"/>
          <w:dstrike w:val="0"/>
          <w:color w:val="auto"/>
          <w:sz w:val="24"/>
          <w:szCs w:val="24"/>
          <w:highlight w:val="none"/>
          <w:u w:val="single"/>
          <w:lang w:eastAsia="zh-CN"/>
        </w:rPr>
        <w:t>；</w:t>
      </w:r>
    </w:p>
    <w:p w14:paraId="468D5A7B">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eastAsia="宋体"/>
          <w:strike w:val="0"/>
          <w:dstrike w:val="0"/>
          <w:color w:val="auto"/>
          <w:sz w:val="24"/>
          <w:szCs w:val="24"/>
          <w:highlight w:val="none"/>
          <w:u w:val="single"/>
          <w:lang w:eastAsia="zh-CN"/>
        </w:rPr>
      </w:pPr>
      <w:r>
        <w:rPr>
          <w:rFonts w:hint="eastAsia" w:ascii="宋体" w:hAnsi="宋体" w:eastAsia="宋体"/>
          <w:strike w:val="0"/>
          <w:dstrike w:val="0"/>
          <w:color w:val="auto"/>
          <w:sz w:val="24"/>
          <w:szCs w:val="24"/>
          <w:highlight w:val="none"/>
          <w:u w:val="single"/>
          <w:lang w:eastAsia="zh-CN"/>
        </w:rPr>
        <w:t>(</w:t>
      </w:r>
      <w:r>
        <w:rPr>
          <w:rFonts w:hint="default" w:ascii="宋体" w:hAnsi="宋体" w:eastAsia="宋体"/>
          <w:strike w:val="0"/>
          <w:dstrike w:val="0"/>
          <w:color w:val="auto"/>
          <w:sz w:val="24"/>
          <w:szCs w:val="24"/>
          <w:highlight w:val="none"/>
          <w:u w:val="single"/>
        </w:rPr>
        <w:t>3</w:t>
      </w:r>
      <w:r>
        <w:rPr>
          <w:rFonts w:hint="eastAsia" w:ascii="宋体" w:hAnsi="宋体" w:eastAsia="宋体"/>
          <w:strike w:val="0"/>
          <w:dstrike w:val="0"/>
          <w:color w:val="auto"/>
          <w:sz w:val="24"/>
          <w:szCs w:val="24"/>
          <w:highlight w:val="none"/>
          <w:u w:val="single"/>
          <w:lang w:eastAsia="zh-CN"/>
        </w:rPr>
        <w:t>)</w:t>
      </w:r>
      <w:r>
        <w:rPr>
          <w:rFonts w:hint="default" w:ascii="宋体" w:hAnsi="宋体" w:eastAsia="宋体"/>
          <w:strike w:val="0"/>
          <w:dstrike w:val="0"/>
          <w:color w:val="auto"/>
          <w:sz w:val="24"/>
          <w:szCs w:val="24"/>
          <w:highlight w:val="none"/>
          <w:u w:val="single"/>
        </w:rPr>
        <w:t>承包人擅自暂停施</w:t>
      </w:r>
      <w:r>
        <w:rPr>
          <w:rFonts w:hint="eastAsia" w:ascii="宋体" w:hAnsi="宋体" w:eastAsia="宋体"/>
          <w:strike w:val="0"/>
          <w:dstrike w:val="0"/>
          <w:color w:val="auto"/>
          <w:sz w:val="24"/>
          <w:szCs w:val="24"/>
          <w:highlight w:val="none"/>
          <w:u w:val="single"/>
          <w:lang w:val="en-US" w:eastAsia="zh-CN"/>
        </w:rPr>
        <w:t>等。</w:t>
      </w:r>
    </w:p>
    <w:p w14:paraId="17E54714">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strike/>
          <w:dstrike w:val="0"/>
          <w:color w:val="auto"/>
          <w:sz w:val="24"/>
          <w:szCs w:val="24"/>
          <w:highlight w:val="none"/>
          <w:u w:val="single"/>
          <w:lang w:eastAsia="zh-CN"/>
        </w:rPr>
      </w:pPr>
    </w:p>
    <w:p w14:paraId="641EF31D">
      <w:pPr>
        <w:pStyle w:val="11"/>
        <w:keepNext w:val="0"/>
        <w:keepLines w:val="0"/>
        <w:pageBreakBefore w:val="0"/>
        <w:widowControl w:val="0"/>
        <w:tabs>
          <w:tab w:val="center" w:pos="4538"/>
        </w:tabs>
        <w:kinsoku/>
        <w:wordWrap/>
        <w:overflowPunct/>
        <w:topLinePunct w:val="0"/>
        <w:autoSpaceDE w:val="0"/>
        <w:autoSpaceDN/>
        <w:bidi w:val="0"/>
        <w:spacing w:line="360" w:lineRule="auto"/>
        <w:ind w:firstLine="0" w:firstLineChars="0"/>
        <w:jc w:val="both"/>
        <w:textAlignment w:val="auto"/>
        <w:rPr>
          <w:rFonts w:hint="eastAsia" w:ascii="宋体" w:hAnsi="宋体" w:eastAsia="宋体"/>
          <w:b w:val="0"/>
          <w:bCs/>
          <w:color w:val="auto"/>
          <w:sz w:val="24"/>
          <w:szCs w:val="24"/>
          <w:highlight w:val="none"/>
          <w:lang w:eastAsia="zh-CN"/>
        </w:rPr>
      </w:pPr>
      <w:r>
        <w:rPr>
          <w:rFonts w:hint="eastAsia" w:ascii="宋体" w:hAnsi="宋体" w:eastAsia="宋体"/>
          <w:b w:val="0"/>
          <w:bCs/>
          <w:color w:val="auto"/>
          <w:sz w:val="24"/>
          <w:szCs w:val="24"/>
          <w:highlight w:val="none"/>
        </w:rPr>
        <w:t>17.1 计量</w:t>
      </w:r>
      <w:r>
        <w:rPr>
          <w:rFonts w:hint="eastAsia" w:ascii="宋体" w:hAnsi="宋体" w:eastAsia="宋体"/>
          <w:b w:val="0"/>
          <w:bCs/>
          <w:color w:val="auto"/>
          <w:sz w:val="24"/>
          <w:szCs w:val="24"/>
          <w:highlight w:val="none"/>
          <w:lang w:eastAsia="zh-CN"/>
        </w:rPr>
        <w:tab/>
      </w:r>
    </w:p>
    <w:p w14:paraId="457EB405">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17.1.5 本项目工程量清单中总额价子目的支付原则和支付进度：</w:t>
      </w:r>
      <w:r>
        <w:rPr>
          <w:rFonts w:hint="eastAsia" w:ascii="宋体" w:hAnsi="宋体"/>
          <w:color w:val="auto"/>
          <w:sz w:val="24"/>
          <w:szCs w:val="24"/>
          <w:highlight w:val="none"/>
          <w:u w:val="single"/>
        </w:rPr>
        <w:t>按通用条款</w:t>
      </w:r>
      <w:r>
        <w:rPr>
          <w:rFonts w:hint="eastAsia" w:ascii="宋体" w:hAnsi="宋体"/>
          <w:color w:val="auto"/>
          <w:sz w:val="24"/>
          <w:szCs w:val="24"/>
          <w:highlight w:val="none"/>
          <w:u w:val="single"/>
          <w:lang w:eastAsia="zh-CN"/>
        </w:rPr>
        <w:t>。</w:t>
      </w:r>
    </w:p>
    <w:p w14:paraId="6C783802">
      <w:pPr>
        <w:pStyle w:val="11"/>
        <w:keepNext w:val="0"/>
        <w:keepLines w:val="0"/>
        <w:pageBreakBefore w:val="0"/>
        <w:widowControl w:val="0"/>
        <w:kinsoku/>
        <w:wordWrap/>
        <w:overflowPunct/>
        <w:topLinePunct w:val="0"/>
        <w:autoSpaceDE w:val="0"/>
        <w:autoSpaceDN/>
        <w:bidi w:val="0"/>
        <w:spacing w:line="360" w:lineRule="auto"/>
        <w:ind w:firstLine="0" w:firstLineChars="0"/>
        <w:jc w:val="both"/>
        <w:textAlignment w:val="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17.3 工程进度付款</w:t>
      </w:r>
    </w:p>
    <w:p w14:paraId="3575C594">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关于付款周期的约定：根据建设工期和工程进度按月申报计量，按照比工程计量低10%的比例拨付工程款，且最高不超过合同金额的70%；</w:t>
      </w:r>
      <w:r>
        <w:rPr>
          <w:rFonts w:hint="eastAsia" w:ascii="宋体" w:hAnsi="宋体" w:cs="Times New Roman"/>
          <w:color w:val="auto"/>
          <w:kern w:val="2"/>
          <w:sz w:val="24"/>
          <w:szCs w:val="24"/>
          <w:highlight w:val="none"/>
          <w:lang w:val="en-US" w:eastAsia="zh-CN" w:bidi="ar-SA"/>
        </w:rPr>
        <w:t>交</w:t>
      </w:r>
      <w:r>
        <w:rPr>
          <w:rFonts w:hint="eastAsia" w:ascii="宋体" w:hAnsi="宋体" w:eastAsia="宋体" w:cs="Times New Roman"/>
          <w:color w:val="auto"/>
          <w:kern w:val="2"/>
          <w:sz w:val="24"/>
          <w:szCs w:val="24"/>
          <w:highlight w:val="none"/>
          <w:lang w:val="en-US" w:eastAsia="zh-CN" w:bidi="ar-SA"/>
        </w:rPr>
        <w:t>工验收合格后支付至工程</w:t>
      </w:r>
      <w:r>
        <w:rPr>
          <w:rFonts w:hint="eastAsia" w:ascii="宋体" w:hAnsi="宋体" w:cs="Times New Roman"/>
          <w:color w:val="auto"/>
          <w:kern w:val="2"/>
          <w:sz w:val="24"/>
          <w:szCs w:val="24"/>
          <w:highlight w:val="none"/>
          <w:lang w:val="en-US" w:eastAsia="zh-CN" w:bidi="ar-SA"/>
        </w:rPr>
        <w:t>经平舆县审计局审计</w:t>
      </w:r>
      <w:r>
        <w:rPr>
          <w:rFonts w:hint="eastAsia" w:ascii="宋体" w:hAnsi="宋体" w:eastAsia="宋体" w:cs="Times New Roman"/>
          <w:color w:val="auto"/>
          <w:kern w:val="2"/>
          <w:sz w:val="24"/>
          <w:szCs w:val="24"/>
          <w:highlight w:val="none"/>
          <w:lang w:val="en-US" w:eastAsia="zh-CN" w:bidi="ar-SA"/>
        </w:rPr>
        <w:t>结算价的97%。剩余工程结算总价的3%作为工程质保金，待质保期满后一次性付清（最终以招标人与中标人签定的合同条款为准）。</w:t>
      </w:r>
    </w:p>
    <w:p w14:paraId="0CD7D71C">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农民工工资保证金的缴存时间：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开工报告批复之日起20个工作日内</w:t>
      </w:r>
      <w:r>
        <w:rPr>
          <w:rFonts w:hint="eastAsia" w:ascii="宋体" w:hAnsi="宋体"/>
          <w:color w:val="auto"/>
          <w:sz w:val="24"/>
          <w:szCs w:val="24"/>
          <w:highlight w:val="none"/>
          <w:u w:val="single"/>
          <w:lang w:val="en-US" w:eastAsia="zh-CN"/>
        </w:rPr>
        <w:t xml:space="preserve">. </w:t>
      </w:r>
    </w:p>
    <w:p w14:paraId="60292440">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农民工工资保证金的缴存金额：</w:t>
      </w:r>
      <w:r>
        <w:rPr>
          <w:rFonts w:hint="eastAsia" w:ascii="宋体" w:hAnsi="宋体"/>
          <w:color w:val="auto"/>
          <w:sz w:val="24"/>
          <w:szCs w:val="24"/>
          <w:highlight w:val="none"/>
          <w:u w:val="single"/>
          <w:lang w:val="en-US" w:eastAsia="zh-CN"/>
        </w:rPr>
        <w:t xml:space="preserve"> 签约合同价的2%。 </w:t>
      </w:r>
    </w:p>
    <w:p w14:paraId="122527F0">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农民工工资保证金的扣留条件：</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存在拖欠农民工工资的情况。</w:t>
      </w:r>
      <w:r>
        <w:rPr>
          <w:rFonts w:hint="eastAsia" w:ascii="宋体" w:hAnsi="宋体"/>
          <w:color w:val="auto"/>
          <w:sz w:val="24"/>
          <w:szCs w:val="24"/>
          <w:highlight w:val="none"/>
          <w:u w:val="single"/>
        </w:rPr>
        <w:t xml:space="preserve"> </w:t>
      </w:r>
    </w:p>
    <w:p w14:paraId="773D4087">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color w:val="auto"/>
          <w:sz w:val="24"/>
          <w:szCs w:val="24"/>
          <w:highlight w:val="none"/>
          <w:u w:val="single"/>
        </w:rPr>
      </w:pPr>
      <w:r>
        <w:rPr>
          <w:rFonts w:hint="eastAsia" w:ascii="宋体" w:hAnsi="宋体"/>
          <w:color w:val="auto"/>
          <w:sz w:val="24"/>
          <w:szCs w:val="24"/>
          <w:highlight w:val="none"/>
        </w:rPr>
        <w:t>农民工工资保证金的返还时间：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按照</w:t>
      </w:r>
      <w:r>
        <w:rPr>
          <w:rFonts w:hint="eastAsia" w:ascii="宋体" w:hAnsi="宋体"/>
          <w:color w:val="auto"/>
          <w:sz w:val="24"/>
          <w:szCs w:val="24"/>
          <w:highlight w:val="none"/>
          <w:u w:val="single"/>
        </w:rPr>
        <w:t>人社部发〔2021〕65号</w:t>
      </w:r>
      <w:r>
        <w:rPr>
          <w:rFonts w:hint="eastAsia" w:ascii="宋体" w:hAnsi="宋体"/>
          <w:color w:val="auto"/>
          <w:sz w:val="24"/>
          <w:szCs w:val="24"/>
          <w:highlight w:val="none"/>
          <w:u w:val="single"/>
          <w:lang w:eastAsia="zh-CN"/>
        </w:rPr>
        <w:t>《工程建设领域农民工工资保证金规定》执行。</w:t>
      </w:r>
      <w:r>
        <w:rPr>
          <w:rFonts w:hint="eastAsia" w:ascii="宋体" w:hAnsi="宋体"/>
          <w:color w:val="auto"/>
          <w:sz w:val="24"/>
          <w:szCs w:val="24"/>
          <w:highlight w:val="none"/>
          <w:u w:val="single"/>
        </w:rPr>
        <w:t xml:space="preserve"> </w:t>
      </w:r>
    </w:p>
    <w:p w14:paraId="44B458D9">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21.1不可抗力的确认</w:t>
      </w:r>
    </w:p>
    <w:p w14:paraId="7E26AA8A">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21.1.1（6）不可抗力的其他形式：</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p>
    <w:p w14:paraId="0F370DD8">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22.1 承包人违约</w:t>
      </w:r>
    </w:p>
    <w:p w14:paraId="04335048">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22.1.2 当承包人发生第22.1.1项约定的违约情况时，发包人有权向承包人课以违约金，具体约定如下：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p>
    <w:p w14:paraId="6F067A90">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22.2 发包人违约</w:t>
      </w:r>
    </w:p>
    <w:p w14:paraId="10439F71">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22.2.2 发包人无正当理由不按时返还履约保证金、质量保证金或农民工工资保证金的，发包人应向承包人支付的违约金如下：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p>
    <w:p w14:paraId="47DFC966">
      <w:pPr>
        <w:pStyle w:val="13"/>
        <w:snapToGrid w:val="0"/>
        <w:spacing w:line="300" w:lineRule="auto"/>
        <w:jc w:val="center"/>
        <w:outlineLvl w:val="1"/>
        <w:rPr>
          <w:rFonts w:hAnsi="宋体"/>
          <w:b/>
          <w:bCs/>
          <w:color w:val="auto"/>
          <w:sz w:val="44"/>
          <w:szCs w:val="44"/>
          <w:highlight w:val="none"/>
        </w:rPr>
      </w:pPr>
      <w:r>
        <w:rPr>
          <w:rFonts w:hint="eastAsia" w:hAnsi="宋体"/>
          <w:bCs/>
          <w:color w:val="auto"/>
          <w:sz w:val="36"/>
          <w:szCs w:val="36"/>
          <w:highlight w:val="none"/>
        </w:rPr>
        <w:br w:type="page"/>
      </w:r>
      <w:bookmarkStart w:id="413" w:name="_Toc391"/>
      <w:bookmarkEnd w:id="413"/>
      <w:bookmarkStart w:id="414" w:name="_Toc16683"/>
      <w:r>
        <w:rPr>
          <w:rStyle w:val="66"/>
          <w:rFonts w:hint="eastAsia" w:ascii="宋体" w:hAnsi="宋体" w:eastAsia="宋体"/>
          <w:b/>
          <w:bCs/>
          <w:color w:val="auto"/>
          <w:sz w:val="44"/>
          <w:szCs w:val="44"/>
          <w:highlight w:val="none"/>
        </w:rPr>
        <w:t>第三节  合同附件格式</w:t>
      </w:r>
      <w:bookmarkEnd w:id="414"/>
    </w:p>
    <w:p w14:paraId="5EEF0D96">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2D183D0D">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51B90299">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0DB5CCEA">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631C9B16">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00180760">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0DBC3054">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5AF064CE">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1CD381EC">
      <w:pPr>
        <w:adjustRightInd w:val="0"/>
        <w:snapToGrid w:val="0"/>
        <w:spacing w:beforeLines="100" w:afterLines="100" w:line="360" w:lineRule="auto"/>
        <w:rPr>
          <w:rFonts w:ascii="宋体" w:hAnsi="宋体"/>
          <w:color w:val="auto"/>
          <w:sz w:val="32"/>
          <w:szCs w:val="32"/>
          <w:highlight w:val="none"/>
        </w:rPr>
      </w:pPr>
      <w:r>
        <w:rPr>
          <w:rFonts w:hint="eastAsia" w:ascii="宋体" w:hAnsi="宋体"/>
          <w:color w:val="auto"/>
          <w:sz w:val="32"/>
          <w:szCs w:val="32"/>
          <w:highlight w:val="none"/>
        </w:rPr>
        <w:t xml:space="preserve"> </w:t>
      </w:r>
    </w:p>
    <w:p w14:paraId="73CF0C37">
      <w:pPr>
        <w:adjustRightInd w:val="0"/>
        <w:snapToGrid w:val="0"/>
        <w:spacing w:line="360" w:lineRule="auto"/>
        <w:rPr>
          <w:rFonts w:ascii="宋体" w:hAnsi="宋体"/>
          <w:color w:val="auto"/>
          <w:sz w:val="24"/>
          <w:szCs w:val="24"/>
          <w:highlight w:val="none"/>
        </w:rPr>
      </w:pPr>
      <w:r>
        <w:rPr>
          <w:rFonts w:hint="eastAsia" w:ascii="宋体" w:hAnsi="宋体"/>
          <w:b/>
          <w:color w:val="auto"/>
          <w:sz w:val="24"/>
          <w:szCs w:val="24"/>
          <w:highlight w:val="none"/>
        </w:rPr>
        <w:br w:type="page"/>
      </w:r>
      <w:r>
        <w:rPr>
          <w:rFonts w:hint="eastAsia" w:ascii="宋体" w:hAnsi="宋体"/>
          <w:b/>
          <w:bCs/>
          <w:color w:val="auto"/>
          <w:sz w:val="24"/>
          <w:szCs w:val="24"/>
          <w:highlight w:val="none"/>
        </w:rPr>
        <w:t>附件一 合同协议书</w:t>
      </w:r>
    </w:p>
    <w:p w14:paraId="0F56F988">
      <w:pPr>
        <w:keepNext w:val="0"/>
        <w:keepLines w:val="0"/>
        <w:pageBreakBefore w:val="0"/>
        <w:widowControl w:val="0"/>
        <w:kinsoku/>
        <w:wordWrap/>
        <w:overflowPunct/>
        <w:topLinePunct w:val="0"/>
        <w:autoSpaceDE/>
        <w:autoSpaceDN/>
        <w:bidi w:val="0"/>
        <w:adjustRightInd w:val="0"/>
        <w:snapToGrid w:val="0"/>
        <w:spacing w:beforeLines="100" w:afterLines="100" w:line="360" w:lineRule="auto"/>
        <w:jc w:val="center"/>
        <w:textAlignment w:val="auto"/>
        <w:rPr>
          <w:rFonts w:ascii="宋体" w:hAnsi="宋体"/>
          <w:b/>
          <w:bCs/>
          <w:color w:val="auto"/>
          <w:sz w:val="28"/>
          <w:szCs w:val="28"/>
          <w:highlight w:val="none"/>
        </w:rPr>
      </w:pPr>
      <w:r>
        <w:rPr>
          <w:rFonts w:hint="eastAsia" w:ascii="宋体" w:hAnsi="宋体"/>
          <w:b/>
          <w:bCs/>
          <w:color w:val="auto"/>
          <w:sz w:val="28"/>
          <w:szCs w:val="28"/>
          <w:highlight w:val="none"/>
        </w:rPr>
        <w:t>合同协议书</w:t>
      </w:r>
    </w:p>
    <w:p w14:paraId="6B5D47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（发包人名称，以下简称“发包人”）为实施</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（项目名称），已接受</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（承包人名称，以下简称“承包人”）对该项目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标段施工的投标。发包人和承包人共同达成如下协议。</w:t>
      </w:r>
    </w:p>
    <w:p w14:paraId="13E81F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标段由K</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至K</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，长约</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km，公路等级为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，设计速度为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路面。有</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立交</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处；特大桥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座，计长</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m,大中桥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座，计长</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m；隧道</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座，计长</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m以及其他构造物工程等。</w:t>
      </w:r>
    </w:p>
    <w:p w14:paraId="3DD2F6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2．下列文件应视为构成合同文件的组成部分：</w:t>
      </w:r>
    </w:p>
    <w:p w14:paraId="2B0704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（1）本协议书及各种合同附件（含评标期间和合同谈判过程中的澄清文件和补充资料）；</w:t>
      </w:r>
    </w:p>
    <w:p w14:paraId="5ACC8BEA">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（2）中标通知书；</w:t>
      </w:r>
    </w:p>
    <w:p w14:paraId="125D1BCE">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（3）投标函及投标函附录；</w:t>
      </w:r>
    </w:p>
    <w:p w14:paraId="3E4EDBB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（4）项目专用合同条款；</w:t>
      </w:r>
    </w:p>
    <w:p w14:paraId="51414752">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（5）公路工程专用合同条款；</w:t>
      </w:r>
    </w:p>
    <w:p w14:paraId="5FF2F25F">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（6）通用合同条款；</w:t>
      </w:r>
    </w:p>
    <w:p w14:paraId="2D593867">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（7）工程量清单计量规则；</w:t>
      </w:r>
    </w:p>
    <w:p w14:paraId="36CB6C08">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（8）技术规范；</w:t>
      </w:r>
    </w:p>
    <w:p w14:paraId="0175D72C">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（9）图纸；</w:t>
      </w:r>
    </w:p>
    <w:p w14:paraId="7F87BFC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（10）已标价工程量清单；</w:t>
      </w:r>
    </w:p>
    <w:p w14:paraId="743993BC">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（11）承包人有关人员、设备投入的承诺及投标文件中的施工组织设计；</w:t>
      </w:r>
    </w:p>
    <w:p w14:paraId="7C4B58C9">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（12）其他合同文件。</w:t>
      </w:r>
    </w:p>
    <w:p w14:paraId="1F63EC98">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上述合同文件互相补充和解释。如果合同文件之间存在矛盾或不一致之处，以上述文件的排列顺序在先者为准。</w:t>
      </w:r>
    </w:p>
    <w:p w14:paraId="10317E2D">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3．根据工程量清单所列的预计数量和单价或总额价计算的签约合同价：人民币（大写）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72E90161">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4．承包人项目经理：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。承包人项目总工：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EBCA384">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5．工程质量符合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标准。工程安全目标：</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3000772A">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6．承包人承诺按合同约定承担工程的实施、完成及缺陷修复。</w:t>
      </w:r>
    </w:p>
    <w:p w14:paraId="35D67B86">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7．发包人承诺按合同约定的条件、时间和方式向承包人支付合同价款。</w:t>
      </w:r>
    </w:p>
    <w:p w14:paraId="0B8EEE48">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8．承包人应按照监理人指示开工，工期为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日历天。</w:t>
      </w:r>
    </w:p>
    <w:p w14:paraId="01E3C3E6">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9．本协议书在承包人提供履约担保后，由双方法定代表人或其委托代理人签署与加盖公章后生效。全部工程完工后经交工验收合格、缺陷责任期满签发缺陷责任终止证书后失效。</w:t>
      </w:r>
    </w:p>
    <w:p w14:paraId="02C7F02A">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10．本协议书正本二份、副本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份，合同双方各执正本一份，副本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份，当正本与副本的内容不一致时，以正本为准。</w:t>
      </w:r>
    </w:p>
    <w:p w14:paraId="354F3A16">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11．合同未尽事宜，双方另行签订补充协议。补充协议是合同的组成部分。</w:t>
      </w:r>
    </w:p>
    <w:p w14:paraId="228E832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24143E88">
      <w:pPr>
        <w:autoSpaceDE w:val="0"/>
        <w:adjustRightInd w:val="0"/>
        <w:snapToGrid w:val="0"/>
        <w:spacing w:line="360" w:lineRule="auto"/>
        <w:ind w:right="-693" w:rightChars="-330"/>
        <w:rPr>
          <w:rFonts w:ascii="宋体" w:hAnsi="宋体"/>
          <w:color w:val="auto"/>
          <w:sz w:val="24"/>
          <w:szCs w:val="24"/>
          <w:highlight w:val="none"/>
        </w:rPr>
      </w:pPr>
      <w:r>
        <w:rPr>
          <w:rFonts w:hint="eastAsia" w:ascii="宋体" w:hAnsi="宋体"/>
          <w:color w:val="auto"/>
          <w:sz w:val="24"/>
          <w:szCs w:val="24"/>
          <w:highlight w:val="none"/>
        </w:rPr>
        <w:t>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（盖单位公章）  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（盖单位公章）</w:t>
      </w:r>
    </w:p>
    <w:p w14:paraId="020D5792">
      <w:pPr>
        <w:autoSpaceDE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  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56505D2F">
      <w:pPr>
        <w:autoSpaceDE w:val="0"/>
        <w:adjustRightInd w:val="0"/>
        <w:snapToGrid w:val="0"/>
        <w:spacing w:line="360" w:lineRule="auto"/>
        <w:ind w:firstLine="1680" w:firstLineChars="7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335A7ADD">
      <w:pPr>
        <w:adjustRightInd w:val="0"/>
        <w:snapToGrid w:val="0"/>
        <w:spacing w:line="360" w:lineRule="auto"/>
        <w:ind w:firstLine="480" w:firstLineChars="200"/>
        <w:rPr>
          <w:rFonts w:ascii="宋体" w:hAnsi="宋体"/>
          <w:color w:val="auto"/>
          <w:sz w:val="24"/>
          <w:szCs w:val="24"/>
          <w:highlight w:val="none"/>
        </w:rPr>
      </w:pPr>
    </w:p>
    <w:p w14:paraId="716B3FF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19C662E2">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1AC4FFE4">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5C51331A">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1FEDEEC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4D5C54B6">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2A62714C">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6C6EEA1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4B772B78">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6DF6C145">
      <w:pPr>
        <w:adjustRightInd w:val="0"/>
        <w:snapToGrid w:val="0"/>
        <w:spacing w:line="360" w:lineRule="auto"/>
        <w:rPr>
          <w:rFonts w:hint="eastAsia" w:ascii="宋体" w:hAnsi="宋体"/>
          <w:color w:val="auto"/>
          <w:sz w:val="24"/>
          <w:szCs w:val="24"/>
          <w:highlight w:val="none"/>
        </w:rPr>
      </w:pPr>
    </w:p>
    <w:p w14:paraId="593CE0FC">
      <w:pPr>
        <w:adjustRightInd w:val="0"/>
        <w:snapToGrid w:val="0"/>
        <w:spacing w:line="360" w:lineRule="auto"/>
        <w:rPr>
          <w:rFonts w:hint="eastAsia" w:ascii="宋体" w:hAnsi="宋体"/>
          <w:color w:val="auto"/>
          <w:sz w:val="24"/>
          <w:szCs w:val="24"/>
          <w:highlight w:val="none"/>
        </w:rPr>
      </w:pPr>
    </w:p>
    <w:p w14:paraId="6526BFB3">
      <w:pPr>
        <w:adjustRightInd w:val="0"/>
        <w:snapToGrid w:val="0"/>
        <w:spacing w:line="360" w:lineRule="auto"/>
        <w:rPr>
          <w:rFonts w:hint="eastAsia" w:ascii="宋体" w:hAnsi="宋体"/>
          <w:color w:val="auto"/>
          <w:sz w:val="24"/>
          <w:szCs w:val="24"/>
          <w:highlight w:val="none"/>
        </w:rPr>
      </w:pPr>
    </w:p>
    <w:p w14:paraId="675EE25B">
      <w:pPr>
        <w:adjustRightInd w:val="0"/>
        <w:snapToGrid w:val="0"/>
        <w:spacing w:line="360" w:lineRule="auto"/>
        <w:rPr>
          <w:rFonts w:hint="eastAsia" w:ascii="宋体" w:hAnsi="宋体"/>
          <w:color w:val="auto"/>
          <w:sz w:val="24"/>
          <w:szCs w:val="24"/>
          <w:highlight w:val="none"/>
        </w:rPr>
      </w:pPr>
    </w:p>
    <w:p w14:paraId="11887CA2">
      <w:pPr>
        <w:adjustRightInd w:val="0"/>
        <w:snapToGrid w:val="0"/>
        <w:spacing w:line="360" w:lineRule="auto"/>
        <w:rPr>
          <w:rFonts w:hint="eastAsia" w:ascii="宋体" w:hAnsi="宋体"/>
          <w:color w:val="auto"/>
          <w:sz w:val="24"/>
          <w:szCs w:val="24"/>
          <w:highlight w:val="none"/>
        </w:rPr>
      </w:pPr>
    </w:p>
    <w:p w14:paraId="06F61964">
      <w:pPr>
        <w:adjustRightInd w:val="0"/>
        <w:snapToGrid w:val="0"/>
        <w:spacing w:line="360" w:lineRule="auto"/>
        <w:rPr>
          <w:rFonts w:hint="eastAsia" w:ascii="宋体" w:hAnsi="宋体"/>
          <w:color w:val="auto"/>
          <w:sz w:val="24"/>
          <w:szCs w:val="24"/>
          <w:highlight w:val="none"/>
        </w:rPr>
      </w:pPr>
    </w:p>
    <w:p w14:paraId="4F7D94C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附件二 廉政合同</w:t>
      </w:r>
    </w:p>
    <w:p w14:paraId="1DF25636">
      <w:pPr>
        <w:keepNext w:val="0"/>
        <w:keepLines w:val="0"/>
        <w:pageBreakBefore w:val="0"/>
        <w:widowControl w:val="0"/>
        <w:kinsoku/>
        <w:wordWrap/>
        <w:overflowPunct/>
        <w:topLinePunct w:val="0"/>
        <w:autoSpaceDE/>
        <w:autoSpaceDN/>
        <w:bidi w:val="0"/>
        <w:adjustRightInd w:val="0"/>
        <w:snapToGrid w:val="0"/>
        <w:spacing w:after="0" w:afterLines="50" w:line="240" w:lineRule="auto"/>
        <w:jc w:val="center"/>
        <w:textAlignment w:val="auto"/>
        <w:rPr>
          <w:rFonts w:ascii="宋体" w:hAnsi="宋体"/>
          <w:color w:val="auto"/>
          <w:sz w:val="28"/>
          <w:szCs w:val="28"/>
          <w:highlight w:val="none"/>
        </w:rPr>
      </w:pPr>
      <w:r>
        <w:rPr>
          <w:rFonts w:hint="eastAsia" w:ascii="宋体" w:hAnsi="宋体"/>
          <w:b/>
          <w:bCs/>
          <w:color w:val="auto"/>
          <w:sz w:val="28"/>
          <w:szCs w:val="28"/>
          <w:highlight w:val="none"/>
        </w:rPr>
        <w:t>廉 政 合 同</w:t>
      </w:r>
    </w:p>
    <w:p w14:paraId="7180F8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（项目名称）的项目法人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（项目法人名称，以下简称“发包人”）与该项目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标段的施工单位（施工单位，以下简称“承包人”），特订立如下合同。</w:t>
      </w:r>
    </w:p>
    <w:p w14:paraId="321CDB4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1．发包人和承包人双方的权利和义务</w:t>
      </w:r>
    </w:p>
    <w:p w14:paraId="75BCC3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（1）严格遵守党的政策规定和国家有关法律法规及交通部的有关规定。</w:t>
      </w:r>
    </w:p>
    <w:p w14:paraId="37936E7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（2）严格执行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标段施工的合同文件，自觉按合同办事。</w:t>
      </w:r>
    </w:p>
    <w:p w14:paraId="0BCD90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（3）双方的业务活动坚持公开、公正、诚信、透明的原则（法律认定的商业秘密和合同文件另有规定除外），不得损害国家和集体利益，违反工程建设管理规章制度。</w:t>
      </w:r>
    </w:p>
    <w:p w14:paraId="37B749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（4）建立健全廉政制度，开展廉政教育，设立廉政告示牌，公布举报电话，监督并认真查处违法违纪行为。</w:t>
      </w:r>
    </w:p>
    <w:p w14:paraId="045689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（5）发现对方在业务活动中有违反廉政规定的行为，有及时提醒对方纠正的权利和义务。</w:t>
      </w:r>
    </w:p>
    <w:p w14:paraId="3692EB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（6）发现对方严重违反本合同义务条款的行为，有向其上级有关部门举报、建议给予处理并要求告知处理结果的权利；</w:t>
      </w:r>
    </w:p>
    <w:p w14:paraId="49E4DE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2．发包人的义务</w:t>
      </w:r>
    </w:p>
    <w:p w14:paraId="71C43F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（1）发包人及其工作人员不得索要或接受承包人的礼金、有价证券和贵重物品，不得</w:t>
      </w:r>
      <w:r>
        <w:rPr>
          <w:rFonts w:hint="eastAsia" w:ascii="宋体" w:hAnsi="宋体"/>
          <w:color w:val="auto"/>
          <w:sz w:val="24"/>
          <w:szCs w:val="24"/>
          <w:highlight w:val="none"/>
          <w:lang w:eastAsia="zh-CN"/>
        </w:rPr>
        <w:t>让</w:t>
      </w:r>
      <w:r>
        <w:rPr>
          <w:rFonts w:hint="eastAsia" w:ascii="宋体" w:hAnsi="宋体"/>
          <w:color w:val="auto"/>
          <w:sz w:val="24"/>
          <w:szCs w:val="24"/>
          <w:highlight w:val="none"/>
        </w:rPr>
        <w:t>承包人报销任何应由发包人或发包人工作人员个人支付的费用等。</w:t>
      </w:r>
    </w:p>
    <w:p w14:paraId="3B08C1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（2）发包人工作人员不得参加承包人安排的超标准宴请和娱乐活动；不得接受承包人提供的通讯工具、交通工具和高档办公用品等。</w:t>
      </w:r>
    </w:p>
    <w:p w14:paraId="1D8BEF3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（3）发包人及其工作人员不得要求或者接受承包人为其住房装修、婚丧嫁娶活动、配偶子女的工作安排以及出国出境、旅游等提供方便等。</w:t>
      </w:r>
    </w:p>
    <w:p w14:paraId="3391E4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（4）发包人工作人员及其配偶、子女不得从事与发包</w:t>
      </w:r>
      <w:r>
        <w:rPr>
          <w:rFonts w:hint="eastAsia" w:ascii="宋体" w:hAnsi="宋体"/>
          <w:color w:val="auto"/>
          <w:sz w:val="24"/>
          <w:szCs w:val="24"/>
          <w:highlight w:val="none"/>
          <w:lang w:eastAsia="zh-CN"/>
        </w:rPr>
        <w:t>人</w:t>
      </w:r>
      <w:r>
        <w:rPr>
          <w:rFonts w:hint="eastAsia" w:ascii="宋体" w:hAnsi="宋体"/>
          <w:color w:val="auto"/>
          <w:sz w:val="24"/>
          <w:szCs w:val="24"/>
          <w:highlight w:val="none"/>
        </w:rPr>
        <w:t>工程有关的材料设备供应、工程分包、劳务等经济活动等。</w:t>
      </w:r>
    </w:p>
    <w:p w14:paraId="7E1BB97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（5）发包人及其工作人员不得以任何理由向承包人推荐分包单位或推销材料，不得要求承包人购买合同规定外的材料和设备。</w:t>
      </w:r>
    </w:p>
    <w:p w14:paraId="6E1FE30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（6）发包人工作人员要秉公办事，不准营私舞弊，不准利用职权从事各种个人有偿中介活动和安排个人施工队伍。</w:t>
      </w:r>
    </w:p>
    <w:p w14:paraId="375DE3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3．承包人的义务</w:t>
      </w:r>
    </w:p>
    <w:p w14:paraId="2CA5E7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（1）承包人不得以任何理由向发包人及其工作人员行贿或馈赠礼金、有价证券、贵重礼品。</w:t>
      </w:r>
    </w:p>
    <w:p w14:paraId="052A39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（2）承包人不得以任何名义为发包人及其工作人员报销应由发包人单位或个人支付的任何费用。</w:t>
      </w:r>
    </w:p>
    <w:p w14:paraId="7DDF9D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（3）承包人不得以任何理由安排发包人工作人员参加超标准宴请及娱乐活动。</w:t>
      </w:r>
    </w:p>
    <w:p w14:paraId="28D035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（4）承包人不得为发包人单位和个人购置或提供通讯工具、交通工具和高档办公用品等。</w:t>
      </w:r>
    </w:p>
    <w:p w14:paraId="52F636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4．违约责任</w:t>
      </w:r>
    </w:p>
    <w:p w14:paraId="61E101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（1）发包人及其工作人员违反本合同第1、2条，按管理权限，依据有关规定给予党纪、政纪或组织处理；涉嫌犯罪的，移交司法机关追究刑事责任；给承包人单位造成经济损失的，应予以赔偿。</w:t>
      </w:r>
    </w:p>
    <w:p w14:paraId="133EC3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及其工作人员违反本合同第1、3条，按管理权限，依据有关规定给予党纪、政纪或组织处理；给发包人单位造成经济损失的，应予以赔偿；情节严重的，发包人建议交通工程建设主管部门给予承包人一至三年内不得进入其主管的交通工程建设市场的处罚。</w:t>
      </w:r>
    </w:p>
    <w:p w14:paraId="1A9A90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611C7E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6．本合同有效期为发包人和承包人签署之日起至该工程项目竣工验收后止。</w:t>
      </w:r>
    </w:p>
    <w:p w14:paraId="2AECB4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7．本合同作为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标段施工合同的附件，与工程施工合同具有同等的法律效力，经合同双方签署立即生效。</w:t>
      </w:r>
    </w:p>
    <w:p w14:paraId="5B7D0C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8．本合同一式四份，由发包人和承包人双方各执一份，送交发包人和承包人的监督单位各一份。</w:t>
      </w:r>
    </w:p>
    <w:p w14:paraId="747B021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  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w:t>
      </w:r>
    </w:p>
    <w:p w14:paraId="5C81DFD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  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09226CCD">
      <w:pPr>
        <w:keepNext w:val="0"/>
        <w:keepLines w:val="0"/>
        <w:pageBreakBefore w:val="0"/>
        <w:widowControl w:val="0"/>
        <w:kinsoku/>
        <w:wordWrap/>
        <w:overflowPunct/>
        <w:topLinePunct w:val="0"/>
        <w:autoSpaceDE/>
        <w:autoSpaceDN/>
        <w:bidi w:val="0"/>
        <w:adjustRightInd w:val="0"/>
        <w:snapToGrid w:val="0"/>
        <w:spacing w:line="360" w:lineRule="auto"/>
        <w:ind w:firstLine="2160" w:firstLineChars="900"/>
        <w:textAlignment w:val="auto"/>
        <w:rPr>
          <w:rFonts w:ascii="宋体" w:hAnsi="宋体"/>
          <w:color w:val="auto"/>
          <w:sz w:val="24"/>
          <w:szCs w:val="24"/>
          <w:highlight w:val="none"/>
        </w:rPr>
      </w:pPr>
      <w:r>
        <w:rPr>
          <w:rFonts w:hint="eastAsia" w:ascii="宋体" w:hAnsi="宋体"/>
          <w:color w:val="auto"/>
          <w:sz w:val="24"/>
          <w:szCs w:val="24"/>
          <w:highlight w:val="none"/>
        </w:rPr>
        <w:t>_____年____月____日                  _____年_____月____日</w:t>
      </w:r>
    </w:p>
    <w:p w14:paraId="7AA5C96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发包人监督单位：</w:t>
      </w:r>
      <w:r>
        <w:rPr>
          <w:rFonts w:hint="eastAsia" w:ascii="宋体" w:hAnsi="宋体"/>
          <w:color w:val="auto"/>
          <w:sz w:val="24"/>
          <w:szCs w:val="24"/>
          <w:highlight w:val="none"/>
          <w:u w:val="single"/>
        </w:rPr>
        <w:t>（全称）（盖单位章）</w:t>
      </w:r>
      <w:r>
        <w:rPr>
          <w:rFonts w:hint="eastAsia" w:ascii="宋体" w:hAnsi="宋体"/>
          <w:color w:val="auto"/>
          <w:sz w:val="24"/>
          <w:szCs w:val="24"/>
          <w:highlight w:val="none"/>
        </w:rPr>
        <w:t xml:space="preserve">    </w:t>
      </w:r>
      <w:r>
        <w:rPr>
          <w:rFonts w:hint="eastAsia" w:ascii="宋体" w:hAnsi="宋体"/>
          <w:color w:val="auto"/>
          <w:sz w:val="24"/>
          <w:szCs w:val="24"/>
          <w:highlight w:val="none"/>
          <w:u w:val="none"/>
        </w:rPr>
        <w:t>承包人监督单位：</w:t>
      </w:r>
      <w:r>
        <w:rPr>
          <w:rFonts w:hint="eastAsia" w:ascii="宋体" w:hAnsi="宋体"/>
          <w:color w:val="auto"/>
          <w:sz w:val="24"/>
          <w:szCs w:val="24"/>
          <w:highlight w:val="none"/>
          <w:u w:val="single"/>
        </w:rPr>
        <w:t>（全称）（盖单位章）</w:t>
      </w:r>
      <w:r>
        <w:rPr>
          <w:rFonts w:hint="eastAsia" w:ascii="宋体" w:hAnsi="宋体"/>
          <w:color w:val="auto"/>
          <w:sz w:val="24"/>
          <w:szCs w:val="24"/>
          <w:highlight w:val="none"/>
        </w:rPr>
        <w:br w:type="page"/>
      </w:r>
      <w:r>
        <w:rPr>
          <w:rFonts w:hint="eastAsia" w:ascii="宋体" w:hAnsi="宋体"/>
          <w:b/>
          <w:bCs/>
          <w:color w:val="auto"/>
          <w:sz w:val="24"/>
          <w:szCs w:val="24"/>
          <w:highlight w:val="none"/>
        </w:rPr>
        <w:t>附件三 安全生产合同</w:t>
      </w:r>
    </w:p>
    <w:p w14:paraId="6F1321C0">
      <w:pPr>
        <w:autoSpaceDE w:val="0"/>
        <w:adjustRightInd w:val="0"/>
        <w:snapToGrid w:val="0"/>
        <w:spacing w:afterLines="50" w:line="331" w:lineRule="auto"/>
        <w:jc w:val="center"/>
        <w:rPr>
          <w:rFonts w:ascii="宋体" w:hAnsi="宋体"/>
          <w:color w:val="auto"/>
          <w:sz w:val="28"/>
          <w:szCs w:val="28"/>
          <w:highlight w:val="none"/>
        </w:rPr>
      </w:pPr>
      <w:r>
        <w:rPr>
          <w:rFonts w:hint="eastAsia" w:ascii="宋体" w:hAnsi="宋体"/>
          <w:b/>
          <w:bCs/>
          <w:color w:val="auto"/>
          <w:sz w:val="28"/>
          <w:szCs w:val="28"/>
          <w:highlight w:val="none"/>
        </w:rPr>
        <w:t>安全生产合同</w:t>
      </w:r>
    </w:p>
    <w:p w14:paraId="60F55063">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为在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标段施工合同的实施过程中创造安全、高效的施工环境，切实搞好本项目的安全管理工作，本项目发包人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（发包人名称，以下简称“发包人”）与承包人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（承包人名称，以下简称“承包人” ）特此签订安全生产合同。</w:t>
      </w:r>
    </w:p>
    <w:p w14:paraId="5C4D4F74">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1、发包人职责</w:t>
      </w:r>
    </w:p>
    <w:p w14:paraId="46C76D09">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（1）严格遵守国家有关安全生产的法律法规，认真执行工程承包合同中的有关安全要求。</w:t>
      </w:r>
    </w:p>
    <w:p w14:paraId="0109BDA9">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（2）按照“安全第一、预防为主”和坚持“管生产必须管安全”的原则进行安全生产管理，做到生产与安全工作同时计划、布置、检查、总结和评比。</w:t>
      </w:r>
    </w:p>
    <w:p w14:paraId="6DE4A61B">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（3）重要的安全设施必须坚持与主体工程“三同时”的原则，即：同时设计、审批，同时施工，同时验收，投入使用。</w:t>
      </w:r>
    </w:p>
    <w:p w14:paraId="6B6DB760">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（4）定期召开安全生产调度会，及时传达中央及地方有关安全生产的精神。</w:t>
      </w:r>
    </w:p>
    <w:p w14:paraId="09102049">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（5）组织对承包人施工现场安全生产检查，监督承包人及时处理发现的各种安全隐患。</w:t>
      </w:r>
    </w:p>
    <w:p w14:paraId="33828DA7">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2、承包人职责</w:t>
      </w:r>
    </w:p>
    <w:p w14:paraId="2366E96B">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p>
    <w:p w14:paraId="70FF7D59">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449F6DF3">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5AF5B740">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（4）承包人在任何时候都应采取各种合理的预防措施，防止其员工发生任何违法、违禁、暴力或妨碍治安的行为。</w:t>
      </w:r>
    </w:p>
    <w:p w14:paraId="754A186F">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02C2DEB">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53F40B8F">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（7）操作人员上岗，必须按规定穿戴防护用品。施工负责人和安全检查员应随时检查劳动防护用品的穿戴情况，不按规定穿戴防护用品的人员不得上岗。</w:t>
      </w:r>
    </w:p>
    <w:p w14:paraId="43B5D71C">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（8）所有施工机具设备和高空作业的设备均应定期检查，并有安全员的签字记录，保证其经常处于完好状态；不合格的机具、设备和劳动保护用品严禁使用。</w:t>
      </w:r>
    </w:p>
    <w:p w14:paraId="0BC623C0">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（9）施工中采用新技术、新工艺、新设备、新材料时，必须制定相应的安全技术措施，施工现场必须具有相关的安全标志牌。</w:t>
      </w:r>
    </w:p>
    <w:p w14:paraId="45D614E3">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p>
    <w:p w14:paraId="4A15CAC3">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（11）安全生产费用按照《公路水运工程安全生产监督管理办法》的规定使用和管理。</w:t>
      </w:r>
    </w:p>
    <w:p w14:paraId="3622D905">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3、违约责任</w:t>
      </w:r>
    </w:p>
    <w:p w14:paraId="5ABAE6F2">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如因发包人或承包人违约造成安全事故，将依法追究责任。</w:t>
      </w:r>
    </w:p>
    <w:p w14:paraId="779C44E0">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4、本合同由双方法定代表人或其授权的代理人签署与加盖公章后生效，全部工程竣工验收后失效。</w:t>
      </w:r>
    </w:p>
    <w:p w14:paraId="7F0EEB7F">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5、本合同正本二份，副本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份，合同双方各执正本一份，副本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份，当正本与副本的内容不一致时，以正本为准。</w:t>
      </w:r>
    </w:p>
    <w:p w14:paraId="3FED633E">
      <w:pPr>
        <w:pStyle w:val="21"/>
        <w:ind w:firstLine="240"/>
        <w:rPr>
          <w:rFonts w:ascii="宋体"/>
          <w:color w:val="auto"/>
          <w:highlight w:val="none"/>
        </w:rPr>
      </w:pPr>
      <w:r>
        <w:rPr>
          <w:rFonts w:hint="eastAsia" w:ascii="宋体"/>
          <w:color w:val="auto"/>
          <w:highlight w:val="none"/>
        </w:rPr>
        <w:t xml:space="preserve"> </w:t>
      </w:r>
    </w:p>
    <w:p w14:paraId="1798A838">
      <w:pPr>
        <w:rPr>
          <w:rFonts w:ascii="宋体" w:hAnsi="宋体"/>
          <w:color w:val="auto"/>
          <w:highlight w:val="none"/>
        </w:rPr>
      </w:pPr>
      <w:r>
        <w:rPr>
          <w:rFonts w:hint="eastAsia" w:ascii="宋体" w:hAnsi="宋体"/>
          <w:color w:val="auto"/>
          <w:highlight w:val="none"/>
        </w:rPr>
        <w:t xml:space="preserve"> </w:t>
      </w:r>
    </w:p>
    <w:p w14:paraId="67E336E9">
      <w:pPr>
        <w:autoSpaceDE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    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w:t>
      </w:r>
    </w:p>
    <w:p w14:paraId="6101F7E0">
      <w:pPr>
        <w:autoSpaceDE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法定代表人或其委托代理人：___（签字）   法定代表人或其委托代理人：___（签字）</w:t>
      </w:r>
    </w:p>
    <w:p w14:paraId="618CFB14">
      <w:pPr>
        <w:autoSpaceDE w:val="0"/>
        <w:adjustRightInd w:val="0"/>
        <w:snapToGrid w:val="0"/>
        <w:spacing w:line="360" w:lineRule="auto"/>
        <w:ind w:firstLine="2160" w:firstLineChars="9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年___月___日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年___月___日</w:t>
      </w:r>
    </w:p>
    <w:p w14:paraId="4C8E2A5D">
      <w:pPr>
        <w:pStyle w:val="21"/>
        <w:ind w:firstLine="240"/>
        <w:rPr>
          <w:rFonts w:ascii="宋体"/>
          <w:color w:val="auto"/>
          <w:highlight w:val="none"/>
        </w:rPr>
      </w:pPr>
      <w:r>
        <w:rPr>
          <w:rFonts w:hint="eastAsia" w:ascii="宋体"/>
          <w:color w:val="auto"/>
          <w:highlight w:val="none"/>
        </w:rPr>
        <w:t xml:space="preserve"> </w:t>
      </w:r>
    </w:p>
    <w:p w14:paraId="3DA2AA34">
      <w:pPr>
        <w:rPr>
          <w:rFonts w:ascii="宋体" w:hAnsi="宋体"/>
          <w:color w:val="auto"/>
          <w:sz w:val="24"/>
          <w:szCs w:val="24"/>
          <w:highlight w:val="none"/>
        </w:rPr>
      </w:pPr>
      <w:r>
        <w:rPr>
          <w:rFonts w:hint="eastAsia" w:ascii="宋体" w:hAnsi="宋体"/>
          <w:color w:val="auto"/>
          <w:sz w:val="24"/>
          <w:szCs w:val="24"/>
          <w:highlight w:val="none"/>
        </w:rPr>
        <w:t xml:space="preserve"> </w:t>
      </w:r>
    </w:p>
    <w:p w14:paraId="1F902F8D">
      <w:pPr>
        <w:pStyle w:val="21"/>
        <w:ind w:firstLine="240"/>
        <w:rPr>
          <w:rFonts w:ascii="宋体"/>
          <w:color w:val="auto"/>
          <w:highlight w:val="none"/>
        </w:rPr>
      </w:pPr>
      <w:r>
        <w:rPr>
          <w:rFonts w:hint="eastAsia" w:ascii="宋体"/>
          <w:color w:val="auto"/>
          <w:highlight w:val="none"/>
        </w:rPr>
        <w:t xml:space="preserve"> </w:t>
      </w:r>
    </w:p>
    <w:p w14:paraId="1ABE48AE">
      <w:pPr>
        <w:rPr>
          <w:rFonts w:ascii="宋体" w:hAnsi="宋体"/>
          <w:color w:val="auto"/>
          <w:sz w:val="24"/>
          <w:szCs w:val="24"/>
          <w:highlight w:val="none"/>
        </w:rPr>
      </w:pPr>
      <w:r>
        <w:rPr>
          <w:rFonts w:hint="eastAsia" w:ascii="宋体" w:hAnsi="宋体"/>
          <w:color w:val="auto"/>
          <w:sz w:val="24"/>
          <w:szCs w:val="24"/>
          <w:highlight w:val="none"/>
        </w:rPr>
        <w:t xml:space="preserve"> </w:t>
      </w:r>
    </w:p>
    <w:p w14:paraId="41DC082F">
      <w:pPr>
        <w:pStyle w:val="21"/>
        <w:ind w:firstLine="240"/>
        <w:rPr>
          <w:rFonts w:ascii="宋体"/>
          <w:color w:val="auto"/>
          <w:highlight w:val="none"/>
        </w:rPr>
      </w:pPr>
      <w:r>
        <w:rPr>
          <w:rFonts w:hint="eastAsia" w:ascii="宋体"/>
          <w:color w:val="auto"/>
          <w:highlight w:val="none"/>
        </w:rPr>
        <w:t xml:space="preserve"> </w:t>
      </w:r>
    </w:p>
    <w:p w14:paraId="1D9127A9">
      <w:pPr>
        <w:rPr>
          <w:rFonts w:ascii="宋体" w:hAnsi="宋体"/>
          <w:color w:val="auto"/>
          <w:sz w:val="24"/>
          <w:szCs w:val="24"/>
          <w:highlight w:val="none"/>
        </w:rPr>
      </w:pPr>
      <w:r>
        <w:rPr>
          <w:rFonts w:hint="eastAsia" w:ascii="宋体" w:hAnsi="宋体"/>
          <w:color w:val="auto"/>
          <w:sz w:val="24"/>
          <w:szCs w:val="24"/>
          <w:highlight w:val="none"/>
        </w:rPr>
        <w:t xml:space="preserve"> </w:t>
      </w:r>
    </w:p>
    <w:p w14:paraId="7DDDA968">
      <w:pPr>
        <w:pStyle w:val="21"/>
        <w:ind w:firstLine="240"/>
        <w:rPr>
          <w:rFonts w:ascii="宋体"/>
          <w:color w:val="auto"/>
          <w:highlight w:val="none"/>
        </w:rPr>
      </w:pPr>
      <w:r>
        <w:rPr>
          <w:rFonts w:hint="eastAsia" w:ascii="宋体"/>
          <w:color w:val="auto"/>
          <w:highlight w:val="none"/>
        </w:rPr>
        <w:t xml:space="preserve"> </w:t>
      </w:r>
    </w:p>
    <w:p w14:paraId="3F3972E5">
      <w:pPr>
        <w:rPr>
          <w:rFonts w:ascii="宋体" w:hAnsi="宋体"/>
          <w:color w:val="auto"/>
          <w:sz w:val="24"/>
          <w:szCs w:val="24"/>
          <w:highlight w:val="none"/>
        </w:rPr>
      </w:pPr>
      <w:r>
        <w:rPr>
          <w:rFonts w:hint="eastAsia" w:ascii="宋体" w:hAnsi="宋体"/>
          <w:color w:val="auto"/>
          <w:sz w:val="24"/>
          <w:szCs w:val="24"/>
          <w:highlight w:val="none"/>
        </w:rPr>
        <w:t xml:space="preserve"> </w:t>
      </w:r>
    </w:p>
    <w:p w14:paraId="7B88D4CA">
      <w:pPr>
        <w:pStyle w:val="21"/>
        <w:ind w:firstLine="240"/>
        <w:rPr>
          <w:rFonts w:ascii="宋体"/>
          <w:color w:val="auto"/>
          <w:highlight w:val="none"/>
        </w:rPr>
      </w:pPr>
      <w:r>
        <w:rPr>
          <w:rFonts w:hint="eastAsia" w:ascii="宋体"/>
          <w:color w:val="auto"/>
          <w:highlight w:val="none"/>
        </w:rPr>
        <w:t xml:space="preserve"> </w:t>
      </w:r>
    </w:p>
    <w:p w14:paraId="7E607C49">
      <w:pPr>
        <w:rPr>
          <w:rFonts w:ascii="宋体" w:hAnsi="宋体"/>
          <w:color w:val="auto"/>
          <w:sz w:val="24"/>
          <w:szCs w:val="24"/>
          <w:highlight w:val="none"/>
        </w:rPr>
      </w:pPr>
      <w:r>
        <w:rPr>
          <w:rFonts w:hint="eastAsia" w:ascii="宋体" w:hAnsi="宋体"/>
          <w:color w:val="auto"/>
          <w:sz w:val="24"/>
          <w:szCs w:val="24"/>
          <w:highlight w:val="none"/>
        </w:rPr>
        <w:t xml:space="preserve"> </w:t>
      </w:r>
    </w:p>
    <w:p w14:paraId="48B054CA">
      <w:pPr>
        <w:pStyle w:val="21"/>
        <w:ind w:firstLine="240"/>
        <w:rPr>
          <w:rFonts w:ascii="宋体"/>
          <w:color w:val="auto"/>
          <w:highlight w:val="none"/>
        </w:rPr>
      </w:pPr>
      <w:r>
        <w:rPr>
          <w:rFonts w:hint="eastAsia" w:ascii="宋体"/>
          <w:color w:val="auto"/>
          <w:highlight w:val="none"/>
        </w:rPr>
        <w:t xml:space="preserve"> </w:t>
      </w:r>
    </w:p>
    <w:p w14:paraId="2DC7064A">
      <w:pPr>
        <w:rPr>
          <w:rFonts w:ascii="宋体" w:hAnsi="宋体"/>
          <w:color w:val="auto"/>
          <w:sz w:val="24"/>
          <w:szCs w:val="24"/>
          <w:highlight w:val="none"/>
        </w:rPr>
      </w:pPr>
      <w:r>
        <w:rPr>
          <w:rFonts w:hint="eastAsia" w:ascii="宋体" w:hAnsi="宋体"/>
          <w:color w:val="auto"/>
          <w:sz w:val="24"/>
          <w:szCs w:val="24"/>
          <w:highlight w:val="none"/>
        </w:rPr>
        <w:t xml:space="preserve"> </w:t>
      </w:r>
    </w:p>
    <w:p w14:paraId="6BD93A96">
      <w:pPr>
        <w:pStyle w:val="21"/>
        <w:ind w:firstLine="240"/>
        <w:rPr>
          <w:rFonts w:ascii="宋体"/>
          <w:color w:val="auto"/>
          <w:highlight w:val="none"/>
        </w:rPr>
      </w:pPr>
      <w:r>
        <w:rPr>
          <w:rFonts w:hint="eastAsia" w:ascii="宋体"/>
          <w:color w:val="auto"/>
          <w:highlight w:val="none"/>
        </w:rPr>
        <w:t xml:space="preserve"> </w:t>
      </w:r>
    </w:p>
    <w:p w14:paraId="0381A703">
      <w:pPr>
        <w:rPr>
          <w:rFonts w:ascii="宋体" w:hAnsi="宋体"/>
          <w:color w:val="auto"/>
          <w:sz w:val="24"/>
          <w:szCs w:val="24"/>
          <w:highlight w:val="none"/>
        </w:rPr>
      </w:pPr>
      <w:r>
        <w:rPr>
          <w:rFonts w:hint="eastAsia" w:ascii="宋体" w:hAnsi="宋体"/>
          <w:color w:val="auto"/>
          <w:sz w:val="24"/>
          <w:szCs w:val="24"/>
          <w:highlight w:val="none"/>
        </w:rPr>
        <w:t xml:space="preserve"> </w:t>
      </w:r>
    </w:p>
    <w:p w14:paraId="7CEA4AE2">
      <w:pPr>
        <w:pStyle w:val="21"/>
        <w:ind w:firstLine="240"/>
        <w:rPr>
          <w:rFonts w:ascii="宋体"/>
          <w:color w:val="auto"/>
          <w:highlight w:val="none"/>
        </w:rPr>
      </w:pPr>
      <w:r>
        <w:rPr>
          <w:rFonts w:hint="eastAsia" w:ascii="宋体"/>
          <w:color w:val="auto"/>
          <w:highlight w:val="none"/>
        </w:rPr>
        <w:t xml:space="preserve"> </w:t>
      </w:r>
    </w:p>
    <w:p w14:paraId="5E3C045A">
      <w:pPr>
        <w:rPr>
          <w:rFonts w:ascii="宋体" w:hAnsi="宋体"/>
          <w:color w:val="auto"/>
          <w:sz w:val="24"/>
          <w:szCs w:val="24"/>
          <w:highlight w:val="none"/>
        </w:rPr>
      </w:pPr>
      <w:r>
        <w:rPr>
          <w:rFonts w:hint="eastAsia" w:ascii="宋体" w:hAnsi="宋体"/>
          <w:color w:val="auto"/>
          <w:sz w:val="24"/>
          <w:szCs w:val="24"/>
          <w:highlight w:val="none"/>
        </w:rPr>
        <w:t xml:space="preserve"> </w:t>
      </w:r>
    </w:p>
    <w:p w14:paraId="512C3932">
      <w:pPr>
        <w:pStyle w:val="21"/>
        <w:ind w:firstLine="240"/>
        <w:rPr>
          <w:rFonts w:ascii="宋体"/>
          <w:color w:val="auto"/>
          <w:highlight w:val="none"/>
        </w:rPr>
      </w:pPr>
      <w:r>
        <w:rPr>
          <w:rFonts w:hint="eastAsia" w:ascii="宋体"/>
          <w:color w:val="auto"/>
          <w:highlight w:val="none"/>
        </w:rPr>
        <w:t xml:space="preserve"> </w:t>
      </w:r>
    </w:p>
    <w:p w14:paraId="13185FB6">
      <w:pPr>
        <w:rPr>
          <w:rFonts w:ascii="宋体" w:hAnsi="宋体"/>
          <w:color w:val="auto"/>
          <w:sz w:val="24"/>
          <w:szCs w:val="24"/>
          <w:highlight w:val="none"/>
        </w:rPr>
      </w:pPr>
      <w:r>
        <w:rPr>
          <w:rFonts w:hint="eastAsia" w:ascii="宋体" w:hAnsi="宋体"/>
          <w:color w:val="auto"/>
          <w:sz w:val="24"/>
          <w:szCs w:val="24"/>
          <w:highlight w:val="none"/>
        </w:rPr>
        <w:t xml:space="preserve"> </w:t>
      </w:r>
    </w:p>
    <w:p w14:paraId="6AD587DE">
      <w:pPr>
        <w:pStyle w:val="21"/>
        <w:ind w:firstLine="240"/>
        <w:rPr>
          <w:rFonts w:ascii="宋体"/>
          <w:color w:val="auto"/>
          <w:highlight w:val="none"/>
        </w:rPr>
      </w:pPr>
      <w:r>
        <w:rPr>
          <w:rFonts w:hint="eastAsia" w:ascii="宋体"/>
          <w:color w:val="auto"/>
          <w:highlight w:val="none"/>
        </w:rPr>
        <w:t xml:space="preserve"> </w:t>
      </w:r>
    </w:p>
    <w:p w14:paraId="0BB01DE1">
      <w:pPr>
        <w:rPr>
          <w:rFonts w:ascii="宋体" w:hAnsi="宋体"/>
          <w:color w:val="auto"/>
          <w:sz w:val="24"/>
          <w:szCs w:val="24"/>
          <w:highlight w:val="none"/>
        </w:rPr>
      </w:pPr>
      <w:r>
        <w:rPr>
          <w:rFonts w:hint="eastAsia" w:ascii="宋体" w:hAnsi="宋体"/>
          <w:color w:val="auto"/>
          <w:sz w:val="24"/>
          <w:szCs w:val="24"/>
          <w:highlight w:val="none"/>
        </w:rPr>
        <w:t xml:space="preserve"> </w:t>
      </w:r>
    </w:p>
    <w:p w14:paraId="69370E9A">
      <w:pPr>
        <w:pStyle w:val="21"/>
        <w:ind w:firstLine="240"/>
        <w:rPr>
          <w:rFonts w:ascii="宋体"/>
          <w:color w:val="auto"/>
          <w:highlight w:val="none"/>
        </w:rPr>
      </w:pPr>
      <w:r>
        <w:rPr>
          <w:rFonts w:hint="eastAsia" w:ascii="宋体"/>
          <w:color w:val="auto"/>
          <w:highlight w:val="none"/>
        </w:rPr>
        <w:t xml:space="preserve"> </w:t>
      </w:r>
    </w:p>
    <w:p w14:paraId="6243EBF2">
      <w:pPr>
        <w:rPr>
          <w:rFonts w:ascii="宋体" w:hAnsi="宋体"/>
          <w:color w:val="auto"/>
          <w:sz w:val="24"/>
          <w:szCs w:val="24"/>
          <w:highlight w:val="none"/>
        </w:rPr>
      </w:pPr>
      <w:r>
        <w:rPr>
          <w:rFonts w:hint="eastAsia" w:ascii="宋体" w:hAnsi="宋体"/>
          <w:color w:val="auto"/>
          <w:sz w:val="24"/>
          <w:szCs w:val="24"/>
          <w:highlight w:val="none"/>
        </w:rPr>
        <w:t xml:space="preserve"> </w:t>
      </w:r>
    </w:p>
    <w:p w14:paraId="599EEC1A">
      <w:pPr>
        <w:pStyle w:val="21"/>
        <w:ind w:firstLine="240"/>
        <w:rPr>
          <w:rFonts w:ascii="宋体"/>
          <w:color w:val="auto"/>
          <w:highlight w:val="none"/>
        </w:rPr>
      </w:pPr>
      <w:r>
        <w:rPr>
          <w:rFonts w:hint="eastAsia" w:ascii="宋体"/>
          <w:color w:val="auto"/>
          <w:highlight w:val="none"/>
        </w:rPr>
        <w:t xml:space="preserve"> </w:t>
      </w:r>
    </w:p>
    <w:p w14:paraId="6884497F">
      <w:pPr>
        <w:rPr>
          <w:rFonts w:ascii="宋体" w:hAnsi="宋体"/>
          <w:color w:val="auto"/>
          <w:sz w:val="24"/>
          <w:szCs w:val="24"/>
          <w:highlight w:val="none"/>
        </w:rPr>
      </w:pPr>
      <w:r>
        <w:rPr>
          <w:rFonts w:hint="eastAsia" w:ascii="宋体" w:hAnsi="宋体"/>
          <w:color w:val="auto"/>
          <w:sz w:val="24"/>
          <w:szCs w:val="24"/>
          <w:highlight w:val="none"/>
        </w:rPr>
        <w:t xml:space="preserve"> </w:t>
      </w:r>
    </w:p>
    <w:p w14:paraId="17674FA9">
      <w:pPr>
        <w:pStyle w:val="21"/>
        <w:ind w:firstLine="240"/>
        <w:rPr>
          <w:rFonts w:ascii="宋体"/>
          <w:color w:val="auto"/>
          <w:highlight w:val="none"/>
        </w:rPr>
      </w:pPr>
      <w:r>
        <w:rPr>
          <w:rFonts w:hint="eastAsia" w:ascii="宋体"/>
          <w:color w:val="auto"/>
          <w:highlight w:val="none"/>
        </w:rPr>
        <w:t xml:space="preserve"> </w:t>
      </w:r>
    </w:p>
    <w:p w14:paraId="779DEE29">
      <w:pPr>
        <w:rPr>
          <w:rFonts w:ascii="宋体" w:hAnsi="宋体"/>
          <w:color w:val="auto"/>
          <w:sz w:val="24"/>
          <w:szCs w:val="24"/>
          <w:highlight w:val="none"/>
        </w:rPr>
      </w:pPr>
      <w:r>
        <w:rPr>
          <w:rFonts w:hint="eastAsia" w:ascii="宋体" w:hAnsi="宋体"/>
          <w:color w:val="auto"/>
          <w:sz w:val="24"/>
          <w:szCs w:val="24"/>
          <w:highlight w:val="none"/>
        </w:rPr>
        <w:t xml:space="preserve"> </w:t>
      </w:r>
    </w:p>
    <w:p w14:paraId="21AFE5D2">
      <w:pPr>
        <w:adjustRightInd w:val="0"/>
        <w:snapToGrid w:val="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 </w:t>
      </w:r>
      <w:r>
        <w:rPr>
          <w:rFonts w:hint="eastAsia" w:ascii="宋体" w:hAnsi="宋体"/>
          <w:b/>
          <w:color w:val="auto"/>
          <w:sz w:val="24"/>
          <w:szCs w:val="24"/>
          <w:highlight w:val="none"/>
        </w:rPr>
        <w:t>附件</w:t>
      </w:r>
      <w:r>
        <w:rPr>
          <w:rFonts w:hint="eastAsia" w:ascii="宋体" w:hAnsi="宋体"/>
          <w:b/>
          <w:color w:val="auto"/>
          <w:sz w:val="24"/>
          <w:szCs w:val="24"/>
          <w:highlight w:val="none"/>
          <w:lang w:eastAsia="zh-CN"/>
        </w:rPr>
        <w:t>四</w:t>
      </w:r>
      <w:r>
        <w:rPr>
          <w:rFonts w:hint="eastAsia" w:ascii="宋体" w:hAnsi="宋体"/>
          <w:b/>
          <w:color w:val="auto"/>
          <w:sz w:val="24"/>
          <w:szCs w:val="24"/>
          <w:highlight w:val="none"/>
        </w:rPr>
        <w:t xml:space="preserve"> 项目经理委任书</w:t>
      </w:r>
    </w:p>
    <w:p w14:paraId="09B62839">
      <w:pPr>
        <w:adjustRightInd w:val="0"/>
        <w:snapToGrid w:val="0"/>
        <w:spacing w:line="360" w:lineRule="auto"/>
        <w:jc w:val="center"/>
        <w:rPr>
          <w:rFonts w:ascii="宋体" w:hAnsi="宋体"/>
          <w:color w:val="auto"/>
          <w:sz w:val="28"/>
          <w:szCs w:val="28"/>
          <w:highlight w:val="none"/>
          <w:u w:val="single"/>
        </w:rPr>
      </w:pPr>
      <w:r>
        <w:rPr>
          <w:rFonts w:hint="eastAsia" w:ascii="宋体" w:hAnsi="宋体"/>
          <w:color w:val="auto"/>
          <w:sz w:val="28"/>
          <w:szCs w:val="28"/>
          <w:highlight w:val="none"/>
          <w:u w:val="single"/>
        </w:rPr>
        <w:t>（承包人全称）</w:t>
      </w:r>
    </w:p>
    <w:p w14:paraId="119950E4">
      <w:pPr>
        <w:adjustRightInd w:val="0"/>
        <w:snapToGrid w:val="0"/>
        <w:spacing w:line="360" w:lineRule="auto"/>
        <w:jc w:val="center"/>
        <w:rPr>
          <w:rFonts w:ascii="宋体" w:hAnsi="宋体"/>
          <w:color w:val="auto"/>
          <w:sz w:val="24"/>
          <w:szCs w:val="24"/>
          <w:highlight w:val="none"/>
        </w:rPr>
      </w:pPr>
      <w:r>
        <w:rPr>
          <w:rFonts w:hint="eastAsia" w:ascii="宋体" w:hAnsi="宋体"/>
          <w:color w:val="auto"/>
          <w:sz w:val="28"/>
          <w:szCs w:val="28"/>
          <w:highlight w:val="none"/>
          <w:u w:val="single"/>
        </w:rPr>
        <w:t>（合同工程名称）</w:t>
      </w:r>
      <w:r>
        <w:rPr>
          <w:rFonts w:hint="eastAsia" w:ascii="宋体" w:hAnsi="宋体"/>
          <w:color w:val="auto"/>
          <w:sz w:val="28"/>
          <w:szCs w:val="28"/>
          <w:highlight w:val="none"/>
        </w:rPr>
        <w:t>项目经理委任书</w:t>
      </w:r>
    </w:p>
    <w:p w14:paraId="5BF61412">
      <w:pPr>
        <w:adjustRightInd w:val="0"/>
        <w:snapToGrid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 xml:space="preserve"> </w:t>
      </w:r>
    </w:p>
    <w:p w14:paraId="45CA5FC6">
      <w:pPr>
        <w:adjustRightInd w:val="0"/>
        <w:snapToGrid w:val="0"/>
        <w:spacing w:line="360" w:lineRule="auto"/>
        <w:jc w:val="left"/>
        <w:rPr>
          <w:rFonts w:ascii="宋体" w:hAnsi="宋体"/>
          <w:color w:val="auto"/>
          <w:sz w:val="24"/>
          <w:szCs w:val="24"/>
          <w:highlight w:val="none"/>
        </w:rPr>
      </w:pPr>
      <w:r>
        <w:rPr>
          <w:rFonts w:hint="eastAsia" w:ascii="宋体" w:hAnsi="宋体"/>
          <w:color w:val="auto"/>
          <w:sz w:val="24"/>
          <w:szCs w:val="24"/>
          <w:highlight w:val="none"/>
        </w:rPr>
        <w:t>致：</w:t>
      </w:r>
      <w:r>
        <w:rPr>
          <w:rFonts w:hint="eastAsia" w:ascii="宋体" w:hAnsi="宋体"/>
          <w:color w:val="auto"/>
          <w:sz w:val="24"/>
          <w:szCs w:val="24"/>
          <w:highlight w:val="none"/>
          <w:u w:val="single"/>
        </w:rPr>
        <w:t>（发包人全称）</w:t>
      </w:r>
    </w:p>
    <w:p w14:paraId="72958CAD">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u w:val="single"/>
        </w:rPr>
        <w:t xml:space="preserve">  （承包人全称）  </w:t>
      </w:r>
      <w:r>
        <w:rPr>
          <w:rFonts w:hint="eastAsia" w:ascii="宋体" w:hAnsi="宋体"/>
          <w:color w:val="auto"/>
          <w:sz w:val="24"/>
          <w:szCs w:val="24"/>
          <w:highlight w:val="none"/>
        </w:rPr>
        <w:t>法定代表人</w:t>
      </w:r>
      <w:r>
        <w:rPr>
          <w:rFonts w:hint="eastAsia" w:ascii="宋体" w:hAnsi="宋体"/>
          <w:color w:val="auto"/>
          <w:sz w:val="24"/>
          <w:szCs w:val="24"/>
          <w:highlight w:val="none"/>
          <w:u w:val="single"/>
        </w:rPr>
        <w:t xml:space="preserve">  （职务、姓名）  </w:t>
      </w:r>
      <w:r>
        <w:rPr>
          <w:rFonts w:hint="eastAsia" w:ascii="宋体" w:hAnsi="宋体"/>
          <w:color w:val="auto"/>
          <w:sz w:val="24"/>
          <w:szCs w:val="24"/>
          <w:highlight w:val="none"/>
        </w:rPr>
        <w:t>代表本单位委任</w:t>
      </w:r>
      <w:r>
        <w:rPr>
          <w:rFonts w:hint="eastAsia" w:ascii="宋体" w:hAnsi="宋体"/>
          <w:color w:val="auto"/>
          <w:sz w:val="24"/>
          <w:szCs w:val="24"/>
          <w:highlight w:val="none"/>
          <w:u w:val="single"/>
        </w:rPr>
        <w:t xml:space="preserve">  （职务、姓名）  </w:t>
      </w:r>
      <w:r>
        <w:rPr>
          <w:rFonts w:hint="eastAsia" w:ascii="宋体" w:hAnsi="宋体"/>
          <w:color w:val="auto"/>
          <w:sz w:val="24"/>
          <w:szCs w:val="24"/>
          <w:highlight w:val="none"/>
        </w:rPr>
        <w:t>为</w:t>
      </w:r>
      <w:r>
        <w:rPr>
          <w:rFonts w:hint="eastAsia" w:ascii="宋体" w:hAnsi="宋体"/>
          <w:color w:val="auto"/>
          <w:sz w:val="24"/>
          <w:szCs w:val="24"/>
          <w:highlight w:val="none"/>
          <w:u w:val="single"/>
        </w:rPr>
        <w:t xml:space="preserve">  （合同工程名称）  </w:t>
      </w:r>
      <w:r>
        <w:rPr>
          <w:rFonts w:hint="eastAsia" w:ascii="宋体" w:hAnsi="宋体"/>
          <w:color w:val="auto"/>
          <w:sz w:val="24"/>
          <w:szCs w:val="24"/>
          <w:highlight w:val="none"/>
        </w:rPr>
        <w:t>的项目经理。凡本合同执行中的有关技术、工程进度、现场管理、质量检验、结算与支付等方面工作，由</w:t>
      </w:r>
      <w:r>
        <w:rPr>
          <w:rFonts w:hint="eastAsia" w:ascii="宋体" w:hAnsi="宋体"/>
          <w:color w:val="auto"/>
          <w:sz w:val="24"/>
          <w:szCs w:val="24"/>
          <w:highlight w:val="none"/>
          <w:u w:val="single"/>
        </w:rPr>
        <w:t xml:space="preserve">   （姓名）  </w:t>
      </w:r>
      <w:r>
        <w:rPr>
          <w:rFonts w:hint="eastAsia" w:ascii="宋体" w:hAnsi="宋体"/>
          <w:color w:val="auto"/>
          <w:sz w:val="24"/>
          <w:szCs w:val="24"/>
          <w:highlight w:val="none"/>
        </w:rPr>
        <w:t>代表本单位全面负责。</w:t>
      </w:r>
    </w:p>
    <w:p w14:paraId="56DF1FA7">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3B05991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030CDF08">
      <w:pPr>
        <w:adjustRightInd w:val="0"/>
        <w:snapToGrid w:val="0"/>
        <w:spacing w:line="360" w:lineRule="auto"/>
        <w:ind w:firstLine="4800" w:firstLineChars="2000"/>
        <w:rPr>
          <w:rFonts w:ascii="宋体" w:hAnsi="宋体"/>
          <w:color w:val="auto"/>
          <w:sz w:val="24"/>
          <w:szCs w:val="24"/>
          <w:highlight w:val="none"/>
        </w:rPr>
      </w:pPr>
      <w:r>
        <w:rPr>
          <w:rFonts w:hint="eastAsia" w:ascii="宋体" w:hAnsi="宋体"/>
          <w:color w:val="auto"/>
          <w:sz w:val="24"/>
          <w:szCs w:val="24"/>
          <w:highlight w:val="none"/>
        </w:rPr>
        <w:t xml:space="preserve">承 包 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（盖单位章） </w:t>
      </w:r>
    </w:p>
    <w:p w14:paraId="786396DD">
      <w:pPr>
        <w:adjustRightInd w:val="0"/>
        <w:snapToGrid w:val="0"/>
        <w:spacing w:line="360" w:lineRule="auto"/>
        <w:ind w:firstLine="4800" w:firstLineChars="2000"/>
        <w:rPr>
          <w:rFonts w:ascii="宋体" w:hAnsi="宋体"/>
          <w:color w:val="auto"/>
          <w:sz w:val="24"/>
          <w:szCs w:val="24"/>
          <w:highlight w:val="none"/>
        </w:rPr>
      </w:pPr>
      <w:r>
        <w:rPr>
          <w:rFonts w:hint="eastAsia" w:ascii="宋体" w:hAnsi="宋体"/>
          <w:color w:val="auto"/>
          <w:sz w:val="24"/>
          <w:szCs w:val="24"/>
          <w:highlight w:val="none"/>
        </w:rPr>
        <w:t>法定代表人：</w:t>
      </w:r>
      <w:r>
        <w:rPr>
          <w:rFonts w:hint="eastAsia" w:ascii="宋体" w:hAnsi="宋体"/>
          <w:color w:val="auto"/>
          <w:sz w:val="24"/>
          <w:szCs w:val="24"/>
          <w:highlight w:val="none"/>
          <w:u w:val="single"/>
        </w:rPr>
        <w:t xml:space="preserve">       （职务）       </w:t>
      </w:r>
    </w:p>
    <w:p w14:paraId="13B566EF">
      <w:pPr>
        <w:adjustRightInd w:val="0"/>
        <w:snapToGrid w:val="0"/>
        <w:spacing w:line="360" w:lineRule="auto"/>
        <w:ind w:firstLine="6240" w:firstLineChars="2600"/>
        <w:rPr>
          <w:rFonts w:ascii="宋体" w:hAnsi="宋体"/>
          <w:color w:val="auto"/>
          <w:sz w:val="24"/>
          <w:szCs w:val="24"/>
          <w:highlight w:val="none"/>
          <w:u w:val="single"/>
        </w:rPr>
      </w:pPr>
      <w:r>
        <w:rPr>
          <w:rFonts w:hint="eastAsia" w:ascii="宋体" w:hAnsi="宋体"/>
          <w:color w:val="auto"/>
          <w:sz w:val="24"/>
          <w:szCs w:val="24"/>
          <w:highlight w:val="none"/>
          <w:u w:val="single"/>
        </w:rPr>
        <w:t xml:space="preserve">       （姓名）       </w:t>
      </w:r>
    </w:p>
    <w:p w14:paraId="56E0BFE4">
      <w:pPr>
        <w:adjustRightInd w:val="0"/>
        <w:snapToGrid w:val="0"/>
        <w:spacing w:line="360" w:lineRule="auto"/>
        <w:ind w:firstLine="6240" w:firstLineChars="2600"/>
        <w:rPr>
          <w:rFonts w:ascii="宋体" w:hAnsi="宋体"/>
          <w:color w:val="auto"/>
          <w:sz w:val="24"/>
          <w:szCs w:val="24"/>
          <w:highlight w:val="none"/>
        </w:rPr>
      </w:pPr>
      <w:r>
        <w:rPr>
          <w:rFonts w:hint="eastAsia" w:ascii="宋体" w:hAnsi="宋体"/>
          <w:color w:val="auto"/>
          <w:sz w:val="24"/>
          <w:szCs w:val="24"/>
          <w:highlight w:val="none"/>
          <w:u w:val="single"/>
        </w:rPr>
        <w:t xml:space="preserve">       （签字）       </w:t>
      </w:r>
    </w:p>
    <w:p w14:paraId="1CCDBA71">
      <w:pPr>
        <w:adjustRightInd w:val="0"/>
        <w:snapToGrid w:val="0"/>
        <w:spacing w:line="360" w:lineRule="auto"/>
        <w:ind w:firstLine="6960" w:firstLineChars="29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13687A5A">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75E34B58">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05F2562A">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抄送：</w:t>
      </w:r>
      <w:r>
        <w:rPr>
          <w:rFonts w:hint="eastAsia" w:ascii="宋体" w:hAnsi="宋体"/>
          <w:color w:val="auto"/>
          <w:sz w:val="24"/>
          <w:szCs w:val="24"/>
          <w:highlight w:val="none"/>
          <w:u w:val="single"/>
        </w:rPr>
        <w:t xml:space="preserve">   （监理人）   </w:t>
      </w:r>
    </w:p>
    <w:p w14:paraId="39F0BC23">
      <w:pPr>
        <w:adjustRightInd w:val="0"/>
        <w:snapToGrid w:val="0"/>
        <w:spacing w:line="360" w:lineRule="auto"/>
        <w:rPr>
          <w:rFonts w:ascii="宋体" w:hAnsi="宋体"/>
          <w:b/>
          <w:bCs/>
          <w:color w:val="auto"/>
          <w:sz w:val="24"/>
          <w:szCs w:val="24"/>
          <w:highlight w:val="none"/>
        </w:rPr>
      </w:pPr>
      <w:r>
        <w:rPr>
          <w:rFonts w:hint="eastAsia" w:ascii="宋体" w:hAnsi="宋体"/>
          <w:color w:val="auto"/>
          <w:sz w:val="24"/>
          <w:szCs w:val="24"/>
          <w:highlight w:val="none"/>
        </w:rPr>
        <w:br w:type="page"/>
      </w:r>
      <w:r>
        <w:rPr>
          <w:rFonts w:hint="eastAsia" w:ascii="宋体" w:hAnsi="宋体"/>
          <w:b/>
          <w:bCs/>
          <w:color w:val="auto"/>
          <w:sz w:val="24"/>
          <w:szCs w:val="24"/>
          <w:highlight w:val="none"/>
        </w:rPr>
        <w:t>附件</w:t>
      </w:r>
      <w:r>
        <w:rPr>
          <w:rFonts w:hint="eastAsia" w:ascii="宋体" w:hAnsi="宋体"/>
          <w:b/>
          <w:bCs/>
          <w:color w:val="auto"/>
          <w:sz w:val="24"/>
          <w:szCs w:val="24"/>
          <w:highlight w:val="none"/>
          <w:lang w:eastAsia="zh-CN"/>
        </w:rPr>
        <w:t>五</w:t>
      </w:r>
      <w:r>
        <w:rPr>
          <w:rFonts w:hint="eastAsia" w:ascii="宋体" w:hAnsi="宋体"/>
          <w:b/>
          <w:bCs/>
          <w:color w:val="auto"/>
          <w:sz w:val="24"/>
          <w:szCs w:val="24"/>
          <w:highlight w:val="none"/>
        </w:rPr>
        <w:t xml:space="preserve"> 履约保证金格式</w:t>
      </w:r>
    </w:p>
    <w:p w14:paraId="2C22D55E">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如采用银行保函，格式如下。</w:t>
      </w:r>
    </w:p>
    <w:p w14:paraId="38C88EA3">
      <w:pPr>
        <w:adjustRightInd w:val="0"/>
        <w:snapToGrid w:val="0"/>
        <w:spacing w:beforeLines="100" w:afterLines="100" w:line="360" w:lineRule="auto"/>
        <w:jc w:val="center"/>
        <w:rPr>
          <w:rFonts w:ascii="宋体" w:hAnsi="宋体"/>
          <w:color w:val="auto"/>
          <w:sz w:val="32"/>
          <w:szCs w:val="32"/>
          <w:highlight w:val="none"/>
        </w:rPr>
      </w:pPr>
      <w:r>
        <w:rPr>
          <w:rFonts w:hint="eastAsia" w:ascii="宋体" w:hAnsi="宋体"/>
          <w:color w:val="auto"/>
          <w:sz w:val="32"/>
          <w:szCs w:val="32"/>
          <w:highlight w:val="none"/>
        </w:rPr>
        <w:t>履约保证金</w:t>
      </w:r>
    </w:p>
    <w:p w14:paraId="5053894F">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（发包人名称）：</w:t>
      </w:r>
    </w:p>
    <w:p w14:paraId="33E579E2">
      <w:pPr>
        <w:pStyle w:val="21"/>
        <w:ind w:firstLine="240"/>
        <w:rPr>
          <w:rFonts w:ascii="宋体"/>
          <w:color w:val="auto"/>
          <w:highlight w:val="none"/>
        </w:rPr>
      </w:pPr>
      <w:r>
        <w:rPr>
          <w:rFonts w:hint="eastAsia" w:ascii="宋体"/>
          <w:color w:val="auto"/>
          <w:highlight w:val="none"/>
        </w:rPr>
        <w:t xml:space="preserve"> </w:t>
      </w:r>
    </w:p>
    <w:p w14:paraId="01228051">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鉴于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（发包人名称，以下简称“发包人”）接受</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（承包人名称，以下称“承包人”）于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标段施工的投标。我方愿意无条件地、不可撤销地就承包人履行与你方订立的合同，向你方提供担保。</w:t>
      </w:r>
    </w:p>
    <w:p w14:paraId="76717C8C">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1．担保金额人民币（大写）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786C57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2．担保有效期自发包人与承包人签订的合同生效之日起至发包人签发交工验收证书且承包人按照合同约定缴纳质量保证金之日止。</w:t>
      </w:r>
    </w:p>
    <w:p w14:paraId="5A888263">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3．在本担保有效期内，因承包人违反合同约定的义务给你方造成经济损失时，我方在收到你方以书面形式提出的在担保金额内的赔偿要求后，在7天内无条件支付，无须你方出具证明或陈述理由。</w:t>
      </w:r>
    </w:p>
    <w:p w14:paraId="712A6F66">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4．发包人和承包人按合同条款第15条变更合同时，无论我方是否收到该变更，我方承担本担保规定的义务不变。</w:t>
      </w:r>
    </w:p>
    <w:p w14:paraId="416D8E70">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3043B222">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1D92E569">
      <w:pPr>
        <w:adjustRightInd w:val="0"/>
        <w:snapToGrid w:val="0"/>
        <w:spacing w:line="360" w:lineRule="auto"/>
        <w:ind w:firstLine="3840" w:firstLineChars="1600"/>
        <w:rPr>
          <w:rFonts w:ascii="宋体" w:hAnsi="宋体"/>
          <w:color w:val="auto"/>
          <w:sz w:val="24"/>
          <w:szCs w:val="24"/>
          <w:highlight w:val="none"/>
        </w:rPr>
      </w:pPr>
      <w:r>
        <w:rPr>
          <w:rFonts w:hint="eastAsia" w:ascii="宋体" w:hAnsi="宋体"/>
          <w:color w:val="auto"/>
          <w:sz w:val="24"/>
          <w:szCs w:val="24"/>
          <w:highlight w:val="none"/>
        </w:rPr>
        <w:t>担保人名称：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w:t>
      </w:r>
    </w:p>
    <w:p w14:paraId="547D574F">
      <w:pPr>
        <w:adjustRightInd w:val="0"/>
        <w:snapToGrid w:val="0"/>
        <w:spacing w:line="360" w:lineRule="auto"/>
        <w:ind w:firstLine="3835" w:firstLineChars="1598"/>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25A56833">
      <w:pPr>
        <w:adjustRightInd w:val="0"/>
        <w:snapToGrid w:val="0"/>
        <w:spacing w:line="360" w:lineRule="auto"/>
        <w:ind w:firstLine="3835" w:firstLineChars="1598"/>
        <w:rPr>
          <w:rFonts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 xml:space="preserve">                                 </w:t>
      </w:r>
    </w:p>
    <w:p w14:paraId="73C25787">
      <w:pPr>
        <w:adjustRightInd w:val="0"/>
        <w:snapToGrid w:val="0"/>
        <w:spacing w:line="360" w:lineRule="auto"/>
        <w:ind w:firstLine="3835" w:firstLineChars="1598"/>
        <w:rPr>
          <w:rFonts w:ascii="宋体" w:hAnsi="宋体"/>
          <w:color w:val="auto"/>
          <w:sz w:val="24"/>
          <w:szCs w:val="24"/>
          <w:highlight w:val="none"/>
          <w:u w:val="single"/>
        </w:rPr>
      </w:pPr>
      <w:r>
        <w:rPr>
          <w:rFonts w:hint="eastAsia" w:ascii="宋体" w:hAnsi="宋体"/>
          <w:color w:val="auto"/>
          <w:sz w:val="24"/>
          <w:szCs w:val="24"/>
          <w:highlight w:val="none"/>
        </w:rPr>
        <w:t>邮政编码：</w:t>
      </w:r>
      <w:r>
        <w:rPr>
          <w:rFonts w:hint="eastAsia" w:ascii="宋体" w:hAnsi="宋体"/>
          <w:color w:val="auto"/>
          <w:sz w:val="24"/>
          <w:szCs w:val="24"/>
          <w:highlight w:val="none"/>
          <w:u w:val="single"/>
        </w:rPr>
        <w:t xml:space="preserve">                                 </w:t>
      </w:r>
    </w:p>
    <w:p w14:paraId="3538A878">
      <w:pPr>
        <w:adjustRightInd w:val="0"/>
        <w:snapToGrid w:val="0"/>
        <w:spacing w:line="360" w:lineRule="auto"/>
        <w:ind w:firstLine="3835" w:firstLineChars="1598"/>
        <w:rPr>
          <w:rFonts w:ascii="宋体" w:hAnsi="宋体"/>
          <w:color w:val="auto"/>
          <w:sz w:val="24"/>
          <w:szCs w:val="24"/>
          <w:highlight w:val="none"/>
          <w:u w:val="single"/>
        </w:rPr>
      </w:pPr>
      <w:r>
        <w:rPr>
          <w:rFonts w:hint="eastAsia" w:ascii="宋体" w:hAnsi="宋体"/>
          <w:color w:val="auto"/>
          <w:sz w:val="24"/>
          <w:szCs w:val="24"/>
          <w:highlight w:val="none"/>
        </w:rPr>
        <w:t>电    话：</w:t>
      </w:r>
      <w:r>
        <w:rPr>
          <w:rFonts w:hint="eastAsia" w:ascii="宋体" w:hAnsi="宋体"/>
          <w:color w:val="auto"/>
          <w:sz w:val="24"/>
          <w:szCs w:val="24"/>
          <w:highlight w:val="none"/>
          <w:u w:val="single"/>
        </w:rPr>
        <w:t xml:space="preserve">                                 </w:t>
      </w:r>
    </w:p>
    <w:p w14:paraId="1080F0C9">
      <w:pPr>
        <w:adjustRightInd w:val="0"/>
        <w:snapToGrid w:val="0"/>
        <w:spacing w:line="360" w:lineRule="auto"/>
        <w:ind w:firstLine="3835" w:firstLineChars="1598"/>
        <w:rPr>
          <w:rFonts w:ascii="宋体" w:hAnsi="宋体"/>
          <w:color w:val="auto"/>
          <w:sz w:val="24"/>
          <w:szCs w:val="24"/>
          <w:highlight w:val="none"/>
          <w:u w:val="single"/>
        </w:rPr>
      </w:pPr>
      <w:r>
        <w:rPr>
          <w:rFonts w:hint="eastAsia" w:ascii="宋体" w:hAnsi="宋体"/>
          <w:color w:val="auto"/>
          <w:sz w:val="24"/>
          <w:szCs w:val="24"/>
          <w:highlight w:val="none"/>
        </w:rPr>
        <w:t>传    真：</w:t>
      </w:r>
      <w:r>
        <w:rPr>
          <w:rFonts w:hint="eastAsia" w:ascii="宋体" w:hAnsi="宋体"/>
          <w:color w:val="auto"/>
          <w:sz w:val="24"/>
          <w:szCs w:val="24"/>
          <w:highlight w:val="none"/>
          <w:u w:val="single"/>
        </w:rPr>
        <w:t xml:space="preserve">                                 </w:t>
      </w:r>
    </w:p>
    <w:p w14:paraId="10F7F79D">
      <w:pPr>
        <w:adjustRightInd w:val="0"/>
        <w:snapToGrid w:val="0"/>
        <w:spacing w:line="360" w:lineRule="auto"/>
        <w:ind w:firstLine="6960" w:firstLineChars="29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702DF760">
      <w:pPr>
        <w:pStyle w:val="13"/>
        <w:autoSpaceDE w:val="0"/>
        <w:snapToGrid w:val="0"/>
        <w:spacing w:line="400" w:lineRule="exact"/>
        <w:ind w:firstLine="3360" w:firstLineChars="1400"/>
        <w:jc w:val="left"/>
        <w:rPr>
          <w:rFonts w:hAnsi="宋体"/>
          <w:color w:val="auto"/>
          <w:sz w:val="24"/>
          <w:szCs w:val="24"/>
          <w:highlight w:val="none"/>
        </w:rPr>
      </w:pPr>
      <w:r>
        <w:rPr>
          <w:rFonts w:hint="eastAsia" w:ascii="宋体" w:hAnsi="宋体"/>
          <w:color w:val="auto"/>
          <w:sz w:val="24"/>
          <w:szCs w:val="24"/>
          <w:highlight w:val="none"/>
        </w:rPr>
        <w:br w:type="page"/>
      </w:r>
    </w:p>
    <w:p w14:paraId="08CADFA8">
      <w:pPr>
        <w:keepNext w:val="0"/>
        <w:keepLines w:val="0"/>
        <w:pageBreakBefore w:val="0"/>
        <w:widowControl w:val="0"/>
        <w:kinsoku/>
        <w:wordWrap/>
        <w:overflowPunct/>
        <w:topLinePunct w:val="0"/>
        <w:autoSpaceDE/>
        <w:autoSpaceDN/>
        <w:bidi w:val="0"/>
        <w:adjustRightInd w:val="0"/>
        <w:snapToGrid w:val="0"/>
        <w:spacing w:before="0" w:beforeLines="1800" w:line="360" w:lineRule="auto"/>
        <w:jc w:val="center"/>
        <w:textAlignment w:val="auto"/>
        <w:rPr>
          <w:rFonts w:ascii="宋体" w:hAnsi="宋体"/>
          <w:color w:val="auto"/>
          <w:sz w:val="48"/>
          <w:szCs w:val="48"/>
          <w:highlight w:val="none"/>
        </w:rPr>
      </w:pPr>
      <w:bookmarkStart w:id="415" w:name="_Toc23375"/>
      <w:bookmarkEnd w:id="415"/>
      <w:r>
        <w:rPr>
          <w:rFonts w:hint="eastAsia" w:ascii="宋体" w:hAnsi="宋体"/>
          <w:b/>
          <w:bCs/>
          <w:color w:val="auto"/>
          <w:sz w:val="48"/>
          <w:szCs w:val="48"/>
          <w:highlight w:val="none"/>
        </w:rPr>
        <w:t>第</w:t>
      </w:r>
      <w:r>
        <w:rPr>
          <w:rFonts w:hint="eastAsia" w:ascii="宋体" w:hAnsi="宋体"/>
          <w:b/>
          <w:bCs/>
          <w:color w:val="auto"/>
          <w:sz w:val="48"/>
          <w:szCs w:val="48"/>
          <w:highlight w:val="none"/>
          <w:lang w:val="en-US" w:eastAsia="zh-CN"/>
        </w:rPr>
        <w:t>六</w:t>
      </w:r>
      <w:r>
        <w:rPr>
          <w:rFonts w:hint="eastAsia" w:ascii="宋体" w:hAnsi="宋体"/>
          <w:b/>
          <w:bCs/>
          <w:color w:val="auto"/>
          <w:sz w:val="48"/>
          <w:szCs w:val="48"/>
          <w:highlight w:val="none"/>
        </w:rPr>
        <w:t>章  工程量清单（另册）</w:t>
      </w:r>
    </w:p>
    <w:p w14:paraId="3E7861B8">
      <w:pPr>
        <w:adjustRightInd w:val="0"/>
        <w:snapToGrid w:val="0"/>
        <w:spacing w:line="360" w:lineRule="auto"/>
        <w:jc w:val="center"/>
        <w:rPr>
          <w:rFonts w:ascii="宋体" w:hAnsi="宋体"/>
          <w:color w:val="auto"/>
          <w:sz w:val="30"/>
          <w:szCs w:val="30"/>
          <w:highlight w:val="none"/>
        </w:rPr>
      </w:pPr>
      <w:r>
        <w:rPr>
          <w:rFonts w:hint="eastAsia" w:ascii="宋体" w:hAnsi="宋体"/>
          <w:color w:val="auto"/>
          <w:sz w:val="30"/>
          <w:szCs w:val="30"/>
          <w:highlight w:val="none"/>
        </w:rPr>
        <w:t xml:space="preserve"> </w:t>
      </w:r>
    </w:p>
    <w:p w14:paraId="36893339">
      <w:pPr>
        <w:autoSpaceDE w:val="0"/>
        <w:autoSpaceDN w:val="0"/>
        <w:adjustRightInd w:val="0"/>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 </w:t>
      </w:r>
    </w:p>
    <w:p w14:paraId="2A8F4368">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color w:val="auto"/>
          <w:sz w:val="24"/>
          <w:szCs w:val="24"/>
          <w:highlight w:val="none"/>
        </w:rPr>
      </w:pPr>
      <w:r>
        <w:rPr>
          <w:rFonts w:hint="eastAsia" w:ascii="宋体" w:hAnsi="宋体"/>
          <w:color w:val="auto"/>
          <w:sz w:val="28"/>
          <w:szCs w:val="28"/>
          <w:highlight w:val="none"/>
        </w:rPr>
        <w:br w:type="page"/>
      </w:r>
      <w:r>
        <w:rPr>
          <w:rFonts w:hint="eastAsia" w:ascii="宋体" w:hAnsi="宋体"/>
          <w:b/>
          <w:bCs/>
          <w:color w:val="auto"/>
          <w:sz w:val="24"/>
          <w:szCs w:val="24"/>
          <w:highlight w:val="none"/>
        </w:rPr>
        <w:t>1. 工程量清单说明</w:t>
      </w:r>
    </w:p>
    <w:p w14:paraId="0F621F6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1.1 本工程量清单是根据招标文件中包括的有合同约束力的工程量清单计量规则、图纸以及有关工程量清单的国家标准、行业标准、合同条款中约定的其他规则编制。约定计量规则中没有的子目，其工程量按照有合同约束力的图纸所标示尺寸的理论净量计算。计量采用中华人民共和国法定计量单位。</w:t>
      </w:r>
    </w:p>
    <w:p w14:paraId="032F8F9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1.2 本工程量清单应与招标文件中的投标人须知、通用合同条款、专用合同条款、工程量清单计量规则、技术规范及图纸等一起阅读和理解。</w:t>
      </w:r>
    </w:p>
    <w:p w14:paraId="48BACD4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1.3 本工程量清单中所列工程数量是估算的或设计的预计数量，仅作为投标报价的共同基础，不能作为最终结算与支付的依据。实际支付应按实际完成的工程量，由承包人按工程量清单计量规则规定的计量方法，以监理人认可的尺寸、断面计量，按本工程量清单的单价和总额价计算支付金额；或根据具体情况，按合同条款第15.4款的规定，按监理人确定的单价或总额价计算支付额。</w:t>
      </w:r>
    </w:p>
    <w:p w14:paraId="0CF6FC2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1.4 工程量清单各章是按</w:t>
      </w:r>
      <w:r>
        <w:rPr>
          <w:rFonts w:hint="eastAsia" w:ascii="宋体" w:hAnsi="宋体"/>
          <w:color w:val="auto"/>
          <w:sz w:val="24"/>
          <w:szCs w:val="24"/>
          <w:highlight w:val="none"/>
          <w:lang w:val="en-US" w:eastAsia="zh-CN"/>
        </w:rPr>
        <w:t>第九</w:t>
      </w:r>
      <w:r>
        <w:rPr>
          <w:rFonts w:hint="eastAsia" w:ascii="宋体" w:hAnsi="宋体"/>
          <w:color w:val="auto"/>
          <w:sz w:val="24"/>
          <w:szCs w:val="24"/>
          <w:highlight w:val="none"/>
        </w:rPr>
        <w:t>章“工程量清单计量规则”、第</w:t>
      </w:r>
      <w:r>
        <w:rPr>
          <w:rFonts w:hint="eastAsia" w:ascii="宋体" w:hAnsi="宋体"/>
          <w:color w:val="auto"/>
          <w:sz w:val="24"/>
          <w:szCs w:val="24"/>
          <w:highlight w:val="none"/>
          <w:lang w:val="en-US" w:eastAsia="zh-CN"/>
        </w:rPr>
        <w:t>八</w:t>
      </w:r>
      <w:r>
        <w:rPr>
          <w:rFonts w:hint="eastAsia" w:ascii="宋体" w:hAnsi="宋体"/>
          <w:color w:val="auto"/>
          <w:sz w:val="24"/>
          <w:szCs w:val="24"/>
          <w:highlight w:val="none"/>
        </w:rPr>
        <w:t>章“技术规范”的相应章次编号的，因此，工程量清单中各章的工程子目的范围与计量等应与“工程量清单计量规则”、“技术规范”相应章节的范围、计量与支付条款结合起来理解或解释。</w:t>
      </w:r>
    </w:p>
    <w:p w14:paraId="4EAC03C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 对作业和材料的一般说明或规定，未重复写入工程量清单内，在给工程量清单各子目标价前，应参阅第</w:t>
      </w:r>
      <w:r>
        <w:rPr>
          <w:rFonts w:hint="eastAsia" w:ascii="宋体" w:hAnsi="宋体"/>
          <w:color w:val="auto"/>
          <w:sz w:val="24"/>
          <w:szCs w:val="24"/>
          <w:highlight w:val="none"/>
          <w:lang w:val="en-US" w:eastAsia="zh-CN"/>
        </w:rPr>
        <w:t>八</w:t>
      </w:r>
      <w:r>
        <w:rPr>
          <w:rFonts w:hint="eastAsia" w:ascii="宋体" w:hAnsi="宋体"/>
          <w:color w:val="auto"/>
          <w:sz w:val="24"/>
          <w:szCs w:val="24"/>
          <w:highlight w:val="none"/>
        </w:rPr>
        <w:t>章“技术规范”的有关内容。</w:t>
      </w:r>
    </w:p>
    <w:p w14:paraId="3B24B6E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1.6 工程量清单中所列工程量的变动，丝毫不会降低或影响合同条款的效力，也不免除承包人按规定的标准进行施工和修复缺陷的责任。</w:t>
      </w:r>
    </w:p>
    <w:p w14:paraId="0AB1B6F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1.7 图纸中所列的工程数量表及数量汇总表仅是提供资料，不是工程量清单的外延。当图纸与工程量清单所列数量不一致时，以工程量清单所列数量作为报价的依据。</w:t>
      </w:r>
    </w:p>
    <w:p w14:paraId="48510CA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sz w:val="24"/>
          <w:szCs w:val="24"/>
          <w:highlight w:val="none"/>
        </w:rPr>
      </w:pPr>
      <w:r>
        <w:rPr>
          <w:rFonts w:hint="eastAsia" w:ascii="宋体" w:hAnsi="宋体"/>
          <w:b/>
          <w:bCs/>
          <w:color w:val="auto"/>
          <w:sz w:val="24"/>
          <w:szCs w:val="24"/>
          <w:highlight w:val="none"/>
        </w:rPr>
        <w:t>2. 投标报价说明</w:t>
      </w:r>
    </w:p>
    <w:p w14:paraId="079AAEE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2.1 工程量清单中的每一子目须填入单价或价格，且只允许有一个报价。</w:t>
      </w:r>
    </w:p>
    <w:p w14:paraId="7F91880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2.2 除非合同另有规定，工程量清单中有标价的单价和总额价均已包括了为实施和完成合同工程所需的劳务、材料、机械、质检（自检）、安装、缺陷修复、管理、保险、税费、利润等费用，以及合同明示或暗示的所有责任、义务和一般风险。</w:t>
      </w:r>
    </w:p>
    <w:p w14:paraId="2383F7C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2.3 工程量清单中投标人没有填入单价或价格的子目，其费用视为已分摊在工程量清单中其他相关子目的单价或价格之中。承包人必须按监理人指令完成工程量清单中未填入单价或价格的子目，但不能得到结算与支付。</w:t>
      </w:r>
    </w:p>
    <w:p w14:paraId="7410BA01">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2.4 符合合同条款规定的全部费用应认为已被计入有标价的工程量清单所列各子目之中，未列子目不予计量的工作，其费用应视为已分摊在本合同工程的有关子目的单价或总额价之中。</w:t>
      </w:r>
    </w:p>
    <w:p w14:paraId="638BEEBD">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2.5 承包人用于本合同工程的各类装备的提供、运输、维护、拆卸、拼装等支付的费用，已包括在工程量清单的单价与总额价之中。</w:t>
      </w:r>
    </w:p>
    <w:p w14:paraId="77FF89B9">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2.6 工程量清单中各项金额均以人民币（元）结算。</w:t>
      </w:r>
    </w:p>
    <w:p w14:paraId="58F0B7D3">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2.7 暂列金额（不含计日工总额）的数量及拟用子目的说明：</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w:t>
      </w:r>
    </w:p>
    <w:p w14:paraId="53779156">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2.8 暂估价的数量及拟用子目的说明：</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w:t>
      </w:r>
    </w:p>
    <w:p w14:paraId="2D3EA365">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kern w:val="0"/>
          <w:sz w:val="24"/>
          <w:szCs w:val="24"/>
          <w:highlight w:val="none"/>
        </w:rPr>
      </w:pPr>
      <w:r>
        <w:rPr>
          <w:rFonts w:hint="eastAsia" w:ascii="宋体" w:hAnsi="宋体"/>
          <w:b/>
          <w:bCs/>
          <w:color w:val="auto"/>
          <w:kern w:val="0"/>
          <w:sz w:val="24"/>
          <w:szCs w:val="24"/>
          <w:highlight w:val="none"/>
        </w:rPr>
        <w:t>3. 计日工说明</w:t>
      </w:r>
    </w:p>
    <w:p w14:paraId="3F2D239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kern w:val="0"/>
          <w:sz w:val="24"/>
          <w:szCs w:val="24"/>
          <w:highlight w:val="none"/>
        </w:rPr>
      </w:pPr>
      <w:r>
        <w:rPr>
          <w:rFonts w:hint="eastAsia" w:ascii="宋体" w:hAnsi="宋体"/>
          <w:b/>
          <w:bCs/>
          <w:color w:val="auto"/>
          <w:kern w:val="0"/>
          <w:sz w:val="24"/>
          <w:szCs w:val="24"/>
          <w:highlight w:val="none"/>
        </w:rPr>
        <w:t>3.1 总则</w:t>
      </w:r>
    </w:p>
    <w:p w14:paraId="3D32616C">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（1）本说明应参照通用合同条款第15.7款一并理解。</w:t>
      </w:r>
    </w:p>
    <w:p w14:paraId="0AFD6453">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（2）未经监理人书面指令，任何工程不得按计日工施工；接到监理人按计日工施工的书面指令，承包人也不得拒绝。</w:t>
      </w:r>
    </w:p>
    <w:p w14:paraId="2661F64B">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3）投标人应在计日工单价表中填列计日工子目的基本单价或租价，该基本单价或租价适用于监理人指令的任何数量的计日工的结算与支付。计日工的劳务、材料和施工机械由招标人（或发包人）列出正常的估计数量，投标人报出单价，计算出计日工总额后列入工程量清单汇总表中并进入评标价。</w:t>
      </w:r>
    </w:p>
    <w:p w14:paraId="51438DC3">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（4）计日工不调价。</w:t>
      </w:r>
    </w:p>
    <w:p w14:paraId="386111B9">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kern w:val="0"/>
          <w:sz w:val="24"/>
          <w:szCs w:val="24"/>
          <w:highlight w:val="none"/>
        </w:rPr>
      </w:pPr>
      <w:r>
        <w:rPr>
          <w:rFonts w:hint="eastAsia" w:ascii="宋体" w:hAnsi="宋体"/>
          <w:b/>
          <w:bCs/>
          <w:color w:val="auto"/>
          <w:kern w:val="0"/>
          <w:sz w:val="24"/>
          <w:szCs w:val="24"/>
          <w:highlight w:val="none"/>
        </w:rPr>
        <w:t>3.2 计日工劳务</w:t>
      </w:r>
    </w:p>
    <w:p w14:paraId="30A2B387">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1）在计算应付给承包人的计日工工资时，工时应从工人到达施工现场，并开始从事指定的工作算起，到返回原出发地点为止，扣去用餐和休息的时间。只有直接从事指定的工作，且能胜任该工作的工人才能计工，随同工人一起做工的班长应计算在内，但不包括领工（工长）和其他质检管理人员。</w:t>
      </w:r>
    </w:p>
    <w:p w14:paraId="135CB31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（2）承包人可以得到用于计日工劳务的全部工时的支付，此支付按承包人填报的“计日工劳务单价表”所列单价计算，该单价应包括基本单价及承包人的管理费、税费、利润等所有附加费，说明如下：</w:t>
      </w:r>
    </w:p>
    <w:p w14:paraId="7B75FAD6">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a.劳务基本单价包括：承包人劳务的全部直接费用，如：工资、加班费、津贴、福利费及劳动保护费等。</w:t>
      </w:r>
    </w:p>
    <w:p w14:paraId="3FDE1574">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b.承包人的利润、管理、质检、保险、税费；易耗品的使用，水电及照明费，工作台、脚手架、临时设施费，手动机具与工具的使用及维修，以及上述各项伴随而来的费用。</w:t>
      </w:r>
    </w:p>
    <w:p w14:paraId="35F71848">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sz w:val="24"/>
          <w:szCs w:val="24"/>
          <w:highlight w:val="none"/>
        </w:rPr>
      </w:pPr>
      <w:r>
        <w:rPr>
          <w:rFonts w:hint="eastAsia" w:ascii="宋体" w:hAnsi="宋体"/>
          <w:b/>
          <w:bCs/>
          <w:color w:val="auto"/>
          <w:kern w:val="0"/>
          <w:sz w:val="24"/>
          <w:szCs w:val="24"/>
          <w:highlight w:val="none"/>
        </w:rPr>
        <w:t>3.3 计日工材料</w:t>
      </w:r>
    </w:p>
    <w:p w14:paraId="706D6F62">
      <w:pPr>
        <w:pStyle w:val="43"/>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承包人可以得到计日工使用的材料费用（上述3.2款已计入劳务费内的材料费用除外）的支付，此费用按承包人“计日工材料单价表”中所填报的单价计算，该单价应包括基本单价及承包人的管理费、税费、利润等所有附加费，说明如下：</w:t>
      </w:r>
    </w:p>
    <w:p w14:paraId="4276F643">
      <w:pPr>
        <w:pStyle w:val="43"/>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（1）材料基本单价按供货价加运杂费（到达承包人现场仓库）、保险费、仓库管理费以及运输损耗等计算；</w:t>
      </w:r>
    </w:p>
    <w:p w14:paraId="0DE07B58">
      <w:pPr>
        <w:pStyle w:val="43"/>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（2）承包人的利润、管理、质检、保险、税费及其他附加费；</w:t>
      </w:r>
    </w:p>
    <w:p w14:paraId="4270527A">
      <w:pPr>
        <w:pStyle w:val="43"/>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（3）从现场运至使用地点的人工费和施工机械使用费不包括在上述基本单价内。</w:t>
      </w:r>
    </w:p>
    <w:p w14:paraId="3B8B9736">
      <w:pPr>
        <w:pStyle w:val="43"/>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Ansi="宋体"/>
          <w:b/>
          <w:bCs/>
          <w:color w:val="auto"/>
          <w:sz w:val="24"/>
          <w:szCs w:val="24"/>
          <w:highlight w:val="none"/>
        </w:rPr>
      </w:pPr>
      <w:r>
        <w:rPr>
          <w:rFonts w:hint="eastAsia" w:hAnsi="宋体"/>
          <w:b/>
          <w:bCs/>
          <w:color w:val="auto"/>
          <w:sz w:val="24"/>
          <w:szCs w:val="24"/>
          <w:highlight w:val="none"/>
        </w:rPr>
        <w:t>3.4 计日工施工机械</w:t>
      </w:r>
    </w:p>
    <w:p w14:paraId="2AC9F1F2">
      <w:pPr>
        <w:pStyle w:val="43"/>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1）承包人可以得到用于计日工作业的施工机械费用的支付，该费用按承包人填报的“计日工施工机械单价表”中的租价计算。该租价应包括施工机械的折旧、利息、维修、保养、零配件、油燃料、保险和其他消耗品的费用以及全部有关使用这些机械的管理费、税费、利润和司机与助手的劳务费等费用。</w:t>
      </w:r>
    </w:p>
    <w:p w14:paraId="3F7352F2">
      <w:pPr>
        <w:pStyle w:val="43"/>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2）在计日工作业中，承包人计算所用的施工机械费用时，应按实际工作小时支付。除非经监理人的同意，计算的工作小时才能将施工机械从现场某处运到监理人指令的计日工作业的另一现场往返运送时间包括在内。</w:t>
      </w:r>
    </w:p>
    <w:p w14:paraId="26617727">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 其他说明</w:t>
      </w:r>
    </w:p>
    <w:p w14:paraId="0742B279">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211D916A">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5C59E720">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7C39061E">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50D6D853">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60726F6A">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1EE3D5B0">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5FD519B7">
      <w:pPr>
        <w:keepNext w:val="0"/>
        <w:keepLines w:val="0"/>
        <w:pageBreakBefore w:val="0"/>
        <w:widowControl w:val="0"/>
        <w:kinsoku/>
        <w:wordWrap/>
        <w:overflowPunct/>
        <w:topLinePunct w:val="0"/>
        <w:autoSpaceDE/>
        <w:autoSpaceDN/>
        <w:bidi w:val="0"/>
        <w:adjustRightInd/>
        <w:snapToGrid/>
        <w:spacing w:before="0" w:beforeLines="1800"/>
        <w:jc w:val="both"/>
        <w:textAlignment w:val="auto"/>
        <w:rPr>
          <w:rFonts w:hint="eastAsia" w:ascii="宋体" w:hAnsi="宋体"/>
          <w:b/>
          <w:color w:val="auto"/>
          <w:kern w:val="44"/>
          <w:sz w:val="52"/>
          <w:szCs w:val="52"/>
          <w:highlight w:val="none"/>
        </w:rPr>
      </w:pPr>
    </w:p>
    <w:p w14:paraId="7E865332">
      <w:pPr>
        <w:keepNext w:val="0"/>
        <w:keepLines w:val="0"/>
        <w:pageBreakBefore w:val="0"/>
        <w:widowControl w:val="0"/>
        <w:kinsoku/>
        <w:wordWrap/>
        <w:overflowPunct/>
        <w:topLinePunct w:val="0"/>
        <w:autoSpaceDE/>
        <w:autoSpaceDN/>
        <w:bidi w:val="0"/>
        <w:adjustRightInd/>
        <w:snapToGrid/>
        <w:spacing w:before="0" w:beforeLines="1700"/>
        <w:jc w:val="center"/>
        <w:textAlignment w:val="auto"/>
        <w:rPr>
          <w:rFonts w:ascii="宋体" w:hAnsi="宋体"/>
          <w:b/>
          <w:color w:val="auto"/>
          <w:kern w:val="44"/>
          <w:sz w:val="52"/>
          <w:szCs w:val="52"/>
          <w:highlight w:val="none"/>
        </w:rPr>
      </w:pPr>
      <w:r>
        <w:rPr>
          <w:rFonts w:hint="eastAsia" w:ascii="宋体" w:hAnsi="宋体" w:cs="Times New Roman"/>
          <w:b/>
          <w:bCs/>
          <w:color w:val="auto"/>
          <w:sz w:val="56"/>
          <w:szCs w:val="56"/>
          <w:highlight w:val="none"/>
          <w:lang w:eastAsia="zh-CN"/>
        </w:rPr>
        <w:t>第  二  卷</w:t>
      </w:r>
    </w:p>
    <w:p w14:paraId="07888D26">
      <w:pPr>
        <w:autoSpaceDE w:val="0"/>
        <w:autoSpaceDN w:val="0"/>
        <w:adjustRightInd w:val="0"/>
        <w:spacing w:line="360" w:lineRule="auto"/>
        <w:ind w:firstLine="720" w:firstLineChars="200"/>
        <w:jc w:val="center"/>
        <w:rPr>
          <w:rFonts w:hint="eastAsia" w:ascii="宋体" w:hAnsi="宋体"/>
          <w:color w:val="auto"/>
          <w:sz w:val="48"/>
          <w:szCs w:val="48"/>
          <w:highlight w:val="none"/>
        </w:rPr>
      </w:pPr>
      <w:r>
        <w:rPr>
          <w:rFonts w:hint="eastAsia" w:ascii="宋体" w:hAnsi="宋体"/>
          <w:color w:val="auto"/>
          <w:sz w:val="36"/>
          <w:szCs w:val="36"/>
          <w:highlight w:val="none"/>
        </w:rPr>
        <w:br w:type="page"/>
      </w:r>
      <w:bookmarkStart w:id="416" w:name="_Toc6011"/>
      <w:bookmarkEnd w:id="416"/>
    </w:p>
    <w:p w14:paraId="1C2BA8C0">
      <w:pPr>
        <w:pStyle w:val="2"/>
        <w:keepNext/>
        <w:keepLines/>
        <w:pageBreakBefore w:val="0"/>
        <w:widowControl w:val="0"/>
        <w:kinsoku/>
        <w:wordWrap/>
        <w:overflowPunct/>
        <w:topLinePunct w:val="0"/>
        <w:autoSpaceDE/>
        <w:autoSpaceDN/>
        <w:bidi w:val="0"/>
        <w:adjustRightInd/>
        <w:snapToGrid/>
        <w:spacing w:before="0" w:beforeLines="1700"/>
        <w:jc w:val="center"/>
        <w:textAlignment w:val="auto"/>
        <w:rPr>
          <w:rFonts w:ascii="宋体" w:hAnsi="宋体"/>
          <w:color w:val="auto"/>
          <w:sz w:val="48"/>
          <w:szCs w:val="48"/>
          <w:highlight w:val="none"/>
        </w:rPr>
      </w:pPr>
      <w:r>
        <w:rPr>
          <w:rFonts w:hint="eastAsia" w:ascii="宋体" w:hAnsi="宋体"/>
          <w:color w:val="auto"/>
          <w:sz w:val="48"/>
          <w:szCs w:val="48"/>
          <w:highlight w:val="none"/>
        </w:rPr>
        <w:t>第</w:t>
      </w:r>
      <w:r>
        <w:rPr>
          <w:rFonts w:hint="eastAsia" w:ascii="宋体" w:hAnsi="宋体"/>
          <w:color w:val="auto"/>
          <w:sz w:val="48"/>
          <w:szCs w:val="48"/>
          <w:highlight w:val="none"/>
          <w:lang w:val="en-US" w:eastAsia="zh-CN"/>
        </w:rPr>
        <w:t>七</w:t>
      </w:r>
      <w:r>
        <w:rPr>
          <w:rFonts w:hint="eastAsia" w:ascii="宋体" w:hAnsi="宋体"/>
          <w:color w:val="auto"/>
          <w:sz w:val="48"/>
          <w:szCs w:val="48"/>
          <w:highlight w:val="none"/>
        </w:rPr>
        <w:t>章  图纸（另册）</w:t>
      </w:r>
    </w:p>
    <w:p w14:paraId="56C8CC9D">
      <w:pPr>
        <w:autoSpaceDE w:val="0"/>
        <w:autoSpaceDN w:val="0"/>
        <w:adjustRightInd w:val="0"/>
        <w:spacing w:line="360" w:lineRule="auto"/>
        <w:ind w:firstLine="883" w:firstLineChars="200"/>
        <w:jc w:val="center"/>
        <w:rPr>
          <w:rFonts w:ascii="宋体" w:hAnsi="宋体"/>
          <w:color w:val="auto"/>
          <w:sz w:val="36"/>
          <w:szCs w:val="36"/>
          <w:highlight w:val="none"/>
        </w:rPr>
      </w:pPr>
      <w:r>
        <w:rPr>
          <w:rFonts w:hint="eastAsia" w:ascii="宋体" w:hAnsi="宋体"/>
          <w:b/>
          <w:bCs/>
          <w:color w:val="auto"/>
          <w:sz w:val="44"/>
          <w:szCs w:val="44"/>
          <w:highlight w:val="none"/>
        </w:rPr>
        <w:br w:type="page"/>
      </w:r>
    </w:p>
    <w:p w14:paraId="7ABA2C99">
      <w:pPr>
        <w:keepNext w:val="0"/>
        <w:keepLines w:val="0"/>
        <w:pageBreakBefore w:val="0"/>
        <w:widowControl w:val="0"/>
        <w:kinsoku/>
        <w:wordWrap/>
        <w:overflowPunct/>
        <w:topLinePunct w:val="0"/>
        <w:autoSpaceDE w:val="0"/>
        <w:autoSpaceDN w:val="0"/>
        <w:bidi w:val="0"/>
        <w:adjustRightInd w:val="0"/>
        <w:snapToGrid/>
        <w:spacing w:before="0" w:beforeLines="1800" w:line="360" w:lineRule="auto"/>
        <w:jc w:val="both"/>
        <w:textAlignment w:val="auto"/>
        <w:rPr>
          <w:rFonts w:hint="eastAsia" w:ascii="宋体" w:hAnsi="宋体" w:cs="Times New Roman"/>
          <w:b/>
          <w:bCs/>
          <w:color w:val="auto"/>
          <w:sz w:val="56"/>
          <w:szCs w:val="56"/>
          <w:highlight w:val="none"/>
          <w:lang w:eastAsia="zh-CN"/>
        </w:rPr>
      </w:pPr>
    </w:p>
    <w:p w14:paraId="146782E4">
      <w:pPr>
        <w:keepNext w:val="0"/>
        <w:keepLines w:val="0"/>
        <w:pageBreakBefore w:val="0"/>
        <w:widowControl w:val="0"/>
        <w:kinsoku/>
        <w:wordWrap/>
        <w:overflowPunct/>
        <w:topLinePunct w:val="0"/>
        <w:autoSpaceDE w:val="0"/>
        <w:autoSpaceDN w:val="0"/>
        <w:bidi w:val="0"/>
        <w:adjustRightInd w:val="0"/>
        <w:snapToGrid/>
        <w:spacing w:before="0" w:beforeLines="1700" w:line="360" w:lineRule="auto"/>
        <w:jc w:val="center"/>
        <w:textAlignment w:val="auto"/>
        <w:rPr>
          <w:rFonts w:hint="eastAsia" w:ascii="宋体" w:hAnsi="宋体" w:cs="Times New Roman"/>
          <w:b/>
          <w:bCs/>
          <w:color w:val="auto"/>
          <w:sz w:val="56"/>
          <w:szCs w:val="56"/>
          <w:highlight w:val="none"/>
          <w:lang w:eastAsia="zh-CN"/>
        </w:rPr>
      </w:pPr>
      <w:r>
        <w:rPr>
          <w:rFonts w:hint="eastAsia" w:ascii="宋体" w:hAnsi="宋体" w:cs="Times New Roman"/>
          <w:b/>
          <w:bCs/>
          <w:color w:val="auto"/>
          <w:sz w:val="56"/>
          <w:szCs w:val="56"/>
          <w:highlight w:val="none"/>
          <w:lang w:eastAsia="zh-CN"/>
        </w:rPr>
        <w:t>第  三  卷</w:t>
      </w:r>
    </w:p>
    <w:p w14:paraId="31F3394A">
      <w:pPr>
        <w:autoSpaceDE w:val="0"/>
        <w:autoSpaceDN w:val="0"/>
        <w:adjustRightInd w:val="0"/>
        <w:spacing w:line="360" w:lineRule="auto"/>
        <w:ind w:firstLine="720" w:firstLineChars="200"/>
        <w:jc w:val="center"/>
        <w:rPr>
          <w:rFonts w:ascii="宋体" w:hAnsi="宋体"/>
          <w:color w:val="auto"/>
          <w:sz w:val="48"/>
          <w:szCs w:val="48"/>
          <w:highlight w:val="none"/>
        </w:rPr>
      </w:pPr>
      <w:r>
        <w:rPr>
          <w:rFonts w:hint="eastAsia" w:ascii="宋体" w:hAnsi="宋体"/>
          <w:color w:val="auto"/>
          <w:sz w:val="36"/>
          <w:szCs w:val="36"/>
          <w:highlight w:val="none"/>
        </w:rPr>
        <w:br w:type="page"/>
      </w:r>
      <w:bookmarkStart w:id="417" w:name="_Toc21024"/>
      <w:bookmarkEnd w:id="417"/>
    </w:p>
    <w:p w14:paraId="23041602">
      <w:pPr>
        <w:pStyle w:val="2"/>
        <w:keepNext/>
        <w:keepLines/>
        <w:pageBreakBefore w:val="0"/>
        <w:widowControl w:val="0"/>
        <w:kinsoku/>
        <w:wordWrap/>
        <w:overflowPunct/>
        <w:topLinePunct w:val="0"/>
        <w:autoSpaceDE/>
        <w:autoSpaceDN/>
        <w:bidi w:val="0"/>
        <w:adjustRightInd/>
        <w:snapToGrid/>
        <w:spacing w:before="0" w:beforeLines="1600" w:line="360" w:lineRule="auto"/>
        <w:jc w:val="center"/>
        <w:textAlignment w:val="auto"/>
        <w:rPr>
          <w:rFonts w:ascii="宋体" w:hAnsi="宋体"/>
          <w:color w:val="auto"/>
          <w:sz w:val="48"/>
          <w:szCs w:val="48"/>
          <w:highlight w:val="none"/>
        </w:rPr>
      </w:pPr>
      <w:r>
        <w:rPr>
          <w:rFonts w:hint="eastAsia" w:ascii="宋体" w:hAnsi="宋体"/>
          <w:color w:val="auto"/>
          <w:sz w:val="48"/>
          <w:szCs w:val="48"/>
          <w:highlight w:val="none"/>
        </w:rPr>
        <w:t>第</w:t>
      </w:r>
      <w:r>
        <w:rPr>
          <w:rFonts w:hint="eastAsia" w:ascii="宋体" w:hAnsi="宋体"/>
          <w:color w:val="auto"/>
          <w:sz w:val="48"/>
          <w:szCs w:val="48"/>
          <w:highlight w:val="none"/>
          <w:lang w:val="en-US" w:eastAsia="zh-CN"/>
        </w:rPr>
        <w:t>八</w:t>
      </w:r>
      <w:r>
        <w:rPr>
          <w:rFonts w:hint="eastAsia" w:ascii="宋体" w:hAnsi="宋体"/>
          <w:color w:val="auto"/>
          <w:sz w:val="48"/>
          <w:szCs w:val="48"/>
          <w:highlight w:val="none"/>
        </w:rPr>
        <w:t>章  技术规范</w:t>
      </w:r>
    </w:p>
    <w:p w14:paraId="1711285E">
      <w:pPr>
        <w:jc w:val="center"/>
        <w:rPr>
          <w:rFonts w:ascii="宋体" w:hAnsi="宋体"/>
          <w:color w:val="auto"/>
          <w:sz w:val="28"/>
          <w:szCs w:val="28"/>
          <w:highlight w:val="none"/>
        </w:rPr>
      </w:pPr>
      <w:bookmarkStart w:id="418" w:name="_Hlt233718691"/>
      <w:bookmarkEnd w:id="418"/>
      <w:r>
        <w:rPr>
          <w:rFonts w:hint="eastAsia" w:ascii="宋体" w:hAnsi="宋体"/>
          <w:color w:val="auto"/>
          <w:sz w:val="28"/>
          <w:szCs w:val="28"/>
          <w:highlight w:val="none"/>
        </w:rPr>
        <w:t>技术规范依据中华人民共和国交通运输部《公路工程标准施工招标文件（2018年版）》和施工图纸总说明执行。</w:t>
      </w:r>
    </w:p>
    <w:p w14:paraId="0CC09E9C">
      <w:pPr>
        <w:adjustRightInd w:val="0"/>
        <w:snapToGrid w:val="0"/>
        <w:spacing w:line="360" w:lineRule="auto"/>
        <w:jc w:val="left"/>
        <w:rPr>
          <w:rFonts w:ascii="宋体" w:hAnsi="宋体"/>
          <w:b/>
          <w:color w:val="auto"/>
          <w:sz w:val="44"/>
          <w:szCs w:val="44"/>
          <w:highlight w:val="none"/>
        </w:rPr>
      </w:pPr>
      <w:r>
        <w:rPr>
          <w:rFonts w:hint="eastAsia" w:ascii="宋体" w:hAnsi="宋体"/>
          <w:b/>
          <w:color w:val="auto"/>
          <w:sz w:val="44"/>
          <w:szCs w:val="44"/>
          <w:highlight w:val="none"/>
        </w:rPr>
        <w:t xml:space="preserve"> </w:t>
      </w:r>
    </w:p>
    <w:p w14:paraId="00FA79BE">
      <w:pPr>
        <w:autoSpaceDE w:val="0"/>
        <w:autoSpaceDN w:val="0"/>
        <w:adjustRightInd w:val="0"/>
        <w:spacing w:line="360" w:lineRule="auto"/>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6E8633B2">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7FADA6D4">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381C2389">
      <w:pPr>
        <w:autoSpaceDE w:val="0"/>
        <w:autoSpaceDN w:val="0"/>
        <w:adjustRightInd w:val="0"/>
        <w:spacing w:line="360" w:lineRule="auto"/>
        <w:jc w:val="center"/>
        <w:rPr>
          <w:rFonts w:ascii="宋体" w:hAnsi="宋体"/>
          <w:bCs/>
          <w:color w:val="auto"/>
          <w:sz w:val="36"/>
          <w:szCs w:val="36"/>
          <w:highlight w:val="none"/>
        </w:rPr>
      </w:pPr>
      <w:r>
        <w:rPr>
          <w:rFonts w:hint="eastAsia" w:ascii="宋体" w:hAnsi="宋体"/>
          <w:bCs/>
          <w:color w:val="auto"/>
          <w:sz w:val="36"/>
          <w:szCs w:val="36"/>
          <w:highlight w:val="none"/>
        </w:rPr>
        <w:br w:type="page"/>
      </w:r>
    </w:p>
    <w:p w14:paraId="163BDAFB">
      <w:pPr>
        <w:keepNext w:val="0"/>
        <w:keepLines w:val="0"/>
        <w:pageBreakBefore w:val="0"/>
        <w:widowControl w:val="0"/>
        <w:kinsoku/>
        <w:wordWrap/>
        <w:overflowPunct/>
        <w:topLinePunct w:val="0"/>
        <w:autoSpaceDE w:val="0"/>
        <w:autoSpaceDN w:val="0"/>
        <w:bidi w:val="0"/>
        <w:adjustRightInd w:val="0"/>
        <w:snapToGrid/>
        <w:spacing w:before="0" w:beforeLines="1550" w:line="360" w:lineRule="auto"/>
        <w:jc w:val="center"/>
        <w:textAlignment w:val="auto"/>
        <w:rPr>
          <w:rFonts w:ascii="宋体" w:hAnsi="宋体"/>
          <w:color w:val="auto"/>
          <w:spacing w:val="12"/>
          <w:sz w:val="24"/>
          <w:szCs w:val="24"/>
          <w:highlight w:val="none"/>
        </w:rPr>
      </w:pPr>
      <w:bookmarkStart w:id="419" w:name="_Toc26593"/>
      <w:bookmarkEnd w:id="419"/>
      <w:r>
        <w:rPr>
          <w:rFonts w:hint="eastAsia" w:ascii="宋体" w:hAnsi="宋体"/>
          <w:b/>
          <w:bCs/>
          <w:color w:val="auto"/>
          <w:sz w:val="48"/>
          <w:szCs w:val="48"/>
          <w:highlight w:val="none"/>
        </w:rPr>
        <w:t>第</w:t>
      </w:r>
      <w:r>
        <w:rPr>
          <w:rFonts w:hint="eastAsia" w:ascii="宋体" w:hAnsi="宋体"/>
          <w:b/>
          <w:bCs/>
          <w:color w:val="auto"/>
          <w:sz w:val="48"/>
          <w:szCs w:val="48"/>
          <w:highlight w:val="none"/>
          <w:lang w:val="en-US" w:eastAsia="zh-CN"/>
        </w:rPr>
        <w:t>九</w:t>
      </w:r>
      <w:r>
        <w:rPr>
          <w:rFonts w:hint="eastAsia" w:ascii="宋体" w:hAnsi="宋体"/>
          <w:b/>
          <w:bCs/>
          <w:color w:val="auto"/>
          <w:sz w:val="48"/>
          <w:szCs w:val="48"/>
          <w:highlight w:val="none"/>
        </w:rPr>
        <w:t>章  工程量清单计量规则</w:t>
      </w:r>
    </w:p>
    <w:p w14:paraId="34011817">
      <w:pPr>
        <w:autoSpaceDE w:val="0"/>
        <w:autoSpaceDN w:val="0"/>
        <w:adjustRightInd w:val="0"/>
        <w:spacing w:line="360" w:lineRule="auto"/>
        <w:jc w:val="center"/>
        <w:rPr>
          <w:rFonts w:ascii="宋体" w:hAnsi="宋体"/>
          <w:color w:val="auto"/>
          <w:spacing w:val="12"/>
          <w:sz w:val="28"/>
          <w:szCs w:val="28"/>
          <w:highlight w:val="none"/>
        </w:rPr>
      </w:pPr>
      <w:r>
        <w:rPr>
          <w:rFonts w:hint="eastAsia" w:ascii="宋体" w:hAnsi="宋体"/>
          <w:color w:val="auto"/>
          <w:spacing w:val="12"/>
          <w:sz w:val="28"/>
          <w:szCs w:val="28"/>
          <w:highlight w:val="none"/>
        </w:rPr>
        <w:t>有关本项目工程量清单的计量与支付方法参照《公路工程标准施工招标文件（2018年版）》计量与支付规则执行。</w:t>
      </w:r>
    </w:p>
    <w:p w14:paraId="5C9960F5">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4436AE6">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C7BAA53">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2E6A3A4B">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FB6DDA8">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E4C00AC">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275B55CF">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36965BE5">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0082B5F">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4058244C">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16902DB">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4BD68607">
      <w:pPr>
        <w:autoSpaceDE w:val="0"/>
        <w:autoSpaceDN w:val="0"/>
        <w:adjustRightInd w:val="0"/>
        <w:spacing w:line="360" w:lineRule="auto"/>
        <w:jc w:val="center"/>
        <w:rPr>
          <w:rFonts w:ascii="宋体" w:hAnsi="宋体"/>
          <w:color w:val="auto"/>
          <w:spacing w:val="12"/>
          <w:sz w:val="24"/>
          <w:szCs w:val="24"/>
          <w:highlight w:val="none"/>
        </w:rPr>
      </w:pPr>
    </w:p>
    <w:p w14:paraId="6F8F75F2">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2C8FC3DC">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3171BA59">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10199DCC">
      <w:pPr>
        <w:keepNext w:val="0"/>
        <w:keepLines w:val="0"/>
        <w:pageBreakBefore w:val="0"/>
        <w:widowControl w:val="0"/>
        <w:kinsoku/>
        <w:wordWrap/>
        <w:overflowPunct/>
        <w:topLinePunct w:val="0"/>
        <w:autoSpaceDE w:val="0"/>
        <w:autoSpaceDN w:val="0"/>
        <w:bidi w:val="0"/>
        <w:adjustRightInd w:val="0"/>
        <w:snapToGrid/>
        <w:spacing w:before="0" w:beforeLines="1800" w:line="360" w:lineRule="auto"/>
        <w:jc w:val="both"/>
        <w:textAlignment w:val="auto"/>
        <w:rPr>
          <w:rFonts w:hint="eastAsia" w:ascii="宋体" w:hAnsi="宋体" w:cs="Times New Roman"/>
          <w:b/>
          <w:bCs/>
          <w:color w:val="auto"/>
          <w:sz w:val="56"/>
          <w:szCs w:val="56"/>
          <w:highlight w:val="none"/>
          <w:lang w:eastAsia="zh-CN"/>
        </w:rPr>
      </w:pPr>
    </w:p>
    <w:p w14:paraId="340CB7D2">
      <w:pPr>
        <w:keepNext w:val="0"/>
        <w:keepLines w:val="0"/>
        <w:pageBreakBefore w:val="0"/>
        <w:widowControl w:val="0"/>
        <w:kinsoku/>
        <w:wordWrap/>
        <w:overflowPunct/>
        <w:topLinePunct w:val="0"/>
        <w:autoSpaceDE w:val="0"/>
        <w:autoSpaceDN w:val="0"/>
        <w:bidi w:val="0"/>
        <w:adjustRightInd w:val="0"/>
        <w:snapToGrid/>
        <w:spacing w:before="0" w:beforeLines="1700" w:line="360" w:lineRule="auto"/>
        <w:jc w:val="center"/>
        <w:textAlignment w:val="auto"/>
        <w:rPr>
          <w:rFonts w:ascii="宋体" w:hAnsi="宋体"/>
          <w:color w:val="auto"/>
          <w:sz w:val="36"/>
          <w:szCs w:val="36"/>
          <w:highlight w:val="none"/>
        </w:rPr>
      </w:pPr>
      <w:r>
        <w:rPr>
          <w:rFonts w:hint="eastAsia" w:ascii="宋体" w:hAnsi="宋体" w:cs="Times New Roman"/>
          <w:b/>
          <w:bCs/>
          <w:color w:val="auto"/>
          <w:sz w:val="56"/>
          <w:szCs w:val="56"/>
          <w:highlight w:val="none"/>
          <w:lang w:eastAsia="zh-CN"/>
        </w:rPr>
        <w:t>第  四  卷</w:t>
      </w:r>
      <w:r>
        <w:rPr>
          <w:rFonts w:hint="eastAsia" w:ascii="宋体" w:hAnsi="宋体"/>
          <w:color w:val="auto"/>
          <w:sz w:val="36"/>
          <w:szCs w:val="36"/>
          <w:highlight w:val="none"/>
        </w:rPr>
        <w:br w:type="page"/>
      </w:r>
    </w:p>
    <w:p w14:paraId="6A2A217E">
      <w:pPr>
        <w:pStyle w:val="2"/>
        <w:keepNext/>
        <w:keepLines/>
        <w:pageBreakBefore w:val="0"/>
        <w:widowControl w:val="0"/>
        <w:kinsoku/>
        <w:wordWrap/>
        <w:overflowPunct/>
        <w:topLinePunct w:val="0"/>
        <w:autoSpaceDE/>
        <w:autoSpaceDN/>
        <w:bidi w:val="0"/>
        <w:adjustRightInd/>
        <w:snapToGrid/>
        <w:spacing w:before="0" w:beforeLines="1700"/>
        <w:jc w:val="center"/>
        <w:textAlignment w:val="auto"/>
        <w:rPr>
          <w:rFonts w:ascii="宋体" w:hAnsi="宋体"/>
          <w:color w:val="auto"/>
          <w:sz w:val="48"/>
          <w:szCs w:val="48"/>
          <w:highlight w:val="none"/>
        </w:rPr>
      </w:pPr>
      <w:bookmarkStart w:id="420" w:name="_Toc23553"/>
      <w:bookmarkEnd w:id="420"/>
      <w:r>
        <w:rPr>
          <w:rFonts w:hint="eastAsia" w:ascii="宋体" w:hAnsi="宋体"/>
          <w:color w:val="auto"/>
          <w:sz w:val="48"/>
          <w:szCs w:val="48"/>
          <w:highlight w:val="none"/>
        </w:rPr>
        <w:t>第</w:t>
      </w:r>
      <w:r>
        <w:rPr>
          <w:rFonts w:hint="eastAsia" w:ascii="宋体" w:hAnsi="宋体"/>
          <w:color w:val="auto"/>
          <w:sz w:val="48"/>
          <w:szCs w:val="48"/>
          <w:highlight w:val="none"/>
          <w:lang w:val="en-US" w:eastAsia="zh-CN"/>
        </w:rPr>
        <w:t>十</w:t>
      </w:r>
      <w:r>
        <w:rPr>
          <w:rFonts w:hint="eastAsia" w:ascii="宋体" w:hAnsi="宋体"/>
          <w:color w:val="auto"/>
          <w:sz w:val="48"/>
          <w:szCs w:val="48"/>
          <w:highlight w:val="none"/>
        </w:rPr>
        <w:t>章  投标文件格式</w:t>
      </w:r>
    </w:p>
    <w:p w14:paraId="68F41B7F">
      <w:pPr>
        <w:spacing w:line="440" w:lineRule="exact"/>
        <w:rPr>
          <w:rFonts w:ascii="宋体" w:hAnsi="宋体" w:eastAsia="宋体" w:cs="宋体"/>
          <w:color w:val="auto"/>
          <w:sz w:val="20"/>
          <w:szCs w:val="20"/>
          <w:highlight w:val="none"/>
        </w:rPr>
      </w:pPr>
      <w:bookmarkStart w:id="421" w:name="_Toc132601564"/>
      <w:bookmarkEnd w:id="421"/>
      <w:r>
        <w:rPr>
          <w:rFonts w:hint="eastAsia" w:ascii="宋体" w:hAnsi="宋体"/>
          <w:b/>
          <w:bCs/>
          <w:color w:val="auto"/>
          <w:sz w:val="44"/>
          <w:szCs w:val="44"/>
          <w:highlight w:val="none"/>
        </w:rPr>
        <w:br w:type="page"/>
      </w:r>
    </w:p>
    <w:p w14:paraId="6AD9C972">
      <w:pPr>
        <w:keepLines w:val="0"/>
        <w:pageBreakBefore w:val="0"/>
        <w:widowControl w:val="0"/>
        <w:kinsoku/>
        <w:wordWrap w:val="0"/>
        <w:overflowPunct/>
        <w:topLinePunct w:val="0"/>
        <w:autoSpaceDE/>
        <w:autoSpaceDN/>
        <w:bidi w:val="0"/>
        <w:snapToGrid/>
        <w:spacing w:before="7" w:line="240" w:lineRule="auto"/>
        <w:rPr>
          <w:rFonts w:ascii="宋体" w:hAnsi="宋体" w:eastAsia="宋体" w:cs="宋体"/>
          <w:color w:val="auto"/>
          <w:sz w:val="14"/>
          <w:szCs w:val="14"/>
          <w:highlight w:val="none"/>
        </w:rPr>
      </w:pPr>
    </w:p>
    <w:p w14:paraId="73A00390">
      <w:pPr>
        <w:pStyle w:val="5"/>
        <w:keepLines w:val="0"/>
        <w:pageBreakBefore w:val="0"/>
        <w:widowControl w:val="0"/>
        <w:tabs>
          <w:tab w:val="left" w:pos="3216"/>
        </w:tabs>
        <w:kinsoku/>
        <w:wordWrap w:val="0"/>
        <w:overflowPunct/>
        <w:topLinePunct w:val="0"/>
        <w:autoSpaceDE/>
        <w:autoSpaceDN/>
        <w:bidi w:val="0"/>
        <w:snapToGrid/>
        <w:spacing w:line="240" w:lineRule="auto"/>
        <w:ind w:right="0" w:firstLine="594" w:firstLineChars="200"/>
        <w:jc w:val="left"/>
        <w:rPr>
          <w:color w:val="auto"/>
          <w:sz w:val="30"/>
          <w:szCs w:val="30"/>
          <w:highlight w:val="none"/>
          <w:u w:val="none"/>
        </w:rPr>
      </w:pPr>
      <w:r>
        <w:rPr>
          <w:rFonts w:ascii="Times New Roman" w:hAnsi="Times New Roman" w:eastAsia="Times New Roman" w:cs="Times New Roman"/>
          <w:color w:val="auto"/>
          <w:w w:val="99"/>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rFonts w:hint="eastAsia" w:ascii="Times New Roman" w:hAnsi="Times New Roman" w:eastAsia="宋体" w:cs="Times New Roman"/>
          <w:color w:val="auto"/>
          <w:sz w:val="30"/>
          <w:szCs w:val="30"/>
          <w:highlight w:val="none"/>
          <w:u w:val="single" w:color="000000"/>
          <w:lang w:val="en-US" w:eastAsia="zh-CN"/>
        </w:rPr>
        <w:t xml:space="preserve">   </w:t>
      </w:r>
      <w:r>
        <w:rPr>
          <w:color w:val="auto"/>
          <w:sz w:val="30"/>
          <w:szCs w:val="30"/>
          <w:highlight w:val="none"/>
          <w:u w:val="none"/>
        </w:rPr>
        <w:t>省（自治区、直辖市）</w:t>
      </w:r>
    </w:p>
    <w:p w14:paraId="784AFE02">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0"/>
          <w:szCs w:val="30"/>
          <w:highlight w:val="none"/>
        </w:rPr>
      </w:pPr>
    </w:p>
    <w:p w14:paraId="48F2439E">
      <w:pPr>
        <w:keepLines w:val="0"/>
        <w:pageBreakBefore w:val="0"/>
        <w:widowControl w:val="0"/>
        <w:kinsoku/>
        <w:wordWrap w:val="0"/>
        <w:overflowPunct/>
        <w:topLinePunct w:val="0"/>
        <w:autoSpaceDE/>
        <w:autoSpaceDN/>
        <w:bidi w:val="0"/>
        <w:snapToGrid/>
        <w:spacing w:before="6" w:line="240" w:lineRule="auto"/>
        <w:rPr>
          <w:rFonts w:ascii="黑体" w:hAnsi="黑体" w:eastAsia="黑体" w:cs="黑体"/>
          <w:color w:val="auto"/>
          <w:sz w:val="30"/>
          <w:szCs w:val="30"/>
          <w:highlight w:val="none"/>
        </w:rPr>
      </w:pPr>
    </w:p>
    <w:p w14:paraId="0D16DB24">
      <w:pPr>
        <w:pStyle w:val="10"/>
        <w:keepLines w:val="0"/>
        <w:pageBreakBefore w:val="0"/>
        <w:widowControl w:val="0"/>
        <w:tabs>
          <w:tab w:val="left" w:pos="2212"/>
          <w:tab w:val="left" w:pos="4918"/>
        </w:tabs>
        <w:kinsoku/>
        <w:wordWrap w:val="0"/>
        <w:overflowPunct/>
        <w:topLinePunct w:val="0"/>
        <w:autoSpaceDE/>
        <w:autoSpaceDN/>
        <w:bidi w:val="0"/>
        <w:snapToGrid/>
        <w:spacing w:before="26" w:line="240" w:lineRule="auto"/>
        <w:ind w:left="0" w:right="53"/>
        <w:jc w:val="center"/>
        <w:rPr>
          <w:rFonts w:ascii="黑体" w:hAnsi="黑体" w:eastAsia="黑体" w:cs="黑体"/>
          <w:color w:val="auto"/>
          <w:highlight w:val="none"/>
        </w:rPr>
      </w:pPr>
      <w:r>
        <w:rPr>
          <w:rFonts w:ascii="Times New Roman" w:hAnsi="Times New Roman" w:eastAsia="Times New Roman" w:cs="Times New Roman"/>
          <w:color w:val="auto"/>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（项目名称）</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标段施工招标</w:t>
      </w:r>
    </w:p>
    <w:p w14:paraId="57AB0DCC">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79CDD9B6">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2E70A79B">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7C472C0A">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5EF4D64C">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680A41B5">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699A7879">
      <w:pPr>
        <w:keepLines w:val="0"/>
        <w:pageBreakBefore w:val="0"/>
        <w:widowControl w:val="0"/>
        <w:kinsoku/>
        <w:wordWrap w:val="0"/>
        <w:overflowPunct/>
        <w:topLinePunct w:val="0"/>
        <w:autoSpaceDE/>
        <w:autoSpaceDN/>
        <w:bidi w:val="0"/>
        <w:snapToGrid/>
        <w:spacing w:before="3" w:line="240" w:lineRule="auto"/>
        <w:rPr>
          <w:rFonts w:ascii="黑体" w:hAnsi="黑体" w:eastAsia="黑体" w:cs="黑体"/>
          <w:color w:val="auto"/>
          <w:sz w:val="19"/>
          <w:szCs w:val="19"/>
          <w:highlight w:val="none"/>
        </w:rPr>
      </w:pPr>
    </w:p>
    <w:p w14:paraId="2720D02B">
      <w:pPr>
        <w:keepLines w:val="0"/>
        <w:pageBreakBefore w:val="0"/>
        <w:widowControl w:val="0"/>
        <w:tabs>
          <w:tab w:val="left" w:pos="1497"/>
          <w:tab w:val="left" w:pos="2937"/>
          <w:tab w:val="left" w:pos="4377"/>
        </w:tabs>
        <w:kinsoku/>
        <w:wordWrap w:val="0"/>
        <w:overflowPunct/>
        <w:topLinePunct w:val="0"/>
        <w:autoSpaceDE/>
        <w:autoSpaceDN/>
        <w:bidi w:val="0"/>
        <w:snapToGrid/>
        <w:spacing w:before="0"/>
        <w:ind w:left="56" w:right="0" w:firstLine="0"/>
        <w:jc w:val="center"/>
        <w:rPr>
          <w:rFonts w:ascii="黑体" w:hAnsi="黑体" w:eastAsia="黑体" w:cs="黑体"/>
          <w:color w:val="auto"/>
          <w:sz w:val="72"/>
          <w:szCs w:val="72"/>
          <w:highlight w:val="none"/>
        </w:rPr>
      </w:pPr>
      <w:bookmarkStart w:id="422" w:name="_bookmark287"/>
      <w:bookmarkEnd w:id="422"/>
      <w:r>
        <w:rPr>
          <w:rFonts w:ascii="黑体" w:hAnsi="黑体" w:eastAsia="黑体" w:cs="黑体"/>
          <w:color w:val="auto"/>
          <w:sz w:val="72"/>
          <w:szCs w:val="72"/>
          <w:highlight w:val="none"/>
        </w:rPr>
        <w:t>投</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件</w:t>
      </w:r>
    </w:p>
    <w:p w14:paraId="5BD10421">
      <w:pPr>
        <w:pStyle w:val="4"/>
        <w:keepLines w:val="0"/>
        <w:pageBreakBefore w:val="0"/>
        <w:widowControl w:val="0"/>
        <w:kinsoku/>
        <w:wordWrap w:val="0"/>
        <w:overflowPunct/>
        <w:topLinePunct w:val="0"/>
        <w:autoSpaceDE/>
        <w:autoSpaceDN/>
        <w:bidi w:val="0"/>
        <w:snapToGrid/>
        <w:spacing w:before="526" w:line="240" w:lineRule="auto"/>
        <w:ind w:left="59" w:right="3"/>
        <w:jc w:val="center"/>
        <w:rPr>
          <w:color w:val="auto"/>
          <w:highlight w:val="none"/>
        </w:rPr>
      </w:pPr>
      <w:r>
        <w:rPr>
          <w:color w:val="auto"/>
          <w:highlight w:val="none"/>
        </w:rPr>
        <w:t>（商务及技术文件）</w:t>
      </w:r>
    </w:p>
    <w:p w14:paraId="241E3A32">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00832EDA">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C7D4CFE">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6EEF2BE2">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C9836FC">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61A8E820">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0ECD9C8">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04524511">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28876EA3">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23D2204E">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4731B2C4">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54321428">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5BD632DC">
      <w:pPr>
        <w:keepLines w:val="0"/>
        <w:pageBreakBefore w:val="0"/>
        <w:widowControl w:val="0"/>
        <w:kinsoku/>
        <w:wordWrap w:val="0"/>
        <w:overflowPunct/>
        <w:topLinePunct w:val="0"/>
        <w:autoSpaceDE/>
        <w:autoSpaceDN/>
        <w:bidi w:val="0"/>
        <w:snapToGrid/>
        <w:spacing w:before="7" w:line="240" w:lineRule="auto"/>
        <w:rPr>
          <w:rFonts w:ascii="黑体" w:hAnsi="黑体" w:eastAsia="黑体" w:cs="黑体"/>
          <w:color w:val="auto"/>
          <w:sz w:val="28"/>
          <w:szCs w:val="28"/>
          <w:highlight w:val="none"/>
        </w:rPr>
      </w:pPr>
    </w:p>
    <w:p w14:paraId="237B42B0">
      <w:pPr>
        <w:keepLines w:val="0"/>
        <w:pageBreakBefore w:val="0"/>
        <w:widowControl w:val="0"/>
        <w:tabs>
          <w:tab w:val="left" w:pos="5940"/>
        </w:tabs>
        <w:kinsoku/>
        <w:wordWrap w:val="0"/>
        <w:overflowPunct/>
        <w:topLinePunct w:val="0"/>
        <w:autoSpaceDE/>
        <w:autoSpaceDN/>
        <w:bidi w:val="0"/>
        <w:snapToGrid/>
        <w:spacing w:before="0"/>
        <w:ind w:left="59" w:right="0" w:firstLine="0"/>
        <w:jc w:val="center"/>
        <w:rPr>
          <w:rFonts w:ascii="黑体" w:hAnsi="黑体" w:eastAsia="黑体" w:cs="黑体"/>
          <w:color w:val="auto"/>
          <w:sz w:val="28"/>
          <w:szCs w:val="28"/>
          <w:highlight w:val="none"/>
        </w:rPr>
      </w:pPr>
      <w:r>
        <w:rPr>
          <w:rFonts w:ascii="黑体" w:hAnsi="黑体" w:eastAsia="黑体" w:cs="黑体"/>
          <w:color w:val="auto"/>
          <w:sz w:val="28"/>
          <w:szCs w:val="28"/>
          <w:highlight w:val="none"/>
        </w:rPr>
        <w:t>投标人：</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（盖单位章）</w:t>
      </w:r>
    </w:p>
    <w:p w14:paraId="72C757A2">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8"/>
          <w:szCs w:val="28"/>
          <w:highlight w:val="none"/>
        </w:rPr>
      </w:pPr>
    </w:p>
    <w:p w14:paraId="699A33A2">
      <w:pPr>
        <w:keepLines w:val="0"/>
        <w:pageBreakBefore w:val="0"/>
        <w:widowControl w:val="0"/>
        <w:kinsoku/>
        <w:wordWrap w:val="0"/>
        <w:overflowPunct/>
        <w:topLinePunct w:val="0"/>
        <w:autoSpaceDE/>
        <w:autoSpaceDN/>
        <w:bidi w:val="0"/>
        <w:snapToGrid/>
        <w:spacing w:before="3" w:line="240" w:lineRule="auto"/>
        <w:rPr>
          <w:rFonts w:ascii="黑体" w:hAnsi="黑体" w:eastAsia="黑体" w:cs="黑体"/>
          <w:color w:val="auto"/>
          <w:sz w:val="28"/>
          <w:szCs w:val="28"/>
          <w:highlight w:val="none"/>
        </w:rPr>
      </w:pPr>
    </w:p>
    <w:p w14:paraId="329B8A6D">
      <w:pPr>
        <w:keepLines w:val="0"/>
        <w:pageBreakBefore w:val="0"/>
        <w:widowControl w:val="0"/>
        <w:tabs>
          <w:tab w:val="left" w:pos="3250"/>
          <w:tab w:val="left" w:pos="4652"/>
          <w:tab w:val="left" w:pos="6190"/>
        </w:tabs>
        <w:kinsoku/>
        <w:wordWrap w:val="0"/>
        <w:overflowPunct/>
        <w:topLinePunct w:val="0"/>
        <w:autoSpaceDE/>
        <w:autoSpaceDN/>
        <w:bidi w:val="0"/>
        <w:snapToGrid/>
        <w:spacing w:before="14"/>
        <w:ind w:left="2132" w:right="0" w:firstLine="0"/>
        <w:jc w:val="left"/>
        <w:rPr>
          <w:rFonts w:ascii="黑体" w:hAnsi="黑体" w:eastAsia="黑体" w:cs="黑体"/>
          <w:color w:val="auto"/>
          <w:sz w:val="28"/>
          <w:szCs w:val="28"/>
          <w:highlight w:val="none"/>
        </w:rPr>
      </w:pPr>
      <w:r>
        <w:rPr>
          <w:rFonts w:ascii="Times New Roman" w:hAnsi="Times New Roman" w:eastAsia="Times New Roman" w:cs="Times New Roman"/>
          <w:color w:val="auto"/>
          <w:w w:val="100"/>
          <w:sz w:val="28"/>
          <w:szCs w:val="28"/>
          <w:highlight w:val="none"/>
          <w:u w:val="single" w:color="000000"/>
        </w:rPr>
        <w:t xml:space="preserve"> </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年</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月</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日</w:t>
      </w:r>
    </w:p>
    <w:p w14:paraId="7D4267B2">
      <w:pPr>
        <w:pStyle w:val="21"/>
        <w:rPr>
          <w:rFonts w:ascii="黑体" w:hAnsi="黑体" w:eastAsia="黑体" w:cs="黑体"/>
          <w:color w:val="auto"/>
          <w:sz w:val="28"/>
          <w:szCs w:val="28"/>
          <w:highlight w:val="none"/>
        </w:rPr>
      </w:pPr>
    </w:p>
    <w:p w14:paraId="3B9A328B">
      <w:pPr>
        <w:rPr>
          <w:rFonts w:ascii="黑体" w:hAnsi="黑体" w:eastAsia="黑体" w:cs="黑体"/>
          <w:color w:val="auto"/>
          <w:sz w:val="28"/>
          <w:szCs w:val="28"/>
          <w:highlight w:val="none"/>
        </w:rPr>
      </w:pPr>
    </w:p>
    <w:p w14:paraId="36287F37">
      <w:pPr>
        <w:pStyle w:val="21"/>
        <w:rPr>
          <w:color w:val="auto"/>
          <w:highlight w:val="none"/>
        </w:rPr>
      </w:pPr>
    </w:p>
    <w:p w14:paraId="687D5D8E">
      <w:pPr>
        <w:rPr>
          <w:rFonts w:ascii="黑体" w:hAnsi="黑体" w:eastAsia="黑体" w:cs="黑体"/>
          <w:color w:val="auto"/>
          <w:sz w:val="28"/>
          <w:szCs w:val="28"/>
          <w:highlight w:val="none"/>
        </w:rPr>
      </w:pPr>
    </w:p>
    <w:p w14:paraId="25F7E0AB">
      <w:pPr>
        <w:keepLines w:val="0"/>
        <w:pageBreakBefore w:val="0"/>
        <w:widowControl w:val="0"/>
        <w:kinsoku/>
        <w:wordWrap w:val="0"/>
        <w:overflowPunct/>
        <w:topLinePunct w:val="0"/>
        <w:autoSpaceDE/>
        <w:autoSpaceDN/>
        <w:bidi w:val="0"/>
        <w:snapToGrid/>
        <w:spacing w:line="440" w:lineRule="exact"/>
        <w:jc w:val="center"/>
        <w:rPr>
          <w:rFonts w:ascii="宋体" w:hAnsi="宋体"/>
          <w:bCs/>
          <w:color w:val="auto"/>
          <w:sz w:val="32"/>
          <w:szCs w:val="32"/>
          <w:highlight w:val="none"/>
        </w:rPr>
      </w:pPr>
      <w:bookmarkStart w:id="423" w:name="_Toc152042577"/>
      <w:r>
        <w:rPr>
          <w:rFonts w:hint="eastAsia" w:ascii="宋体" w:hAnsi="宋体"/>
          <w:b/>
          <w:bCs w:val="0"/>
          <w:color w:val="auto"/>
          <w:sz w:val="32"/>
          <w:szCs w:val="32"/>
          <w:highlight w:val="none"/>
        </w:rPr>
        <w:t>目     录</w:t>
      </w:r>
      <w:bookmarkEnd w:id="423"/>
    </w:p>
    <w:p w14:paraId="6AAF8B14">
      <w:pPr>
        <w:keepLines w:val="0"/>
        <w:pageBreakBefore w:val="0"/>
        <w:widowControl w:val="0"/>
        <w:kinsoku/>
        <w:wordWrap w:val="0"/>
        <w:overflowPunct/>
        <w:topLinePunct w:val="0"/>
        <w:autoSpaceDE/>
        <w:autoSpaceDN/>
        <w:bidi w:val="0"/>
        <w:snapToGrid/>
        <w:rPr>
          <w:rFonts w:ascii="宋体" w:hAnsi="宋体"/>
          <w:color w:val="auto"/>
          <w:sz w:val="28"/>
          <w:szCs w:val="28"/>
          <w:highlight w:val="none"/>
        </w:rPr>
      </w:pPr>
      <w:r>
        <w:rPr>
          <w:rFonts w:hint="eastAsia" w:ascii="宋体" w:hAnsi="宋体"/>
          <w:color w:val="auto"/>
          <w:sz w:val="28"/>
          <w:szCs w:val="28"/>
          <w:highlight w:val="none"/>
        </w:rPr>
        <w:t xml:space="preserve"> </w:t>
      </w:r>
    </w:p>
    <w:p w14:paraId="3003FC1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bookmarkStart w:id="424" w:name="_Toc6489"/>
      <w:bookmarkEnd w:id="424"/>
      <w:r>
        <w:rPr>
          <w:rFonts w:hint="eastAsia" w:ascii="宋体" w:hAnsi="宋体" w:cs="宋体"/>
          <w:color w:val="auto"/>
          <w:kern w:val="0"/>
          <w:sz w:val="24"/>
          <w:szCs w:val="24"/>
          <w:highlight w:val="none"/>
        </w:rPr>
        <w:t>一、投标函及投标函附录</w:t>
      </w:r>
    </w:p>
    <w:p w14:paraId="7167964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二、授权委托书或法定代表人身份证明</w:t>
      </w:r>
    </w:p>
    <w:p w14:paraId="5CD7246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三、投标保证金</w:t>
      </w:r>
    </w:p>
    <w:p w14:paraId="56EF53C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四、施工组织设计</w:t>
      </w:r>
    </w:p>
    <w:p w14:paraId="18C6DCA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五、项目管理机构</w:t>
      </w:r>
    </w:p>
    <w:p w14:paraId="4325F06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六、资格审查资料</w:t>
      </w:r>
    </w:p>
    <w:p w14:paraId="0E26E83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ascii="宋体" w:hAnsi="宋体"/>
          <w:b/>
          <w:bCs/>
          <w:color w:val="auto"/>
          <w:sz w:val="24"/>
          <w:szCs w:val="24"/>
          <w:highlight w:val="none"/>
        </w:rPr>
      </w:pPr>
      <w:r>
        <w:rPr>
          <w:rFonts w:hint="eastAsia" w:ascii="宋体" w:hAnsi="宋体" w:cs="宋体"/>
          <w:color w:val="auto"/>
          <w:kern w:val="0"/>
          <w:sz w:val="24"/>
          <w:szCs w:val="24"/>
          <w:highlight w:val="none"/>
        </w:rPr>
        <w:t>七、其他资料</w:t>
      </w:r>
      <w:r>
        <w:rPr>
          <w:rFonts w:hint="eastAsia" w:ascii="宋体" w:hAnsi="宋体"/>
          <w:b/>
          <w:bCs/>
          <w:color w:val="auto"/>
          <w:sz w:val="24"/>
          <w:szCs w:val="24"/>
          <w:highlight w:val="none"/>
        </w:rPr>
        <w:t xml:space="preserve"> </w:t>
      </w:r>
    </w:p>
    <w:p w14:paraId="1F2AB469">
      <w:pPr>
        <w:rPr>
          <w:color w:val="auto"/>
          <w:highlight w:val="none"/>
        </w:rPr>
      </w:pPr>
    </w:p>
    <w:p w14:paraId="5149CF8F">
      <w:pPr>
        <w:pStyle w:val="21"/>
        <w:rPr>
          <w:color w:val="auto"/>
          <w:highlight w:val="none"/>
        </w:rPr>
      </w:pPr>
    </w:p>
    <w:p w14:paraId="7C4FF1CD">
      <w:pPr>
        <w:rPr>
          <w:color w:val="auto"/>
          <w:highlight w:val="none"/>
        </w:rPr>
      </w:pPr>
    </w:p>
    <w:p w14:paraId="538D54DB">
      <w:pPr>
        <w:pStyle w:val="21"/>
        <w:rPr>
          <w:color w:val="auto"/>
          <w:highlight w:val="none"/>
        </w:rPr>
      </w:pPr>
    </w:p>
    <w:p w14:paraId="4A2F01A5">
      <w:pPr>
        <w:rPr>
          <w:color w:val="auto"/>
          <w:highlight w:val="none"/>
        </w:rPr>
      </w:pPr>
    </w:p>
    <w:p w14:paraId="0937387C">
      <w:pPr>
        <w:pStyle w:val="21"/>
        <w:rPr>
          <w:color w:val="auto"/>
          <w:highlight w:val="none"/>
        </w:rPr>
      </w:pPr>
    </w:p>
    <w:p w14:paraId="17FDF8F2">
      <w:pPr>
        <w:rPr>
          <w:color w:val="auto"/>
          <w:highlight w:val="none"/>
        </w:rPr>
      </w:pPr>
    </w:p>
    <w:p w14:paraId="710EFB22">
      <w:pPr>
        <w:pStyle w:val="21"/>
        <w:rPr>
          <w:color w:val="auto"/>
          <w:highlight w:val="none"/>
        </w:rPr>
      </w:pPr>
    </w:p>
    <w:p w14:paraId="12C4D3F9">
      <w:pPr>
        <w:rPr>
          <w:color w:val="auto"/>
          <w:highlight w:val="none"/>
        </w:rPr>
      </w:pPr>
    </w:p>
    <w:p w14:paraId="74A3A041">
      <w:pPr>
        <w:pStyle w:val="21"/>
        <w:rPr>
          <w:color w:val="auto"/>
          <w:highlight w:val="none"/>
        </w:rPr>
      </w:pPr>
    </w:p>
    <w:p w14:paraId="22A8D5E3">
      <w:pPr>
        <w:rPr>
          <w:color w:val="auto"/>
          <w:highlight w:val="none"/>
        </w:rPr>
      </w:pPr>
    </w:p>
    <w:p w14:paraId="4E95B5F4">
      <w:pPr>
        <w:pStyle w:val="21"/>
        <w:rPr>
          <w:color w:val="auto"/>
          <w:highlight w:val="none"/>
        </w:rPr>
      </w:pPr>
    </w:p>
    <w:p w14:paraId="1B556DAF">
      <w:pPr>
        <w:rPr>
          <w:color w:val="auto"/>
          <w:highlight w:val="none"/>
        </w:rPr>
      </w:pPr>
    </w:p>
    <w:p w14:paraId="12273ADB">
      <w:pPr>
        <w:pStyle w:val="21"/>
        <w:rPr>
          <w:color w:val="auto"/>
          <w:highlight w:val="none"/>
        </w:rPr>
      </w:pPr>
    </w:p>
    <w:p w14:paraId="2FB3F353">
      <w:pPr>
        <w:rPr>
          <w:color w:val="auto"/>
          <w:highlight w:val="none"/>
        </w:rPr>
      </w:pPr>
    </w:p>
    <w:p w14:paraId="42E978C2">
      <w:pPr>
        <w:pStyle w:val="21"/>
        <w:rPr>
          <w:color w:val="auto"/>
          <w:highlight w:val="none"/>
        </w:rPr>
      </w:pPr>
    </w:p>
    <w:p w14:paraId="40096BED">
      <w:pPr>
        <w:rPr>
          <w:color w:val="auto"/>
          <w:highlight w:val="none"/>
        </w:rPr>
      </w:pPr>
    </w:p>
    <w:p w14:paraId="7C95755C">
      <w:pPr>
        <w:pStyle w:val="21"/>
        <w:rPr>
          <w:color w:val="auto"/>
          <w:highlight w:val="none"/>
        </w:rPr>
      </w:pPr>
    </w:p>
    <w:p w14:paraId="6DEB63E6">
      <w:pPr>
        <w:rPr>
          <w:color w:val="auto"/>
          <w:highlight w:val="none"/>
        </w:rPr>
      </w:pPr>
    </w:p>
    <w:p w14:paraId="0AFEEF08">
      <w:pPr>
        <w:pStyle w:val="21"/>
        <w:rPr>
          <w:color w:val="auto"/>
          <w:highlight w:val="none"/>
        </w:rPr>
      </w:pPr>
    </w:p>
    <w:p w14:paraId="7F4F10F9">
      <w:pPr>
        <w:rPr>
          <w:color w:val="auto"/>
          <w:highlight w:val="none"/>
        </w:rPr>
      </w:pPr>
    </w:p>
    <w:p w14:paraId="650FF298">
      <w:pPr>
        <w:pStyle w:val="21"/>
        <w:rPr>
          <w:color w:val="auto"/>
          <w:highlight w:val="none"/>
        </w:rPr>
      </w:pPr>
    </w:p>
    <w:p w14:paraId="6F113587">
      <w:pPr>
        <w:rPr>
          <w:color w:val="auto"/>
          <w:highlight w:val="none"/>
        </w:rPr>
      </w:pPr>
    </w:p>
    <w:p w14:paraId="735F30A4">
      <w:pPr>
        <w:pStyle w:val="21"/>
        <w:rPr>
          <w:color w:val="auto"/>
          <w:highlight w:val="none"/>
        </w:rPr>
      </w:pPr>
    </w:p>
    <w:p w14:paraId="14296F59">
      <w:pPr>
        <w:rPr>
          <w:color w:val="auto"/>
          <w:highlight w:val="none"/>
        </w:rPr>
      </w:pPr>
    </w:p>
    <w:p w14:paraId="61703455">
      <w:pPr>
        <w:pStyle w:val="21"/>
        <w:rPr>
          <w:color w:val="auto"/>
          <w:highlight w:val="none"/>
        </w:rPr>
      </w:pPr>
    </w:p>
    <w:p w14:paraId="136E43FE">
      <w:pPr>
        <w:keepLines w:val="0"/>
        <w:pageBreakBefore w:val="0"/>
        <w:widowControl w:val="0"/>
        <w:kinsoku/>
        <w:wordWrap w:val="0"/>
        <w:overflowPunct/>
        <w:topLinePunct w:val="0"/>
        <w:autoSpaceDE/>
        <w:autoSpaceDN/>
        <w:bidi w:val="0"/>
        <w:adjustRightInd w:val="0"/>
        <w:snapToGrid/>
        <w:spacing w:line="400" w:lineRule="exact"/>
        <w:ind w:right="-34" w:rightChars="-16"/>
        <w:jc w:val="center"/>
        <w:outlineLvl w:val="1"/>
        <w:rPr>
          <w:rFonts w:ascii="宋体" w:hAnsi="宋体" w:cs="宋体"/>
          <w:b/>
          <w:color w:val="auto"/>
          <w:kern w:val="0"/>
          <w:sz w:val="30"/>
          <w:szCs w:val="30"/>
          <w:highlight w:val="none"/>
        </w:rPr>
      </w:pPr>
      <w:bookmarkStart w:id="425" w:name="_Toc500864537"/>
      <w:bookmarkStart w:id="426" w:name="_Toc37746998"/>
      <w:bookmarkStart w:id="427" w:name="_Toc431367135"/>
      <w:bookmarkStart w:id="428" w:name="_Toc7056"/>
      <w:bookmarkStart w:id="429" w:name="_Toc37422282"/>
      <w:bookmarkStart w:id="430" w:name="_Toc32572"/>
      <w:r>
        <w:rPr>
          <w:rFonts w:hint="eastAsia" w:ascii="宋体" w:hAnsi="宋体" w:cs="宋体"/>
          <w:b/>
          <w:color w:val="auto"/>
          <w:kern w:val="0"/>
          <w:sz w:val="30"/>
          <w:szCs w:val="30"/>
          <w:highlight w:val="none"/>
        </w:rPr>
        <w:t>一、投标函及投标函附录</w:t>
      </w:r>
      <w:bookmarkEnd w:id="425"/>
      <w:bookmarkEnd w:id="426"/>
      <w:bookmarkEnd w:id="427"/>
      <w:bookmarkEnd w:id="428"/>
      <w:bookmarkEnd w:id="429"/>
      <w:bookmarkEnd w:id="430"/>
    </w:p>
    <w:p w14:paraId="6F8CF570">
      <w:pPr>
        <w:keepNext w:val="0"/>
        <w:keepLines w:val="0"/>
        <w:pageBreakBefore w:val="0"/>
        <w:widowControl w:val="0"/>
        <w:kinsoku/>
        <w:wordWrap w:val="0"/>
        <w:overflowPunct/>
        <w:topLinePunct w:val="0"/>
        <w:autoSpaceDE/>
        <w:autoSpaceDN/>
        <w:bidi w:val="0"/>
        <w:adjustRightInd w:val="0"/>
        <w:snapToGrid/>
        <w:spacing w:before="157" w:beforeLines="50" w:line="360" w:lineRule="auto"/>
        <w:ind w:right="-34" w:rightChars="-16"/>
        <w:jc w:val="center"/>
        <w:textAlignment w:val="auto"/>
        <w:outlineLvl w:val="1"/>
        <w:rPr>
          <w:rFonts w:ascii="宋体" w:hAnsi="宋体" w:cs="宋体"/>
          <w:b/>
          <w:color w:val="auto"/>
          <w:kern w:val="0"/>
          <w:sz w:val="24"/>
          <w:highlight w:val="none"/>
        </w:rPr>
      </w:pPr>
      <w:bookmarkStart w:id="431" w:name="_Toc431367136"/>
      <w:bookmarkStart w:id="432" w:name="_Toc228591751"/>
      <w:bookmarkStart w:id="433" w:name="_Toc8455"/>
      <w:bookmarkStart w:id="434" w:name="_Toc228337192"/>
      <w:bookmarkStart w:id="435" w:name="_Toc228591603"/>
      <w:bookmarkStart w:id="436" w:name="_Toc37746999"/>
      <w:bookmarkStart w:id="437" w:name="_Toc272772663"/>
      <w:bookmarkStart w:id="438" w:name="_Toc228881243"/>
      <w:bookmarkStart w:id="439" w:name="_Toc23746"/>
      <w:bookmarkStart w:id="440" w:name="_Toc227657581"/>
      <w:bookmarkStart w:id="441" w:name="_Toc227492339"/>
      <w:bookmarkStart w:id="442" w:name="_Toc285618746"/>
      <w:bookmarkStart w:id="443" w:name="_Toc243904320"/>
      <w:bookmarkStart w:id="444" w:name="_Toc228589257"/>
      <w:bookmarkStart w:id="445" w:name="_Toc7512"/>
      <w:bookmarkStart w:id="446" w:name="_Toc500864538"/>
      <w:bookmarkStart w:id="447" w:name="_Toc37422283"/>
      <w:bookmarkStart w:id="448" w:name="_Toc214433983"/>
      <w:r>
        <w:rPr>
          <w:rFonts w:hint="eastAsia" w:ascii="宋体" w:hAnsi="宋体" w:cs="宋体"/>
          <w:b/>
          <w:color w:val="auto"/>
          <w:kern w:val="0"/>
          <w:sz w:val="28"/>
          <w:szCs w:val="28"/>
          <w:highlight w:val="none"/>
        </w:rPr>
        <w:t>（一）投标函</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14:paraId="2F774480">
      <w:pPr>
        <w:keepLines w:val="0"/>
        <w:pageBreakBefore w:val="0"/>
        <w:widowControl w:val="0"/>
        <w:kinsoku/>
        <w:wordWrap w:val="0"/>
        <w:overflowPunct/>
        <w:topLinePunct w:val="0"/>
        <w:autoSpaceDE/>
        <w:autoSpaceDN/>
        <w:bidi w:val="0"/>
        <w:snapToGrid/>
        <w:spacing w:line="440" w:lineRule="exact"/>
        <w:rPr>
          <w:rFonts w:ascii="宋体" w:hAnsi="宋体" w:cs="宋体"/>
          <w:color w:val="auto"/>
          <w:highlight w:val="none"/>
          <w:u w:val="single"/>
        </w:rPr>
      </w:pPr>
    </w:p>
    <w:p w14:paraId="60088E18">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1．我方已仔细研究</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标段施工招标文件的全部内容（含补遗书第___号至第___号），在考察工程现场后，愿意以第二个信封（报价文件）中的投标总报价（或根据招标文件规定修正核实后确定的另一金额），按合同约定实施和完成承包工程，修补工程中的任何缺陷。</w:t>
      </w:r>
    </w:p>
    <w:p w14:paraId="742ECABE">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2．我方承诺在招标文件规定的投标有效期内不撤销投标文件。</w:t>
      </w:r>
    </w:p>
    <w:p w14:paraId="4FF98556">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3．工程质量：</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，安全目标</w:t>
      </w:r>
      <w:r>
        <w:rPr>
          <w:rFonts w:hint="eastAsia" w:ascii="宋体" w:hAnsi="宋体" w:eastAsia="宋体" w:cs="宋体"/>
          <w:color w:val="auto"/>
          <w:sz w:val="24"/>
          <w:highlight w:val="none"/>
          <w:u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，工期：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日历天。</w:t>
      </w:r>
    </w:p>
    <w:p w14:paraId="25B11C38">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4．如我方中标，我方承诺：</w:t>
      </w:r>
    </w:p>
    <w:p w14:paraId="7223ACB2">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（1）在收到中标通知书后，在中标通知书规定的期限内与你方签订合同；</w:t>
      </w:r>
    </w:p>
    <w:p w14:paraId="58E2AE4F">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（2）在签订合同时不向你方提出附加条件；</w:t>
      </w:r>
    </w:p>
    <w:p w14:paraId="3A7F3F15">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（3）按照招标文件要求提交履约保证金；</w:t>
      </w:r>
    </w:p>
    <w:p w14:paraId="79D3A3B7">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（4）在合同约定的期限内完成合同规定的全部义务；</w:t>
      </w:r>
    </w:p>
    <w:p w14:paraId="090C8CCC">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在你方和我方进行合同谈判之前，我方将按照合同附件提出的最低要求填报派驻本标段的其他管理和技术人员及主要机械设备和试验检测设备，经你方审批后作为派驻本标段的项目管理机构主要人员和主要设备且不进行更换。如我方拟派驻的人员和设备不满足合同附件要求，你方有权取消我方中标资格。</w:t>
      </w:r>
    </w:p>
    <w:p w14:paraId="1084B372">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5．我方在此声明，所递交的投标文件及有关资料内容完整、真实和准确，且不存在招标文件第二章“投标人须知”第 1.4.3 项和第 1.4.4 项规定的任何一种情形。</w:t>
      </w:r>
    </w:p>
    <w:p w14:paraId="651348D5">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6．在合同协议书正式签署生效之前，本投标函连同你方的中标通知书将构成我们双方之间共同遵守的文件，对双方具有约束力。</w:t>
      </w:r>
    </w:p>
    <w:p w14:paraId="1B0AF280">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（其他补充说明）。</w:t>
      </w:r>
    </w:p>
    <w:p w14:paraId="132F7C6F">
      <w:pPr>
        <w:pStyle w:val="21"/>
        <w:keepNext w:val="0"/>
        <w:keepLines w:val="0"/>
        <w:pageBreakBefore w:val="0"/>
        <w:widowControl w:val="0"/>
        <w:kinsoku/>
        <w:wordWrap w:val="0"/>
        <w:overflowPunct/>
        <w:topLinePunct w:val="0"/>
        <w:autoSpaceDE/>
        <w:autoSpaceDN/>
        <w:bidi w:val="0"/>
        <w:adjustRightInd/>
        <w:snapToGrid/>
        <w:spacing w:line="400" w:lineRule="atLeast"/>
        <w:textAlignment w:val="auto"/>
        <w:rPr>
          <w:rFonts w:hint="eastAsia" w:ascii="宋体" w:hAnsi="宋体" w:eastAsia="宋体" w:cs="宋体"/>
          <w:color w:val="auto"/>
          <w:highlight w:val="none"/>
        </w:rPr>
      </w:pPr>
    </w:p>
    <w:p w14:paraId="084EBA57">
      <w:pPr>
        <w:keepNext w:val="0"/>
        <w:keepLines w:val="0"/>
        <w:pageBreakBefore w:val="0"/>
        <w:widowControl w:val="0"/>
        <w:kinsoku/>
        <w:wordWrap w:val="0"/>
        <w:overflowPunct/>
        <w:topLinePunct w:val="0"/>
        <w:autoSpaceDE/>
        <w:autoSpaceDN/>
        <w:bidi w:val="0"/>
        <w:adjustRightInd/>
        <w:snapToGrid/>
        <w:spacing w:line="400" w:lineRule="atLeast"/>
        <w:ind w:right="240" w:firstLine="3600" w:firstLineChars="15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（盖单位章）</w:t>
      </w:r>
    </w:p>
    <w:p w14:paraId="3A6FE984">
      <w:pPr>
        <w:keepNext w:val="0"/>
        <w:keepLines w:val="0"/>
        <w:pageBreakBefore w:val="0"/>
        <w:widowControl w:val="0"/>
        <w:kinsoku/>
        <w:wordWrap w:val="0"/>
        <w:overflowPunct/>
        <w:topLinePunct w:val="0"/>
        <w:autoSpaceDE/>
        <w:autoSpaceDN/>
        <w:bidi w:val="0"/>
        <w:adjustRightInd/>
        <w:snapToGrid/>
        <w:spacing w:line="400" w:lineRule="atLeast"/>
        <w:ind w:right="480" w:firstLine="3554" w:firstLineChars="1481"/>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p>
    <w:p w14:paraId="02A11614">
      <w:pPr>
        <w:keepNext w:val="0"/>
        <w:keepLines w:val="0"/>
        <w:pageBreakBefore w:val="0"/>
        <w:widowControl w:val="0"/>
        <w:kinsoku/>
        <w:wordWrap w:val="0"/>
        <w:overflowPunct/>
        <w:topLinePunct w:val="0"/>
        <w:autoSpaceDE/>
        <w:autoSpaceDN/>
        <w:bidi w:val="0"/>
        <w:adjustRightInd/>
        <w:snapToGrid/>
        <w:spacing w:line="400" w:lineRule="atLeast"/>
        <w:ind w:firstLine="3568" w:firstLineChars="1487"/>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地</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p>
    <w:p w14:paraId="25EFD3E6">
      <w:pPr>
        <w:keepNext w:val="0"/>
        <w:keepLines w:val="0"/>
        <w:pageBreakBefore w:val="0"/>
        <w:widowControl w:val="0"/>
        <w:kinsoku/>
        <w:wordWrap w:val="0"/>
        <w:overflowPunct/>
        <w:topLinePunct w:val="0"/>
        <w:autoSpaceDE/>
        <w:autoSpaceDN/>
        <w:bidi w:val="0"/>
        <w:adjustRightInd/>
        <w:snapToGrid/>
        <w:spacing w:line="400" w:lineRule="atLeast"/>
        <w:ind w:firstLine="3568" w:firstLineChars="1487"/>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网</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址：</w:t>
      </w:r>
      <w:r>
        <w:rPr>
          <w:rFonts w:hint="eastAsia" w:ascii="宋体" w:hAnsi="宋体" w:eastAsia="宋体" w:cs="宋体"/>
          <w:color w:val="auto"/>
          <w:sz w:val="24"/>
          <w:highlight w:val="none"/>
          <w:u w:val="single"/>
          <w:lang w:val="en-US" w:eastAsia="zh-CN"/>
        </w:rPr>
        <w:t xml:space="preserve">                                </w:t>
      </w:r>
    </w:p>
    <w:p w14:paraId="28B1C8B7">
      <w:pPr>
        <w:keepNext w:val="0"/>
        <w:keepLines w:val="0"/>
        <w:pageBreakBefore w:val="0"/>
        <w:widowControl w:val="0"/>
        <w:kinsoku/>
        <w:wordWrap w:val="0"/>
        <w:overflowPunct/>
        <w:topLinePunct w:val="0"/>
        <w:autoSpaceDE/>
        <w:autoSpaceDN/>
        <w:bidi w:val="0"/>
        <w:adjustRightInd/>
        <w:snapToGrid/>
        <w:spacing w:line="400" w:lineRule="atLeast"/>
        <w:ind w:firstLine="3583" w:firstLineChars="1493"/>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电</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话：</w:t>
      </w:r>
      <w:r>
        <w:rPr>
          <w:rFonts w:hint="eastAsia" w:ascii="宋体" w:hAnsi="宋体" w:eastAsia="宋体" w:cs="宋体"/>
          <w:color w:val="auto"/>
          <w:sz w:val="24"/>
          <w:highlight w:val="none"/>
          <w:u w:val="single"/>
          <w:lang w:val="en-US" w:eastAsia="zh-CN"/>
        </w:rPr>
        <w:t xml:space="preserve">                                </w:t>
      </w:r>
    </w:p>
    <w:p w14:paraId="1473B52D">
      <w:pPr>
        <w:keepNext w:val="0"/>
        <w:keepLines w:val="0"/>
        <w:pageBreakBefore w:val="0"/>
        <w:widowControl w:val="0"/>
        <w:kinsoku/>
        <w:wordWrap w:val="0"/>
        <w:overflowPunct/>
        <w:topLinePunct w:val="0"/>
        <w:autoSpaceDE/>
        <w:autoSpaceDN/>
        <w:bidi w:val="0"/>
        <w:adjustRightInd/>
        <w:snapToGrid/>
        <w:spacing w:line="400" w:lineRule="atLeast"/>
        <w:ind w:firstLine="3583" w:firstLineChars="1493"/>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真：</w:t>
      </w:r>
      <w:r>
        <w:rPr>
          <w:rFonts w:hint="eastAsia" w:ascii="宋体" w:hAnsi="宋体" w:eastAsia="宋体" w:cs="宋体"/>
          <w:color w:val="auto"/>
          <w:sz w:val="24"/>
          <w:highlight w:val="none"/>
          <w:u w:val="single"/>
          <w:lang w:val="en-US" w:eastAsia="zh-CN"/>
        </w:rPr>
        <w:t xml:space="preserve">                                </w:t>
      </w:r>
    </w:p>
    <w:p w14:paraId="016CD994">
      <w:pPr>
        <w:keepNext w:val="0"/>
        <w:keepLines w:val="0"/>
        <w:pageBreakBefore w:val="0"/>
        <w:widowControl w:val="0"/>
        <w:kinsoku/>
        <w:wordWrap w:val="0"/>
        <w:overflowPunct/>
        <w:topLinePunct w:val="0"/>
        <w:autoSpaceDE/>
        <w:autoSpaceDN/>
        <w:bidi w:val="0"/>
        <w:adjustRightInd/>
        <w:snapToGrid/>
        <w:spacing w:line="400" w:lineRule="atLeast"/>
        <w:ind w:firstLine="3597" w:firstLineChars="1499"/>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p>
    <w:p w14:paraId="7EC35F2B">
      <w:pPr>
        <w:pStyle w:val="21"/>
        <w:rPr>
          <w:rFonts w:hint="eastAsia" w:ascii="宋体" w:hAnsi="宋体" w:eastAsia="宋体" w:cs="宋体"/>
          <w:color w:val="auto"/>
          <w:sz w:val="24"/>
          <w:highlight w:val="none"/>
          <w:u w:val="single"/>
          <w:lang w:val="en-US" w:eastAsia="zh-CN"/>
        </w:rPr>
      </w:pPr>
    </w:p>
    <w:p w14:paraId="495070DB">
      <w:pPr>
        <w:ind w:firstLine="5520" w:firstLineChars="2300"/>
        <w:rPr>
          <w:rFonts w:hint="eastAsia" w:ascii="宋体" w:hAnsi="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none"/>
          <w:lang w:val="en-US" w:eastAsia="zh-CN"/>
        </w:rPr>
        <w:t>年</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rPr>
        <w:t>月</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none"/>
          <w:lang w:val="en-US" w:eastAsia="zh-CN"/>
        </w:rPr>
        <w:t>日</w:t>
      </w:r>
    </w:p>
    <w:p w14:paraId="0CB0AC70">
      <w:pPr>
        <w:rPr>
          <w:rFonts w:hint="eastAsia" w:ascii="宋体" w:hAnsi="宋体" w:cs="宋体"/>
          <w:b w:val="0"/>
          <w:bCs w:val="0"/>
          <w:color w:val="auto"/>
          <w:sz w:val="24"/>
          <w:highlight w:val="none"/>
          <w:u w:val="none"/>
          <w:lang w:val="en-US" w:eastAsia="zh-CN"/>
        </w:rPr>
      </w:pPr>
    </w:p>
    <w:p w14:paraId="6B587FA8">
      <w:pPr>
        <w:pStyle w:val="4"/>
        <w:keepNext w:val="0"/>
        <w:keepLines w:val="0"/>
        <w:pageBreakBefore w:val="0"/>
        <w:widowControl w:val="0"/>
        <w:numPr>
          <w:ilvl w:val="0"/>
          <w:numId w:val="0"/>
        </w:numPr>
        <w:kinsoku/>
        <w:wordWrap w:val="0"/>
        <w:overflowPunct/>
        <w:topLinePunct w:val="0"/>
        <w:autoSpaceDE/>
        <w:autoSpaceDN/>
        <w:bidi w:val="0"/>
        <w:adjustRightInd/>
        <w:snapToGrid/>
        <w:spacing w:before="0" w:beforeAutospacing="0" w:after="313" w:afterLines="100" w:afterAutospacing="0" w:line="240" w:lineRule="auto"/>
        <w:jc w:val="center"/>
        <w:textAlignment w:val="auto"/>
        <w:rPr>
          <w:rFonts w:hint="eastAsia" w:ascii="宋体" w:hAnsi="宋体" w:eastAsia="宋体" w:cs="宋体"/>
          <w:color w:val="auto"/>
          <w:sz w:val="28"/>
          <w:szCs w:val="28"/>
          <w:highlight w:val="none"/>
        </w:rPr>
      </w:pPr>
      <w:bookmarkStart w:id="449" w:name="_Toc16778839"/>
      <w:bookmarkStart w:id="450" w:name="_Toc1945"/>
      <w:bookmarkStart w:id="451" w:name="_Toc1011"/>
      <w:r>
        <w:rPr>
          <w:rFonts w:hint="eastAsia" w:ascii="宋体" w:hAnsi="宋体" w:eastAsia="宋体" w:cs="宋体"/>
          <w:b/>
          <w:bCs w:val="0"/>
          <w:color w:val="auto"/>
          <w:sz w:val="28"/>
          <w:szCs w:val="28"/>
          <w:highlight w:val="none"/>
        </w:rPr>
        <w:t>（二）投标函</w:t>
      </w:r>
      <w:bookmarkStart w:id="452" w:name="_Hlt130800501"/>
      <w:bookmarkEnd w:id="452"/>
      <w:r>
        <w:rPr>
          <w:rFonts w:hint="eastAsia" w:ascii="宋体" w:hAnsi="宋体" w:eastAsia="宋体" w:cs="宋体"/>
          <w:b/>
          <w:bCs w:val="0"/>
          <w:color w:val="auto"/>
          <w:sz w:val="28"/>
          <w:szCs w:val="28"/>
          <w:highlight w:val="none"/>
        </w:rPr>
        <w:t>附录</w:t>
      </w:r>
      <w:bookmarkEnd w:id="449"/>
      <w:bookmarkEnd w:id="450"/>
      <w:bookmarkEnd w:id="451"/>
    </w:p>
    <w:tbl>
      <w:tblPr>
        <w:tblStyle w:val="23"/>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2617"/>
        <w:gridCol w:w="1456"/>
        <w:gridCol w:w="3549"/>
        <w:gridCol w:w="1211"/>
      </w:tblGrid>
      <w:tr w14:paraId="1D0E2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top w:val="single" w:color="auto" w:sz="8" w:space="0"/>
              <w:left w:val="single" w:color="auto" w:sz="8" w:space="0"/>
            </w:tcBorders>
            <w:noWrap/>
            <w:vAlign w:val="center"/>
          </w:tcPr>
          <w:p w14:paraId="6151DF84">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2617" w:type="dxa"/>
            <w:tcBorders>
              <w:top w:val="single" w:color="auto" w:sz="8" w:space="0"/>
            </w:tcBorders>
            <w:noWrap/>
            <w:vAlign w:val="center"/>
          </w:tcPr>
          <w:p w14:paraId="7009DC62">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条款名称</w:t>
            </w:r>
          </w:p>
        </w:tc>
        <w:tc>
          <w:tcPr>
            <w:tcW w:w="1456" w:type="dxa"/>
            <w:tcBorders>
              <w:top w:val="single" w:color="auto" w:sz="8" w:space="0"/>
            </w:tcBorders>
            <w:noWrap/>
            <w:vAlign w:val="center"/>
          </w:tcPr>
          <w:p w14:paraId="616A24E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合同条款号</w:t>
            </w:r>
          </w:p>
        </w:tc>
        <w:tc>
          <w:tcPr>
            <w:tcW w:w="3549" w:type="dxa"/>
            <w:tcBorders>
              <w:top w:val="single" w:color="auto" w:sz="8" w:space="0"/>
              <w:right w:val="single" w:color="auto" w:sz="8" w:space="0"/>
            </w:tcBorders>
            <w:noWrap/>
            <w:vAlign w:val="center"/>
          </w:tcPr>
          <w:p w14:paraId="30410E6D">
            <w:pPr>
              <w:pStyle w:val="48"/>
              <w:keepNext w:val="0"/>
              <w:keepLines w:val="0"/>
              <w:pageBreakBefore w:val="0"/>
              <w:widowControl w:val="0"/>
              <w:kinsoku/>
              <w:wordWrap w:val="0"/>
              <w:overflowPunct/>
              <w:topLinePunct w:val="0"/>
              <w:autoSpaceDE/>
              <w:autoSpaceDN/>
              <w:bidi w:val="0"/>
              <w:snapToGrid/>
              <w:spacing w:beforeAutospacing="0" w:afterAutospacing="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约定内容</w:t>
            </w:r>
          </w:p>
        </w:tc>
        <w:tc>
          <w:tcPr>
            <w:tcW w:w="1211" w:type="dxa"/>
            <w:tcBorders>
              <w:top w:val="single" w:color="auto" w:sz="8" w:space="0"/>
              <w:right w:val="single" w:color="auto" w:sz="8" w:space="0"/>
            </w:tcBorders>
            <w:noWrap/>
            <w:vAlign w:val="center"/>
          </w:tcPr>
          <w:p w14:paraId="7CA18EAB">
            <w:pPr>
              <w:pStyle w:val="48"/>
              <w:keepNext w:val="0"/>
              <w:keepLines w:val="0"/>
              <w:pageBreakBefore w:val="0"/>
              <w:widowControl w:val="0"/>
              <w:kinsoku/>
              <w:wordWrap w:val="0"/>
              <w:overflowPunct/>
              <w:topLinePunct w:val="0"/>
              <w:autoSpaceDE/>
              <w:autoSpaceDN/>
              <w:bidi w:val="0"/>
              <w:snapToGrid/>
              <w:spacing w:beforeAutospacing="0" w:afterAutospacing="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备注</w:t>
            </w:r>
          </w:p>
        </w:tc>
      </w:tr>
      <w:tr w14:paraId="4F3B9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72DAA2F1">
            <w:pPr>
              <w:pStyle w:val="48"/>
              <w:keepNext w:val="0"/>
              <w:keepLines w:val="0"/>
              <w:pageBreakBefore w:val="0"/>
              <w:widowControl w:val="0"/>
              <w:kinsoku/>
              <w:wordWrap w:val="0"/>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617" w:type="dxa"/>
            <w:noWrap/>
            <w:vAlign w:val="center"/>
          </w:tcPr>
          <w:p w14:paraId="26144105">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w:t>
            </w:r>
          </w:p>
        </w:tc>
        <w:tc>
          <w:tcPr>
            <w:tcW w:w="1456" w:type="dxa"/>
            <w:noWrap/>
            <w:vAlign w:val="center"/>
          </w:tcPr>
          <w:p w14:paraId="717CF589">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1.1.4.5</w:t>
            </w:r>
          </w:p>
        </w:tc>
        <w:tc>
          <w:tcPr>
            <w:tcW w:w="3549" w:type="dxa"/>
            <w:tcBorders>
              <w:right w:val="single" w:color="auto" w:sz="8" w:space="0"/>
            </w:tcBorders>
            <w:noWrap/>
            <w:vAlign w:val="center"/>
          </w:tcPr>
          <w:p w14:paraId="273A023C">
            <w:pPr>
              <w:keepNext w:val="0"/>
              <w:keepLines w:val="0"/>
              <w:pageBreakBefore w:val="0"/>
              <w:widowControl w:val="0"/>
              <w:kinsoku/>
              <w:wordWrap w:val="0"/>
              <w:overflowPunct/>
              <w:topLinePunct w:val="0"/>
              <w:autoSpaceDE/>
              <w:autoSpaceDN/>
              <w:bidi w:val="0"/>
              <w:snapToGrid/>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自实际交工</w:t>
            </w:r>
            <w:r>
              <w:rPr>
                <w:rFonts w:hint="eastAsia" w:ascii="宋体" w:hAnsi="宋体" w:cs="宋体"/>
                <w:color w:val="auto"/>
                <w:szCs w:val="21"/>
                <w:highlight w:val="none"/>
                <w:lang w:val="en-US" w:eastAsia="zh-CN"/>
              </w:rPr>
              <w:t>之</w:t>
            </w:r>
            <w:r>
              <w:rPr>
                <w:rFonts w:hint="eastAsia" w:ascii="宋体" w:hAnsi="宋体" w:eastAsia="宋体" w:cs="宋体"/>
                <w:color w:val="auto"/>
                <w:szCs w:val="21"/>
                <w:highlight w:val="none"/>
              </w:rPr>
              <w:t>日起</w:t>
            </w:r>
            <w:r>
              <w:rPr>
                <w:rFonts w:hint="eastAsia" w:ascii="宋体" w:hAnsi="宋体" w:cs="宋体"/>
                <w:color w:val="auto"/>
                <w:szCs w:val="21"/>
                <w:highlight w:val="none"/>
                <w:lang w:val="en-US" w:eastAsia="zh-CN"/>
              </w:rPr>
              <w:t>计算</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none"/>
                <w:lang w:val="en-US" w:eastAsia="zh-CN"/>
              </w:rPr>
              <w:t>个月</w:t>
            </w:r>
          </w:p>
        </w:tc>
        <w:tc>
          <w:tcPr>
            <w:tcW w:w="1211" w:type="dxa"/>
            <w:tcBorders>
              <w:right w:val="single" w:color="auto" w:sz="8" w:space="0"/>
            </w:tcBorders>
            <w:noWrap/>
            <w:vAlign w:val="center"/>
          </w:tcPr>
          <w:p w14:paraId="196A72B5">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5DBCA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76E9EEFF">
            <w:pPr>
              <w:pStyle w:val="48"/>
              <w:keepNext w:val="0"/>
              <w:keepLines w:val="0"/>
              <w:pageBreakBefore w:val="0"/>
              <w:widowControl w:val="0"/>
              <w:kinsoku/>
              <w:wordWrap w:val="0"/>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617" w:type="dxa"/>
            <w:noWrap/>
            <w:vAlign w:val="center"/>
          </w:tcPr>
          <w:p w14:paraId="59EB2655">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逾期交工违约金</w:t>
            </w:r>
          </w:p>
        </w:tc>
        <w:tc>
          <w:tcPr>
            <w:tcW w:w="1456" w:type="dxa"/>
            <w:noWrap/>
            <w:vAlign w:val="center"/>
          </w:tcPr>
          <w:p w14:paraId="7105DBF0">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11.5</w:t>
            </w:r>
          </w:p>
        </w:tc>
        <w:tc>
          <w:tcPr>
            <w:tcW w:w="3549" w:type="dxa"/>
            <w:tcBorders>
              <w:right w:val="single" w:color="auto" w:sz="8" w:space="0"/>
            </w:tcBorders>
            <w:noWrap/>
            <w:vAlign w:val="center"/>
          </w:tcPr>
          <w:p w14:paraId="4F31D522">
            <w:pPr>
              <w:keepNext w:val="0"/>
              <w:keepLines w:val="0"/>
              <w:pageBreakBefore w:val="0"/>
              <w:widowControl w:val="0"/>
              <w:kinsoku/>
              <w:wordWrap w:val="0"/>
              <w:overflowPunct/>
              <w:topLinePunct w:val="0"/>
              <w:autoSpaceDE/>
              <w:autoSpaceDN/>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元/天</w:t>
            </w:r>
          </w:p>
        </w:tc>
        <w:tc>
          <w:tcPr>
            <w:tcW w:w="1211" w:type="dxa"/>
            <w:tcBorders>
              <w:right w:val="single" w:color="auto" w:sz="8" w:space="0"/>
            </w:tcBorders>
            <w:noWrap/>
            <w:vAlign w:val="center"/>
          </w:tcPr>
          <w:p w14:paraId="6081C485">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56633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38713CFB">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617" w:type="dxa"/>
            <w:noWrap/>
            <w:vAlign w:val="center"/>
          </w:tcPr>
          <w:p w14:paraId="12C670BA">
            <w:pPr>
              <w:pStyle w:val="9"/>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逾期交工违约金限额</w:t>
            </w:r>
          </w:p>
        </w:tc>
        <w:tc>
          <w:tcPr>
            <w:tcW w:w="1456" w:type="dxa"/>
            <w:noWrap/>
            <w:vAlign w:val="center"/>
          </w:tcPr>
          <w:p w14:paraId="4B3E9194">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11.5</w:t>
            </w:r>
          </w:p>
        </w:tc>
        <w:tc>
          <w:tcPr>
            <w:tcW w:w="3549" w:type="dxa"/>
            <w:tcBorders>
              <w:right w:val="single" w:color="auto" w:sz="8" w:space="0"/>
            </w:tcBorders>
            <w:noWrap/>
            <w:vAlign w:val="center"/>
          </w:tcPr>
          <w:p w14:paraId="2FA3FC82">
            <w:pPr>
              <w:keepNext w:val="0"/>
              <w:keepLines w:val="0"/>
              <w:pageBreakBefore w:val="0"/>
              <w:widowControl w:val="0"/>
              <w:kinsoku/>
              <w:wordWrap w:val="0"/>
              <w:overflowPunct/>
              <w:topLinePunct w:val="0"/>
              <w:autoSpaceDE/>
              <w:autoSpaceDN/>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%签约合同价</w:t>
            </w:r>
          </w:p>
        </w:tc>
        <w:tc>
          <w:tcPr>
            <w:tcW w:w="1211" w:type="dxa"/>
            <w:tcBorders>
              <w:right w:val="single" w:color="auto" w:sz="8" w:space="0"/>
            </w:tcBorders>
            <w:noWrap/>
            <w:vAlign w:val="center"/>
          </w:tcPr>
          <w:p w14:paraId="30A95EBB">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16874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3F5AFD55">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617" w:type="dxa"/>
            <w:noWrap/>
            <w:vAlign w:val="center"/>
          </w:tcPr>
          <w:p w14:paraId="433F79F9">
            <w:pPr>
              <w:pStyle w:val="9"/>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提前交工的奖金</w:t>
            </w:r>
          </w:p>
        </w:tc>
        <w:tc>
          <w:tcPr>
            <w:tcW w:w="1456" w:type="dxa"/>
            <w:noWrap/>
            <w:vAlign w:val="center"/>
          </w:tcPr>
          <w:p w14:paraId="71BFBF59">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11.6</w:t>
            </w:r>
          </w:p>
        </w:tc>
        <w:tc>
          <w:tcPr>
            <w:tcW w:w="3549" w:type="dxa"/>
            <w:tcBorders>
              <w:right w:val="single" w:color="auto" w:sz="8" w:space="0"/>
            </w:tcBorders>
            <w:noWrap/>
            <w:vAlign w:val="center"/>
          </w:tcPr>
          <w:p w14:paraId="74A5FE77">
            <w:pPr>
              <w:keepNext w:val="0"/>
              <w:keepLines w:val="0"/>
              <w:pageBreakBefore w:val="0"/>
              <w:widowControl w:val="0"/>
              <w:kinsoku/>
              <w:wordWrap w:val="0"/>
              <w:overflowPunct/>
              <w:topLinePunct w:val="0"/>
              <w:autoSpaceDE/>
              <w:autoSpaceDN/>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不适用</w:t>
            </w:r>
          </w:p>
        </w:tc>
        <w:tc>
          <w:tcPr>
            <w:tcW w:w="1211" w:type="dxa"/>
            <w:tcBorders>
              <w:right w:val="single" w:color="auto" w:sz="8" w:space="0"/>
            </w:tcBorders>
            <w:noWrap/>
            <w:vAlign w:val="center"/>
          </w:tcPr>
          <w:p w14:paraId="5A4E71D2">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05B94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38BBE833">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617" w:type="dxa"/>
            <w:noWrap/>
            <w:vAlign w:val="center"/>
          </w:tcPr>
          <w:p w14:paraId="0C5F7A36">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提前交工的奖金限额</w:t>
            </w:r>
          </w:p>
        </w:tc>
        <w:tc>
          <w:tcPr>
            <w:tcW w:w="1456" w:type="dxa"/>
            <w:noWrap/>
            <w:vAlign w:val="center"/>
          </w:tcPr>
          <w:p w14:paraId="0B3B80CB">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11.6</w:t>
            </w:r>
          </w:p>
        </w:tc>
        <w:tc>
          <w:tcPr>
            <w:tcW w:w="3549" w:type="dxa"/>
            <w:tcBorders>
              <w:right w:val="single" w:color="auto" w:sz="8" w:space="0"/>
            </w:tcBorders>
            <w:noWrap/>
            <w:vAlign w:val="center"/>
          </w:tcPr>
          <w:p w14:paraId="0F6259B8">
            <w:pPr>
              <w:keepNext w:val="0"/>
              <w:keepLines w:val="0"/>
              <w:pageBreakBefore w:val="0"/>
              <w:widowControl w:val="0"/>
              <w:kinsoku/>
              <w:wordWrap w:val="0"/>
              <w:overflowPunct/>
              <w:topLinePunct w:val="0"/>
              <w:autoSpaceDE/>
              <w:autoSpaceDN/>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不适用</w:t>
            </w:r>
          </w:p>
        </w:tc>
        <w:tc>
          <w:tcPr>
            <w:tcW w:w="1211" w:type="dxa"/>
            <w:tcBorders>
              <w:right w:val="single" w:color="auto" w:sz="8" w:space="0"/>
            </w:tcBorders>
            <w:noWrap/>
            <w:vAlign w:val="center"/>
          </w:tcPr>
          <w:p w14:paraId="62D2F433">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49648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2EF28630">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617" w:type="dxa"/>
            <w:noWrap/>
            <w:vAlign w:val="center"/>
          </w:tcPr>
          <w:p w14:paraId="6A288C4A">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价格调整的差额计算</w:t>
            </w:r>
          </w:p>
        </w:tc>
        <w:tc>
          <w:tcPr>
            <w:tcW w:w="1456" w:type="dxa"/>
            <w:noWrap/>
            <w:vAlign w:val="center"/>
          </w:tcPr>
          <w:p w14:paraId="42FC2B19">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w:t>
            </w:r>
          </w:p>
        </w:tc>
        <w:tc>
          <w:tcPr>
            <w:tcW w:w="3549" w:type="dxa"/>
            <w:tcBorders>
              <w:right w:val="single" w:color="auto" w:sz="8" w:space="0"/>
            </w:tcBorders>
            <w:noWrap/>
            <w:vAlign w:val="center"/>
          </w:tcPr>
          <w:p w14:paraId="373A762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lang w:eastAsia="zh-CN"/>
              </w:rPr>
            </w:pPr>
            <w:bookmarkStart w:id="453" w:name="_Hlt130800536"/>
            <w:bookmarkEnd w:id="453"/>
            <w:r>
              <w:rPr>
                <w:rFonts w:hint="eastAsia" w:ascii="宋体" w:hAnsi="宋体" w:cs="宋体"/>
                <w:color w:val="auto"/>
                <w:szCs w:val="21"/>
                <w:highlight w:val="none"/>
                <w:lang w:eastAsia="zh-CN"/>
              </w:rPr>
              <w:t>不适用</w:t>
            </w:r>
          </w:p>
        </w:tc>
        <w:tc>
          <w:tcPr>
            <w:tcW w:w="1211" w:type="dxa"/>
            <w:tcBorders>
              <w:right w:val="single" w:color="auto" w:sz="8" w:space="0"/>
            </w:tcBorders>
            <w:noWrap/>
            <w:vAlign w:val="center"/>
          </w:tcPr>
          <w:p w14:paraId="1727E29B">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00BE3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5002EC20">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617" w:type="dxa"/>
            <w:noWrap/>
            <w:vAlign w:val="center"/>
          </w:tcPr>
          <w:p w14:paraId="13B8E474">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开工预付款金额</w:t>
            </w:r>
          </w:p>
        </w:tc>
        <w:tc>
          <w:tcPr>
            <w:tcW w:w="1456" w:type="dxa"/>
            <w:noWrap/>
            <w:vAlign w:val="center"/>
          </w:tcPr>
          <w:p w14:paraId="7F8FBC5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17.2.1</w:t>
            </w:r>
          </w:p>
        </w:tc>
        <w:tc>
          <w:tcPr>
            <w:tcW w:w="3549" w:type="dxa"/>
            <w:tcBorders>
              <w:right w:val="single" w:color="auto" w:sz="8" w:space="0"/>
            </w:tcBorders>
            <w:noWrap/>
            <w:vAlign w:val="center"/>
          </w:tcPr>
          <w:p w14:paraId="67CA33C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bookmarkStart w:id="454" w:name="_Hlt130800716"/>
            <w:bookmarkEnd w:id="454"/>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%签约合同价</w:t>
            </w:r>
          </w:p>
        </w:tc>
        <w:tc>
          <w:tcPr>
            <w:tcW w:w="1211" w:type="dxa"/>
            <w:tcBorders>
              <w:right w:val="single" w:color="auto" w:sz="8" w:space="0"/>
            </w:tcBorders>
            <w:noWrap/>
            <w:vAlign w:val="center"/>
          </w:tcPr>
          <w:p w14:paraId="57619B14">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6C5C0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634B1508">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2617" w:type="dxa"/>
            <w:noWrap/>
            <w:vAlign w:val="center"/>
          </w:tcPr>
          <w:p w14:paraId="17FBFA6A">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材料、设备预付款比例</w:t>
            </w:r>
          </w:p>
        </w:tc>
        <w:tc>
          <w:tcPr>
            <w:tcW w:w="1456" w:type="dxa"/>
            <w:noWrap/>
            <w:vAlign w:val="center"/>
          </w:tcPr>
          <w:p w14:paraId="74D6A7E0">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17.2.1</w:t>
            </w:r>
          </w:p>
        </w:tc>
        <w:tc>
          <w:tcPr>
            <w:tcW w:w="3549" w:type="dxa"/>
            <w:tcBorders>
              <w:right w:val="single" w:color="auto" w:sz="8" w:space="0"/>
            </w:tcBorders>
            <w:noWrap/>
            <w:vAlign w:val="center"/>
          </w:tcPr>
          <w:p w14:paraId="70EA0BB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u w:val="none"/>
              </w:rPr>
              <w:t>主要</w:t>
            </w:r>
            <w:r>
              <w:rPr>
                <w:rFonts w:hint="eastAsia" w:ascii="宋体" w:hAnsi="宋体" w:eastAsia="宋体" w:cs="宋体"/>
                <w:color w:val="auto"/>
                <w:szCs w:val="21"/>
                <w:highlight w:val="none"/>
              </w:rPr>
              <w:t>材料、设备单据所列费用的</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tc>
        <w:tc>
          <w:tcPr>
            <w:tcW w:w="1211" w:type="dxa"/>
            <w:tcBorders>
              <w:right w:val="single" w:color="auto" w:sz="8" w:space="0"/>
            </w:tcBorders>
            <w:noWrap/>
            <w:vAlign w:val="center"/>
          </w:tcPr>
          <w:p w14:paraId="12CF40D8">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0059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6B621D0F">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617" w:type="dxa"/>
            <w:noWrap/>
            <w:vAlign w:val="center"/>
          </w:tcPr>
          <w:p w14:paraId="5C9C2F92">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进度付款证书最低限额</w:t>
            </w:r>
          </w:p>
        </w:tc>
        <w:tc>
          <w:tcPr>
            <w:tcW w:w="1456" w:type="dxa"/>
            <w:noWrap/>
            <w:vAlign w:val="center"/>
          </w:tcPr>
          <w:p w14:paraId="40F26E6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17.3.3</w:t>
            </w:r>
          </w:p>
        </w:tc>
        <w:tc>
          <w:tcPr>
            <w:tcW w:w="3549" w:type="dxa"/>
            <w:tcBorders>
              <w:right w:val="single" w:color="auto" w:sz="8" w:space="0"/>
            </w:tcBorders>
            <w:noWrap/>
            <w:vAlign w:val="center"/>
          </w:tcPr>
          <w:p w14:paraId="4E0EFB2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w:t>
            </w:r>
          </w:p>
        </w:tc>
        <w:tc>
          <w:tcPr>
            <w:tcW w:w="1211" w:type="dxa"/>
            <w:tcBorders>
              <w:right w:val="single" w:color="auto" w:sz="8" w:space="0"/>
            </w:tcBorders>
            <w:noWrap/>
            <w:vAlign w:val="center"/>
          </w:tcPr>
          <w:p w14:paraId="36318BDF">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6E127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5D36A090">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617" w:type="dxa"/>
            <w:noWrap/>
            <w:vAlign w:val="center"/>
          </w:tcPr>
          <w:p w14:paraId="71B5607E">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逾期付款违约金的利率</w:t>
            </w:r>
          </w:p>
        </w:tc>
        <w:tc>
          <w:tcPr>
            <w:tcW w:w="1456" w:type="dxa"/>
            <w:noWrap/>
            <w:vAlign w:val="center"/>
          </w:tcPr>
          <w:p w14:paraId="50278791">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17.3.3</w:t>
            </w:r>
          </w:p>
        </w:tc>
        <w:tc>
          <w:tcPr>
            <w:tcW w:w="3549" w:type="dxa"/>
            <w:tcBorders>
              <w:right w:val="single" w:color="auto" w:sz="8" w:space="0"/>
            </w:tcBorders>
            <w:noWrap/>
            <w:vAlign w:val="center"/>
          </w:tcPr>
          <w:p w14:paraId="76E3518C">
            <w:pPr>
              <w:keepNext w:val="0"/>
              <w:keepLines w:val="0"/>
              <w:pageBreakBefore w:val="0"/>
              <w:widowControl w:val="0"/>
              <w:kinsoku/>
              <w:wordWrap w:val="0"/>
              <w:overflowPunct/>
              <w:topLinePunct w:val="0"/>
              <w:autoSpaceDE/>
              <w:autoSpaceDN/>
              <w:bidi w:val="0"/>
              <w:snapToGrid/>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p>
        </w:tc>
        <w:tc>
          <w:tcPr>
            <w:tcW w:w="1211" w:type="dxa"/>
            <w:tcBorders>
              <w:right w:val="single" w:color="auto" w:sz="8" w:space="0"/>
            </w:tcBorders>
            <w:noWrap/>
            <w:vAlign w:val="center"/>
          </w:tcPr>
          <w:p w14:paraId="421C1C45">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7A02E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7641D9FC">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2617" w:type="dxa"/>
            <w:noWrap/>
            <w:vAlign w:val="center"/>
          </w:tcPr>
          <w:p w14:paraId="6A352019">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质量保证金金额</w:t>
            </w:r>
          </w:p>
        </w:tc>
        <w:tc>
          <w:tcPr>
            <w:tcW w:w="1456" w:type="dxa"/>
            <w:noWrap/>
            <w:vAlign w:val="center"/>
          </w:tcPr>
          <w:p w14:paraId="011F1A74">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17.4.1</w:t>
            </w:r>
          </w:p>
        </w:tc>
        <w:tc>
          <w:tcPr>
            <w:tcW w:w="3549" w:type="dxa"/>
            <w:tcBorders>
              <w:right w:val="single" w:color="auto" w:sz="8" w:space="0"/>
            </w:tcBorders>
            <w:noWrap/>
            <w:vAlign w:val="center"/>
          </w:tcPr>
          <w:p w14:paraId="1C43375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审计结算</w:t>
            </w:r>
            <w:r>
              <w:rPr>
                <w:rFonts w:hint="eastAsia" w:ascii="宋体" w:hAnsi="宋体" w:eastAsia="宋体" w:cs="宋体"/>
                <w:color w:val="auto"/>
                <w:szCs w:val="21"/>
                <w:highlight w:val="none"/>
              </w:rPr>
              <w:t>价格</w:t>
            </w:r>
          </w:p>
        </w:tc>
        <w:tc>
          <w:tcPr>
            <w:tcW w:w="1211" w:type="dxa"/>
            <w:tcBorders>
              <w:right w:val="single" w:color="auto" w:sz="8" w:space="0"/>
            </w:tcBorders>
            <w:noWrap/>
            <w:vAlign w:val="center"/>
          </w:tcPr>
          <w:p w14:paraId="3CCD7FB2">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26AE7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01297D4E">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617" w:type="dxa"/>
            <w:noWrap/>
            <w:vAlign w:val="center"/>
          </w:tcPr>
          <w:p w14:paraId="3F6B3B61">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保修期</w:t>
            </w:r>
          </w:p>
        </w:tc>
        <w:tc>
          <w:tcPr>
            <w:tcW w:w="1456" w:type="dxa"/>
            <w:noWrap/>
            <w:vAlign w:val="center"/>
          </w:tcPr>
          <w:p w14:paraId="7BD1336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19.7</w:t>
            </w:r>
          </w:p>
        </w:tc>
        <w:tc>
          <w:tcPr>
            <w:tcW w:w="3549" w:type="dxa"/>
            <w:tcBorders>
              <w:right w:val="single" w:color="auto" w:sz="8" w:space="0"/>
            </w:tcBorders>
            <w:noWrap/>
            <w:vAlign w:val="center"/>
          </w:tcPr>
          <w:p w14:paraId="058156E6">
            <w:pPr>
              <w:keepNext w:val="0"/>
              <w:keepLines w:val="0"/>
              <w:pageBreakBefore w:val="0"/>
              <w:widowControl w:val="0"/>
              <w:kinsoku/>
              <w:wordWrap w:val="0"/>
              <w:overflowPunct/>
              <w:topLinePunct w:val="0"/>
              <w:autoSpaceDE/>
              <w:autoSpaceDN/>
              <w:bidi w:val="0"/>
              <w:snapToGrid/>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年</w:t>
            </w:r>
          </w:p>
        </w:tc>
        <w:tc>
          <w:tcPr>
            <w:tcW w:w="1211" w:type="dxa"/>
            <w:tcBorders>
              <w:right w:val="single" w:color="auto" w:sz="8" w:space="0"/>
            </w:tcBorders>
            <w:noWrap/>
            <w:vAlign w:val="center"/>
          </w:tcPr>
          <w:p w14:paraId="0E21615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bl>
    <w:p w14:paraId="05D088A9">
      <w:pPr>
        <w:keepNext w:val="0"/>
        <w:keepLines w:val="0"/>
        <w:pageBreakBefore w:val="0"/>
        <w:widowControl w:val="0"/>
        <w:kinsoku/>
        <w:wordWrap w:val="0"/>
        <w:overflowPunct/>
        <w:topLinePunct w:val="0"/>
        <w:autoSpaceDE/>
        <w:autoSpaceDN/>
        <w:bidi w:val="0"/>
        <w:adjustRightInd w:val="0"/>
        <w:snapToGrid/>
        <w:spacing w:line="560" w:lineRule="exact"/>
        <w:ind w:right="420"/>
        <w:rPr>
          <w:rFonts w:ascii="宋体" w:hAnsi="宋体" w:cs="宋体"/>
          <w:color w:val="auto"/>
          <w:kern w:val="0"/>
          <w:sz w:val="24"/>
          <w:highlight w:val="none"/>
        </w:rPr>
      </w:pPr>
    </w:p>
    <w:p w14:paraId="2A3BB30A">
      <w:pPr>
        <w:pStyle w:val="21"/>
        <w:rPr>
          <w:rFonts w:hint="default"/>
          <w:color w:val="auto"/>
          <w:highlight w:val="none"/>
          <w:lang w:val="en-US"/>
        </w:rPr>
      </w:pPr>
    </w:p>
    <w:p w14:paraId="04E1D3C5">
      <w:pPr>
        <w:rPr>
          <w:rFonts w:hint="default"/>
          <w:color w:val="auto"/>
          <w:highlight w:val="none"/>
          <w:lang w:val="en-US"/>
        </w:rPr>
      </w:pPr>
    </w:p>
    <w:p w14:paraId="4D40185D">
      <w:pPr>
        <w:pStyle w:val="21"/>
        <w:rPr>
          <w:rFonts w:hint="default"/>
          <w:color w:val="auto"/>
          <w:highlight w:val="none"/>
          <w:lang w:val="en-US"/>
        </w:rPr>
      </w:pPr>
    </w:p>
    <w:p w14:paraId="1E6FE3D5">
      <w:pPr>
        <w:rPr>
          <w:rFonts w:hint="default"/>
          <w:color w:val="auto"/>
          <w:highlight w:val="none"/>
          <w:lang w:val="en-US"/>
        </w:rPr>
      </w:pPr>
    </w:p>
    <w:p w14:paraId="6D2B33AE">
      <w:pPr>
        <w:pStyle w:val="21"/>
        <w:rPr>
          <w:rFonts w:hint="default"/>
          <w:color w:val="auto"/>
          <w:highlight w:val="none"/>
          <w:lang w:val="en-US"/>
        </w:rPr>
      </w:pPr>
    </w:p>
    <w:p w14:paraId="50303A92">
      <w:pPr>
        <w:rPr>
          <w:rFonts w:hint="default"/>
          <w:color w:val="auto"/>
          <w:highlight w:val="none"/>
          <w:lang w:val="en-US"/>
        </w:rPr>
      </w:pPr>
    </w:p>
    <w:p w14:paraId="0BB00F5A">
      <w:pPr>
        <w:pStyle w:val="21"/>
        <w:rPr>
          <w:rFonts w:hint="default"/>
          <w:color w:val="auto"/>
          <w:highlight w:val="none"/>
          <w:lang w:val="en-US"/>
        </w:rPr>
      </w:pPr>
    </w:p>
    <w:p w14:paraId="08D2837A">
      <w:pPr>
        <w:rPr>
          <w:rFonts w:hint="default"/>
          <w:color w:val="auto"/>
          <w:highlight w:val="none"/>
          <w:lang w:val="en-US"/>
        </w:rPr>
      </w:pPr>
    </w:p>
    <w:p w14:paraId="758183EA">
      <w:pPr>
        <w:pStyle w:val="21"/>
        <w:rPr>
          <w:rFonts w:hint="default"/>
          <w:color w:val="auto"/>
          <w:highlight w:val="none"/>
          <w:lang w:val="en-US"/>
        </w:rPr>
      </w:pPr>
    </w:p>
    <w:p w14:paraId="13467820">
      <w:pPr>
        <w:rPr>
          <w:rFonts w:hint="default"/>
          <w:color w:val="auto"/>
          <w:highlight w:val="none"/>
          <w:lang w:val="en-US"/>
        </w:rPr>
      </w:pPr>
    </w:p>
    <w:p w14:paraId="57BA9113">
      <w:pPr>
        <w:pStyle w:val="21"/>
        <w:rPr>
          <w:rFonts w:hint="default"/>
          <w:color w:val="auto"/>
          <w:highlight w:val="none"/>
          <w:lang w:val="en-US"/>
        </w:rPr>
      </w:pPr>
    </w:p>
    <w:p w14:paraId="107DDB38">
      <w:pPr>
        <w:rPr>
          <w:rFonts w:hint="default"/>
          <w:color w:val="auto"/>
          <w:highlight w:val="none"/>
          <w:lang w:val="en-US"/>
        </w:rPr>
      </w:pPr>
    </w:p>
    <w:p w14:paraId="1ADB4752">
      <w:pPr>
        <w:pStyle w:val="21"/>
        <w:rPr>
          <w:rFonts w:hint="default"/>
          <w:color w:val="auto"/>
          <w:highlight w:val="none"/>
          <w:lang w:val="en-US"/>
        </w:rPr>
      </w:pPr>
    </w:p>
    <w:p w14:paraId="601104CE">
      <w:pPr>
        <w:pStyle w:val="21"/>
        <w:ind w:left="0" w:leftChars="0" w:firstLine="0" w:firstLineChars="0"/>
        <w:rPr>
          <w:rFonts w:hint="default"/>
          <w:color w:val="auto"/>
          <w:highlight w:val="none"/>
          <w:lang w:val="en-US"/>
        </w:rPr>
      </w:pPr>
    </w:p>
    <w:p w14:paraId="1498B797">
      <w:pPr>
        <w:keepNext w:val="0"/>
        <w:keepLines w:val="0"/>
        <w:pageBreakBefore w:val="0"/>
        <w:widowControl w:val="0"/>
        <w:kinsoku/>
        <w:wordWrap w:val="0"/>
        <w:overflowPunct/>
        <w:topLinePunct w:val="0"/>
        <w:autoSpaceDE/>
        <w:autoSpaceDN/>
        <w:bidi w:val="0"/>
        <w:snapToGrid/>
        <w:jc w:val="center"/>
        <w:outlineLvl w:val="1"/>
        <w:rPr>
          <w:rFonts w:hint="eastAsia" w:ascii="宋体" w:hAnsi="宋体" w:eastAsia="宋体" w:cs="宋体"/>
          <w:b/>
          <w:bCs/>
          <w:color w:val="auto"/>
          <w:sz w:val="30"/>
          <w:szCs w:val="30"/>
          <w:highlight w:val="none"/>
        </w:rPr>
      </w:pPr>
      <w:bookmarkStart w:id="455" w:name="_Toc535"/>
      <w:r>
        <w:rPr>
          <w:rFonts w:hint="eastAsia" w:ascii="宋体" w:hAnsi="宋体" w:eastAsia="宋体" w:cs="宋体"/>
          <w:b/>
          <w:bCs/>
          <w:color w:val="auto"/>
          <w:sz w:val="30"/>
          <w:szCs w:val="30"/>
          <w:highlight w:val="none"/>
        </w:rPr>
        <w:t>二、授权委托书或法定代表人身份证明</w:t>
      </w:r>
      <w:bookmarkEnd w:id="455"/>
    </w:p>
    <w:p w14:paraId="23E5A288">
      <w:pPr>
        <w:pStyle w:val="3"/>
        <w:keepNext w:val="0"/>
        <w:keepLines w:val="0"/>
        <w:pageBreakBefore w:val="0"/>
        <w:widowControl w:val="0"/>
        <w:numPr>
          <w:ilvl w:val="1"/>
          <w:numId w:val="0"/>
        </w:numPr>
        <w:kinsoku/>
        <w:wordWrap w:val="0"/>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color w:val="auto"/>
          <w:sz w:val="28"/>
          <w:szCs w:val="28"/>
          <w:highlight w:val="none"/>
        </w:rPr>
      </w:pPr>
      <w:bookmarkStart w:id="456" w:name="_Toc27211"/>
      <w:bookmarkStart w:id="457" w:name="_Toc22619"/>
      <w:bookmarkStart w:id="458" w:name="_Toc16778840"/>
      <w:r>
        <w:rPr>
          <w:rFonts w:hint="eastAsia" w:ascii="宋体" w:hAnsi="宋体" w:eastAsia="宋体" w:cs="宋体"/>
          <w:b/>
          <w:bCs/>
          <w:color w:val="auto"/>
          <w:sz w:val="28"/>
          <w:szCs w:val="28"/>
          <w:highlight w:val="none"/>
        </w:rPr>
        <w:t>（一）授权委托书</w:t>
      </w:r>
      <w:bookmarkEnd w:id="456"/>
      <w:bookmarkEnd w:id="457"/>
      <w:bookmarkEnd w:id="458"/>
    </w:p>
    <w:p w14:paraId="708EF96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签名</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（投标人名称）的法定代表人，现委托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签名及电话</w:t>
      </w:r>
      <w:r>
        <w:rPr>
          <w:rFonts w:hint="eastAsia" w:ascii="宋体" w:hAnsi="宋体" w:eastAsia="宋体" w:cs="宋体"/>
          <w:color w:val="auto"/>
          <w:sz w:val="24"/>
          <w:szCs w:val="24"/>
          <w:highlight w:val="none"/>
        </w:rPr>
        <w:t>）为我方代理人。代理人根据授权，以我方名义签署、澄清确认、递交、撤回、修改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标段施工投标文件、签订合同和处理有关事宜，其法律后果由我方承担。</w:t>
      </w:r>
    </w:p>
    <w:p w14:paraId="39C3980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委托期限：自本委托书签署之日起至投标有效期期满。</w:t>
      </w:r>
    </w:p>
    <w:p w14:paraId="6692974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76F0950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472A859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附：法定代表人身份证复印件及委托代理人身份证复印件。</w:t>
      </w:r>
    </w:p>
    <w:p w14:paraId="3A6996C0">
      <w:pPr>
        <w:pStyle w:val="21"/>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19BB5420">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0A1A5427">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（盖单位章）</w:t>
      </w:r>
    </w:p>
    <w:p w14:paraId="3BC681F5">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p>
    <w:p w14:paraId="0CF7DD0F">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p>
    <w:p w14:paraId="2F043E19">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p>
    <w:p w14:paraId="21F7BC39">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lang w:val="en-US" w:eastAsia="zh-CN"/>
        </w:rPr>
        <w:t xml:space="preserve">                            </w:t>
      </w:r>
    </w:p>
    <w:p w14:paraId="12D155A2">
      <w:pPr>
        <w:keepNext w:val="0"/>
        <w:keepLines w:val="0"/>
        <w:pageBreakBefore w:val="0"/>
        <w:widowControl w:val="0"/>
        <w:kinsoku/>
        <w:wordWrap w:val="0"/>
        <w:overflowPunct/>
        <w:topLinePunct w:val="0"/>
        <w:autoSpaceDE/>
        <w:autoSpaceDN/>
        <w:bidi w:val="0"/>
        <w:adjustRightInd/>
        <w:snapToGrid/>
        <w:spacing w:before="313" w:beforeLines="100" w:line="360" w:lineRule="auto"/>
        <w:jc w:val="center"/>
        <w:textAlignment w:val="auto"/>
        <w:rPr>
          <w:rFonts w:hint="eastAsia" w:ascii="宋体" w:hAnsi="宋体" w:eastAsia="宋体" w:cs="宋体"/>
          <w:color w:val="auto"/>
          <w:sz w:val="24"/>
          <w:highlight w:val="none"/>
        </w:rPr>
      </w:pPr>
      <w:r>
        <w:rPr>
          <w:rFonts w:hint="eastAsia" w:ascii="宋体" w:hAnsi="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540DFC3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06B914D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419380E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7A33C97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1.法定代表人和委托代理人必须在授权委托书上亲笔签名，不得使用印章、签名章或其他电子制版签名代替；</w:t>
      </w:r>
    </w:p>
    <w:p w14:paraId="6E3C06D0">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2.如果由投标人的法定代表人签署投标文件，则无须提交授权委托书。</w:t>
      </w:r>
    </w:p>
    <w:p w14:paraId="3AA8E9FD">
      <w:pPr>
        <w:pStyle w:val="21"/>
        <w:rPr>
          <w:rFonts w:hint="eastAsia" w:ascii="宋体" w:hAnsi="宋体" w:eastAsia="宋体" w:cs="宋体"/>
          <w:color w:val="auto"/>
          <w:sz w:val="21"/>
          <w:szCs w:val="21"/>
          <w:highlight w:val="none"/>
        </w:rPr>
      </w:pPr>
    </w:p>
    <w:p w14:paraId="05EB340F">
      <w:pPr>
        <w:rPr>
          <w:rFonts w:hint="eastAsia" w:ascii="宋体" w:hAnsi="宋体" w:eastAsia="宋体" w:cs="宋体"/>
          <w:color w:val="auto"/>
          <w:sz w:val="21"/>
          <w:szCs w:val="21"/>
          <w:highlight w:val="none"/>
        </w:rPr>
      </w:pPr>
    </w:p>
    <w:p w14:paraId="7D1A3782">
      <w:pPr>
        <w:pStyle w:val="21"/>
        <w:rPr>
          <w:rFonts w:hint="eastAsia" w:ascii="宋体" w:hAnsi="宋体" w:eastAsia="宋体" w:cs="宋体"/>
          <w:color w:val="auto"/>
          <w:sz w:val="21"/>
          <w:szCs w:val="21"/>
          <w:highlight w:val="none"/>
        </w:rPr>
      </w:pPr>
    </w:p>
    <w:p w14:paraId="68D12991">
      <w:pPr>
        <w:rPr>
          <w:rFonts w:hint="eastAsia" w:ascii="宋体" w:hAnsi="宋体" w:eastAsia="宋体" w:cs="宋体"/>
          <w:color w:val="auto"/>
          <w:sz w:val="21"/>
          <w:szCs w:val="21"/>
          <w:highlight w:val="none"/>
        </w:rPr>
      </w:pPr>
    </w:p>
    <w:p w14:paraId="2279ABD7">
      <w:pPr>
        <w:pStyle w:val="21"/>
        <w:rPr>
          <w:rFonts w:hint="eastAsia" w:ascii="宋体" w:hAnsi="宋体" w:eastAsia="宋体" w:cs="宋体"/>
          <w:color w:val="auto"/>
          <w:sz w:val="21"/>
          <w:szCs w:val="21"/>
          <w:highlight w:val="none"/>
        </w:rPr>
      </w:pPr>
    </w:p>
    <w:p w14:paraId="4AA096E8">
      <w:pPr>
        <w:pStyle w:val="21"/>
        <w:ind w:left="0" w:leftChars="0" w:firstLine="0" w:firstLineChars="0"/>
        <w:rPr>
          <w:rFonts w:hint="eastAsia" w:ascii="宋体" w:hAnsi="宋体" w:eastAsia="宋体" w:cs="宋体"/>
          <w:color w:val="auto"/>
          <w:sz w:val="21"/>
          <w:szCs w:val="21"/>
          <w:highlight w:val="none"/>
        </w:rPr>
      </w:pPr>
    </w:p>
    <w:p w14:paraId="49CDD9FD">
      <w:pPr>
        <w:pStyle w:val="3"/>
        <w:keepNext w:val="0"/>
        <w:keepLines w:val="0"/>
        <w:pageBreakBefore w:val="0"/>
        <w:widowControl w:val="0"/>
        <w:numPr>
          <w:ilvl w:val="1"/>
          <w:numId w:val="0"/>
        </w:numPr>
        <w:kinsoku/>
        <w:wordWrap w:val="0"/>
        <w:overflowPunct/>
        <w:topLinePunct w:val="0"/>
        <w:autoSpaceDE/>
        <w:autoSpaceDN/>
        <w:bidi w:val="0"/>
        <w:snapToGrid/>
        <w:jc w:val="center"/>
        <w:rPr>
          <w:rFonts w:hint="eastAsia" w:ascii="宋体" w:hAnsi="宋体" w:eastAsia="宋体" w:cs="宋体"/>
          <w:color w:val="auto"/>
          <w:szCs w:val="21"/>
          <w:highlight w:val="none"/>
        </w:rPr>
      </w:pPr>
      <w:bookmarkStart w:id="459" w:name="_Toc20164"/>
      <w:bookmarkStart w:id="460" w:name="_Toc17797"/>
      <w:bookmarkStart w:id="461" w:name="_Toc16778841"/>
      <w:r>
        <w:rPr>
          <w:rFonts w:hint="eastAsia" w:ascii="宋体" w:hAnsi="宋体" w:eastAsia="宋体" w:cs="宋体"/>
          <w:b/>
          <w:bCs/>
          <w:color w:val="auto"/>
          <w:sz w:val="28"/>
          <w:szCs w:val="28"/>
          <w:highlight w:val="none"/>
        </w:rPr>
        <w:t>（二）法定代表人身份证明</w:t>
      </w:r>
      <w:bookmarkEnd w:id="459"/>
      <w:bookmarkEnd w:id="460"/>
      <w:bookmarkEnd w:id="461"/>
    </w:p>
    <w:p w14:paraId="6DD24E58">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u w:val="single"/>
          <w:lang w:val="en-US" w:eastAsia="zh-CN"/>
        </w:rPr>
        <w:t xml:space="preserve">                  </w:t>
      </w:r>
    </w:p>
    <w:p w14:paraId="7BA26B6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u w:val="single"/>
        </w:rPr>
        <w:t xml:space="preserve"> （法定代表人亲笔签字）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p>
    <w:p w14:paraId="2DF46CE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（投标人名称）的法定代表人。</w:t>
      </w:r>
    </w:p>
    <w:p w14:paraId="2226492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2AA401C7">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221FE67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附：法定代表人身份证复印件。</w:t>
      </w:r>
    </w:p>
    <w:p w14:paraId="1B8BBA68">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auto"/>
          <w:sz w:val="24"/>
          <w:highlight w:val="none"/>
        </w:rPr>
      </w:pPr>
    </w:p>
    <w:p w14:paraId="261CEE83">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auto"/>
          <w:sz w:val="24"/>
          <w:highlight w:val="none"/>
        </w:rPr>
      </w:pPr>
    </w:p>
    <w:p w14:paraId="0E2812C1">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（盖单位章）</w:t>
      </w:r>
    </w:p>
    <w:p w14:paraId="29E4EE1C">
      <w:pPr>
        <w:keepNext w:val="0"/>
        <w:keepLines w:val="0"/>
        <w:pageBreakBefore w:val="0"/>
        <w:widowControl w:val="0"/>
        <w:kinsoku/>
        <w:wordWrap w:val="0"/>
        <w:overflowPunct/>
        <w:topLinePunct w:val="0"/>
        <w:autoSpaceDE/>
        <w:autoSpaceDN/>
        <w:bidi w:val="0"/>
        <w:adjustRightInd/>
        <w:snapToGrid/>
        <w:spacing w:before="313" w:beforeLines="100" w:line="360" w:lineRule="auto"/>
        <w:jc w:val="center"/>
        <w:textAlignment w:val="auto"/>
        <w:rPr>
          <w:rFonts w:hint="eastAsia" w:ascii="宋体" w:hAnsi="宋体" w:eastAsia="宋体" w:cs="宋体"/>
          <w:color w:val="auto"/>
          <w:sz w:val="24"/>
          <w:highlight w:val="none"/>
        </w:rPr>
      </w:pPr>
      <w:r>
        <w:rPr>
          <w:rFonts w:hint="eastAsia" w:ascii="宋体" w:hAnsi="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2DE7B419">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70D0E4D7">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79B127B1">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3266B8EB">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17E935B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注：法定代表人的签字必须是亲笔签名，不得使用印章、签名章或其他电子制版签名代替。</w:t>
      </w:r>
    </w:p>
    <w:p w14:paraId="144DF5C5">
      <w:pPr>
        <w:pStyle w:val="21"/>
        <w:rPr>
          <w:rFonts w:hint="eastAsia" w:ascii="宋体" w:hAnsi="宋体" w:eastAsia="宋体" w:cs="宋体"/>
          <w:color w:val="auto"/>
          <w:sz w:val="21"/>
          <w:szCs w:val="21"/>
          <w:highlight w:val="none"/>
        </w:rPr>
      </w:pPr>
    </w:p>
    <w:p w14:paraId="198EE57F">
      <w:pPr>
        <w:rPr>
          <w:rFonts w:hint="eastAsia" w:ascii="宋体" w:hAnsi="宋体" w:eastAsia="宋体" w:cs="宋体"/>
          <w:color w:val="auto"/>
          <w:sz w:val="21"/>
          <w:szCs w:val="21"/>
          <w:highlight w:val="none"/>
        </w:rPr>
      </w:pPr>
    </w:p>
    <w:p w14:paraId="3E8FF9D7">
      <w:pPr>
        <w:pStyle w:val="21"/>
        <w:rPr>
          <w:rFonts w:hint="eastAsia" w:ascii="宋体" w:hAnsi="宋体" w:eastAsia="宋体" w:cs="宋体"/>
          <w:color w:val="auto"/>
          <w:sz w:val="21"/>
          <w:szCs w:val="21"/>
          <w:highlight w:val="none"/>
        </w:rPr>
      </w:pPr>
    </w:p>
    <w:p w14:paraId="7AE75FDB">
      <w:pPr>
        <w:rPr>
          <w:rFonts w:hint="eastAsia" w:ascii="宋体" w:hAnsi="宋体" w:eastAsia="宋体" w:cs="宋体"/>
          <w:color w:val="auto"/>
          <w:sz w:val="21"/>
          <w:szCs w:val="21"/>
          <w:highlight w:val="none"/>
        </w:rPr>
      </w:pPr>
    </w:p>
    <w:p w14:paraId="31E28507">
      <w:pPr>
        <w:pStyle w:val="21"/>
        <w:rPr>
          <w:rFonts w:hint="eastAsia" w:ascii="宋体" w:hAnsi="宋体" w:eastAsia="宋体" w:cs="宋体"/>
          <w:color w:val="auto"/>
          <w:sz w:val="21"/>
          <w:szCs w:val="21"/>
          <w:highlight w:val="none"/>
        </w:rPr>
      </w:pPr>
    </w:p>
    <w:p w14:paraId="166225AF">
      <w:pPr>
        <w:rPr>
          <w:rFonts w:hint="eastAsia" w:ascii="宋体" w:hAnsi="宋体" w:eastAsia="宋体" w:cs="宋体"/>
          <w:color w:val="auto"/>
          <w:sz w:val="21"/>
          <w:szCs w:val="21"/>
          <w:highlight w:val="none"/>
        </w:rPr>
      </w:pPr>
    </w:p>
    <w:p w14:paraId="0F013B33">
      <w:pPr>
        <w:pStyle w:val="21"/>
        <w:rPr>
          <w:rFonts w:hint="eastAsia" w:ascii="宋体" w:hAnsi="宋体" w:eastAsia="宋体" w:cs="宋体"/>
          <w:color w:val="auto"/>
          <w:sz w:val="21"/>
          <w:szCs w:val="21"/>
          <w:highlight w:val="none"/>
        </w:rPr>
      </w:pPr>
    </w:p>
    <w:p w14:paraId="46997B9D">
      <w:pPr>
        <w:rPr>
          <w:rFonts w:hint="eastAsia" w:ascii="宋体" w:hAnsi="宋体" w:eastAsia="宋体" w:cs="宋体"/>
          <w:color w:val="auto"/>
          <w:sz w:val="21"/>
          <w:szCs w:val="21"/>
          <w:highlight w:val="none"/>
        </w:rPr>
      </w:pPr>
    </w:p>
    <w:p w14:paraId="1EF8BDBD">
      <w:pPr>
        <w:pStyle w:val="21"/>
        <w:rPr>
          <w:rFonts w:hint="eastAsia" w:ascii="宋体" w:hAnsi="宋体" w:eastAsia="宋体" w:cs="宋体"/>
          <w:color w:val="auto"/>
          <w:sz w:val="21"/>
          <w:szCs w:val="21"/>
          <w:highlight w:val="none"/>
        </w:rPr>
      </w:pPr>
    </w:p>
    <w:p w14:paraId="5591166B">
      <w:pPr>
        <w:rPr>
          <w:rFonts w:hint="eastAsia" w:ascii="宋体" w:hAnsi="宋体" w:eastAsia="宋体" w:cs="宋体"/>
          <w:color w:val="auto"/>
          <w:sz w:val="21"/>
          <w:szCs w:val="21"/>
          <w:highlight w:val="none"/>
        </w:rPr>
      </w:pPr>
    </w:p>
    <w:p w14:paraId="2F30558E">
      <w:pPr>
        <w:pStyle w:val="21"/>
        <w:rPr>
          <w:rFonts w:hint="eastAsia" w:ascii="宋体" w:hAnsi="宋体" w:eastAsia="宋体" w:cs="宋体"/>
          <w:color w:val="auto"/>
          <w:sz w:val="21"/>
          <w:szCs w:val="21"/>
          <w:highlight w:val="none"/>
        </w:rPr>
      </w:pPr>
    </w:p>
    <w:p w14:paraId="2D0869BA">
      <w:pPr>
        <w:rPr>
          <w:rFonts w:hint="eastAsia" w:ascii="宋体" w:hAnsi="宋体" w:eastAsia="宋体" w:cs="宋体"/>
          <w:color w:val="auto"/>
          <w:sz w:val="21"/>
          <w:szCs w:val="21"/>
          <w:highlight w:val="none"/>
        </w:rPr>
      </w:pPr>
    </w:p>
    <w:p w14:paraId="32B4BFBC">
      <w:pPr>
        <w:pStyle w:val="21"/>
        <w:rPr>
          <w:rFonts w:hint="eastAsia" w:ascii="宋体" w:hAnsi="宋体" w:eastAsia="宋体" w:cs="宋体"/>
          <w:color w:val="auto"/>
          <w:sz w:val="21"/>
          <w:szCs w:val="21"/>
          <w:highlight w:val="none"/>
        </w:rPr>
      </w:pPr>
    </w:p>
    <w:p w14:paraId="3E2AE4FB">
      <w:pPr>
        <w:rPr>
          <w:rFonts w:hint="eastAsia" w:ascii="宋体" w:hAnsi="宋体" w:eastAsia="宋体" w:cs="宋体"/>
          <w:color w:val="auto"/>
          <w:sz w:val="21"/>
          <w:szCs w:val="21"/>
          <w:highlight w:val="none"/>
        </w:rPr>
      </w:pPr>
    </w:p>
    <w:p w14:paraId="044E081A">
      <w:pPr>
        <w:pStyle w:val="21"/>
        <w:rPr>
          <w:rFonts w:hint="eastAsia" w:ascii="宋体" w:hAnsi="宋体" w:eastAsia="宋体" w:cs="宋体"/>
          <w:color w:val="auto"/>
          <w:sz w:val="21"/>
          <w:szCs w:val="21"/>
          <w:highlight w:val="none"/>
        </w:rPr>
      </w:pPr>
    </w:p>
    <w:p w14:paraId="528EF942">
      <w:pPr>
        <w:rPr>
          <w:rFonts w:hint="eastAsia" w:ascii="宋体" w:hAnsi="宋体" w:eastAsia="宋体" w:cs="宋体"/>
          <w:color w:val="auto"/>
          <w:sz w:val="21"/>
          <w:szCs w:val="21"/>
          <w:highlight w:val="none"/>
        </w:rPr>
      </w:pPr>
    </w:p>
    <w:p w14:paraId="0FE7755A">
      <w:pPr>
        <w:rPr>
          <w:rFonts w:hint="eastAsia" w:ascii="宋体" w:hAnsi="宋体" w:eastAsia="宋体" w:cs="宋体"/>
          <w:color w:val="auto"/>
          <w:sz w:val="21"/>
          <w:szCs w:val="21"/>
          <w:highlight w:val="none"/>
        </w:rPr>
      </w:pPr>
    </w:p>
    <w:p w14:paraId="290D7AB9">
      <w:pPr>
        <w:keepNext w:val="0"/>
        <w:keepLines w:val="0"/>
        <w:pageBreakBefore w:val="0"/>
        <w:widowControl w:val="0"/>
        <w:kinsoku/>
        <w:wordWrap w:val="0"/>
        <w:overflowPunct/>
        <w:topLinePunct w:val="0"/>
        <w:autoSpaceDE/>
        <w:autoSpaceDN/>
        <w:bidi w:val="0"/>
        <w:snapToGrid/>
        <w:jc w:val="center"/>
        <w:outlineLvl w:val="1"/>
        <w:rPr>
          <w:rFonts w:hint="eastAsia" w:ascii="宋体" w:hAnsi="宋体" w:eastAsia="宋体" w:cs="宋体"/>
          <w:b/>
          <w:bCs/>
          <w:color w:val="auto"/>
          <w:sz w:val="30"/>
          <w:szCs w:val="30"/>
          <w:highlight w:val="none"/>
        </w:rPr>
      </w:pPr>
      <w:bookmarkStart w:id="462" w:name="_Toc10905"/>
      <w:r>
        <w:rPr>
          <w:rFonts w:hint="eastAsia" w:ascii="宋体" w:hAnsi="宋体" w:eastAsia="宋体" w:cs="宋体"/>
          <w:b/>
          <w:bCs/>
          <w:color w:val="auto"/>
          <w:sz w:val="30"/>
          <w:szCs w:val="30"/>
          <w:highlight w:val="none"/>
          <w:lang w:eastAsia="zh-CN"/>
        </w:rPr>
        <w:t>三</w:t>
      </w:r>
      <w:r>
        <w:rPr>
          <w:rFonts w:hint="eastAsia" w:ascii="宋体" w:hAnsi="宋体" w:eastAsia="宋体" w:cs="宋体"/>
          <w:b/>
          <w:bCs/>
          <w:color w:val="auto"/>
          <w:sz w:val="30"/>
          <w:szCs w:val="30"/>
          <w:highlight w:val="none"/>
        </w:rPr>
        <w:t>、投标保证金</w:t>
      </w:r>
      <w:bookmarkEnd w:id="462"/>
    </w:p>
    <w:p w14:paraId="673E38DE">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8"/>
          <w:szCs w:val="28"/>
          <w:highlight w:val="none"/>
        </w:rPr>
      </w:pPr>
    </w:p>
    <w:p w14:paraId="0D22D9FE">
      <w:pPr>
        <w:keepNext w:val="0"/>
        <w:keepLines w:val="0"/>
        <w:pageBreakBefore w:val="0"/>
        <w:widowControl w:val="0"/>
        <w:kinsoku/>
        <w:wordWrap w:val="0"/>
        <w:overflowPunct/>
        <w:topLinePunct w:val="0"/>
        <w:autoSpaceDE/>
        <w:autoSpaceDN/>
        <w:bidi w:val="0"/>
        <w:adjustRightInd w:val="0"/>
        <w:snapToGrid/>
        <w:spacing w:line="4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（招标人名称）：</w:t>
      </w:r>
    </w:p>
    <w:p w14:paraId="2D965682">
      <w:pPr>
        <w:keepNext w:val="0"/>
        <w:keepLines w:val="0"/>
        <w:pageBreakBefore w:val="0"/>
        <w:widowControl w:val="0"/>
        <w:kinsoku/>
        <w:wordWrap w:val="0"/>
        <w:overflowPunct/>
        <w:topLinePunct w:val="0"/>
        <w:autoSpaceDE/>
        <w:autoSpaceDN/>
        <w:bidi w:val="0"/>
        <w:adjustRightInd w:val="0"/>
        <w:snapToGrid/>
        <w:spacing w:line="420" w:lineRule="exact"/>
        <w:jc w:val="left"/>
        <w:rPr>
          <w:rFonts w:hint="eastAsia" w:ascii="宋体" w:hAnsi="宋体" w:eastAsia="宋体" w:cs="宋体"/>
          <w:color w:val="auto"/>
          <w:kern w:val="0"/>
          <w:sz w:val="24"/>
          <w:szCs w:val="24"/>
          <w:highlight w:val="none"/>
        </w:rPr>
      </w:pPr>
    </w:p>
    <w:p w14:paraId="3131D308">
      <w:pPr>
        <w:keepNext w:val="0"/>
        <w:keepLines w:val="0"/>
        <w:pageBreakBefore w:val="0"/>
        <w:widowControl w:val="0"/>
        <w:kinsoku/>
        <w:wordWrap w:val="0"/>
        <w:overflowPunct/>
        <w:topLinePunct w:val="0"/>
        <w:autoSpaceDE/>
        <w:autoSpaceDN/>
        <w:bidi w:val="0"/>
        <w:adjustRightInd w:val="0"/>
        <w:snapToGrid/>
        <w:spacing w:line="42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1E465067">
      <w:pPr>
        <w:keepNext w:val="0"/>
        <w:keepLines w:val="0"/>
        <w:pageBreakBefore w:val="0"/>
        <w:widowControl w:val="0"/>
        <w:kinsoku/>
        <w:wordWrap w:val="0"/>
        <w:overflowPunct/>
        <w:topLinePunct w:val="0"/>
        <w:autoSpaceDE/>
        <w:autoSpaceDN/>
        <w:bidi w:val="0"/>
        <w:adjustRightInd w:val="0"/>
        <w:snapToGrid/>
        <w:spacing w:line="420" w:lineRule="exact"/>
        <w:jc w:val="left"/>
        <w:rPr>
          <w:rFonts w:hint="eastAsia" w:ascii="宋体" w:hAnsi="宋体" w:eastAsia="宋体" w:cs="宋体"/>
          <w:color w:val="auto"/>
          <w:kern w:val="0"/>
          <w:sz w:val="24"/>
          <w:szCs w:val="24"/>
          <w:highlight w:val="none"/>
        </w:rPr>
      </w:pPr>
    </w:p>
    <w:p w14:paraId="28A075F6">
      <w:pPr>
        <w:keepNext w:val="0"/>
        <w:keepLines w:val="0"/>
        <w:pageBreakBefore w:val="0"/>
        <w:widowControl w:val="0"/>
        <w:kinsoku/>
        <w:wordWrap w:val="0"/>
        <w:overflowPunct/>
        <w:topLinePunct w:val="0"/>
        <w:autoSpaceDE/>
        <w:autoSpaceDN/>
        <w:bidi w:val="0"/>
        <w:adjustRightInd w:val="0"/>
        <w:snapToGrid/>
        <w:spacing w:line="420" w:lineRule="exact"/>
        <w:jc w:val="left"/>
        <w:rPr>
          <w:rFonts w:hint="eastAsia" w:ascii="宋体" w:hAnsi="宋体" w:eastAsia="宋体" w:cs="宋体"/>
          <w:color w:val="auto"/>
          <w:kern w:val="0"/>
          <w:sz w:val="24"/>
          <w:szCs w:val="24"/>
          <w:highlight w:val="none"/>
        </w:rPr>
      </w:pPr>
    </w:p>
    <w:p w14:paraId="588548AA">
      <w:pPr>
        <w:keepNext w:val="0"/>
        <w:keepLines w:val="0"/>
        <w:pageBreakBefore w:val="0"/>
        <w:widowControl w:val="0"/>
        <w:kinsoku/>
        <w:wordWrap w:val="0"/>
        <w:overflowPunct/>
        <w:topLinePunct w:val="0"/>
        <w:autoSpaceDE/>
        <w:autoSpaceDN/>
        <w:bidi w:val="0"/>
        <w:adjustRightInd w:val="0"/>
        <w:snapToGrid/>
        <w:spacing w:line="4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 xml:space="preserve"> （盖单位章）</w:t>
      </w:r>
    </w:p>
    <w:p w14:paraId="442F2AA8">
      <w:pPr>
        <w:keepNext w:val="0"/>
        <w:keepLines w:val="0"/>
        <w:pageBreakBefore w:val="0"/>
        <w:widowControl w:val="0"/>
        <w:kinsoku/>
        <w:wordWrap w:val="0"/>
        <w:overflowPunct/>
        <w:topLinePunct w:val="0"/>
        <w:autoSpaceDE/>
        <w:autoSpaceDN/>
        <w:bidi w:val="0"/>
        <w:adjustRightInd w:val="0"/>
        <w:snapToGrid/>
        <w:spacing w:line="4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法定代表人或其委托代理人：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（签字）</w:t>
      </w:r>
    </w:p>
    <w:p w14:paraId="36FEAD72">
      <w:pPr>
        <w:keepNext w:val="0"/>
        <w:keepLines w:val="0"/>
        <w:pageBreakBefore w:val="0"/>
        <w:widowControl w:val="0"/>
        <w:kinsoku/>
        <w:wordWrap w:val="0"/>
        <w:overflowPunct/>
        <w:topLinePunct w:val="0"/>
        <w:autoSpaceDE/>
        <w:autoSpaceDN/>
        <w:bidi w:val="0"/>
        <w:adjustRightInd w:val="0"/>
        <w:snapToGrid/>
        <w:spacing w:line="420" w:lineRule="exact"/>
        <w:ind w:firstLine="6480" w:firstLineChars="27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日</w:t>
      </w:r>
    </w:p>
    <w:p w14:paraId="641748A4">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ind w:firstLine="241" w:firstLineChars="100"/>
        <w:rPr>
          <w:rFonts w:hint="eastAsia" w:ascii="宋体" w:hAnsi="宋体" w:eastAsia="宋体" w:cs="宋体"/>
          <w:b/>
          <w:color w:val="auto"/>
          <w:sz w:val="24"/>
          <w:szCs w:val="24"/>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8"/>
      </w:tblGrid>
      <w:tr w14:paraId="2B9A0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0" w:hRule="atLeast"/>
          <w:jc w:val="center"/>
        </w:trPr>
        <w:tc>
          <w:tcPr>
            <w:tcW w:w="9128" w:type="dxa"/>
            <w:noWrap w:val="0"/>
            <w:vAlign w:val="top"/>
          </w:tcPr>
          <w:p w14:paraId="60E389AC">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ind w:left="210" w:firstLine="240" w:firstLineChars="100"/>
              <w:rPr>
                <w:rFonts w:hint="eastAsia" w:ascii="宋体" w:hAnsi="宋体" w:eastAsia="宋体" w:cs="宋体"/>
                <w:color w:val="auto"/>
                <w:sz w:val="24"/>
                <w:szCs w:val="24"/>
                <w:highlight w:val="none"/>
              </w:rPr>
            </w:pPr>
          </w:p>
          <w:p w14:paraId="7C434A67">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ind w:left="210" w:firstLine="240" w:firstLineChars="100"/>
              <w:rPr>
                <w:rFonts w:hint="eastAsia" w:ascii="宋体" w:hAnsi="宋体" w:eastAsia="宋体" w:cs="宋体"/>
                <w:color w:val="auto"/>
                <w:sz w:val="24"/>
                <w:szCs w:val="24"/>
                <w:highlight w:val="none"/>
              </w:rPr>
            </w:pPr>
          </w:p>
          <w:p w14:paraId="30E4C20E">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jc w:val="center"/>
              <w:rPr>
                <w:rFonts w:hint="eastAsia" w:ascii="宋体" w:hAnsi="宋体" w:eastAsia="宋体" w:cs="宋体"/>
                <w:b/>
                <w:color w:val="auto"/>
                <w:sz w:val="24"/>
                <w:szCs w:val="24"/>
                <w:highlight w:val="none"/>
              </w:rPr>
            </w:pPr>
          </w:p>
          <w:p w14:paraId="1C645384">
            <w:pPr>
              <w:keepNext w:val="0"/>
              <w:keepLines w:val="0"/>
              <w:pageBreakBefore w:val="0"/>
              <w:widowControl w:val="0"/>
              <w:kinsoku/>
              <w:wordWrap w:val="0"/>
              <w:overflowPunct/>
              <w:topLinePunct w:val="0"/>
              <w:autoSpaceDE/>
              <w:autoSpaceDN/>
              <w:bidi w:val="0"/>
              <w:adjustRightInd w:val="0"/>
              <w:snapToGrid/>
              <w:spacing w:line="420" w:lineRule="exact"/>
              <w:ind w:firstLine="480" w:firstLineChars="200"/>
              <w:jc w:val="left"/>
              <w:rPr>
                <w:rFonts w:hint="eastAsia" w:ascii="宋体" w:hAnsi="宋体" w:eastAsia="宋体" w:cs="宋体"/>
                <w:color w:val="auto"/>
                <w:kern w:val="0"/>
                <w:sz w:val="24"/>
                <w:szCs w:val="24"/>
                <w:highlight w:val="none"/>
              </w:rPr>
            </w:pPr>
          </w:p>
          <w:p w14:paraId="6C03F148">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投标保证金有效证明资料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交易系统生成的《投标保证金交纳回执单》或保函</w:t>
            </w:r>
          </w:p>
          <w:p w14:paraId="70C2AEAF">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ind w:left="210" w:leftChars="100" w:firstLine="241" w:firstLineChars="100"/>
              <w:rPr>
                <w:rFonts w:hint="eastAsia" w:ascii="宋体" w:hAnsi="宋体" w:eastAsia="宋体" w:cs="宋体"/>
                <w:b/>
                <w:color w:val="auto"/>
                <w:sz w:val="24"/>
                <w:szCs w:val="24"/>
                <w:highlight w:val="none"/>
              </w:rPr>
            </w:pPr>
          </w:p>
        </w:tc>
      </w:tr>
    </w:tbl>
    <w:p w14:paraId="26520E1E">
      <w:pPr>
        <w:pStyle w:val="21"/>
        <w:rPr>
          <w:rFonts w:hint="default"/>
          <w:color w:val="auto"/>
          <w:highlight w:val="none"/>
          <w:lang w:val="en-US"/>
        </w:rPr>
      </w:pPr>
    </w:p>
    <w:p w14:paraId="1A1552D0">
      <w:pPr>
        <w:rPr>
          <w:rFonts w:hint="default"/>
          <w:color w:val="auto"/>
          <w:highlight w:val="none"/>
          <w:lang w:val="en-US"/>
        </w:rPr>
      </w:pPr>
    </w:p>
    <w:p w14:paraId="0C8E4280">
      <w:pPr>
        <w:pStyle w:val="21"/>
        <w:rPr>
          <w:rFonts w:hint="default"/>
          <w:color w:val="auto"/>
          <w:highlight w:val="none"/>
          <w:lang w:val="en-US"/>
        </w:rPr>
      </w:pPr>
    </w:p>
    <w:p w14:paraId="2F19E464">
      <w:pPr>
        <w:rPr>
          <w:rFonts w:hint="default"/>
          <w:color w:val="auto"/>
          <w:highlight w:val="none"/>
          <w:lang w:val="en-US"/>
        </w:rPr>
      </w:pPr>
    </w:p>
    <w:p w14:paraId="500F5AD3">
      <w:pPr>
        <w:pStyle w:val="21"/>
        <w:rPr>
          <w:rFonts w:hint="default"/>
          <w:color w:val="auto"/>
          <w:highlight w:val="none"/>
          <w:lang w:val="en-US"/>
        </w:rPr>
      </w:pPr>
    </w:p>
    <w:p w14:paraId="7783BDE6">
      <w:pPr>
        <w:rPr>
          <w:rFonts w:hint="default"/>
          <w:color w:val="auto"/>
          <w:highlight w:val="none"/>
          <w:lang w:val="en-US"/>
        </w:rPr>
      </w:pPr>
    </w:p>
    <w:p w14:paraId="052E70F5">
      <w:pPr>
        <w:pStyle w:val="21"/>
        <w:rPr>
          <w:rFonts w:hint="default"/>
          <w:color w:val="auto"/>
          <w:highlight w:val="none"/>
          <w:lang w:val="en-US"/>
        </w:rPr>
      </w:pPr>
    </w:p>
    <w:p w14:paraId="4570C341">
      <w:pPr>
        <w:pStyle w:val="21"/>
        <w:rPr>
          <w:rFonts w:hint="default"/>
          <w:color w:val="auto"/>
          <w:highlight w:val="none"/>
          <w:lang w:val="en-US"/>
        </w:rPr>
      </w:pPr>
    </w:p>
    <w:p w14:paraId="23C23EC8">
      <w:pPr>
        <w:rPr>
          <w:rFonts w:hint="default"/>
          <w:color w:val="auto"/>
          <w:highlight w:val="none"/>
          <w:lang w:val="en-US"/>
        </w:rPr>
      </w:pPr>
    </w:p>
    <w:p w14:paraId="2F4D6451">
      <w:pPr>
        <w:keepLines w:val="0"/>
        <w:pageBreakBefore w:val="0"/>
        <w:widowControl w:val="0"/>
        <w:kinsoku/>
        <w:wordWrap w:val="0"/>
        <w:overflowPunct/>
        <w:topLinePunct w:val="0"/>
        <w:autoSpaceDE/>
        <w:autoSpaceDN/>
        <w:bidi w:val="0"/>
        <w:snapToGrid/>
        <w:spacing w:before="14"/>
        <w:ind w:left="2257" w:right="2056" w:firstLine="0"/>
        <w:jc w:val="center"/>
        <w:rPr>
          <w:rFonts w:hint="default" w:ascii="宋体" w:hAnsi="宋体" w:eastAsia="宋体" w:cs="宋体"/>
          <w:b/>
          <w:bCs w:val="0"/>
          <w:color w:val="auto"/>
          <w:sz w:val="30"/>
          <w:szCs w:val="30"/>
          <w:highlight w:val="none"/>
          <w:lang w:val="en-US" w:eastAsia="zh-CN"/>
        </w:rPr>
      </w:pPr>
      <w:r>
        <w:rPr>
          <w:rFonts w:hint="eastAsia" w:ascii="宋体" w:hAnsi="宋体" w:eastAsia="宋体" w:cs="宋体"/>
          <w:b/>
          <w:bCs w:val="0"/>
          <w:color w:val="auto"/>
          <w:kern w:val="0"/>
          <w:sz w:val="30"/>
          <w:szCs w:val="30"/>
          <w:highlight w:val="none"/>
          <w:lang w:eastAsia="zh-CN"/>
        </w:rPr>
        <w:t>四</w:t>
      </w:r>
      <w:r>
        <w:rPr>
          <w:rFonts w:hint="eastAsia" w:ascii="宋体" w:hAnsi="宋体" w:eastAsia="宋体" w:cs="宋体"/>
          <w:b/>
          <w:bCs w:val="0"/>
          <w:color w:val="auto"/>
          <w:sz w:val="30"/>
          <w:szCs w:val="30"/>
          <w:highlight w:val="none"/>
        </w:rPr>
        <w:t>、施工组织设计</w:t>
      </w:r>
      <w:r>
        <w:rPr>
          <w:rFonts w:hint="eastAsia" w:ascii="宋体" w:hAnsi="宋体" w:cs="宋体"/>
          <w:b/>
          <w:bCs w:val="0"/>
          <w:color w:val="auto"/>
          <w:sz w:val="30"/>
          <w:szCs w:val="30"/>
          <w:highlight w:val="none"/>
          <w:lang w:eastAsia="zh-CN"/>
        </w:rPr>
        <w:t>（</w:t>
      </w:r>
      <w:r>
        <w:rPr>
          <w:rFonts w:hint="eastAsia" w:ascii="宋体" w:hAnsi="宋体" w:cs="宋体"/>
          <w:b/>
          <w:bCs w:val="0"/>
          <w:color w:val="auto"/>
          <w:sz w:val="30"/>
          <w:szCs w:val="30"/>
          <w:highlight w:val="none"/>
          <w:lang w:val="en-US" w:eastAsia="zh-CN"/>
        </w:rPr>
        <w:t>格式自拟）</w:t>
      </w:r>
    </w:p>
    <w:p w14:paraId="4EB4C9FE">
      <w:pPr>
        <w:pStyle w:val="10"/>
        <w:keepLines w:val="0"/>
        <w:pageBreakBefore w:val="0"/>
        <w:widowControl w:val="0"/>
        <w:kinsoku/>
        <w:wordWrap w:val="0"/>
        <w:overflowPunct/>
        <w:topLinePunct w:val="0"/>
        <w:autoSpaceDE/>
        <w:autoSpaceDN/>
        <w:bidi w:val="0"/>
        <w:snapToGrid/>
        <w:spacing w:line="240" w:lineRule="auto"/>
        <w:ind w:left="624" w:right="0"/>
        <w:jc w:val="left"/>
        <w:rPr>
          <w:rFonts w:hint="eastAsia" w:ascii="宋体" w:hAnsi="宋体" w:eastAsia="宋体" w:cs="宋体"/>
          <w:color w:val="auto"/>
          <w:spacing w:val="-4"/>
          <w:highlight w:val="none"/>
        </w:rPr>
      </w:pPr>
    </w:p>
    <w:p w14:paraId="4492D866">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投标人应按以下要点编制施工组织设计（文字宜精炼、内容具有针对性）：</w:t>
      </w:r>
    </w:p>
    <w:p w14:paraId="6177377C">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1.总体施工组织布置及规划</w:t>
      </w:r>
    </w:p>
    <w:p w14:paraId="4F7843D9">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2.重点、关键和难点工程的施工方案</w:t>
      </w:r>
    </w:p>
    <w:p w14:paraId="3DD99AA0">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3.施工进度表或施工网络图</w:t>
      </w:r>
    </w:p>
    <w:p w14:paraId="1D4DD869">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4.关键工程质量保证措施</w:t>
      </w:r>
    </w:p>
    <w:p w14:paraId="1479C554">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5.安全保证措施</w:t>
      </w:r>
    </w:p>
    <w:p w14:paraId="7139DA34">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6.环境保护、水土保持、文明施工、文物保护保证措施</w:t>
      </w:r>
    </w:p>
    <w:p w14:paraId="1836FFA3">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7.项目风险预测与防范，事故应急预案</w:t>
      </w:r>
    </w:p>
    <w:p w14:paraId="42DDF08C">
      <w:pPr>
        <w:pStyle w:val="21"/>
        <w:rPr>
          <w:rFonts w:hint="default"/>
          <w:color w:val="auto"/>
          <w:highlight w:val="none"/>
          <w:lang w:val="en-US"/>
        </w:rPr>
      </w:pPr>
    </w:p>
    <w:p w14:paraId="67F97F97">
      <w:pPr>
        <w:rPr>
          <w:rFonts w:hint="default"/>
          <w:color w:val="auto"/>
          <w:highlight w:val="none"/>
          <w:lang w:val="en-US"/>
        </w:rPr>
      </w:pPr>
    </w:p>
    <w:p w14:paraId="0A7BB824">
      <w:pPr>
        <w:pStyle w:val="21"/>
        <w:rPr>
          <w:rFonts w:hint="default"/>
          <w:color w:val="auto"/>
          <w:highlight w:val="none"/>
          <w:lang w:val="en-US"/>
        </w:rPr>
      </w:pPr>
    </w:p>
    <w:p w14:paraId="6F3D7856">
      <w:pPr>
        <w:rPr>
          <w:rFonts w:hint="default"/>
          <w:color w:val="auto"/>
          <w:highlight w:val="none"/>
          <w:lang w:val="en-US"/>
        </w:rPr>
      </w:pPr>
    </w:p>
    <w:p w14:paraId="12D5531F">
      <w:pPr>
        <w:pStyle w:val="21"/>
        <w:rPr>
          <w:rFonts w:hint="default"/>
          <w:color w:val="auto"/>
          <w:highlight w:val="none"/>
          <w:lang w:val="en-US"/>
        </w:rPr>
      </w:pPr>
    </w:p>
    <w:p w14:paraId="39692365">
      <w:pPr>
        <w:rPr>
          <w:rFonts w:hint="default"/>
          <w:color w:val="auto"/>
          <w:highlight w:val="none"/>
          <w:lang w:val="en-US"/>
        </w:rPr>
      </w:pPr>
    </w:p>
    <w:p w14:paraId="5A41033C">
      <w:pPr>
        <w:pStyle w:val="21"/>
        <w:rPr>
          <w:rFonts w:hint="default"/>
          <w:color w:val="auto"/>
          <w:highlight w:val="none"/>
          <w:lang w:val="en-US"/>
        </w:rPr>
      </w:pPr>
    </w:p>
    <w:p w14:paraId="24F2957D">
      <w:pPr>
        <w:rPr>
          <w:rFonts w:hint="default"/>
          <w:color w:val="auto"/>
          <w:highlight w:val="none"/>
          <w:lang w:val="en-US"/>
        </w:rPr>
      </w:pPr>
    </w:p>
    <w:p w14:paraId="418A13B2">
      <w:pPr>
        <w:pStyle w:val="21"/>
        <w:rPr>
          <w:rFonts w:hint="default"/>
          <w:color w:val="auto"/>
          <w:highlight w:val="none"/>
          <w:lang w:val="en-US"/>
        </w:rPr>
      </w:pPr>
    </w:p>
    <w:p w14:paraId="427E7FFD">
      <w:pPr>
        <w:rPr>
          <w:rFonts w:hint="default"/>
          <w:color w:val="auto"/>
          <w:highlight w:val="none"/>
          <w:lang w:val="en-US"/>
        </w:rPr>
      </w:pPr>
    </w:p>
    <w:p w14:paraId="4467BA8A">
      <w:pPr>
        <w:pStyle w:val="21"/>
        <w:rPr>
          <w:rFonts w:hint="default"/>
          <w:color w:val="auto"/>
          <w:highlight w:val="none"/>
          <w:lang w:val="en-US"/>
        </w:rPr>
      </w:pPr>
    </w:p>
    <w:p w14:paraId="5CB4A3BE">
      <w:pPr>
        <w:rPr>
          <w:rFonts w:hint="default"/>
          <w:color w:val="auto"/>
          <w:highlight w:val="none"/>
          <w:lang w:val="en-US"/>
        </w:rPr>
      </w:pPr>
    </w:p>
    <w:p w14:paraId="21ABB55B">
      <w:pPr>
        <w:pStyle w:val="21"/>
        <w:rPr>
          <w:rFonts w:hint="default"/>
          <w:color w:val="auto"/>
          <w:highlight w:val="none"/>
          <w:lang w:val="en-US"/>
        </w:rPr>
      </w:pPr>
    </w:p>
    <w:p w14:paraId="226E68AE">
      <w:pPr>
        <w:rPr>
          <w:rFonts w:hint="default"/>
          <w:color w:val="auto"/>
          <w:highlight w:val="none"/>
          <w:lang w:val="en-US"/>
        </w:rPr>
      </w:pPr>
    </w:p>
    <w:p w14:paraId="2DC62F40">
      <w:pPr>
        <w:pStyle w:val="21"/>
        <w:rPr>
          <w:rFonts w:hint="default"/>
          <w:color w:val="auto"/>
          <w:highlight w:val="none"/>
          <w:lang w:val="en-US"/>
        </w:rPr>
      </w:pPr>
    </w:p>
    <w:p w14:paraId="021C082E">
      <w:pPr>
        <w:rPr>
          <w:rFonts w:hint="default"/>
          <w:color w:val="auto"/>
          <w:highlight w:val="none"/>
          <w:lang w:val="en-US"/>
        </w:rPr>
      </w:pPr>
    </w:p>
    <w:p w14:paraId="71F21D06">
      <w:pPr>
        <w:pStyle w:val="21"/>
        <w:rPr>
          <w:rFonts w:hint="default"/>
          <w:color w:val="auto"/>
          <w:highlight w:val="none"/>
          <w:lang w:val="en-US"/>
        </w:rPr>
      </w:pPr>
    </w:p>
    <w:p w14:paraId="59C186D6">
      <w:pPr>
        <w:rPr>
          <w:rFonts w:hint="default"/>
          <w:color w:val="auto"/>
          <w:highlight w:val="none"/>
          <w:lang w:val="en-US"/>
        </w:rPr>
      </w:pPr>
    </w:p>
    <w:p w14:paraId="2CC3742E">
      <w:pPr>
        <w:pStyle w:val="21"/>
        <w:rPr>
          <w:rFonts w:hint="default"/>
          <w:color w:val="auto"/>
          <w:highlight w:val="none"/>
          <w:lang w:val="en-US"/>
        </w:rPr>
      </w:pPr>
    </w:p>
    <w:p w14:paraId="0A8F4E09">
      <w:pPr>
        <w:rPr>
          <w:rFonts w:hint="default"/>
          <w:color w:val="auto"/>
          <w:highlight w:val="none"/>
          <w:lang w:val="en-US"/>
        </w:rPr>
      </w:pPr>
    </w:p>
    <w:p w14:paraId="0EB590E9">
      <w:pPr>
        <w:pStyle w:val="21"/>
        <w:rPr>
          <w:rFonts w:hint="default"/>
          <w:color w:val="auto"/>
          <w:highlight w:val="none"/>
          <w:lang w:val="en-US"/>
        </w:rPr>
      </w:pPr>
    </w:p>
    <w:p w14:paraId="553B9ABD">
      <w:pPr>
        <w:rPr>
          <w:rFonts w:hint="default"/>
          <w:color w:val="auto"/>
          <w:highlight w:val="none"/>
          <w:lang w:val="en-US"/>
        </w:rPr>
      </w:pPr>
    </w:p>
    <w:p w14:paraId="6E3875E5">
      <w:pPr>
        <w:pStyle w:val="21"/>
        <w:rPr>
          <w:rFonts w:hint="default"/>
          <w:color w:val="auto"/>
          <w:highlight w:val="none"/>
          <w:lang w:val="en-US"/>
        </w:rPr>
      </w:pPr>
    </w:p>
    <w:p w14:paraId="25A51DD2">
      <w:pPr>
        <w:rPr>
          <w:rFonts w:hint="default"/>
          <w:color w:val="auto"/>
          <w:highlight w:val="none"/>
          <w:lang w:val="en-US"/>
        </w:rPr>
      </w:pPr>
    </w:p>
    <w:p w14:paraId="083FE53D">
      <w:pPr>
        <w:pStyle w:val="21"/>
        <w:rPr>
          <w:rFonts w:hint="default"/>
          <w:color w:val="auto"/>
          <w:highlight w:val="none"/>
          <w:lang w:val="en-US"/>
        </w:rPr>
      </w:pPr>
    </w:p>
    <w:p w14:paraId="10C71F11">
      <w:pPr>
        <w:rPr>
          <w:rFonts w:hint="default"/>
          <w:color w:val="auto"/>
          <w:highlight w:val="none"/>
          <w:lang w:val="en-US"/>
        </w:rPr>
      </w:pPr>
    </w:p>
    <w:p w14:paraId="7524206F">
      <w:pPr>
        <w:pStyle w:val="20"/>
        <w:keepNext w:val="0"/>
        <w:keepLines w:val="0"/>
        <w:pageBreakBefore w:val="0"/>
        <w:widowControl w:val="0"/>
        <w:kinsoku/>
        <w:wordWrap w:val="0"/>
        <w:overflowPunct/>
        <w:topLinePunct w:val="0"/>
        <w:autoSpaceDE/>
        <w:autoSpaceDN/>
        <w:bidi w:val="0"/>
        <w:adjustRightInd/>
        <w:snapToGrid/>
        <w:spacing w:after="157" w:afterLines="50"/>
        <w:textAlignment w:val="auto"/>
        <w:outlineLvl w:val="1"/>
        <w:rPr>
          <w:rFonts w:ascii="宋体" w:hAnsi="宋体" w:cs="宋体"/>
          <w:color w:val="auto"/>
          <w:kern w:val="0"/>
          <w:sz w:val="28"/>
          <w:highlight w:val="none"/>
        </w:rPr>
      </w:pPr>
      <w:bookmarkStart w:id="463" w:name="_Toc227492353"/>
      <w:bookmarkStart w:id="464" w:name="_Toc228589271"/>
      <w:bookmarkStart w:id="465" w:name="_Toc228591617"/>
      <w:bookmarkStart w:id="466" w:name="_Toc228881257"/>
      <w:bookmarkStart w:id="467" w:name="_Toc214433997"/>
      <w:bookmarkStart w:id="468" w:name="_Toc227657595"/>
      <w:bookmarkStart w:id="469" w:name="_Toc228591765"/>
      <w:bookmarkStart w:id="470" w:name="_Toc228337206"/>
      <w:bookmarkStart w:id="471" w:name="_Toc27491"/>
      <w:bookmarkStart w:id="472" w:name="_Toc431367152"/>
      <w:bookmarkStart w:id="473" w:name="_Toc272772676"/>
      <w:r>
        <w:rPr>
          <w:rFonts w:hint="eastAsia" w:ascii="宋体" w:hAnsi="宋体" w:cs="宋体"/>
          <w:color w:val="auto"/>
          <w:kern w:val="0"/>
          <w:sz w:val="30"/>
          <w:szCs w:val="30"/>
          <w:highlight w:val="none"/>
          <w:lang w:eastAsia="zh-CN"/>
        </w:rPr>
        <w:t>五</w:t>
      </w:r>
      <w:r>
        <w:rPr>
          <w:rFonts w:hint="eastAsia" w:ascii="宋体" w:hAnsi="宋体" w:cs="宋体"/>
          <w:color w:val="auto"/>
          <w:kern w:val="0"/>
          <w:sz w:val="30"/>
          <w:szCs w:val="30"/>
          <w:highlight w:val="none"/>
        </w:rPr>
        <w:t>、</w:t>
      </w:r>
      <w:bookmarkEnd w:id="463"/>
      <w:bookmarkEnd w:id="464"/>
      <w:bookmarkEnd w:id="465"/>
      <w:bookmarkEnd w:id="466"/>
      <w:bookmarkEnd w:id="467"/>
      <w:bookmarkEnd w:id="468"/>
      <w:bookmarkEnd w:id="469"/>
      <w:bookmarkEnd w:id="470"/>
      <w:r>
        <w:rPr>
          <w:rFonts w:hint="eastAsia" w:ascii="宋体" w:hAnsi="宋体" w:cs="宋体"/>
          <w:color w:val="auto"/>
          <w:kern w:val="0"/>
          <w:sz w:val="30"/>
          <w:szCs w:val="30"/>
          <w:highlight w:val="none"/>
        </w:rPr>
        <w:t>项目管理机构</w:t>
      </w:r>
      <w:bookmarkEnd w:id="471"/>
      <w:bookmarkEnd w:id="472"/>
      <w:bookmarkEnd w:id="473"/>
    </w:p>
    <w:tbl>
      <w:tblPr>
        <w:tblStyle w:val="23"/>
        <w:tblW w:w="0" w:type="auto"/>
        <w:jc w:val="center"/>
        <w:tblLayout w:type="fixed"/>
        <w:tblCellMar>
          <w:top w:w="0" w:type="dxa"/>
          <w:left w:w="0" w:type="dxa"/>
          <w:bottom w:w="0" w:type="dxa"/>
          <w:right w:w="0" w:type="dxa"/>
        </w:tblCellMar>
      </w:tblPr>
      <w:tblGrid>
        <w:gridCol w:w="8726"/>
      </w:tblGrid>
      <w:tr w14:paraId="1ED71A39">
        <w:tblPrEx>
          <w:tblCellMar>
            <w:top w:w="0" w:type="dxa"/>
            <w:left w:w="0" w:type="dxa"/>
            <w:bottom w:w="0" w:type="dxa"/>
            <w:right w:w="0" w:type="dxa"/>
          </w:tblCellMar>
        </w:tblPrEx>
        <w:trPr>
          <w:trHeight w:val="8685" w:hRule="exact"/>
          <w:jc w:val="center"/>
        </w:trPr>
        <w:tc>
          <w:tcPr>
            <w:tcW w:w="8726" w:type="dxa"/>
            <w:tcBorders>
              <w:top w:val="single" w:color="000000" w:sz="6" w:space="0"/>
              <w:left w:val="single" w:color="000000" w:sz="6" w:space="0"/>
              <w:bottom w:val="single" w:color="000000" w:sz="6" w:space="0"/>
              <w:right w:val="single" w:color="000000" w:sz="6" w:space="0"/>
            </w:tcBorders>
          </w:tcPr>
          <w:p w14:paraId="5A083B76">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宋体" w:hAnsi="宋体" w:eastAsia="宋体" w:cs="宋体"/>
                <w:color w:val="auto"/>
                <w:sz w:val="21"/>
                <w:szCs w:val="21"/>
                <w:highlight w:val="none"/>
              </w:rPr>
            </w:pPr>
          </w:p>
          <w:p w14:paraId="221BC748">
            <w:pPr>
              <w:pStyle w:val="106"/>
              <w:keepNext w:val="0"/>
              <w:keepLines w:val="0"/>
              <w:pageBreakBefore w:val="0"/>
              <w:widowControl w:val="0"/>
              <w:kinsoku/>
              <w:wordWrap w:val="0"/>
              <w:overflowPunct/>
              <w:topLinePunct w:val="0"/>
              <w:autoSpaceDE/>
              <w:autoSpaceDN/>
              <w:bidi w:val="0"/>
              <w:snapToGrid/>
              <w:spacing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拟为承包本标段工程设立的组织机构以框图方式表示。</w:t>
            </w:r>
          </w:p>
        </w:tc>
      </w:tr>
      <w:tr w14:paraId="442198CF">
        <w:tblPrEx>
          <w:tblCellMar>
            <w:top w:w="0" w:type="dxa"/>
            <w:left w:w="0" w:type="dxa"/>
            <w:bottom w:w="0" w:type="dxa"/>
            <w:right w:w="0" w:type="dxa"/>
          </w:tblCellMar>
        </w:tblPrEx>
        <w:trPr>
          <w:trHeight w:val="3123" w:hRule="exact"/>
          <w:jc w:val="center"/>
        </w:trPr>
        <w:tc>
          <w:tcPr>
            <w:tcW w:w="8726" w:type="dxa"/>
            <w:tcBorders>
              <w:top w:val="single" w:color="000000" w:sz="6" w:space="0"/>
              <w:left w:val="single" w:color="000000" w:sz="6" w:space="0"/>
              <w:bottom w:val="single" w:color="000000" w:sz="6" w:space="0"/>
              <w:right w:val="single" w:color="000000" w:sz="6" w:space="0"/>
            </w:tcBorders>
          </w:tcPr>
          <w:p w14:paraId="0C187F7B">
            <w:pPr>
              <w:pStyle w:val="106"/>
              <w:keepNext w:val="0"/>
              <w:keepLines w:val="0"/>
              <w:pageBreakBefore w:val="0"/>
              <w:widowControl w:val="0"/>
              <w:kinsoku/>
              <w:wordWrap w:val="0"/>
              <w:overflowPunct/>
              <w:topLinePunct w:val="0"/>
              <w:autoSpaceDE/>
              <w:autoSpaceDN/>
              <w:bidi w:val="0"/>
              <w:snapToGrid/>
              <w:spacing w:before="6" w:line="240" w:lineRule="auto"/>
              <w:ind w:right="0"/>
              <w:jc w:val="left"/>
              <w:rPr>
                <w:rFonts w:ascii="黑体" w:hAnsi="黑体" w:eastAsia="黑体" w:cs="黑体"/>
                <w:color w:val="auto"/>
                <w:sz w:val="16"/>
                <w:szCs w:val="16"/>
                <w:highlight w:val="none"/>
              </w:rPr>
            </w:pPr>
          </w:p>
          <w:p w14:paraId="46B1200C">
            <w:pPr>
              <w:pStyle w:val="106"/>
              <w:keepNext w:val="0"/>
              <w:keepLines w:val="0"/>
              <w:pageBreakBefore w:val="0"/>
              <w:widowControl w:val="0"/>
              <w:kinsoku/>
              <w:wordWrap w:val="0"/>
              <w:overflowPunct/>
              <w:topLinePunct w:val="0"/>
              <w:autoSpaceDE/>
              <w:autoSpaceDN/>
              <w:bidi w:val="0"/>
              <w:snapToGrid/>
              <w:spacing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说明</w:t>
            </w:r>
          </w:p>
        </w:tc>
      </w:tr>
    </w:tbl>
    <w:p w14:paraId="79741EAB">
      <w:pPr>
        <w:pStyle w:val="21"/>
        <w:rPr>
          <w:rFonts w:hint="default"/>
          <w:color w:val="auto"/>
          <w:highlight w:val="none"/>
          <w:lang w:val="en-US"/>
        </w:rPr>
      </w:pPr>
    </w:p>
    <w:p w14:paraId="1505DD63">
      <w:pPr>
        <w:rPr>
          <w:rFonts w:hint="default"/>
          <w:color w:val="auto"/>
          <w:highlight w:val="none"/>
          <w:lang w:val="en-US"/>
        </w:rPr>
      </w:pPr>
    </w:p>
    <w:p w14:paraId="1727CE6A">
      <w:pPr>
        <w:pStyle w:val="21"/>
        <w:rPr>
          <w:rFonts w:hint="default"/>
          <w:color w:val="auto"/>
          <w:highlight w:val="none"/>
          <w:lang w:val="en-US"/>
        </w:rPr>
      </w:pPr>
    </w:p>
    <w:p w14:paraId="4B3CB06D">
      <w:pPr>
        <w:rPr>
          <w:rFonts w:hint="default"/>
          <w:color w:val="auto"/>
          <w:highlight w:val="none"/>
          <w:lang w:val="en-US"/>
        </w:rPr>
      </w:pPr>
    </w:p>
    <w:p w14:paraId="6F06637B">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outlineLvl w:val="1"/>
        <w:rPr>
          <w:rFonts w:ascii="宋体" w:hAnsi="宋体" w:cs="宋体"/>
          <w:b/>
          <w:color w:val="auto"/>
          <w:kern w:val="0"/>
          <w:sz w:val="28"/>
          <w:highlight w:val="none"/>
        </w:rPr>
      </w:pPr>
      <w:bookmarkStart w:id="474" w:name="_Toc227657599"/>
      <w:bookmarkStart w:id="475" w:name="_Toc228591621"/>
      <w:bookmarkStart w:id="476" w:name="_Toc500864551"/>
      <w:bookmarkStart w:id="477" w:name="_Toc228589275"/>
      <w:bookmarkStart w:id="478" w:name="_Toc431367156"/>
      <w:bookmarkStart w:id="479" w:name="_Toc37747011"/>
      <w:bookmarkStart w:id="480" w:name="_Toc37422295"/>
      <w:bookmarkStart w:id="481" w:name="_Toc272772681"/>
      <w:bookmarkStart w:id="482" w:name="_Toc227492357"/>
      <w:bookmarkStart w:id="483" w:name="_Toc214434001"/>
      <w:bookmarkStart w:id="484" w:name="_Toc12047"/>
      <w:bookmarkStart w:id="485" w:name="_Toc228337210"/>
      <w:bookmarkStart w:id="486" w:name="_Toc18871"/>
      <w:bookmarkStart w:id="487" w:name="_Toc228591769"/>
      <w:bookmarkStart w:id="488" w:name="_Toc228881261"/>
      <w:r>
        <w:rPr>
          <w:rFonts w:hint="eastAsia" w:ascii="宋体" w:hAnsi="宋体" w:cs="宋体"/>
          <w:b/>
          <w:bCs/>
          <w:color w:val="auto"/>
          <w:kern w:val="0"/>
          <w:sz w:val="30"/>
          <w:szCs w:val="30"/>
          <w:highlight w:val="none"/>
          <w:lang w:eastAsia="zh-CN"/>
        </w:rPr>
        <w:t>六</w:t>
      </w:r>
      <w:r>
        <w:rPr>
          <w:rFonts w:hint="eastAsia" w:ascii="宋体" w:hAnsi="宋体" w:cs="宋体"/>
          <w:b/>
          <w:bCs/>
          <w:color w:val="auto"/>
          <w:kern w:val="0"/>
          <w:sz w:val="30"/>
          <w:szCs w:val="30"/>
          <w:highlight w:val="none"/>
        </w:rPr>
        <w:t>、资格审查资料</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05243624">
      <w:pPr>
        <w:keepNext w:val="0"/>
        <w:keepLines w:val="0"/>
        <w:pageBreakBefore w:val="0"/>
        <w:widowControl w:val="0"/>
        <w:kinsoku/>
        <w:wordWrap w:val="0"/>
        <w:overflowPunct/>
        <w:topLinePunct w:val="0"/>
        <w:autoSpaceDE/>
        <w:autoSpaceDN/>
        <w:bidi w:val="0"/>
        <w:adjustRightInd w:val="0"/>
        <w:snapToGrid/>
        <w:spacing w:before="157" w:beforeLines="50" w:after="157" w:afterLines="50" w:line="400" w:lineRule="exact"/>
        <w:ind w:right="-34" w:rightChars="-16"/>
        <w:jc w:val="center"/>
        <w:textAlignment w:val="auto"/>
        <w:outlineLvl w:val="1"/>
        <w:rPr>
          <w:rFonts w:ascii="宋体" w:hAnsi="宋体" w:cs="宋体"/>
          <w:b/>
          <w:bCs/>
          <w:color w:val="auto"/>
          <w:kern w:val="0"/>
          <w:sz w:val="24"/>
          <w:szCs w:val="18"/>
          <w:highlight w:val="none"/>
        </w:rPr>
      </w:pPr>
      <w:bookmarkStart w:id="489" w:name="_Toc228591622"/>
      <w:bookmarkStart w:id="490" w:name="_Toc272772682"/>
      <w:bookmarkStart w:id="491" w:name="_Toc228591770"/>
      <w:bookmarkStart w:id="492" w:name="_Toc11990"/>
      <w:bookmarkStart w:id="493" w:name="_Toc32399"/>
      <w:bookmarkStart w:id="494" w:name="_Toc431367157"/>
      <w:bookmarkStart w:id="495" w:name="_Toc37747013"/>
      <w:bookmarkStart w:id="496" w:name="_Toc38738911"/>
      <w:bookmarkStart w:id="497" w:name="_Toc214434002"/>
      <w:bookmarkStart w:id="498" w:name="_Toc500864552"/>
      <w:bookmarkStart w:id="499" w:name="_Toc227492358"/>
      <w:bookmarkStart w:id="500" w:name="_Toc227657600"/>
      <w:bookmarkStart w:id="501" w:name="_Toc228881262"/>
      <w:bookmarkStart w:id="502" w:name="_Toc228589276"/>
      <w:bookmarkStart w:id="503" w:name="_Toc37422297"/>
      <w:bookmarkStart w:id="504" w:name="_Toc228337211"/>
      <w:bookmarkStart w:id="505" w:name="_Toc513740274"/>
      <w:r>
        <w:rPr>
          <w:rFonts w:hint="eastAsia" w:ascii="宋体" w:hAnsi="宋体" w:cs="宋体"/>
          <w:b/>
          <w:bCs/>
          <w:color w:val="auto"/>
          <w:kern w:val="0"/>
          <w:sz w:val="28"/>
          <w:szCs w:val="28"/>
          <w:highlight w:val="none"/>
        </w:rPr>
        <w:t>（一）投标人基本情况表</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tbl>
      <w:tblPr>
        <w:tblStyle w:val="23"/>
        <w:tblW w:w="0" w:type="auto"/>
        <w:jc w:val="center"/>
        <w:tblLayout w:type="fixed"/>
        <w:tblCellMar>
          <w:top w:w="0" w:type="dxa"/>
          <w:left w:w="0" w:type="dxa"/>
          <w:bottom w:w="0" w:type="dxa"/>
          <w:right w:w="0" w:type="dxa"/>
        </w:tblCellMar>
      </w:tblPr>
      <w:tblGrid>
        <w:gridCol w:w="1908"/>
        <w:gridCol w:w="901"/>
        <w:gridCol w:w="1080"/>
        <w:gridCol w:w="528"/>
        <w:gridCol w:w="732"/>
        <w:gridCol w:w="1078"/>
        <w:gridCol w:w="182"/>
        <w:gridCol w:w="900"/>
        <w:gridCol w:w="1621"/>
      </w:tblGrid>
      <w:tr w14:paraId="33B76798">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6414F7FC">
            <w:pPr>
              <w:pStyle w:val="106"/>
              <w:keepNext w:val="0"/>
              <w:keepLines w:val="0"/>
              <w:pageBreakBefore w:val="0"/>
              <w:widowControl w:val="0"/>
              <w:kinsoku/>
              <w:wordWrap w:val="0"/>
              <w:overflowPunct/>
              <w:topLinePunct w:val="0"/>
              <w:autoSpaceDE/>
              <w:autoSpaceDN/>
              <w:bidi w:val="0"/>
              <w:snapToGrid/>
              <w:spacing w:before="107" w:line="240" w:lineRule="auto"/>
              <w:ind w:left="42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投标人名称</w:t>
            </w:r>
          </w:p>
        </w:tc>
        <w:tc>
          <w:tcPr>
            <w:tcW w:w="7022" w:type="dxa"/>
            <w:gridSpan w:val="8"/>
            <w:tcBorders>
              <w:top w:val="single" w:color="000000" w:sz="4" w:space="0"/>
              <w:left w:val="single" w:color="000000" w:sz="4" w:space="0"/>
              <w:bottom w:val="single" w:color="000000" w:sz="4" w:space="0"/>
              <w:right w:val="single" w:color="000000" w:sz="4" w:space="0"/>
            </w:tcBorders>
          </w:tcPr>
          <w:p w14:paraId="2B8F0C07">
            <w:pPr>
              <w:keepNext w:val="0"/>
              <w:keepLines w:val="0"/>
              <w:pageBreakBefore w:val="0"/>
              <w:widowControl w:val="0"/>
              <w:kinsoku/>
              <w:wordWrap w:val="0"/>
              <w:overflowPunct/>
              <w:topLinePunct w:val="0"/>
              <w:autoSpaceDE/>
              <w:autoSpaceDN/>
              <w:bidi w:val="0"/>
              <w:snapToGrid/>
              <w:rPr>
                <w:color w:val="auto"/>
                <w:highlight w:val="none"/>
              </w:rPr>
            </w:pPr>
          </w:p>
        </w:tc>
      </w:tr>
      <w:tr w14:paraId="7FBDA5F5">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7FF375F3">
            <w:pPr>
              <w:pStyle w:val="106"/>
              <w:keepNext w:val="0"/>
              <w:keepLines w:val="0"/>
              <w:pageBreakBefore w:val="0"/>
              <w:widowControl w:val="0"/>
              <w:kinsoku/>
              <w:wordWrap w:val="0"/>
              <w:overflowPunct/>
              <w:topLinePunct w:val="0"/>
              <w:autoSpaceDE/>
              <w:autoSpaceDN/>
              <w:bidi w:val="0"/>
              <w:snapToGrid/>
              <w:spacing w:before="107" w:line="240" w:lineRule="auto"/>
              <w:ind w:left="52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注册地址</w:t>
            </w:r>
          </w:p>
        </w:tc>
        <w:tc>
          <w:tcPr>
            <w:tcW w:w="3241" w:type="dxa"/>
            <w:gridSpan w:val="4"/>
            <w:tcBorders>
              <w:top w:val="single" w:color="000000" w:sz="4" w:space="0"/>
              <w:left w:val="single" w:color="000000" w:sz="4" w:space="0"/>
              <w:bottom w:val="single" w:color="000000" w:sz="4" w:space="0"/>
              <w:right w:val="single" w:color="000000" w:sz="4" w:space="0"/>
            </w:tcBorders>
          </w:tcPr>
          <w:p w14:paraId="7C7411BD">
            <w:pPr>
              <w:keepNext w:val="0"/>
              <w:keepLines w:val="0"/>
              <w:pageBreakBefore w:val="0"/>
              <w:widowControl w:val="0"/>
              <w:kinsoku/>
              <w:wordWrap w:val="0"/>
              <w:overflowPunct/>
              <w:topLinePunct w:val="0"/>
              <w:autoSpaceDE/>
              <w:autoSpaceDN/>
              <w:bidi w:val="0"/>
              <w:snapToGrid/>
              <w:rPr>
                <w:color w:val="auto"/>
                <w:highlight w:val="none"/>
              </w:rPr>
            </w:pPr>
          </w:p>
        </w:tc>
        <w:tc>
          <w:tcPr>
            <w:tcW w:w="1078" w:type="dxa"/>
            <w:tcBorders>
              <w:top w:val="single" w:color="000000" w:sz="4" w:space="0"/>
              <w:left w:val="single" w:color="000000" w:sz="4" w:space="0"/>
              <w:bottom w:val="single" w:color="000000" w:sz="4" w:space="0"/>
              <w:right w:val="single" w:color="000000" w:sz="4" w:space="0"/>
            </w:tcBorders>
          </w:tcPr>
          <w:p w14:paraId="69EF8C00">
            <w:pPr>
              <w:pStyle w:val="106"/>
              <w:keepNext w:val="0"/>
              <w:keepLines w:val="0"/>
              <w:pageBreakBefore w:val="0"/>
              <w:widowControl w:val="0"/>
              <w:kinsoku/>
              <w:wordWrap w:val="0"/>
              <w:overflowPunct/>
              <w:topLinePunct w:val="0"/>
              <w:autoSpaceDE/>
              <w:autoSpaceDN/>
              <w:bidi w:val="0"/>
              <w:snapToGrid/>
              <w:spacing w:before="107" w:line="240" w:lineRule="auto"/>
              <w:ind w:left="11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邮政编码</w:t>
            </w:r>
          </w:p>
        </w:tc>
        <w:tc>
          <w:tcPr>
            <w:tcW w:w="2703" w:type="dxa"/>
            <w:gridSpan w:val="3"/>
            <w:tcBorders>
              <w:top w:val="single" w:color="000000" w:sz="4" w:space="0"/>
              <w:left w:val="single" w:color="000000" w:sz="4" w:space="0"/>
              <w:bottom w:val="single" w:color="000000" w:sz="4" w:space="0"/>
              <w:right w:val="single" w:color="000000" w:sz="4" w:space="0"/>
            </w:tcBorders>
          </w:tcPr>
          <w:p w14:paraId="6366F035">
            <w:pPr>
              <w:keepNext w:val="0"/>
              <w:keepLines w:val="0"/>
              <w:pageBreakBefore w:val="0"/>
              <w:widowControl w:val="0"/>
              <w:kinsoku/>
              <w:wordWrap w:val="0"/>
              <w:overflowPunct/>
              <w:topLinePunct w:val="0"/>
              <w:autoSpaceDE/>
              <w:autoSpaceDN/>
              <w:bidi w:val="0"/>
              <w:snapToGrid/>
              <w:rPr>
                <w:color w:val="auto"/>
                <w:highlight w:val="none"/>
              </w:rPr>
            </w:pPr>
          </w:p>
        </w:tc>
      </w:tr>
      <w:tr w14:paraId="77E2E2AC">
        <w:tblPrEx>
          <w:tblCellMar>
            <w:top w:w="0" w:type="dxa"/>
            <w:left w:w="0" w:type="dxa"/>
            <w:bottom w:w="0" w:type="dxa"/>
            <w:right w:w="0" w:type="dxa"/>
          </w:tblCellMar>
        </w:tblPrEx>
        <w:trPr>
          <w:trHeight w:val="449" w:hRule="exact"/>
          <w:jc w:val="center"/>
        </w:trPr>
        <w:tc>
          <w:tcPr>
            <w:tcW w:w="1908" w:type="dxa"/>
            <w:vMerge w:val="restart"/>
            <w:tcBorders>
              <w:top w:val="single" w:color="000000" w:sz="4" w:space="0"/>
              <w:left w:val="single" w:color="000000" w:sz="4" w:space="0"/>
              <w:right w:val="single" w:color="000000" w:sz="4" w:space="0"/>
            </w:tcBorders>
          </w:tcPr>
          <w:p w14:paraId="3C15AFFC">
            <w:pPr>
              <w:pStyle w:val="106"/>
              <w:keepNext w:val="0"/>
              <w:keepLines w:val="0"/>
              <w:pageBreakBefore w:val="0"/>
              <w:widowControl w:val="0"/>
              <w:kinsoku/>
              <w:wordWrap w:val="0"/>
              <w:overflowPunct/>
              <w:topLinePunct w:val="0"/>
              <w:autoSpaceDE/>
              <w:autoSpaceDN/>
              <w:bidi w:val="0"/>
              <w:snapToGrid/>
              <w:spacing w:before="6" w:line="240" w:lineRule="auto"/>
              <w:ind w:right="0"/>
              <w:jc w:val="left"/>
              <w:rPr>
                <w:rFonts w:ascii="黑体" w:hAnsi="黑体" w:eastAsia="黑体" w:cs="黑体"/>
                <w:color w:val="auto"/>
                <w:sz w:val="25"/>
                <w:szCs w:val="25"/>
                <w:highlight w:val="none"/>
              </w:rPr>
            </w:pPr>
          </w:p>
          <w:p w14:paraId="0AEDCB24">
            <w:pPr>
              <w:pStyle w:val="106"/>
              <w:keepNext w:val="0"/>
              <w:keepLines w:val="0"/>
              <w:pageBreakBefore w:val="0"/>
              <w:widowControl w:val="0"/>
              <w:kinsoku/>
              <w:wordWrap w:val="0"/>
              <w:overflowPunct/>
              <w:topLinePunct w:val="0"/>
              <w:autoSpaceDE/>
              <w:autoSpaceDN/>
              <w:bidi w:val="0"/>
              <w:snapToGrid/>
              <w:spacing w:line="240" w:lineRule="auto"/>
              <w:ind w:left="52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联系方式</w:t>
            </w:r>
          </w:p>
        </w:tc>
        <w:tc>
          <w:tcPr>
            <w:tcW w:w="901" w:type="dxa"/>
            <w:tcBorders>
              <w:top w:val="single" w:color="000000" w:sz="4" w:space="0"/>
              <w:left w:val="single" w:color="000000" w:sz="4" w:space="0"/>
              <w:bottom w:val="single" w:color="000000" w:sz="4" w:space="0"/>
              <w:right w:val="single" w:color="000000" w:sz="4" w:space="0"/>
            </w:tcBorders>
          </w:tcPr>
          <w:p w14:paraId="49A11FE8">
            <w:pPr>
              <w:pStyle w:val="106"/>
              <w:keepNext w:val="0"/>
              <w:keepLines w:val="0"/>
              <w:pageBreakBefore w:val="0"/>
              <w:widowControl w:val="0"/>
              <w:kinsoku/>
              <w:wordWrap w:val="0"/>
              <w:overflowPunct/>
              <w:topLinePunct w:val="0"/>
              <w:autoSpaceDE/>
              <w:autoSpaceDN/>
              <w:bidi w:val="0"/>
              <w:snapToGrid/>
              <w:spacing w:before="107" w:line="240" w:lineRule="auto"/>
              <w:ind w:left="12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联系人</w:t>
            </w:r>
          </w:p>
        </w:tc>
        <w:tc>
          <w:tcPr>
            <w:tcW w:w="2340" w:type="dxa"/>
            <w:gridSpan w:val="3"/>
            <w:tcBorders>
              <w:top w:val="single" w:color="000000" w:sz="4" w:space="0"/>
              <w:left w:val="single" w:color="000000" w:sz="4" w:space="0"/>
              <w:bottom w:val="single" w:color="000000" w:sz="4" w:space="0"/>
              <w:right w:val="single" w:color="000000" w:sz="4" w:space="0"/>
            </w:tcBorders>
          </w:tcPr>
          <w:p w14:paraId="7371EB0F">
            <w:pPr>
              <w:keepNext w:val="0"/>
              <w:keepLines w:val="0"/>
              <w:pageBreakBefore w:val="0"/>
              <w:widowControl w:val="0"/>
              <w:kinsoku/>
              <w:wordWrap w:val="0"/>
              <w:overflowPunct/>
              <w:topLinePunct w:val="0"/>
              <w:autoSpaceDE/>
              <w:autoSpaceDN/>
              <w:bidi w:val="0"/>
              <w:snapToGrid/>
              <w:rPr>
                <w:color w:val="auto"/>
                <w:highlight w:val="none"/>
              </w:rPr>
            </w:pPr>
          </w:p>
        </w:tc>
        <w:tc>
          <w:tcPr>
            <w:tcW w:w="1078" w:type="dxa"/>
            <w:tcBorders>
              <w:top w:val="single" w:color="000000" w:sz="4" w:space="0"/>
              <w:left w:val="single" w:color="000000" w:sz="4" w:space="0"/>
              <w:bottom w:val="single" w:color="000000" w:sz="4" w:space="0"/>
              <w:right w:val="single" w:color="000000" w:sz="4" w:space="0"/>
            </w:tcBorders>
          </w:tcPr>
          <w:p w14:paraId="04716779">
            <w:pPr>
              <w:pStyle w:val="106"/>
              <w:keepNext w:val="0"/>
              <w:keepLines w:val="0"/>
              <w:pageBreakBefore w:val="0"/>
              <w:widowControl w:val="0"/>
              <w:kinsoku/>
              <w:wordWrap w:val="0"/>
              <w:overflowPunct/>
              <w:topLinePunct w:val="0"/>
              <w:autoSpaceDE/>
              <w:autoSpaceDN/>
              <w:bidi w:val="0"/>
              <w:snapToGrid/>
              <w:spacing w:before="107" w:line="240" w:lineRule="auto"/>
              <w:ind w:left="27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电</w:t>
            </w:r>
            <w:r>
              <w:rPr>
                <w:rFonts w:ascii="宋体" w:hAnsi="宋体" w:eastAsia="宋体" w:cs="宋体"/>
                <w:color w:val="auto"/>
                <w:spacing w:val="2"/>
                <w:sz w:val="21"/>
                <w:szCs w:val="21"/>
                <w:highlight w:val="none"/>
              </w:rPr>
              <w:t xml:space="preserve"> </w:t>
            </w:r>
            <w:r>
              <w:rPr>
                <w:rFonts w:ascii="宋体" w:hAnsi="宋体" w:eastAsia="宋体" w:cs="宋体"/>
                <w:color w:val="auto"/>
                <w:sz w:val="21"/>
                <w:szCs w:val="21"/>
                <w:highlight w:val="none"/>
              </w:rPr>
              <w:t>话</w:t>
            </w:r>
          </w:p>
        </w:tc>
        <w:tc>
          <w:tcPr>
            <w:tcW w:w="2703" w:type="dxa"/>
            <w:gridSpan w:val="3"/>
            <w:tcBorders>
              <w:top w:val="single" w:color="000000" w:sz="4" w:space="0"/>
              <w:left w:val="single" w:color="000000" w:sz="4" w:space="0"/>
              <w:bottom w:val="single" w:color="000000" w:sz="4" w:space="0"/>
              <w:right w:val="single" w:color="000000" w:sz="4" w:space="0"/>
            </w:tcBorders>
          </w:tcPr>
          <w:p w14:paraId="1CF3639D">
            <w:pPr>
              <w:keepNext w:val="0"/>
              <w:keepLines w:val="0"/>
              <w:pageBreakBefore w:val="0"/>
              <w:widowControl w:val="0"/>
              <w:kinsoku/>
              <w:wordWrap w:val="0"/>
              <w:overflowPunct/>
              <w:topLinePunct w:val="0"/>
              <w:autoSpaceDE/>
              <w:autoSpaceDN/>
              <w:bidi w:val="0"/>
              <w:snapToGrid/>
              <w:rPr>
                <w:color w:val="auto"/>
                <w:highlight w:val="none"/>
              </w:rPr>
            </w:pPr>
          </w:p>
        </w:tc>
      </w:tr>
      <w:tr w14:paraId="418A292E">
        <w:tblPrEx>
          <w:tblCellMar>
            <w:top w:w="0" w:type="dxa"/>
            <w:left w:w="0" w:type="dxa"/>
            <w:bottom w:w="0" w:type="dxa"/>
            <w:right w:w="0" w:type="dxa"/>
          </w:tblCellMar>
        </w:tblPrEx>
        <w:trPr>
          <w:trHeight w:val="451" w:hRule="exact"/>
          <w:jc w:val="center"/>
        </w:trPr>
        <w:tc>
          <w:tcPr>
            <w:tcW w:w="1908" w:type="dxa"/>
            <w:vMerge w:val="continue"/>
            <w:tcBorders>
              <w:left w:val="single" w:color="000000" w:sz="4" w:space="0"/>
              <w:bottom w:val="single" w:color="000000" w:sz="4" w:space="0"/>
              <w:right w:val="single" w:color="000000" w:sz="4" w:space="0"/>
            </w:tcBorders>
          </w:tcPr>
          <w:p w14:paraId="60EEC70E">
            <w:pPr>
              <w:keepNext w:val="0"/>
              <w:keepLines w:val="0"/>
              <w:pageBreakBefore w:val="0"/>
              <w:widowControl w:val="0"/>
              <w:kinsoku/>
              <w:wordWrap w:val="0"/>
              <w:overflowPunct/>
              <w:topLinePunct w:val="0"/>
              <w:autoSpaceDE/>
              <w:autoSpaceDN/>
              <w:bidi w:val="0"/>
              <w:snapToGrid/>
              <w:rPr>
                <w:color w:val="auto"/>
                <w:highlight w:val="none"/>
              </w:rPr>
            </w:pPr>
          </w:p>
        </w:tc>
        <w:tc>
          <w:tcPr>
            <w:tcW w:w="901" w:type="dxa"/>
            <w:tcBorders>
              <w:top w:val="single" w:color="000000" w:sz="4" w:space="0"/>
              <w:left w:val="single" w:color="000000" w:sz="4" w:space="0"/>
              <w:bottom w:val="single" w:color="000000" w:sz="4" w:space="0"/>
              <w:right w:val="single" w:color="000000" w:sz="4" w:space="0"/>
            </w:tcBorders>
          </w:tcPr>
          <w:p w14:paraId="4FD80060">
            <w:pPr>
              <w:pStyle w:val="106"/>
              <w:keepNext w:val="0"/>
              <w:keepLines w:val="0"/>
              <w:pageBreakBefore w:val="0"/>
              <w:widowControl w:val="0"/>
              <w:tabs>
                <w:tab w:val="left" w:pos="552"/>
              </w:tabs>
              <w:kinsoku/>
              <w:wordWrap w:val="0"/>
              <w:overflowPunct/>
              <w:topLinePunct w:val="0"/>
              <w:autoSpaceDE/>
              <w:autoSpaceDN/>
              <w:bidi w:val="0"/>
              <w:snapToGrid/>
              <w:spacing w:before="107" w:line="240" w:lineRule="auto"/>
              <w:ind w:left="12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传</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真</w:t>
            </w:r>
          </w:p>
        </w:tc>
        <w:tc>
          <w:tcPr>
            <w:tcW w:w="2340" w:type="dxa"/>
            <w:gridSpan w:val="3"/>
            <w:tcBorders>
              <w:top w:val="single" w:color="000000" w:sz="4" w:space="0"/>
              <w:left w:val="single" w:color="000000" w:sz="4" w:space="0"/>
              <w:bottom w:val="single" w:color="000000" w:sz="4" w:space="0"/>
              <w:right w:val="single" w:color="000000" w:sz="4" w:space="0"/>
            </w:tcBorders>
          </w:tcPr>
          <w:p w14:paraId="232073F6">
            <w:pPr>
              <w:keepNext w:val="0"/>
              <w:keepLines w:val="0"/>
              <w:pageBreakBefore w:val="0"/>
              <w:widowControl w:val="0"/>
              <w:kinsoku/>
              <w:wordWrap w:val="0"/>
              <w:overflowPunct/>
              <w:topLinePunct w:val="0"/>
              <w:autoSpaceDE/>
              <w:autoSpaceDN/>
              <w:bidi w:val="0"/>
              <w:snapToGrid/>
              <w:rPr>
                <w:color w:val="auto"/>
                <w:highlight w:val="none"/>
              </w:rPr>
            </w:pPr>
          </w:p>
        </w:tc>
        <w:tc>
          <w:tcPr>
            <w:tcW w:w="1078" w:type="dxa"/>
            <w:tcBorders>
              <w:top w:val="single" w:color="000000" w:sz="4" w:space="0"/>
              <w:left w:val="single" w:color="000000" w:sz="4" w:space="0"/>
              <w:bottom w:val="single" w:color="000000" w:sz="4" w:space="0"/>
              <w:right w:val="single" w:color="000000" w:sz="4" w:space="0"/>
            </w:tcBorders>
          </w:tcPr>
          <w:p w14:paraId="04C01761">
            <w:pPr>
              <w:pStyle w:val="106"/>
              <w:keepNext w:val="0"/>
              <w:keepLines w:val="0"/>
              <w:pageBreakBefore w:val="0"/>
              <w:widowControl w:val="0"/>
              <w:kinsoku/>
              <w:wordWrap w:val="0"/>
              <w:overflowPunct/>
              <w:topLinePunct w:val="0"/>
              <w:autoSpaceDE/>
              <w:autoSpaceDN/>
              <w:bidi w:val="0"/>
              <w:snapToGrid/>
              <w:spacing w:before="107" w:line="240" w:lineRule="auto"/>
              <w:ind w:left="11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电子邮件</w:t>
            </w:r>
          </w:p>
        </w:tc>
        <w:tc>
          <w:tcPr>
            <w:tcW w:w="2703" w:type="dxa"/>
            <w:gridSpan w:val="3"/>
            <w:tcBorders>
              <w:top w:val="single" w:color="000000" w:sz="4" w:space="0"/>
              <w:left w:val="single" w:color="000000" w:sz="4" w:space="0"/>
              <w:bottom w:val="single" w:color="000000" w:sz="4" w:space="0"/>
              <w:right w:val="single" w:color="000000" w:sz="4" w:space="0"/>
            </w:tcBorders>
          </w:tcPr>
          <w:p w14:paraId="18DA19B0">
            <w:pPr>
              <w:keepNext w:val="0"/>
              <w:keepLines w:val="0"/>
              <w:pageBreakBefore w:val="0"/>
              <w:widowControl w:val="0"/>
              <w:kinsoku/>
              <w:wordWrap w:val="0"/>
              <w:overflowPunct/>
              <w:topLinePunct w:val="0"/>
              <w:autoSpaceDE/>
              <w:autoSpaceDN/>
              <w:bidi w:val="0"/>
              <w:snapToGrid/>
              <w:rPr>
                <w:color w:val="auto"/>
                <w:highlight w:val="none"/>
              </w:rPr>
            </w:pPr>
          </w:p>
        </w:tc>
      </w:tr>
      <w:tr w14:paraId="4C92330D">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71796F49">
            <w:pPr>
              <w:pStyle w:val="106"/>
              <w:keepNext w:val="0"/>
              <w:keepLines w:val="0"/>
              <w:pageBreakBefore w:val="0"/>
              <w:widowControl w:val="0"/>
              <w:kinsoku/>
              <w:wordWrap w:val="0"/>
              <w:overflowPunct/>
              <w:topLinePunct w:val="0"/>
              <w:autoSpaceDE/>
              <w:autoSpaceDN/>
              <w:bidi w:val="0"/>
              <w:snapToGrid/>
              <w:spacing w:before="108" w:line="240" w:lineRule="auto"/>
              <w:ind w:left="42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法定代表人</w:t>
            </w:r>
          </w:p>
        </w:tc>
        <w:tc>
          <w:tcPr>
            <w:tcW w:w="901" w:type="dxa"/>
            <w:tcBorders>
              <w:top w:val="single" w:color="000000" w:sz="4" w:space="0"/>
              <w:left w:val="single" w:color="000000" w:sz="4" w:space="0"/>
              <w:bottom w:val="single" w:color="000000" w:sz="4" w:space="0"/>
              <w:right w:val="single" w:color="000000" w:sz="4" w:space="0"/>
            </w:tcBorders>
          </w:tcPr>
          <w:p w14:paraId="3A0AD5FC">
            <w:pPr>
              <w:pStyle w:val="106"/>
              <w:keepNext w:val="0"/>
              <w:keepLines w:val="0"/>
              <w:pageBreakBefore w:val="0"/>
              <w:widowControl w:val="0"/>
              <w:kinsoku/>
              <w:wordWrap w:val="0"/>
              <w:overflowPunct/>
              <w:topLinePunct w:val="0"/>
              <w:autoSpaceDE/>
              <w:autoSpaceDN/>
              <w:bidi w:val="0"/>
              <w:snapToGrid/>
              <w:spacing w:before="108" w:line="240" w:lineRule="auto"/>
              <w:ind w:left="235"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签名</w:t>
            </w:r>
          </w:p>
        </w:tc>
        <w:tc>
          <w:tcPr>
            <w:tcW w:w="1080" w:type="dxa"/>
            <w:tcBorders>
              <w:top w:val="single" w:color="000000" w:sz="4" w:space="0"/>
              <w:left w:val="single" w:color="000000" w:sz="4" w:space="0"/>
              <w:bottom w:val="single" w:color="000000" w:sz="4" w:space="0"/>
              <w:right w:val="single" w:color="000000" w:sz="4" w:space="0"/>
            </w:tcBorders>
          </w:tcPr>
          <w:p w14:paraId="6D32A0CF">
            <w:pPr>
              <w:keepNext w:val="0"/>
              <w:keepLines w:val="0"/>
              <w:pageBreakBefore w:val="0"/>
              <w:widowControl w:val="0"/>
              <w:kinsoku/>
              <w:wordWrap w:val="0"/>
              <w:overflowPunct/>
              <w:topLinePunct w:val="0"/>
              <w:autoSpaceDE/>
              <w:autoSpaceDN/>
              <w:bidi w:val="0"/>
              <w:snapToGrid/>
              <w:rPr>
                <w:color w:val="auto"/>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tcPr>
          <w:p w14:paraId="3957DF80">
            <w:pPr>
              <w:pStyle w:val="106"/>
              <w:keepNext w:val="0"/>
              <w:keepLines w:val="0"/>
              <w:pageBreakBefore w:val="0"/>
              <w:widowControl w:val="0"/>
              <w:kinsoku/>
              <w:wordWrap w:val="0"/>
              <w:overflowPunct/>
              <w:topLinePunct w:val="0"/>
              <w:autoSpaceDE/>
              <w:autoSpaceDN/>
              <w:bidi w:val="0"/>
              <w:snapToGrid/>
              <w:spacing w:before="108" w:line="240" w:lineRule="auto"/>
              <w:ind w:left="20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技术职称</w:t>
            </w:r>
          </w:p>
        </w:tc>
        <w:tc>
          <w:tcPr>
            <w:tcW w:w="1078" w:type="dxa"/>
            <w:tcBorders>
              <w:top w:val="single" w:color="000000" w:sz="4" w:space="0"/>
              <w:left w:val="single" w:color="000000" w:sz="4" w:space="0"/>
              <w:bottom w:val="single" w:color="000000" w:sz="4" w:space="0"/>
              <w:right w:val="single" w:color="000000" w:sz="4" w:space="0"/>
            </w:tcBorders>
          </w:tcPr>
          <w:p w14:paraId="4C6EDC79">
            <w:pPr>
              <w:keepNext w:val="0"/>
              <w:keepLines w:val="0"/>
              <w:pageBreakBefore w:val="0"/>
              <w:widowControl w:val="0"/>
              <w:kinsoku/>
              <w:wordWrap w:val="0"/>
              <w:overflowPunct/>
              <w:topLinePunct w:val="0"/>
              <w:autoSpaceDE/>
              <w:autoSpaceDN/>
              <w:bidi w:val="0"/>
              <w:snapToGrid/>
              <w:rPr>
                <w:color w:val="auto"/>
                <w:highlight w:val="none"/>
              </w:rPr>
            </w:pPr>
          </w:p>
        </w:tc>
        <w:tc>
          <w:tcPr>
            <w:tcW w:w="1082" w:type="dxa"/>
            <w:gridSpan w:val="2"/>
            <w:tcBorders>
              <w:top w:val="single" w:color="000000" w:sz="4" w:space="0"/>
              <w:left w:val="single" w:color="000000" w:sz="4" w:space="0"/>
              <w:bottom w:val="single" w:color="000000" w:sz="4" w:space="0"/>
              <w:right w:val="single" w:color="000000" w:sz="4" w:space="0"/>
            </w:tcBorders>
          </w:tcPr>
          <w:p w14:paraId="2BAF8EC0">
            <w:pPr>
              <w:pStyle w:val="106"/>
              <w:keepNext w:val="0"/>
              <w:keepLines w:val="0"/>
              <w:pageBreakBefore w:val="0"/>
              <w:widowControl w:val="0"/>
              <w:kinsoku/>
              <w:wordWrap w:val="0"/>
              <w:overflowPunct/>
              <w:topLinePunct w:val="0"/>
              <w:autoSpaceDE/>
              <w:autoSpaceDN/>
              <w:bidi w:val="0"/>
              <w:snapToGrid/>
              <w:spacing w:before="108" w:line="240" w:lineRule="auto"/>
              <w:ind w:left="326"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电话</w:t>
            </w:r>
          </w:p>
        </w:tc>
        <w:tc>
          <w:tcPr>
            <w:tcW w:w="1621" w:type="dxa"/>
            <w:tcBorders>
              <w:top w:val="single" w:color="000000" w:sz="4" w:space="0"/>
              <w:left w:val="single" w:color="000000" w:sz="4" w:space="0"/>
              <w:bottom w:val="single" w:color="000000" w:sz="4" w:space="0"/>
              <w:right w:val="single" w:color="000000" w:sz="4" w:space="0"/>
            </w:tcBorders>
          </w:tcPr>
          <w:p w14:paraId="5542A44A">
            <w:pPr>
              <w:keepNext w:val="0"/>
              <w:keepLines w:val="0"/>
              <w:pageBreakBefore w:val="0"/>
              <w:widowControl w:val="0"/>
              <w:kinsoku/>
              <w:wordWrap w:val="0"/>
              <w:overflowPunct/>
              <w:topLinePunct w:val="0"/>
              <w:autoSpaceDE/>
              <w:autoSpaceDN/>
              <w:bidi w:val="0"/>
              <w:snapToGrid/>
              <w:rPr>
                <w:color w:val="auto"/>
                <w:highlight w:val="none"/>
              </w:rPr>
            </w:pPr>
          </w:p>
        </w:tc>
      </w:tr>
      <w:tr w14:paraId="1DDA1C25">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3DFFC562">
            <w:pPr>
              <w:pStyle w:val="106"/>
              <w:keepNext w:val="0"/>
              <w:keepLines w:val="0"/>
              <w:pageBreakBefore w:val="0"/>
              <w:widowControl w:val="0"/>
              <w:kinsoku/>
              <w:wordWrap w:val="0"/>
              <w:overflowPunct/>
              <w:topLinePunct w:val="0"/>
              <w:autoSpaceDE/>
              <w:autoSpaceDN/>
              <w:bidi w:val="0"/>
              <w:snapToGrid/>
              <w:spacing w:before="107" w:line="240" w:lineRule="auto"/>
              <w:ind w:left="42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技术负责人</w:t>
            </w:r>
          </w:p>
        </w:tc>
        <w:tc>
          <w:tcPr>
            <w:tcW w:w="901" w:type="dxa"/>
            <w:tcBorders>
              <w:top w:val="single" w:color="000000" w:sz="4" w:space="0"/>
              <w:left w:val="single" w:color="000000" w:sz="4" w:space="0"/>
              <w:bottom w:val="single" w:color="000000" w:sz="4" w:space="0"/>
              <w:right w:val="single" w:color="000000" w:sz="4" w:space="0"/>
            </w:tcBorders>
          </w:tcPr>
          <w:p w14:paraId="1EED81C0">
            <w:pPr>
              <w:pStyle w:val="106"/>
              <w:keepNext w:val="0"/>
              <w:keepLines w:val="0"/>
              <w:pageBreakBefore w:val="0"/>
              <w:widowControl w:val="0"/>
              <w:kinsoku/>
              <w:wordWrap w:val="0"/>
              <w:overflowPunct/>
              <w:topLinePunct w:val="0"/>
              <w:autoSpaceDE/>
              <w:autoSpaceDN/>
              <w:bidi w:val="0"/>
              <w:snapToGrid/>
              <w:spacing w:before="107" w:line="240" w:lineRule="auto"/>
              <w:ind w:left="235"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签名</w:t>
            </w:r>
          </w:p>
        </w:tc>
        <w:tc>
          <w:tcPr>
            <w:tcW w:w="1080" w:type="dxa"/>
            <w:tcBorders>
              <w:top w:val="single" w:color="000000" w:sz="4" w:space="0"/>
              <w:left w:val="single" w:color="000000" w:sz="4" w:space="0"/>
              <w:bottom w:val="single" w:color="000000" w:sz="4" w:space="0"/>
              <w:right w:val="single" w:color="000000" w:sz="4" w:space="0"/>
            </w:tcBorders>
          </w:tcPr>
          <w:p w14:paraId="61F8F180">
            <w:pPr>
              <w:keepNext w:val="0"/>
              <w:keepLines w:val="0"/>
              <w:pageBreakBefore w:val="0"/>
              <w:widowControl w:val="0"/>
              <w:kinsoku/>
              <w:wordWrap w:val="0"/>
              <w:overflowPunct/>
              <w:topLinePunct w:val="0"/>
              <w:autoSpaceDE/>
              <w:autoSpaceDN/>
              <w:bidi w:val="0"/>
              <w:snapToGrid/>
              <w:rPr>
                <w:color w:val="auto"/>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tcPr>
          <w:p w14:paraId="2DCF665E">
            <w:pPr>
              <w:pStyle w:val="106"/>
              <w:keepNext w:val="0"/>
              <w:keepLines w:val="0"/>
              <w:pageBreakBefore w:val="0"/>
              <w:widowControl w:val="0"/>
              <w:kinsoku/>
              <w:wordWrap w:val="0"/>
              <w:overflowPunct/>
              <w:topLinePunct w:val="0"/>
              <w:autoSpaceDE/>
              <w:autoSpaceDN/>
              <w:bidi w:val="0"/>
              <w:snapToGrid/>
              <w:spacing w:before="107" w:line="240" w:lineRule="auto"/>
              <w:ind w:left="20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技术职称</w:t>
            </w:r>
          </w:p>
        </w:tc>
        <w:tc>
          <w:tcPr>
            <w:tcW w:w="1078" w:type="dxa"/>
            <w:tcBorders>
              <w:top w:val="single" w:color="000000" w:sz="4" w:space="0"/>
              <w:left w:val="single" w:color="000000" w:sz="4" w:space="0"/>
              <w:bottom w:val="single" w:color="000000" w:sz="4" w:space="0"/>
              <w:right w:val="single" w:color="000000" w:sz="4" w:space="0"/>
            </w:tcBorders>
          </w:tcPr>
          <w:p w14:paraId="68986B24">
            <w:pPr>
              <w:keepNext w:val="0"/>
              <w:keepLines w:val="0"/>
              <w:pageBreakBefore w:val="0"/>
              <w:widowControl w:val="0"/>
              <w:kinsoku/>
              <w:wordWrap w:val="0"/>
              <w:overflowPunct/>
              <w:topLinePunct w:val="0"/>
              <w:autoSpaceDE/>
              <w:autoSpaceDN/>
              <w:bidi w:val="0"/>
              <w:snapToGrid/>
              <w:rPr>
                <w:color w:val="auto"/>
                <w:highlight w:val="none"/>
              </w:rPr>
            </w:pPr>
          </w:p>
        </w:tc>
        <w:tc>
          <w:tcPr>
            <w:tcW w:w="1082" w:type="dxa"/>
            <w:gridSpan w:val="2"/>
            <w:tcBorders>
              <w:top w:val="single" w:color="000000" w:sz="4" w:space="0"/>
              <w:left w:val="single" w:color="000000" w:sz="4" w:space="0"/>
              <w:bottom w:val="single" w:color="000000" w:sz="4" w:space="0"/>
              <w:right w:val="single" w:color="000000" w:sz="4" w:space="0"/>
            </w:tcBorders>
          </w:tcPr>
          <w:p w14:paraId="1D04B3F3">
            <w:pPr>
              <w:pStyle w:val="106"/>
              <w:keepNext w:val="0"/>
              <w:keepLines w:val="0"/>
              <w:pageBreakBefore w:val="0"/>
              <w:widowControl w:val="0"/>
              <w:kinsoku/>
              <w:wordWrap w:val="0"/>
              <w:overflowPunct/>
              <w:topLinePunct w:val="0"/>
              <w:autoSpaceDE/>
              <w:autoSpaceDN/>
              <w:bidi w:val="0"/>
              <w:snapToGrid/>
              <w:spacing w:before="107" w:line="240" w:lineRule="auto"/>
              <w:ind w:left="326"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电话</w:t>
            </w:r>
          </w:p>
        </w:tc>
        <w:tc>
          <w:tcPr>
            <w:tcW w:w="1621" w:type="dxa"/>
            <w:tcBorders>
              <w:top w:val="single" w:color="000000" w:sz="4" w:space="0"/>
              <w:left w:val="single" w:color="000000" w:sz="4" w:space="0"/>
              <w:bottom w:val="single" w:color="000000" w:sz="4" w:space="0"/>
              <w:right w:val="single" w:color="000000" w:sz="4" w:space="0"/>
            </w:tcBorders>
          </w:tcPr>
          <w:p w14:paraId="35367789">
            <w:pPr>
              <w:keepNext w:val="0"/>
              <w:keepLines w:val="0"/>
              <w:pageBreakBefore w:val="0"/>
              <w:widowControl w:val="0"/>
              <w:kinsoku/>
              <w:wordWrap w:val="0"/>
              <w:overflowPunct/>
              <w:topLinePunct w:val="0"/>
              <w:autoSpaceDE/>
              <w:autoSpaceDN/>
              <w:bidi w:val="0"/>
              <w:snapToGrid/>
              <w:rPr>
                <w:color w:val="auto"/>
                <w:highlight w:val="none"/>
              </w:rPr>
            </w:pPr>
          </w:p>
        </w:tc>
      </w:tr>
      <w:tr w14:paraId="49F45C7E">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1FED1893">
            <w:pPr>
              <w:pStyle w:val="106"/>
              <w:keepNext w:val="0"/>
              <w:keepLines w:val="0"/>
              <w:pageBreakBefore w:val="0"/>
              <w:widowControl w:val="0"/>
              <w:kinsoku/>
              <w:wordWrap w:val="0"/>
              <w:overflowPunct/>
              <w:topLinePunct w:val="0"/>
              <w:autoSpaceDE/>
              <w:autoSpaceDN/>
              <w:bidi w:val="0"/>
              <w:snapToGrid/>
              <w:spacing w:before="107" w:line="240" w:lineRule="auto"/>
              <w:ind w:left="42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营业执照号</w:t>
            </w:r>
          </w:p>
        </w:tc>
        <w:tc>
          <w:tcPr>
            <w:tcW w:w="1981" w:type="dxa"/>
            <w:gridSpan w:val="2"/>
            <w:tcBorders>
              <w:top w:val="single" w:color="000000" w:sz="4" w:space="0"/>
              <w:left w:val="single" w:color="000000" w:sz="4" w:space="0"/>
              <w:bottom w:val="single" w:color="000000" w:sz="4" w:space="0"/>
              <w:right w:val="single" w:color="000000" w:sz="4" w:space="0"/>
            </w:tcBorders>
          </w:tcPr>
          <w:p w14:paraId="55CAAC32">
            <w:pPr>
              <w:keepNext w:val="0"/>
              <w:keepLines w:val="0"/>
              <w:pageBreakBefore w:val="0"/>
              <w:widowControl w:val="0"/>
              <w:kinsoku/>
              <w:wordWrap w:val="0"/>
              <w:overflowPunct/>
              <w:topLinePunct w:val="0"/>
              <w:autoSpaceDE/>
              <w:autoSpaceDN/>
              <w:bidi w:val="0"/>
              <w:snapToGrid/>
              <w:rPr>
                <w:color w:val="auto"/>
                <w:highlight w:val="none"/>
              </w:rPr>
            </w:pPr>
          </w:p>
        </w:tc>
        <w:tc>
          <w:tcPr>
            <w:tcW w:w="5041" w:type="dxa"/>
            <w:gridSpan w:val="6"/>
            <w:tcBorders>
              <w:top w:val="single" w:color="000000" w:sz="4" w:space="0"/>
              <w:left w:val="single" w:color="000000" w:sz="4" w:space="0"/>
              <w:bottom w:val="single" w:color="000000" w:sz="4" w:space="0"/>
              <w:right w:val="single" w:color="000000" w:sz="4" w:space="0"/>
            </w:tcBorders>
          </w:tcPr>
          <w:p w14:paraId="3C87746C">
            <w:pPr>
              <w:pStyle w:val="106"/>
              <w:keepNext w:val="0"/>
              <w:keepLines w:val="0"/>
              <w:pageBreakBefore w:val="0"/>
              <w:widowControl w:val="0"/>
              <w:kinsoku/>
              <w:wordWrap w:val="0"/>
              <w:overflowPunct/>
              <w:topLinePunct w:val="0"/>
              <w:autoSpaceDE/>
              <w:autoSpaceDN/>
              <w:bidi w:val="0"/>
              <w:snapToGrid/>
              <w:spacing w:before="107" w:line="240" w:lineRule="auto"/>
              <w:ind w:left="105"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员工总人数：</w:t>
            </w:r>
          </w:p>
        </w:tc>
      </w:tr>
      <w:tr w14:paraId="71888B0C">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11EB6107">
            <w:pPr>
              <w:pStyle w:val="106"/>
              <w:keepNext w:val="0"/>
              <w:keepLines w:val="0"/>
              <w:pageBreakBefore w:val="0"/>
              <w:widowControl w:val="0"/>
              <w:kinsoku/>
              <w:wordWrap w:val="0"/>
              <w:overflowPunct/>
              <w:topLinePunct w:val="0"/>
              <w:autoSpaceDE/>
              <w:autoSpaceDN/>
              <w:bidi w:val="0"/>
              <w:snapToGrid/>
              <w:spacing w:before="107" w:line="240" w:lineRule="auto"/>
              <w:ind w:left="31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企业资质等级</w:t>
            </w:r>
          </w:p>
        </w:tc>
        <w:tc>
          <w:tcPr>
            <w:tcW w:w="1981" w:type="dxa"/>
            <w:gridSpan w:val="2"/>
            <w:tcBorders>
              <w:top w:val="single" w:color="000000" w:sz="4" w:space="0"/>
              <w:left w:val="single" w:color="000000" w:sz="4" w:space="0"/>
              <w:bottom w:val="single" w:color="000000" w:sz="4" w:space="0"/>
              <w:right w:val="single" w:color="000000" w:sz="4" w:space="0"/>
            </w:tcBorders>
          </w:tcPr>
          <w:p w14:paraId="30992CDF">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restart"/>
            <w:tcBorders>
              <w:top w:val="single" w:color="000000" w:sz="4" w:space="0"/>
              <w:left w:val="single" w:color="000000" w:sz="4" w:space="0"/>
              <w:right w:val="single" w:color="000000" w:sz="4" w:space="0"/>
            </w:tcBorders>
          </w:tcPr>
          <w:p w14:paraId="79B82274">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5C0C88D7">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51B1F98C">
            <w:pPr>
              <w:pStyle w:val="106"/>
              <w:keepNext w:val="0"/>
              <w:keepLines w:val="0"/>
              <w:pageBreakBefore w:val="0"/>
              <w:widowControl w:val="0"/>
              <w:kinsoku/>
              <w:wordWrap w:val="0"/>
              <w:overflowPunct/>
              <w:topLinePunct w:val="0"/>
              <w:autoSpaceDE/>
              <w:autoSpaceDN/>
              <w:bidi w:val="0"/>
              <w:snapToGrid/>
              <w:spacing w:before="4" w:line="240" w:lineRule="auto"/>
              <w:ind w:right="0"/>
              <w:jc w:val="left"/>
              <w:rPr>
                <w:rFonts w:ascii="黑体" w:hAnsi="黑体" w:eastAsia="黑体" w:cs="黑体"/>
                <w:color w:val="auto"/>
                <w:sz w:val="20"/>
                <w:szCs w:val="20"/>
                <w:highlight w:val="none"/>
              </w:rPr>
            </w:pPr>
          </w:p>
          <w:p w14:paraId="21A85D6C">
            <w:pPr>
              <w:pStyle w:val="106"/>
              <w:keepNext w:val="0"/>
              <w:keepLines w:val="0"/>
              <w:pageBreakBefore w:val="0"/>
              <w:widowControl w:val="0"/>
              <w:kinsoku/>
              <w:wordWrap w:val="0"/>
              <w:overflowPunct/>
              <w:topLinePunct w:val="0"/>
              <w:autoSpaceDE/>
              <w:autoSpaceDN/>
              <w:bidi w:val="0"/>
              <w:snapToGrid/>
              <w:spacing w:line="384" w:lineRule="auto"/>
              <w:ind w:left="153" w:right="151"/>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其</w:t>
            </w:r>
            <w:r>
              <w:rPr>
                <w:rFonts w:ascii="宋体" w:hAnsi="宋体" w:eastAsia="宋体" w:cs="宋体"/>
                <w:color w:val="auto"/>
                <w:w w:val="100"/>
                <w:sz w:val="21"/>
                <w:szCs w:val="21"/>
                <w:highlight w:val="none"/>
              </w:rPr>
              <w:t xml:space="preserve"> </w:t>
            </w:r>
            <w:r>
              <w:rPr>
                <w:rFonts w:ascii="宋体" w:hAnsi="宋体" w:eastAsia="宋体" w:cs="宋体"/>
                <w:color w:val="auto"/>
                <w:sz w:val="21"/>
                <w:szCs w:val="21"/>
                <w:highlight w:val="none"/>
              </w:rPr>
              <w:t>中</w:t>
            </w:r>
          </w:p>
        </w:tc>
        <w:tc>
          <w:tcPr>
            <w:tcW w:w="1992" w:type="dxa"/>
            <w:gridSpan w:val="3"/>
            <w:tcBorders>
              <w:top w:val="single" w:color="000000" w:sz="4" w:space="0"/>
              <w:left w:val="single" w:color="000000" w:sz="4" w:space="0"/>
              <w:bottom w:val="single" w:color="000000" w:sz="4" w:space="0"/>
              <w:right w:val="single" w:color="000000" w:sz="4" w:space="0"/>
            </w:tcBorders>
          </w:tcPr>
          <w:p w14:paraId="5F236C25">
            <w:pPr>
              <w:pStyle w:val="106"/>
              <w:keepNext w:val="0"/>
              <w:keepLines w:val="0"/>
              <w:pageBreakBefore w:val="0"/>
              <w:widowControl w:val="0"/>
              <w:kinsoku/>
              <w:wordWrap w:val="0"/>
              <w:overflowPunct/>
              <w:topLinePunct w:val="0"/>
              <w:autoSpaceDE/>
              <w:autoSpaceDN/>
              <w:bidi w:val="0"/>
              <w:snapToGrid/>
              <w:spacing w:before="107" w:line="240" w:lineRule="auto"/>
              <w:ind w:left="57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项目经理</w:t>
            </w:r>
          </w:p>
        </w:tc>
        <w:tc>
          <w:tcPr>
            <w:tcW w:w="2521" w:type="dxa"/>
            <w:gridSpan w:val="2"/>
            <w:tcBorders>
              <w:top w:val="single" w:color="000000" w:sz="4" w:space="0"/>
              <w:left w:val="single" w:color="000000" w:sz="4" w:space="0"/>
              <w:bottom w:val="single" w:color="000000" w:sz="4" w:space="0"/>
              <w:right w:val="single" w:color="000000" w:sz="4" w:space="0"/>
            </w:tcBorders>
          </w:tcPr>
          <w:p w14:paraId="1D83BBDE">
            <w:pPr>
              <w:keepNext w:val="0"/>
              <w:keepLines w:val="0"/>
              <w:pageBreakBefore w:val="0"/>
              <w:widowControl w:val="0"/>
              <w:kinsoku/>
              <w:wordWrap w:val="0"/>
              <w:overflowPunct/>
              <w:topLinePunct w:val="0"/>
              <w:autoSpaceDE/>
              <w:autoSpaceDN/>
              <w:bidi w:val="0"/>
              <w:snapToGrid/>
              <w:rPr>
                <w:color w:val="auto"/>
                <w:highlight w:val="none"/>
              </w:rPr>
            </w:pPr>
          </w:p>
        </w:tc>
      </w:tr>
      <w:tr w14:paraId="5763B546">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57CAF882">
            <w:pPr>
              <w:pStyle w:val="106"/>
              <w:keepNext w:val="0"/>
              <w:keepLines w:val="0"/>
              <w:pageBreakBefore w:val="0"/>
              <w:widowControl w:val="0"/>
              <w:kinsoku/>
              <w:wordWrap w:val="0"/>
              <w:overflowPunct/>
              <w:topLinePunct w:val="0"/>
              <w:autoSpaceDE/>
              <w:autoSpaceDN/>
              <w:bidi w:val="0"/>
              <w:snapToGrid/>
              <w:spacing w:before="107" w:line="240" w:lineRule="auto"/>
              <w:ind w:left="52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注册资本</w:t>
            </w:r>
          </w:p>
        </w:tc>
        <w:tc>
          <w:tcPr>
            <w:tcW w:w="1981" w:type="dxa"/>
            <w:gridSpan w:val="2"/>
            <w:tcBorders>
              <w:top w:val="single" w:color="000000" w:sz="4" w:space="0"/>
              <w:left w:val="single" w:color="000000" w:sz="4" w:space="0"/>
              <w:bottom w:val="single" w:color="000000" w:sz="4" w:space="0"/>
              <w:right w:val="single" w:color="000000" w:sz="4" w:space="0"/>
            </w:tcBorders>
          </w:tcPr>
          <w:p w14:paraId="7AE66751">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continue"/>
            <w:tcBorders>
              <w:left w:val="single" w:color="000000" w:sz="4" w:space="0"/>
              <w:right w:val="single" w:color="000000" w:sz="4" w:space="0"/>
            </w:tcBorders>
          </w:tcPr>
          <w:p w14:paraId="3675F54C">
            <w:pPr>
              <w:keepNext w:val="0"/>
              <w:keepLines w:val="0"/>
              <w:pageBreakBefore w:val="0"/>
              <w:widowControl w:val="0"/>
              <w:kinsoku/>
              <w:wordWrap w:val="0"/>
              <w:overflowPunct/>
              <w:topLinePunct w:val="0"/>
              <w:autoSpaceDE/>
              <w:autoSpaceDN/>
              <w:bidi w:val="0"/>
              <w:snapToGrid/>
              <w:rPr>
                <w:color w:val="auto"/>
                <w:highlight w:val="none"/>
              </w:rPr>
            </w:pPr>
          </w:p>
        </w:tc>
        <w:tc>
          <w:tcPr>
            <w:tcW w:w="1992" w:type="dxa"/>
            <w:gridSpan w:val="3"/>
            <w:tcBorders>
              <w:top w:val="single" w:color="000000" w:sz="4" w:space="0"/>
              <w:left w:val="single" w:color="000000" w:sz="4" w:space="0"/>
              <w:bottom w:val="single" w:color="000000" w:sz="4" w:space="0"/>
              <w:right w:val="single" w:color="000000" w:sz="4" w:space="0"/>
            </w:tcBorders>
          </w:tcPr>
          <w:p w14:paraId="6A244F40">
            <w:pPr>
              <w:pStyle w:val="106"/>
              <w:keepNext w:val="0"/>
              <w:keepLines w:val="0"/>
              <w:pageBreakBefore w:val="0"/>
              <w:widowControl w:val="0"/>
              <w:kinsoku/>
              <w:wordWrap w:val="0"/>
              <w:overflowPunct/>
              <w:topLinePunct w:val="0"/>
              <w:autoSpaceDE/>
              <w:autoSpaceDN/>
              <w:bidi w:val="0"/>
              <w:snapToGrid/>
              <w:spacing w:before="107" w:line="240" w:lineRule="auto"/>
              <w:ind w:left="35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高级职称人员</w:t>
            </w:r>
          </w:p>
        </w:tc>
        <w:tc>
          <w:tcPr>
            <w:tcW w:w="2521" w:type="dxa"/>
            <w:gridSpan w:val="2"/>
            <w:tcBorders>
              <w:top w:val="single" w:color="000000" w:sz="4" w:space="0"/>
              <w:left w:val="single" w:color="000000" w:sz="4" w:space="0"/>
              <w:bottom w:val="single" w:color="000000" w:sz="4" w:space="0"/>
              <w:right w:val="single" w:color="000000" w:sz="4" w:space="0"/>
            </w:tcBorders>
          </w:tcPr>
          <w:p w14:paraId="0D2CC333">
            <w:pPr>
              <w:keepNext w:val="0"/>
              <w:keepLines w:val="0"/>
              <w:pageBreakBefore w:val="0"/>
              <w:widowControl w:val="0"/>
              <w:kinsoku/>
              <w:wordWrap w:val="0"/>
              <w:overflowPunct/>
              <w:topLinePunct w:val="0"/>
              <w:autoSpaceDE/>
              <w:autoSpaceDN/>
              <w:bidi w:val="0"/>
              <w:snapToGrid/>
              <w:rPr>
                <w:color w:val="auto"/>
                <w:highlight w:val="none"/>
              </w:rPr>
            </w:pPr>
          </w:p>
        </w:tc>
      </w:tr>
      <w:tr w14:paraId="4B09290B">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231DD022">
            <w:pPr>
              <w:pStyle w:val="106"/>
              <w:keepNext w:val="0"/>
              <w:keepLines w:val="0"/>
              <w:pageBreakBefore w:val="0"/>
              <w:widowControl w:val="0"/>
              <w:kinsoku/>
              <w:wordWrap w:val="0"/>
              <w:overflowPunct/>
              <w:topLinePunct w:val="0"/>
              <w:autoSpaceDE/>
              <w:autoSpaceDN/>
              <w:bidi w:val="0"/>
              <w:snapToGrid/>
              <w:spacing w:before="107" w:line="240" w:lineRule="auto"/>
              <w:ind w:left="52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成立日期</w:t>
            </w:r>
          </w:p>
        </w:tc>
        <w:tc>
          <w:tcPr>
            <w:tcW w:w="1981" w:type="dxa"/>
            <w:gridSpan w:val="2"/>
            <w:tcBorders>
              <w:top w:val="single" w:color="000000" w:sz="4" w:space="0"/>
              <w:left w:val="single" w:color="000000" w:sz="4" w:space="0"/>
              <w:bottom w:val="single" w:color="000000" w:sz="4" w:space="0"/>
              <w:right w:val="single" w:color="000000" w:sz="4" w:space="0"/>
            </w:tcBorders>
          </w:tcPr>
          <w:p w14:paraId="37145D32">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continue"/>
            <w:tcBorders>
              <w:left w:val="single" w:color="000000" w:sz="4" w:space="0"/>
              <w:right w:val="single" w:color="000000" w:sz="4" w:space="0"/>
            </w:tcBorders>
          </w:tcPr>
          <w:p w14:paraId="7739298C">
            <w:pPr>
              <w:keepNext w:val="0"/>
              <w:keepLines w:val="0"/>
              <w:pageBreakBefore w:val="0"/>
              <w:widowControl w:val="0"/>
              <w:kinsoku/>
              <w:wordWrap w:val="0"/>
              <w:overflowPunct/>
              <w:topLinePunct w:val="0"/>
              <w:autoSpaceDE/>
              <w:autoSpaceDN/>
              <w:bidi w:val="0"/>
              <w:snapToGrid/>
              <w:rPr>
                <w:color w:val="auto"/>
                <w:highlight w:val="none"/>
              </w:rPr>
            </w:pPr>
          </w:p>
        </w:tc>
        <w:tc>
          <w:tcPr>
            <w:tcW w:w="1992" w:type="dxa"/>
            <w:gridSpan w:val="3"/>
            <w:tcBorders>
              <w:top w:val="single" w:color="000000" w:sz="4" w:space="0"/>
              <w:left w:val="single" w:color="000000" w:sz="4" w:space="0"/>
              <w:bottom w:val="single" w:color="000000" w:sz="4" w:space="0"/>
              <w:right w:val="single" w:color="000000" w:sz="4" w:space="0"/>
            </w:tcBorders>
          </w:tcPr>
          <w:p w14:paraId="2822BC71">
            <w:pPr>
              <w:pStyle w:val="106"/>
              <w:keepNext w:val="0"/>
              <w:keepLines w:val="0"/>
              <w:pageBreakBefore w:val="0"/>
              <w:widowControl w:val="0"/>
              <w:kinsoku/>
              <w:wordWrap w:val="0"/>
              <w:overflowPunct/>
              <w:topLinePunct w:val="0"/>
              <w:autoSpaceDE/>
              <w:autoSpaceDN/>
              <w:bidi w:val="0"/>
              <w:snapToGrid/>
              <w:spacing w:before="107" w:line="240" w:lineRule="auto"/>
              <w:ind w:left="35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中级职称人员</w:t>
            </w:r>
          </w:p>
        </w:tc>
        <w:tc>
          <w:tcPr>
            <w:tcW w:w="2521" w:type="dxa"/>
            <w:gridSpan w:val="2"/>
            <w:tcBorders>
              <w:top w:val="single" w:color="000000" w:sz="4" w:space="0"/>
              <w:left w:val="single" w:color="000000" w:sz="4" w:space="0"/>
              <w:bottom w:val="single" w:color="000000" w:sz="4" w:space="0"/>
              <w:right w:val="single" w:color="000000" w:sz="4" w:space="0"/>
            </w:tcBorders>
          </w:tcPr>
          <w:p w14:paraId="1FE9407B">
            <w:pPr>
              <w:keepNext w:val="0"/>
              <w:keepLines w:val="0"/>
              <w:pageBreakBefore w:val="0"/>
              <w:widowControl w:val="0"/>
              <w:kinsoku/>
              <w:wordWrap w:val="0"/>
              <w:overflowPunct/>
              <w:topLinePunct w:val="0"/>
              <w:autoSpaceDE/>
              <w:autoSpaceDN/>
              <w:bidi w:val="0"/>
              <w:snapToGrid/>
              <w:rPr>
                <w:color w:val="auto"/>
                <w:highlight w:val="none"/>
              </w:rPr>
            </w:pPr>
          </w:p>
        </w:tc>
      </w:tr>
      <w:tr w14:paraId="57DC075A">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4777147B">
            <w:pPr>
              <w:pStyle w:val="106"/>
              <w:keepNext w:val="0"/>
              <w:keepLines w:val="0"/>
              <w:pageBreakBefore w:val="0"/>
              <w:widowControl w:val="0"/>
              <w:kinsoku/>
              <w:wordWrap w:val="0"/>
              <w:overflowPunct/>
              <w:topLinePunct w:val="0"/>
              <w:autoSpaceDE/>
              <w:autoSpaceDN/>
              <w:bidi w:val="0"/>
              <w:snapToGrid/>
              <w:spacing w:before="107" w:line="240" w:lineRule="auto"/>
              <w:ind w:left="10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基本账户开户银行</w:t>
            </w:r>
          </w:p>
        </w:tc>
        <w:tc>
          <w:tcPr>
            <w:tcW w:w="1981" w:type="dxa"/>
            <w:gridSpan w:val="2"/>
            <w:tcBorders>
              <w:top w:val="single" w:color="000000" w:sz="4" w:space="0"/>
              <w:left w:val="single" w:color="000000" w:sz="4" w:space="0"/>
              <w:bottom w:val="single" w:color="000000" w:sz="4" w:space="0"/>
              <w:right w:val="single" w:color="000000" w:sz="4" w:space="0"/>
            </w:tcBorders>
          </w:tcPr>
          <w:p w14:paraId="56EA4790">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continue"/>
            <w:tcBorders>
              <w:left w:val="single" w:color="000000" w:sz="4" w:space="0"/>
              <w:right w:val="single" w:color="000000" w:sz="4" w:space="0"/>
            </w:tcBorders>
          </w:tcPr>
          <w:p w14:paraId="06FC5D80">
            <w:pPr>
              <w:keepNext w:val="0"/>
              <w:keepLines w:val="0"/>
              <w:pageBreakBefore w:val="0"/>
              <w:widowControl w:val="0"/>
              <w:kinsoku/>
              <w:wordWrap w:val="0"/>
              <w:overflowPunct/>
              <w:topLinePunct w:val="0"/>
              <w:autoSpaceDE/>
              <w:autoSpaceDN/>
              <w:bidi w:val="0"/>
              <w:snapToGrid/>
              <w:rPr>
                <w:color w:val="auto"/>
                <w:highlight w:val="none"/>
              </w:rPr>
            </w:pPr>
          </w:p>
        </w:tc>
        <w:tc>
          <w:tcPr>
            <w:tcW w:w="1992" w:type="dxa"/>
            <w:gridSpan w:val="3"/>
            <w:tcBorders>
              <w:top w:val="single" w:color="000000" w:sz="4" w:space="0"/>
              <w:left w:val="single" w:color="000000" w:sz="4" w:space="0"/>
              <w:bottom w:val="single" w:color="000000" w:sz="4" w:space="0"/>
              <w:right w:val="single" w:color="000000" w:sz="4" w:space="0"/>
            </w:tcBorders>
          </w:tcPr>
          <w:p w14:paraId="7C851B7C">
            <w:pPr>
              <w:pStyle w:val="106"/>
              <w:keepNext w:val="0"/>
              <w:keepLines w:val="0"/>
              <w:pageBreakBefore w:val="0"/>
              <w:widowControl w:val="0"/>
              <w:kinsoku/>
              <w:wordWrap w:val="0"/>
              <w:overflowPunct/>
              <w:topLinePunct w:val="0"/>
              <w:autoSpaceDE/>
              <w:autoSpaceDN/>
              <w:bidi w:val="0"/>
              <w:snapToGrid/>
              <w:spacing w:before="107" w:line="240" w:lineRule="auto"/>
              <w:ind w:left="35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初级职称人员</w:t>
            </w:r>
          </w:p>
        </w:tc>
        <w:tc>
          <w:tcPr>
            <w:tcW w:w="2521" w:type="dxa"/>
            <w:gridSpan w:val="2"/>
            <w:tcBorders>
              <w:top w:val="single" w:color="000000" w:sz="4" w:space="0"/>
              <w:left w:val="single" w:color="000000" w:sz="4" w:space="0"/>
              <w:bottom w:val="single" w:color="000000" w:sz="4" w:space="0"/>
              <w:right w:val="single" w:color="000000" w:sz="4" w:space="0"/>
            </w:tcBorders>
          </w:tcPr>
          <w:p w14:paraId="03DD311B">
            <w:pPr>
              <w:keepNext w:val="0"/>
              <w:keepLines w:val="0"/>
              <w:pageBreakBefore w:val="0"/>
              <w:widowControl w:val="0"/>
              <w:kinsoku/>
              <w:wordWrap w:val="0"/>
              <w:overflowPunct/>
              <w:topLinePunct w:val="0"/>
              <w:autoSpaceDE/>
              <w:autoSpaceDN/>
              <w:bidi w:val="0"/>
              <w:snapToGrid/>
              <w:rPr>
                <w:color w:val="auto"/>
                <w:highlight w:val="none"/>
              </w:rPr>
            </w:pPr>
          </w:p>
        </w:tc>
      </w:tr>
      <w:tr w14:paraId="594F463E">
        <w:tblPrEx>
          <w:tblCellMar>
            <w:top w:w="0" w:type="dxa"/>
            <w:left w:w="0" w:type="dxa"/>
            <w:bottom w:w="0" w:type="dxa"/>
            <w:right w:w="0" w:type="dxa"/>
          </w:tblCellMar>
        </w:tblPrEx>
        <w:trPr>
          <w:trHeight w:val="452" w:hRule="exact"/>
          <w:jc w:val="center"/>
        </w:trPr>
        <w:tc>
          <w:tcPr>
            <w:tcW w:w="1908" w:type="dxa"/>
            <w:tcBorders>
              <w:top w:val="single" w:color="000000" w:sz="4" w:space="0"/>
              <w:left w:val="single" w:color="000000" w:sz="4" w:space="0"/>
              <w:bottom w:val="single" w:color="000000" w:sz="4" w:space="0"/>
              <w:right w:val="single" w:color="000000" w:sz="4" w:space="0"/>
            </w:tcBorders>
          </w:tcPr>
          <w:p w14:paraId="65B9334D">
            <w:pPr>
              <w:pStyle w:val="106"/>
              <w:keepNext w:val="0"/>
              <w:keepLines w:val="0"/>
              <w:pageBreakBefore w:val="0"/>
              <w:widowControl w:val="0"/>
              <w:kinsoku/>
              <w:wordWrap w:val="0"/>
              <w:overflowPunct/>
              <w:topLinePunct w:val="0"/>
              <w:autoSpaceDE/>
              <w:autoSpaceDN/>
              <w:bidi w:val="0"/>
              <w:snapToGrid/>
              <w:spacing w:before="108" w:line="240" w:lineRule="auto"/>
              <w:ind w:left="10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基本账户银行账号</w:t>
            </w:r>
          </w:p>
        </w:tc>
        <w:tc>
          <w:tcPr>
            <w:tcW w:w="1981" w:type="dxa"/>
            <w:gridSpan w:val="2"/>
            <w:tcBorders>
              <w:top w:val="single" w:color="000000" w:sz="4" w:space="0"/>
              <w:left w:val="single" w:color="000000" w:sz="4" w:space="0"/>
              <w:bottom w:val="single" w:color="000000" w:sz="4" w:space="0"/>
              <w:right w:val="single" w:color="000000" w:sz="4" w:space="0"/>
            </w:tcBorders>
          </w:tcPr>
          <w:p w14:paraId="6BC1E2E6">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continue"/>
            <w:tcBorders>
              <w:left w:val="single" w:color="000000" w:sz="4" w:space="0"/>
              <w:bottom w:val="single" w:color="000000" w:sz="4" w:space="0"/>
              <w:right w:val="single" w:color="000000" w:sz="4" w:space="0"/>
            </w:tcBorders>
          </w:tcPr>
          <w:p w14:paraId="15608C6D">
            <w:pPr>
              <w:keepNext w:val="0"/>
              <w:keepLines w:val="0"/>
              <w:pageBreakBefore w:val="0"/>
              <w:widowControl w:val="0"/>
              <w:kinsoku/>
              <w:wordWrap w:val="0"/>
              <w:overflowPunct/>
              <w:topLinePunct w:val="0"/>
              <w:autoSpaceDE/>
              <w:autoSpaceDN/>
              <w:bidi w:val="0"/>
              <w:snapToGrid/>
              <w:rPr>
                <w:color w:val="auto"/>
                <w:highlight w:val="none"/>
              </w:rPr>
            </w:pPr>
          </w:p>
        </w:tc>
        <w:tc>
          <w:tcPr>
            <w:tcW w:w="1992" w:type="dxa"/>
            <w:gridSpan w:val="3"/>
            <w:tcBorders>
              <w:top w:val="single" w:color="000000" w:sz="4" w:space="0"/>
              <w:left w:val="single" w:color="000000" w:sz="4" w:space="0"/>
              <w:bottom w:val="single" w:color="000000" w:sz="4" w:space="0"/>
              <w:right w:val="single" w:color="000000" w:sz="4" w:space="0"/>
            </w:tcBorders>
          </w:tcPr>
          <w:p w14:paraId="7B4D2119">
            <w:pPr>
              <w:pStyle w:val="106"/>
              <w:keepNext w:val="0"/>
              <w:keepLines w:val="0"/>
              <w:pageBreakBefore w:val="0"/>
              <w:widowControl w:val="0"/>
              <w:kinsoku/>
              <w:wordWrap w:val="0"/>
              <w:overflowPunct/>
              <w:topLinePunct w:val="0"/>
              <w:autoSpaceDE/>
              <w:autoSpaceDN/>
              <w:bidi w:val="0"/>
              <w:snapToGrid/>
              <w:spacing w:before="119" w:line="240" w:lineRule="auto"/>
              <w:ind w:right="2"/>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t>技工</w:t>
            </w:r>
          </w:p>
        </w:tc>
        <w:tc>
          <w:tcPr>
            <w:tcW w:w="2521" w:type="dxa"/>
            <w:gridSpan w:val="2"/>
            <w:tcBorders>
              <w:top w:val="single" w:color="000000" w:sz="4" w:space="0"/>
              <w:left w:val="single" w:color="000000" w:sz="4" w:space="0"/>
              <w:bottom w:val="single" w:color="000000" w:sz="4" w:space="0"/>
              <w:right w:val="single" w:color="000000" w:sz="4" w:space="0"/>
            </w:tcBorders>
          </w:tcPr>
          <w:p w14:paraId="4B06AF25">
            <w:pPr>
              <w:keepNext w:val="0"/>
              <w:keepLines w:val="0"/>
              <w:pageBreakBefore w:val="0"/>
              <w:widowControl w:val="0"/>
              <w:kinsoku/>
              <w:wordWrap w:val="0"/>
              <w:overflowPunct/>
              <w:topLinePunct w:val="0"/>
              <w:autoSpaceDE/>
              <w:autoSpaceDN/>
              <w:bidi w:val="0"/>
              <w:snapToGrid/>
              <w:rPr>
                <w:color w:val="auto"/>
                <w:highlight w:val="none"/>
              </w:rPr>
            </w:pPr>
          </w:p>
        </w:tc>
      </w:tr>
      <w:tr w14:paraId="1FAF1FEB">
        <w:tblPrEx>
          <w:tblCellMar>
            <w:top w:w="0" w:type="dxa"/>
            <w:left w:w="0" w:type="dxa"/>
            <w:bottom w:w="0" w:type="dxa"/>
            <w:right w:w="0" w:type="dxa"/>
          </w:tblCellMar>
        </w:tblPrEx>
        <w:trPr>
          <w:trHeight w:val="5045"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2FE6222B">
            <w:pPr>
              <w:pStyle w:val="106"/>
              <w:keepNext w:val="0"/>
              <w:keepLines w:val="0"/>
              <w:pageBreakBefore w:val="0"/>
              <w:widowControl w:val="0"/>
              <w:tabs>
                <w:tab w:val="left" w:pos="628"/>
              </w:tabs>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经营范围</w:t>
            </w:r>
          </w:p>
        </w:tc>
        <w:tc>
          <w:tcPr>
            <w:tcW w:w="7022" w:type="dxa"/>
            <w:gridSpan w:val="8"/>
            <w:tcBorders>
              <w:top w:val="single" w:color="000000" w:sz="4" w:space="0"/>
              <w:left w:val="single" w:color="000000" w:sz="4" w:space="0"/>
              <w:bottom w:val="single" w:color="000000" w:sz="4" w:space="0"/>
              <w:right w:val="single" w:color="000000" w:sz="4" w:space="0"/>
            </w:tcBorders>
          </w:tcPr>
          <w:p w14:paraId="4A959F8A">
            <w:pPr>
              <w:keepNext w:val="0"/>
              <w:keepLines w:val="0"/>
              <w:pageBreakBefore w:val="0"/>
              <w:widowControl w:val="0"/>
              <w:kinsoku/>
              <w:wordWrap w:val="0"/>
              <w:overflowPunct/>
              <w:topLinePunct w:val="0"/>
              <w:autoSpaceDE/>
              <w:autoSpaceDN/>
              <w:bidi w:val="0"/>
              <w:snapToGrid/>
              <w:rPr>
                <w:color w:val="auto"/>
                <w:highlight w:val="none"/>
              </w:rPr>
            </w:pPr>
          </w:p>
        </w:tc>
      </w:tr>
      <w:tr w14:paraId="0A81E2B8">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30A5B463">
            <w:pPr>
              <w:pStyle w:val="106"/>
              <w:keepNext w:val="0"/>
              <w:keepLines w:val="0"/>
              <w:pageBreakBefore w:val="0"/>
              <w:widowControl w:val="0"/>
              <w:kinsoku/>
              <w:wordWrap w:val="0"/>
              <w:overflowPunct/>
              <w:topLinePunct w:val="0"/>
              <w:autoSpaceDE/>
              <w:autoSpaceDN/>
              <w:bidi w:val="0"/>
              <w:snapToGrid/>
              <w:spacing w:before="107" w:line="240" w:lineRule="auto"/>
              <w:ind w:left="2"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备注</w:t>
            </w:r>
          </w:p>
        </w:tc>
        <w:tc>
          <w:tcPr>
            <w:tcW w:w="7022" w:type="dxa"/>
            <w:gridSpan w:val="8"/>
            <w:tcBorders>
              <w:top w:val="single" w:color="000000" w:sz="4" w:space="0"/>
              <w:left w:val="single" w:color="000000" w:sz="4" w:space="0"/>
              <w:bottom w:val="single" w:color="000000" w:sz="4" w:space="0"/>
              <w:right w:val="single" w:color="000000" w:sz="4" w:space="0"/>
            </w:tcBorders>
          </w:tcPr>
          <w:p w14:paraId="4E24A183">
            <w:pPr>
              <w:keepNext w:val="0"/>
              <w:keepLines w:val="0"/>
              <w:pageBreakBefore w:val="0"/>
              <w:widowControl w:val="0"/>
              <w:kinsoku/>
              <w:wordWrap w:val="0"/>
              <w:overflowPunct/>
              <w:topLinePunct w:val="0"/>
              <w:autoSpaceDE/>
              <w:autoSpaceDN/>
              <w:bidi w:val="0"/>
              <w:snapToGrid/>
              <w:rPr>
                <w:color w:val="auto"/>
                <w:highlight w:val="none"/>
              </w:rPr>
            </w:pPr>
          </w:p>
        </w:tc>
      </w:tr>
    </w:tbl>
    <w:p w14:paraId="43DC356D">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注：投标人应根据招标文件第二章“投标人须知”第3.5.1项的要求在本表后附相关证明材料。</w:t>
      </w:r>
    </w:p>
    <w:p w14:paraId="1558EEE4">
      <w:pPr>
        <w:pStyle w:val="21"/>
        <w:keepNext w:val="0"/>
        <w:keepLines w:val="0"/>
        <w:pageBreakBefore w:val="0"/>
        <w:widowControl w:val="0"/>
        <w:kinsoku/>
        <w:overflowPunct/>
        <w:topLinePunct w:val="0"/>
        <w:autoSpaceDE/>
        <w:autoSpaceDN/>
        <w:bidi w:val="0"/>
        <w:adjustRightInd/>
        <w:snapToGrid/>
        <w:spacing w:line="360" w:lineRule="auto"/>
        <w:textAlignment w:val="auto"/>
        <w:rPr>
          <w:rFonts w:hint="default"/>
          <w:color w:val="auto"/>
          <w:highlight w:val="none"/>
          <w:lang w:val="en-US"/>
        </w:rPr>
      </w:pPr>
    </w:p>
    <w:p w14:paraId="52C394D3">
      <w:pPr>
        <w:rPr>
          <w:rFonts w:hint="default"/>
          <w:color w:val="auto"/>
          <w:highlight w:val="none"/>
          <w:lang w:val="en-US"/>
        </w:rPr>
      </w:pPr>
    </w:p>
    <w:p w14:paraId="76342A0C">
      <w:pPr>
        <w:pStyle w:val="21"/>
        <w:ind w:left="0" w:leftChars="0" w:firstLine="0" w:firstLineChars="0"/>
        <w:rPr>
          <w:rFonts w:hint="default"/>
          <w:color w:val="auto"/>
          <w:highlight w:val="none"/>
          <w:lang w:val="en-US"/>
        </w:rPr>
      </w:pPr>
    </w:p>
    <w:p w14:paraId="250AB873">
      <w:pPr>
        <w:pStyle w:val="10"/>
        <w:keepNext w:val="0"/>
        <w:keepLines w:val="0"/>
        <w:pageBreakBefore w:val="0"/>
        <w:widowControl w:val="0"/>
        <w:kinsoku/>
        <w:wordWrap w:val="0"/>
        <w:overflowPunct/>
        <w:topLinePunct w:val="0"/>
        <w:autoSpaceDE/>
        <w:autoSpaceDN/>
        <w:bidi w:val="0"/>
        <w:snapToGrid/>
        <w:spacing w:before="190" w:line="240" w:lineRule="auto"/>
        <w:ind w:left="2881" w:right="102"/>
        <w:jc w:val="left"/>
        <w:rPr>
          <w:rFonts w:ascii="黑体" w:hAnsi="黑体" w:eastAsia="黑体" w:cs="黑体"/>
          <w:color w:val="auto"/>
          <w:sz w:val="20"/>
          <w:szCs w:val="20"/>
          <w:highlight w:val="none"/>
        </w:rPr>
      </w:pPr>
      <w:r>
        <w:rPr>
          <w:rFonts w:hint="eastAsia" w:ascii="宋体" w:hAnsi="宋体" w:eastAsia="宋体" w:cs="宋体"/>
          <w:b/>
          <w:bCs/>
          <w:color w:val="auto"/>
          <w:sz w:val="28"/>
          <w:szCs w:val="28"/>
          <w:highlight w:val="none"/>
        </w:rPr>
        <w:t>（二）投标人企业组织机构框图</w:t>
      </w:r>
    </w:p>
    <w:p w14:paraId="4429F003">
      <w:pPr>
        <w:keepNext w:val="0"/>
        <w:keepLines w:val="0"/>
        <w:pageBreakBefore w:val="0"/>
        <w:widowControl w:val="0"/>
        <w:kinsoku/>
        <w:wordWrap w:val="0"/>
        <w:overflowPunct/>
        <w:topLinePunct w:val="0"/>
        <w:autoSpaceDE/>
        <w:autoSpaceDN/>
        <w:bidi w:val="0"/>
        <w:snapToGrid/>
        <w:spacing w:before="11" w:line="240" w:lineRule="auto"/>
        <w:rPr>
          <w:rFonts w:ascii="黑体" w:hAnsi="黑体" w:eastAsia="黑体" w:cs="黑体"/>
          <w:color w:val="auto"/>
          <w:sz w:val="23"/>
          <w:szCs w:val="23"/>
          <w:highlight w:val="none"/>
        </w:rPr>
      </w:pPr>
    </w:p>
    <w:tbl>
      <w:tblPr>
        <w:tblStyle w:val="23"/>
        <w:tblW w:w="0" w:type="auto"/>
        <w:jc w:val="center"/>
        <w:tblLayout w:type="fixed"/>
        <w:tblCellMar>
          <w:top w:w="0" w:type="dxa"/>
          <w:left w:w="0" w:type="dxa"/>
          <w:bottom w:w="0" w:type="dxa"/>
          <w:right w:w="0" w:type="dxa"/>
        </w:tblCellMar>
      </w:tblPr>
      <w:tblGrid>
        <w:gridCol w:w="8894"/>
      </w:tblGrid>
      <w:tr w14:paraId="217AE1E0">
        <w:tblPrEx>
          <w:tblCellMar>
            <w:top w:w="0" w:type="dxa"/>
            <w:left w:w="0" w:type="dxa"/>
            <w:bottom w:w="0" w:type="dxa"/>
            <w:right w:w="0" w:type="dxa"/>
          </w:tblCellMar>
        </w:tblPrEx>
        <w:trPr>
          <w:trHeight w:val="7542" w:hRule="exact"/>
          <w:jc w:val="center"/>
        </w:trPr>
        <w:tc>
          <w:tcPr>
            <w:tcW w:w="8894" w:type="dxa"/>
            <w:tcBorders>
              <w:top w:val="single" w:color="000000" w:sz="6" w:space="0"/>
              <w:left w:val="single" w:color="000000" w:sz="6" w:space="0"/>
              <w:bottom w:val="single" w:color="000000" w:sz="6" w:space="0"/>
              <w:right w:val="single" w:color="000000" w:sz="6" w:space="0"/>
            </w:tcBorders>
          </w:tcPr>
          <w:p w14:paraId="6F9F533E">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0CDEDC27">
            <w:pPr>
              <w:pStyle w:val="106"/>
              <w:keepNext w:val="0"/>
              <w:keepLines w:val="0"/>
              <w:pageBreakBefore w:val="0"/>
              <w:widowControl w:val="0"/>
              <w:kinsoku/>
              <w:wordWrap w:val="0"/>
              <w:overflowPunct/>
              <w:topLinePunct w:val="0"/>
              <w:autoSpaceDE/>
              <w:autoSpaceDN/>
              <w:bidi w:val="0"/>
              <w:snapToGrid/>
              <w:spacing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以框图方式表示。</w:t>
            </w:r>
          </w:p>
        </w:tc>
      </w:tr>
      <w:tr w14:paraId="0439C22A">
        <w:tblPrEx>
          <w:tblCellMar>
            <w:top w:w="0" w:type="dxa"/>
            <w:left w:w="0" w:type="dxa"/>
            <w:bottom w:w="0" w:type="dxa"/>
            <w:right w:w="0" w:type="dxa"/>
          </w:tblCellMar>
        </w:tblPrEx>
        <w:trPr>
          <w:trHeight w:val="3418" w:hRule="exact"/>
          <w:jc w:val="center"/>
        </w:trPr>
        <w:tc>
          <w:tcPr>
            <w:tcW w:w="8894" w:type="dxa"/>
            <w:tcBorders>
              <w:top w:val="single" w:color="000000" w:sz="6" w:space="0"/>
              <w:left w:val="single" w:color="000000" w:sz="6" w:space="0"/>
              <w:bottom w:val="single" w:color="000000" w:sz="6" w:space="0"/>
              <w:right w:val="single" w:color="000000" w:sz="6" w:space="0"/>
            </w:tcBorders>
          </w:tcPr>
          <w:p w14:paraId="1BB37B57">
            <w:pPr>
              <w:pStyle w:val="106"/>
              <w:keepNext w:val="0"/>
              <w:keepLines w:val="0"/>
              <w:pageBreakBefore w:val="0"/>
              <w:widowControl w:val="0"/>
              <w:kinsoku/>
              <w:wordWrap w:val="0"/>
              <w:overflowPunct/>
              <w:topLinePunct w:val="0"/>
              <w:autoSpaceDE/>
              <w:autoSpaceDN/>
              <w:bidi w:val="0"/>
              <w:snapToGrid/>
              <w:spacing w:before="93" w:line="240" w:lineRule="auto"/>
              <w:ind w:right="0"/>
              <w:jc w:val="left"/>
              <w:rPr>
                <w:rFonts w:ascii="宋体" w:hAnsi="宋体" w:eastAsia="宋体" w:cs="宋体"/>
                <w:color w:val="auto"/>
                <w:sz w:val="21"/>
                <w:szCs w:val="21"/>
                <w:highlight w:val="none"/>
              </w:rPr>
            </w:pPr>
          </w:p>
          <w:p w14:paraId="7016A267">
            <w:pPr>
              <w:pStyle w:val="106"/>
              <w:keepNext w:val="0"/>
              <w:keepLines w:val="0"/>
              <w:pageBreakBefore w:val="0"/>
              <w:widowControl w:val="0"/>
              <w:kinsoku/>
              <w:wordWrap w:val="0"/>
              <w:overflowPunct/>
              <w:topLinePunct w:val="0"/>
              <w:autoSpaceDE/>
              <w:autoSpaceDN/>
              <w:bidi w:val="0"/>
              <w:snapToGrid/>
              <w:spacing w:before="93"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说明</w:t>
            </w:r>
          </w:p>
        </w:tc>
      </w:tr>
    </w:tbl>
    <w:p w14:paraId="314C77A6">
      <w:pPr>
        <w:pStyle w:val="21"/>
        <w:rPr>
          <w:rFonts w:hint="default"/>
          <w:color w:val="auto"/>
          <w:highlight w:val="none"/>
          <w:lang w:val="en-US"/>
        </w:rPr>
      </w:pPr>
    </w:p>
    <w:p w14:paraId="2C0C7AEF">
      <w:pPr>
        <w:rPr>
          <w:rFonts w:hint="default"/>
          <w:color w:val="auto"/>
          <w:highlight w:val="none"/>
          <w:lang w:val="en-US"/>
        </w:rPr>
      </w:pPr>
    </w:p>
    <w:p w14:paraId="322E2109">
      <w:pPr>
        <w:pStyle w:val="21"/>
        <w:rPr>
          <w:rFonts w:hint="default"/>
          <w:color w:val="auto"/>
          <w:highlight w:val="none"/>
          <w:lang w:val="en-US"/>
        </w:rPr>
      </w:pPr>
    </w:p>
    <w:p w14:paraId="0773BCAF">
      <w:pPr>
        <w:rPr>
          <w:rFonts w:hint="default"/>
          <w:color w:val="auto"/>
          <w:highlight w:val="none"/>
          <w:lang w:val="en-US"/>
        </w:rPr>
      </w:pPr>
    </w:p>
    <w:p w14:paraId="04059BBF">
      <w:pPr>
        <w:pStyle w:val="21"/>
        <w:rPr>
          <w:rFonts w:hint="default"/>
          <w:color w:val="auto"/>
          <w:highlight w:val="none"/>
          <w:lang w:val="en-US"/>
        </w:rPr>
      </w:pPr>
    </w:p>
    <w:p w14:paraId="2EB1E841">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highlight w:val="none"/>
          <w:lang w:eastAsia="zh-CN"/>
        </w:rPr>
        <w:t>（三）</w:t>
      </w:r>
      <w:r>
        <w:rPr>
          <w:rFonts w:hint="eastAsia" w:ascii="宋体" w:hAnsi="宋体" w:eastAsia="宋体" w:cs="宋体"/>
          <w:b/>
          <w:bCs/>
          <w:color w:val="auto"/>
          <w:sz w:val="28"/>
          <w:szCs w:val="28"/>
          <w:highlight w:val="none"/>
        </w:rPr>
        <w:t>近年财务状况</w:t>
      </w:r>
    </w:p>
    <w:p w14:paraId="3C6B7F9E">
      <w:pPr>
        <w:pStyle w:val="10"/>
        <w:keepNext w:val="0"/>
        <w:keepLines w:val="0"/>
        <w:pageBreakBefore w:val="0"/>
        <w:widowControl w:val="0"/>
        <w:numPr>
          <w:ilvl w:val="0"/>
          <w:numId w:val="0"/>
        </w:numPr>
        <w:kinsoku/>
        <w:wordWrap w:val="0"/>
        <w:overflowPunct/>
        <w:topLinePunct w:val="0"/>
        <w:autoSpaceDE/>
        <w:autoSpaceDN/>
        <w:bidi w:val="0"/>
        <w:adjustRightInd/>
        <w:snapToGrid/>
        <w:spacing w:before="0" w:line="360" w:lineRule="auto"/>
        <w:ind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财务状况表</w:t>
      </w:r>
    </w:p>
    <w:tbl>
      <w:tblPr>
        <w:tblStyle w:val="23"/>
        <w:tblW w:w="0" w:type="auto"/>
        <w:jc w:val="center"/>
        <w:tblLayout w:type="fixed"/>
        <w:tblCellMar>
          <w:top w:w="0" w:type="dxa"/>
          <w:left w:w="0" w:type="dxa"/>
          <w:bottom w:w="0" w:type="dxa"/>
          <w:right w:w="0" w:type="dxa"/>
        </w:tblCellMar>
      </w:tblPr>
      <w:tblGrid>
        <w:gridCol w:w="4066"/>
        <w:gridCol w:w="900"/>
        <w:gridCol w:w="1320"/>
        <w:gridCol w:w="1321"/>
        <w:gridCol w:w="1320"/>
      </w:tblGrid>
      <w:tr w14:paraId="13140E36">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097D4D27">
            <w:pPr>
              <w:pStyle w:val="106"/>
              <w:keepNext w:val="0"/>
              <w:keepLines w:val="0"/>
              <w:pageBreakBefore w:val="0"/>
              <w:widowControl w:val="0"/>
              <w:kinsoku/>
              <w:wordWrap w:val="0"/>
              <w:overflowPunct/>
              <w:topLinePunct w:val="0"/>
              <w:autoSpaceDE/>
              <w:autoSpaceDN/>
              <w:bidi w:val="0"/>
              <w:snapToGrid/>
              <w:spacing w:before="121" w:line="240" w:lineRule="auto"/>
              <w:ind w:left="126"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项目或指标</w:t>
            </w:r>
          </w:p>
        </w:tc>
        <w:tc>
          <w:tcPr>
            <w:tcW w:w="900" w:type="dxa"/>
            <w:tcBorders>
              <w:top w:val="single" w:color="000000" w:sz="6" w:space="0"/>
              <w:left w:val="single" w:color="000000" w:sz="6" w:space="0"/>
              <w:bottom w:val="single" w:color="000000" w:sz="6" w:space="0"/>
              <w:right w:val="single" w:color="000000" w:sz="6" w:space="0"/>
            </w:tcBorders>
          </w:tcPr>
          <w:p w14:paraId="3AA2027B">
            <w:pPr>
              <w:pStyle w:val="106"/>
              <w:keepNext w:val="0"/>
              <w:keepLines w:val="0"/>
              <w:pageBreakBefore w:val="0"/>
              <w:widowControl w:val="0"/>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1320" w:type="dxa"/>
            <w:tcBorders>
              <w:top w:val="single" w:color="000000" w:sz="6" w:space="0"/>
              <w:left w:val="single" w:color="000000" w:sz="6" w:space="0"/>
              <w:bottom w:val="single" w:color="000000" w:sz="6" w:space="0"/>
              <w:right w:val="single" w:color="000000" w:sz="6" w:space="0"/>
            </w:tcBorders>
          </w:tcPr>
          <w:p w14:paraId="2EB3840E">
            <w:pPr>
              <w:pStyle w:val="106"/>
              <w:keepNext w:val="0"/>
              <w:keepLines w:val="0"/>
              <w:pageBreakBefore w:val="0"/>
              <w:widowControl w:val="0"/>
              <w:tabs>
                <w:tab w:val="left" w:pos="871"/>
              </w:tabs>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p>
        </w:tc>
        <w:tc>
          <w:tcPr>
            <w:tcW w:w="1321" w:type="dxa"/>
            <w:tcBorders>
              <w:top w:val="single" w:color="000000" w:sz="6" w:space="0"/>
              <w:left w:val="single" w:color="000000" w:sz="6" w:space="0"/>
              <w:bottom w:val="single" w:color="000000" w:sz="6" w:space="0"/>
              <w:right w:val="single" w:color="000000" w:sz="6" w:space="0"/>
            </w:tcBorders>
          </w:tcPr>
          <w:p w14:paraId="0F97C1A6">
            <w:pPr>
              <w:pStyle w:val="106"/>
              <w:keepNext w:val="0"/>
              <w:keepLines w:val="0"/>
              <w:pageBreakBefore w:val="0"/>
              <w:widowControl w:val="0"/>
              <w:tabs>
                <w:tab w:val="left" w:pos="871"/>
              </w:tabs>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p>
        </w:tc>
        <w:tc>
          <w:tcPr>
            <w:tcW w:w="1320" w:type="dxa"/>
            <w:tcBorders>
              <w:top w:val="single" w:color="000000" w:sz="6" w:space="0"/>
              <w:left w:val="single" w:color="000000" w:sz="6" w:space="0"/>
              <w:bottom w:val="single" w:color="000000" w:sz="6" w:space="0"/>
              <w:right w:val="single" w:color="000000" w:sz="6" w:space="0"/>
            </w:tcBorders>
          </w:tcPr>
          <w:p w14:paraId="7A751092">
            <w:pPr>
              <w:pStyle w:val="106"/>
              <w:keepNext w:val="0"/>
              <w:keepLines w:val="0"/>
              <w:pageBreakBefore w:val="0"/>
              <w:widowControl w:val="0"/>
              <w:tabs>
                <w:tab w:val="left" w:pos="871"/>
              </w:tabs>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p>
        </w:tc>
      </w:tr>
      <w:tr w14:paraId="1EB4CD9F">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66C55AD3">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注册资本</w:t>
            </w:r>
          </w:p>
        </w:tc>
        <w:tc>
          <w:tcPr>
            <w:tcW w:w="900" w:type="dxa"/>
            <w:tcBorders>
              <w:top w:val="single" w:color="000000" w:sz="6" w:space="0"/>
              <w:left w:val="single" w:color="000000" w:sz="6" w:space="0"/>
              <w:bottom w:val="single" w:color="000000" w:sz="6" w:space="0"/>
              <w:right w:val="single" w:color="000000" w:sz="6" w:space="0"/>
            </w:tcBorders>
          </w:tcPr>
          <w:p w14:paraId="52E1D2DE">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734E51A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712F2BB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7079E7D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54A1DFBB">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8248D75">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净资产</w:t>
            </w:r>
          </w:p>
        </w:tc>
        <w:tc>
          <w:tcPr>
            <w:tcW w:w="900" w:type="dxa"/>
            <w:tcBorders>
              <w:top w:val="single" w:color="000000" w:sz="6" w:space="0"/>
              <w:left w:val="single" w:color="000000" w:sz="6" w:space="0"/>
              <w:bottom w:val="single" w:color="000000" w:sz="6" w:space="0"/>
              <w:right w:val="single" w:color="000000" w:sz="6" w:space="0"/>
            </w:tcBorders>
          </w:tcPr>
          <w:p w14:paraId="2E6D263A">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35A271B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78CB500B">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4D146C6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036AE5F4">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62018351">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总资产</w:t>
            </w:r>
          </w:p>
        </w:tc>
        <w:tc>
          <w:tcPr>
            <w:tcW w:w="900" w:type="dxa"/>
            <w:tcBorders>
              <w:top w:val="single" w:color="000000" w:sz="6" w:space="0"/>
              <w:left w:val="single" w:color="000000" w:sz="6" w:space="0"/>
              <w:bottom w:val="single" w:color="000000" w:sz="6" w:space="0"/>
              <w:right w:val="single" w:color="000000" w:sz="6" w:space="0"/>
            </w:tcBorders>
          </w:tcPr>
          <w:p w14:paraId="46708795">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32DDD2CB">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1D2473B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AC6800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5AE4EDDF">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64C5DD0E">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固定资产</w:t>
            </w:r>
          </w:p>
        </w:tc>
        <w:tc>
          <w:tcPr>
            <w:tcW w:w="900" w:type="dxa"/>
            <w:tcBorders>
              <w:top w:val="single" w:color="000000" w:sz="6" w:space="0"/>
              <w:left w:val="single" w:color="000000" w:sz="6" w:space="0"/>
              <w:bottom w:val="single" w:color="000000" w:sz="6" w:space="0"/>
              <w:right w:val="single" w:color="000000" w:sz="6" w:space="0"/>
            </w:tcBorders>
          </w:tcPr>
          <w:p w14:paraId="41CB0821">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6961105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43003119">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7AAF73E8">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4A1FC11A">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5F774564">
            <w:pPr>
              <w:pStyle w:val="106"/>
              <w:keepNext w:val="0"/>
              <w:keepLines w:val="0"/>
              <w:pageBreakBefore w:val="0"/>
              <w:widowControl w:val="0"/>
              <w:kinsoku/>
              <w:wordWrap w:val="0"/>
              <w:overflowPunct/>
              <w:topLinePunct w:val="0"/>
              <w:autoSpaceDE/>
              <w:autoSpaceDN/>
              <w:bidi w:val="0"/>
              <w:snapToGrid/>
              <w:spacing w:before="121"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流动资产</w:t>
            </w:r>
          </w:p>
        </w:tc>
        <w:tc>
          <w:tcPr>
            <w:tcW w:w="900" w:type="dxa"/>
            <w:tcBorders>
              <w:top w:val="single" w:color="000000" w:sz="6" w:space="0"/>
              <w:left w:val="single" w:color="000000" w:sz="6" w:space="0"/>
              <w:bottom w:val="single" w:color="000000" w:sz="6" w:space="0"/>
              <w:right w:val="single" w:color="000000" w:sz="6" w:space="0"/>
            </w:tcBorders>
          </w:tcPr>
          <w:p w14:paraId="1DA2DEAD">
            <w:pPr>
              <w:pStyle w:val="106"/>
              <w:keepNext w:val="0"/>
              <w:keepLines w:val="0"/>
              <w:pageBreakBefore w:val="0"/>
              <w:widowControl w:val="0"/>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1E9600E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126A09EB">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53B8FCCE">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35074D6B">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568F3C2">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流动负债</w:t>
            </w:r>
          </w:p>
        </w:tc>
        <w:tc>
          <w:tcPr>
            <w:tcW w:w="900" w:type="dxa"/>
            <w:tcBorders>
              <w:top w:val="single" w:color="000000" w:sz="6" w:space="0"/>
              <w:left w:val="single" w:color="000000" w:sz="6" w:space="0"/>
              <w:bottom w:val="single" w:color="000000" w:sz="6" w:space="0"/>
              <w:right w:val="single" w:color="000000" w:sz="6" w:space="0"/>
            </w:tcBorders>
          </w:tcPr>
          <w:p w14:paraId="703A6C0A">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135C4CC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61C88968">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5A1816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74B1C4D7">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4F44FC3">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负债合计</w:t>
            </w:r>
          </w:p>
        </w:tc>
        <w:tc>
          <w:tcPr>
            <w:tcW w:w="900" w:type="dxa"/>
            <w:tcBorders>
              <w:top w:val="single" w:color="000000" w:sz="6" w:space="0"/>
              <w:left w:val="single" w:color="000000" w:sz="6" w:space="0"/>
              <w:bottom w:val="single" w:color="000000" w:sz="6" w:space="0"/>
              <w:right w:val="single" w:color="000000" w:sz="6" w:space="0"/>
            </w:tcBorders>
          </w:tcPr>
          <w:p w14:paraId="6578282F">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3195B50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453EAD69">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4398863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29717689">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7201AB5A">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营业收入</w:t>
            </w:r>
          </w:p>
        </w:tc>
        <w:tc>
          <w:tcPr>
            <w:tcW w:w="900" w:type="dxa"/>
            <w:tcBorders>
              <w:top w:val="single" w:color="000000" w:sz="6" w:space="0"/>
              <w:left w:val="single" w:color="000000" w:sz="6" w:space="0"/>
              <w:bottom w:val="single" w:color="000000" w:sz="6" w:space="0"/>
              <w:right w:val="single" w:color="000000" w:sz="6" w:space="0"/>
            </w:tcBorders>
          </w:tcPr>
          <w:p w14:paraId="17DB9FD1">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0F03F83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3A0568F9">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5ED208E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63917401">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0A06620A">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净利润</w:t>
            </w:r>
          </w:p>
        </w:tc>
        <w:tc>
          <w:tcPr>
            <w:tcW w:w="900" w:type="dxa"/>
            <w:tcBorders>
              <w:top w:val="single" w:color="000000" w:sz="6" w:space="0"/>
              <w:left w:val="single" w:color="000000" w:sz="6" w:space="0"/>
              <w:bottom w:val="single" w:color="000000" w:sz="6" w:space="0"/>
              <w:right w:val="single" w:color="000000" w:sz="6" w:space="0"/>
            </w:tcBorders>
          </w:tcPr>
          <w:p w14:paraId="1E5AB61E">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2DB9C5AB">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2A9A693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5AC4AF2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46AB73D4">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36C88A2">
            <w:pPr>
              <w:pStyle w:val="106"/>
              <w:keepNext w:val="0"/>
              <w:keepLines w:val="0"/>
              <w:pageBreakBefore w:val="0"/>
              <w:widowControl w:val="0"/>
              <w:kinsoku/>
              <w:wordWrap w:val="0"/>
              <w:overflowPunct/>
              <w:topLinePunct w:val="0"/>
              <w:autoSpaceDE/>
              <w:autoSpaceDN/>
              <w:bidi w:val="0"/>
              <w:snapToGrid/>
              <w:spacing w:before="121"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现金流量净额</w:t>
            </w:r>
          </w:p>
        </w:tc>
        <w:tc>
          <w:tcPr>
            <w:tcW w:w="900" w:type="dxa"/>
            <w:tcBorders>
              <w:top w:val="single" w:color="000000" w:sz="6" w:space="0"/>
              <w:left w:val="single" w:color="000000" w:sz="6" w:space="0"/>
              <w:bottom w:val="single" w:color="000000" w:sz="6" w:space="0"/>
              <w:right w:val="single" w:color="000000" w:sz="6" w:space="0"/>
            </w:tcBorders>
          </w:tcPr>
          <w:p w14:paraId="72D787EE">
            <w:pPr>
              <w:pStyle w:val="106"/>
              <w:keepNext w:val="0"/>
              <w:keepLines w:val="0"/>
              <w:pageBreakBefore w:val="0"/>
              <w:widowControl w:val="0"/>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74C4E30A">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29A71FE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750A8F9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66002B07">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3B43FBA">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主要财务指标</w:t>
            </w:r>
          </w:p>
        </w:tc>
        <w:tc>
          <w:tcPr>
            <w:tcW w:w="900" w:type="dxa"/>
            <w:tcBorders>
              <w:top w:val="single" w:color="000000" w:sz="6" w:space="0"/>
              <w:left w:val="single" w:color="000000" w:sz="6" w:space="0"/>
              <w:bottom w:val="single" w:color="000000" w:sz="6" w:space="0"/>
              <w:right w:val="single" w:color="000000" w:sz="6" w:space="0"/>
            </w:tcBorders>
          </w:tcPr>
          <w:p w14:paraId="7B44E81A">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2DAC126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2421ED0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6F4923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1E6B2116">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AA0A2B2">
            <w:pPr>
              <w:pStyle w:val="106"/>
              <w:keepNext w:val="0"/>
              <w:keepLines w:val="0"/>
              <w:pageBreakBefore w:val="0"/>
              <w:widowControl w:val="0"/>
              <w:kinsoku/>
              <w:wordWrap w:val="0"/>
              <w:overflowPunct/>
              <w:topLinePunct w:val="0"/>
              <w:autoSpaceDE/>
              <w:autoSpaceDN/>
              <w:bidi w:val="0"/>
              <w:snapToGrid/>
              <w:spacing w:before="121"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z w:val="21"/>
                <w:szCs w:val="21"/>
                <w:highlight w:val="none"/>
              </w:rPr>
              <w:t>净资产收益率</w:t>
            </w:r>
          </w:p>
        </w:tc>
        <w:tc>
          <w:tcPr>
            <w:tcW w:w="900" w:type="dxa"/>
            <w:tcBorders>
              <w:top w:val="single" w:color="000000" w:sz="6" w:space="0"/>
              <w:left w:val="single" w:color="000000" w:sz="6" w:space="0"/>
              <w:bottom w:val="single" w:color="000000" w:sz="6" w:space="0"/>
              <w:right w:val="single" w:color="000000" w:sz="6" w:space="0"/>
            </w:tcBorders>
          </w:tcPr>
          <w:p w14:paraId="3E261603">
            <w:pPr>
              <w:pStyle w:val="106"/>
              <w:keepNext w:val="0"/>
              <w:keepLines w:val="0"/>
              <w:pageBreakBefore w:val="0"/>
              <w:widowControl w:val="0"/>
              <w:kinsoku/>
              <w:wordWrap w:val="0"/>
              <w:overflowPunct/>
              <w:topLinePunct w:val="0"/>
              <w:autoSpaceDE/>
              <w:autoSpaceDN/>
              <w:bidi w:val="0"/>
              <w:snapToGrid/>
              <w:spacing w:before="168"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646C407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7FC69FDE">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51117699">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152B3938">
        <w:tblPrEx>
          <w:tblCellMar>
            <w:top w:w="0" w:type="dxa"/>
            <w:left w:w="0" w:type="dxa"/>
            <w:bottom w:w="0" w:type="dxa"/>
            <w:right w:w="0" w:type="dxa"/>
          </w:tblCellMar>
        </w:tblPrEx>
        <w:trPr>
          <w:trHeight w:val="577"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F763F89">
            <w:pPr>
              <w:pStyle w:val="106"/>
              <w:keepNext w:val="0"/>
              <w:keepLines w:val="0"/>
              <w:pageBreakBefore w:val="0"/>
              <w:widowControl w:val="0"/>
              <w:kinsoku/>
              <w:wordWrap w:val="0"/>
              <w:overflowPunct/>
              <w:topLinePunct w:val="0"/>
              <w:autoSpaceDE/>
              <w:autoSpaceDN/>
              <w:bidi w:val="0"/>
              <w:snapToGrid/>
              <w:spacing w:before="120"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z w:val="21"/>
                <w:szCs w:val="21"/>
                <w:highlight w:val="none"/>
              </w:rPr>
              <w:t>总资产报酬率</w:t>
            </w:r>
          </w:p>
        </w:tc>
        <w:tc>
          <w:tcPr>
            <w:tcW w:w="900" w:type="dxa"/>
            <w:tcBorders>
              <w:top w:val="single" w:color="000000" w:sz="6" w:space="0"/>
              <w:left w:val="single" w:color="000000" w:sz="6" w:space="0"/>
              <w:bottom w:val="single" w:color="000000" w:sz="6" w:space="0"/>
              <w:right w:val="single" w:color="000000" w:sz="6" w:space="0"/>
            </w:tcBorders>
          </w:tcPr>
          <w:p w14:paraId="0AC8FEB6">
            <w:pPr>
              <w:pStyle w:val="106"/>
              <w:keepNext w:val="0"/>
              <w:keepLines w:val="0"/>
              <w:pageBreakBefore w:val="0"/>
              <w:widowControl w:val="0"/>
              <w:kinsoku/>
              <w:wordWrap w:val="0"/>
              <w:overflowPunct/>
              <w:topLinePunct w:val="0"/>
              <w:autoSpaceDE/>
              <w:autoSpaceDN/>
              <w:bidi w:val="0"/>
              <w:snapToGrid/>
              <w:spacing w:before="166"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7807C46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68F2CE9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A9E326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0C4D73E5">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5D98034D">
            <w:pPr>
              <w:pStyle w:val="106"/>
              <w:keepNext w:val="0"/>
              <w:keepLines w:val="0"/>
              <w:pageBreakBefore w:val="0"/>
              <w:widowControl w:val="0"/>
              <w:kinsoku/>
              <w:wordWrap w:val="0"/>
              <w:overflowPunct/>
              <w:topLinePunct w:val="0"/>
              <w:autoSpaceDE/>
              <w:autoSpaceDN/>
              <w:bidi w:val="0"/>
              <w:snapToGrid/>
              <w:spacing w:before="119"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主营业务利润率</w:t>
            </w:r>
          </w:p>
        </w:tc>
        <w:tc>
          <w:tcPr>
            <w:tcW w:w="900" w:type="dxa"/>
            <w:tcBorders>
              <w:top w:val="single" w:color="000000" w:sz="6" w:space="0"/>
              <w:left w:val="single" w:color="000000" w:sz="6" w:space="0"/>
              <w:bottom w:val="single" w:color="000000" w:sz="6" w:space="0"/>
              <w:right w:val="single" w:color="000000" w:sz="6" w:space="0"/>
            </w:tcBorders>
          </w:tcPr>
          <w:p w14:paraId="2ED3F22D">
            <w:pPr>
              <w:pStyle w:val="106"/>
              <w:keepNext w:val="0"/>
              <w:keepLines w:val="0"/>
              <w:pageBreakBefore w:val="0"/>
              <w:widowControl w:val="0"/>
              <w:kinsoku/>
              <w:wordWrap w:val="0"/>
              <w:overflowPunct/>
              <w:topLinePunct w:val="0"/>
              <w:autoSpaceDE/>
              <w:autoSpaceDN/>
              <w:bidi w:val="0"/>
              <w:snapToGrid/>
              <w:spacing w:before="166"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40CBF63B">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08756F1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652BD9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6B1908EF">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0373377E">
            <w:pPr>
              <w:pStyle w:val="106"/>
              <w:keepNext w:val="0"/>
              <w:keepLines w:val="0"/>
              <w:pageBreakBefore w:val="0"/>
              <w:widowControl w:val="0"/>
              <w:kinsoku/>
              <w:wordWrap w:val="0"/>
              <w:overflowPunct/>
              <w:topLinePunct w:val="0"/>
              <w:autoSpaceDE/>
              <w:autoSpaceDN/>
              <w:bidi w:val="0"/>
              <w:snapToGrid/>
              <w:spacing w:before="119"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资产负债率</w:t>
            </w:r>
          </w:p>
        </w:tc>
        <w:tc>
          <w:tcPr>
            <w:tcW w:w="900" w:type="dxa"/>
            <w:tcBorders>
              <w:top w:val="single" w:color="000000" w:sz="6" w:space="0"/>
              <w:left w:val="single" w:color="000000" w:sz="6" w:space="0"/>
              <w:bottom w:val="single" w:color="000000" w:sz="6" w:space="0"/>
              <w:right w:val="single" w:color="000000" w:sz="6" w:space="0"/>
            </w:tcBorders>
          </w:tcPr>
          <w:p w14:paraId="4E4637C8">
            <w:pPr>
              <w:pStyle w:val="106"/>
              <w:keepNext w:val="0"/>
              <w:keepLines w:val="0"/>
              <w:pageBreakBefore w:val="0"/>
              <w:widowControl w:val="0"/>
              <w:kinsoku/>
              <w:wordWrap w:val="0"/>
              <w:overflowPunct/>
              <w:topLinePunct w:val="0"/>
              <w:autoSpaceDE/>
              <w:autoSpaceDN/>
              <w:bidi w:val="0"/>
              <w:snapToGrid/>
              <w:spacing w:before="166"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41DD624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757E431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6D596CB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7BDA7782">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vAlign w:val="top"/>
          </w:tcPr>
          <w:p w14:paraId="01267E57">
            <w:pPr>
              <w:pStyle w:val="106"/>
              <w:keepNext w:val="0"/>
              <w:keepLines w:val="0"/>
              <w:pageBreakBefore w:val="0"/>
              <w:widowControl w:val="0"/>
              <w:kinsoku/>
              <w:wordWrap w:val="0"/>
              <w:overflowPunct/>
              <w:topLinePunct w:val="0"/>
              <w:autoSpaceDE/>
              <w:autoSpaceDN/>
              <w:bidi w:val="0"/>
              <w:snapToGrid/>
              <w:spacing w:before="119" w:line="240" w:lineRule="auto"/>
              <w:ind w:left="945"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pacing w:val="52"/>
                <w:sz w:val="21"/>
                <w:szCs w:val="21"/>
                <w:highlight w:val="none"/>
              </w:rPr>
              <w:t xml:space="preserve"> </w:t>
            </w:r>
            <w:r>
              <w:rPr>
                <w:rFonts w:hint="eastAsia" w:ascii="宋体" w:hAnsi="宋体" w:eastAsia="宋体" w:cs="宋体"/>
                <w:color w:val="auto"/>
                <w:sz w:val="21"/>
                <w:szCs w:val="21"/>
                <w:highlight w:val="none"/>
              </w:rPr>
              <w:t>流动比率</w:t>
            </w:r>
          </w:p>
        </w:tc>
        <w:tc>
          <w:tcPr>
            <w:tcW w:w="900" w:type="dxa"/>
            <w:tcBorders>
              <w:top w:val="single" w:color="000000" w:sz="6" w:space="0"/>
              <w:left w:val="single" w:color="000000" w:sz="6" w:space="0"/>
              <w:bottom w:val="single" w:color="000000" w:sz="6" w:space="0"/>
              <w:right w:val="single" w:color="000000" w:sz="6" w:space="0"/>
            </w:tcBorders>
            <w:vAlign w:val="top"/>
          </w:tcPr>
          <w:p w14:paraId="04E0A8D1">
            <w:pPr>
              <w:pStyle w:val="106"/>
              <w:keepNext w:val="0"/>
              <w:keepLines w:val="0"/>
              <w:pageBreakBefore w:val="0"/>
              <w:widowControl w:val="0"/>
              <w:kinsoku/>
              <w:wordWrap w:val="0"/>
              <w:overflowPunct/>
              <w:topLinePunct w:val="0"/>
              <w:autoSpaceDE/>
              <w:autoSpaceDN/>
              <w:bidi w:val="0"/>
              <w:snapToGrid/>
              <w:spacing w:before="166" w:line="240" w:lineRule="auto"/>
              <w:ind w:left="14" w:leftChars="0" w:right="0" w:rightChars="0"/>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vAlign w:val="top"/>
          </w:tcPr>
          <w:p w14:paraId="684A4BAA">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vAlign w:val="top"/>
          </w:tcPr>
          <w:p w14:paraId="016BCC6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vAlign w:val="top"/>
          </w:tcPr>
          <w:p w14:paraId="739E835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355082B1">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vAlign w:val="top"/>
          </w:tcPr>
          <w:p w14:paraId="0AA23B60">
            <w:pPr>
              <w:pStyle w:val="106"/>
              <w:keepNext w:val="0"/>
              <w:keepLines w:val="0"/>
              <w:pageBreakBefore w:val="0"/>
              <w:widowControl w:val="0"/>
              <w:kinsoku/>
              <w:wordWrap w:val="0"/>
              <w:overflowPunct/>
              <w:topLinePunct w:val="0"/>
              <w:autoSpaceDE/>
              <w:autoSpaceDN/>
              <w:bidi w:val="0"/>
              <w:snapToGrid/>
              <w:spacing w:before="121" w:line="240" w:lineRule="auto"/>
              <w:ind w:left="945"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w:t>
            </w:r>
            <w:r>
              <w:rPr>
                <w:rFonts w:hint="eastAsia" w:ascii="宋体" w:hAnsi="宋体" w:eastAsia="宋体" w:cs="宋体"/>
                <w:color w:val="auto"/>
                <w:spacing w:val="8"/>
                <w:sz w:val="21"/>
                <w:szCs w:val="21"/>
                <w:highlight w:val="none"/>
              </w:rPr>
              <w:t xml:space="preserve"> </w:t>
            </w:r>
            <w:r>
              <w:rPr>
                <w:rFonts w:hint="eastAsia" w:ascii="宋体" w:hAnsi="宋体" w:eastAsia="宋体" w:cs="宋体"/>
                <w:color w:val="auto"/>
                <w:spacing w:val="-3"/>
                <w:sz w:val="21"/>
                <w:szCs w:val="21"/>
                <w:highlight w:val="none"/>
              </w:rPr>
              <w:t>速动比率</w:t>
            </w:r>
          </w:p>
        </w:tc>
        <w:tc>
          <w:tcPr>
            <w:tcW w:w="900" w:type="dxa"/>
            <w:tcBorders>
              <w:top w:val="single" w:color="000000" w:sz="6" w:space="0"/>
              <w:left w:val="single" w:color="000000" w:sz="6" w:space="0"/>
              <w:bottom w:val="single" w:color="000000" w:sz="6" w:space="0"/>
              <w:right w:val="single" w:color="000000" w:sz="6" w:space="0"/>
            </w:tcBorders>
            <w:vAlign w:val="top"/>
          </w:tcPr>
          <w:p w14:paraId="3C95DF4A">
            <w:pPr>
              <w:pStyle w:val="106"/>
              <w:keepNext w:val="0"/>
              <w:keepLines w:val="0"/>
              <w:pageBreakBefore w:val="0"/>
              <w:widowControl w:val="0"/>
              <w:kinsoku/>
              <w:wordWrap w:val="0"/>
              <w:overflowPunct/>
              <w:topLinePunct w:val="0"/>
              <w:autoSpaceDE/>
              <w:autoSpaceDN/>
              <w:bidi w:val="0"/>
              <w:snapToGrid/>
              <w:spacing w:before="168" w:line="240" w:lineRule="auto"/>
              <w:ind w:left="14" w:leftChars="0" w:right="0" w:rightChars="0"/>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vAlign w:val="top"/>
          </w:tcPr>
          <w:p w14:paraId="2ED86188">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vAlign w:val="top"/>
          </w:tcPr>
          <w:p w14:paraId="1A520AC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vAlign w:val="top"/>
          </w:tcPr>
          <w:p w14:paraId="1DC6D09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bl>
    <w:p w14:paraId="0EE7531F">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396"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注：</w:t>
      </w:r>
      <w:r>
        <w:rPr>
          <w:rFonts w:hint="eastAsia" w:ascii="宋体" w:hAnsi="宋体" w:cs="宋体"/>
          <w:color w:val="auto"/>
          <w:spacing w:val="-6"/>
          <w:sz w:val="21"/>
          <w:szCs w:val="21"/>
          <w:highlight w:val="none"/>
          <w:lang w:val="en-US" w:eastAsia="zh-CN"/>
        </w:rPr>
        <w:t xml:space="preserve"> </w:t>
      </w:r>
      <w:r>
        <w:rPr>
          <w:rFonts w:hint="eastAsia" w:ascii="宋体" w:hAnsi="宋体" w:eastAsia="宋体" w:cs="宋体"/>
          <w:color w:val="auto"/>
          <w:spacing w:val="-6"/>
          <w:sz w:val="21"/>
          <w:szCs w:val="21"/>
          <w:highlight w:val="none"/>
        </w:rPr>
        <w:t xml:space="preserve">1.投标人应根据招标文件第二章“投标人须知”第 </w:t>
      </w:r>
      <w:r>
        <w:rPr>
          <w:rFonts w:hint="eastAsia" w:ascii="宋体" w:hAnsi="宋体" w:eastAsia="宋体" w:cs="宋体"/>
          <w:color w:val="auto"/>
          <w:sz w:val="21"/>
          <w:szCs w:val="21"/>
          <w:highlight w:val="none"/>
        </w:rPr>
        <w:t>3.5.2</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项的要求在本表后附相关证明材料。</w:t>
      </w:r>
    </w:p>
    <w:p w14:paraId="588DC5CE">
      <w:pPr>
        <w:keepNext w:val="0"/>
        <w:keepLines w:val="0"/>
        <w:pageBreakBefore w:val="0"/>
        <w:widowControl w:val="0"/>
        <w:kinsoku/>
        <w:wordWrap w:val="0"/>
        <w:overflowPunct/>
        <w:topLinePunct w:val="0"/>
        <w:autoSpaceDE/>
        <w:autoSpaceDN/>
        <w:bidi w:val="0"/>
        <w:adjustRightInd/>
        <w:snapToGrid/>
        <w:ind w:left="0" w:right="0" w:firstLine="840" w:firstLineChars="400"/>
        <w:jc w:val="left"/>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2.本表所列数据必须与本表各附件中的数据相一致。</w:t>
      </w:r>
    </w:p>
    <w:p w14:paraId="271F7DA4">
      <w:pPr>
        <w:pStyle w:val="106"/>
        <w:keepNext w:val="0"/>
        <w:keepLines w:val="0"/>
        <w:pageBreakBefore w:val="0"/>
        <w:widowControl w:val="0"/>
        <w:kinsoku/>
        <w:wordWrap w:val="0"/>
        <w:overflowPunct/>
        <w:topLinePunct w:val="0"/>
        <w:autoSpaceDE/>
        <w:autoSpaceDN/>
        <w:bidi w:val="0"/>
        <w:snapToGrid/>
        <w:spacing w:before="119" w:line="240" w:lineRule="auto"/>
        <w:ind w:right="0"/>
        <w:jc w:val="left"/>
        <w:rPr>
          <w:rFonts w:hint="eastAsia" w:ascii="宋体" w:hAnsi="宋体" w:eastAsia="宋体" w:cs="宋体"/>
          <w:color w:val="auto"/>
          <w:sz w:val="21"/>
          <w:szCs w:val="21"/>
          <w:highlight w:val="none"/>
        </w:rPr>
        <w:sectPr>
          <w:headerReference r:id="rId8" w:type="default"/>
          <w:footerReference r:id="rId9" w:type="default"/>
          <w:pgSz w:w="11910" w:h="16850"/>
          <w:pgMar w:top="1587" w:right="1417" w:bottom="1417" w:left="1417" w:header="0" w:footer="1071" w:gutter="0"/>
          <w:pgNumType w:fmt="decimal"/>
          <w:cols w:space="0" w:num="1"/>
          <w:rtlGutter w:val="0"/>
          <w:docGrid w:linePitch="0" w:charSpace="0"/>
        </w:sectPr>
      </w:pPr>
    </w:p>
    <w:p w14:paraId="237A3D7A">
      <w:pPr>
        <w:keepNext w:val="0"/>
        <w:keepLines w:val="0"/>
        <w:pageBreakBefore w:val="0"/>
        <w:widowControl w:val="0"/>
        <w:kinsoku/>
        <w:wordWrap w:val="0"/>
        <w:overflowPunct/>
        <w:topLinePunct w:val="0"/>
        <w:autoSpaceDE/>
        <w:autoSpaceDN/>
        <w:bidi w:val="0"/>
        <w:adjustRightInd w:val="0"/>
        <w:snapToGrid/>
        <w:spacing w:after="0" w:afterLines="100" w:line="360" w:lineRule="auto"/>
        <w:ind w:right="-34" w:rightChars="-16"/>
        <w:jc w:val="center"/>
        <w:textAlignment w:val="auto"/>
        <w:outlineLvl w:val="1"/>
        <w:rPr>
          <w:rFonts w:ascii="宋体" w:hAnsi="宋体" w:cs="宋体"/>
          <w:b/>
          <w:bCs/>
          <w:color w:val="auto"/>
          <w:kern w:val="0"/>
          <w:sz w:val="28"/>
          <w:szCs w:val="28"/>
          <w:highlight w:val="none"/>
        </w:rPr>
      </w:pPr>
      <w:bookmarkStart w:id="506" w:name="_Toc26594"/>
      <w:bookmarkStart w:id="507" w:name="_Toc431367159"/>
      <w:bookmarkStart w:id="508" w:name="_Toc500864554"/>
      <w:bookmarkStart w:id="509" w:name="_Toc227657602"/>
      <w:bookmarkStart w:id="510" w:name="_Toc228591624"/>
      <w:bookmarkStart w:id="511" w:name="_Toc214434004"/>
      <w:bookmarkStart w:id="512" w:name="_Toc272772684"/>
      <w:bookmarkStart w:id="513" w:name="_Toc38738913"/>
      <w:bookmarkStart w:id="514" w:name="_Toc12036"/>
      <w:bookmarkStart w:id="515" w:name="_Toc513740276"/>
      <w:bookmarkStart w:id="516" w:name="_Toc227492360"/>
      <w:bookmarkStart w:id="517" w:name="_Toc228591772"/>
      <w:bookmarkStart w:id="518" w:name="_Toc228589278"/>
      <w:bookmarkStart w:id="519" w:name="_Toc37747015"/>
      <w:bookmarkStart w:id="520" w:name="_Toc228337213"/>
      <w:bookmarkStart w:id="521" w:name="_Toc37422299"/>
      <w:bookmarkStart w:id="522" w:name="_Toc228881264"/>
      <w:r>
        <w:rPr>
          <w:rFonts w:hint="eastAsia" w:ascii="宋体" w:hAnsi="宋体" w:cs="宋体"/>
          <w:b/>
          <w:bCs/>
          <w:color w:val="auto"/>
          <w:kern w:val="0"/>
          <w:sz w:val="28"/>
          <w:szCs w:val="28"/>
          <w:highlight w:val="none"/>
        </w:rPr>
        <w:t>（</w:t>
      </w:r>
      <w:r>
        <w:rPr>
          <w:rFonts w:hint="eastAsia" w:ascii="宋体" w:hAnsi="宋体" w:cs="宋体"/>
          <w:b/>
          <w:bCs/>
          <w:color w:val="auto"/>
          <w:kern w:val="0"/>
          <w:sz w:val="28"/>
          <w:szCs w:val="28"/>
          <w:highlight w:val="none"/>
          <w:lang w:eastAsia="zh-CN"/>
        </w:rPr>
        <w:t>四</w:t>
      </w:r>
      <w:r>
        <w:rPr>
          <w:rFonts w:hint="eastAsia" w:ascii="宋体" w:hAnsi="宋体" w:cs="宋体"/>
          <w:b/>
          <w:bCs/>
          <w:color w:val="auto"/>
          <w:kern w:val="0"/>
          <w:sz w:val="28"/>
          <w:szCs w:val="28"/>
          <w:highlight w:val="none"/>
        </w:rPr>
        <w:t>）近年完成的类似项目情况表</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8"/>
        <w:gridCol w:w="6688"/>
      </w:tblGrid>
      <w:tr w14:paraId="19830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501B44A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项目名称</w:t>
            </w:r>
          </w:p>
        </w:tc>
        <w:tc>
          <w:tcPr>
            <w:tcW w:w="6688" w:type="dxa"/>
            <w:vAlign w:val="center"/>
          </w:tcPr>
          <w:p w14:paraId="491D9E74">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3A639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38CAA744">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项目所在地</w:t>
            </w:r>
          </w:p>
        </w:tc>
        <w:tc>
          <w:tcPr>
            <w:tcW w:w="6688" w:type="dxa"/>
            <w:vAlign w:val="center"/>
          </w:tcPr>
          <w:p w14:paraId="354563B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160E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1D23A29B">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发包人名称</w:t>
            </w:r>
          </w:p>
        </w:tc>
        <w:tc>
          <w:tcPr>
            <w:tcW w:w="6688" w:type="dxa"/>
            <w:vAlign w:val="center"/>
          </w:tcPr>
          <w:p w14:paraId="087E3607">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1259E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6E30CED3">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发包人地址</w:t>
            </w:r>
          </w:p>
        </w:tc>
        <w:tc>
          <w:tcPr>
            <w:tcW w:w="6688" w:type="dxa"/>
            <w:vAlign w:val="center"/>
          </w:tcPr>
          <w:p w14:paraId="5D5A680A">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3A6DF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58F2676F">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发包人电话</w:t>
            </w:r>
          </w:p>
        </w:tc>
        <w:tc>
          <w:tcPr>
            <w:tcW w:w="6688" w:type="dxa"/>
            <w:vAlign w:val="center"/>
          </w:tcPr>
          <w:p w14:paraId="2D37AE84">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338C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02750B8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合同价格</w:t>
            </w:r>
          </w:p>
        </w:tc>
        <w:tc>
          <w:tcPr>
            <w:tcW w:w="6688" w:type="dxa"/>
            <w:vAlign w:val="center"/>
          </w:tcPr>
          <w:p w14:paraId="3C5823C9">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FEC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128418FF">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开工日期</w:t>
            </w:r>
          </w:p>
        </w:tc>
        <w:tc>
          <w:tcPr>
            <w:tcW w:w="6688" w:type="dxa"/>
            <w:vAlign w:val="center"/>
          </w:tcPr>
          <w:p w14:paraId="745047D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3C960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66E2EE1C">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竣工日期</w:t>
            </w:r>
          </w:p>
        </w:tc>
        <w:tc>
          <w:tcPr>
            <w:tcW w:w="6688" w:type="dxa"/>
            <w:vAlign w:val="center"/>
          </w:tcPr>
          <w:p w14:paraId="57AE030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3B4A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54906208">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承担的工作</w:t>
            </w:r>
          </w:p>
        </w:tc>
        <w:tc>
          <w:tcPr>
            <w:tcW w:w="6688" w:type="dxa"/>
            <w:vAlign w:val="center"/>
          </w:tcPr>
          <w:p w14:paraId="2AB9DCEA">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5BD39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4D7168E1">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工程质量</w:t>
            </w:r>
          </w:p>
        </w:tc>
        <w:tc>
          <w:tcPr>
            <w:tcW w:w="6688" w:type="dxa"/>
            <w:vAlign w:val="center"/>
          </w:tcPr>
          <w:p w14:paraId="464B784F">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5DEE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3E9AFBCE">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项目经理</w:t>
            </w:r>
          </w:p>
        </w:tc>
        <w:tc>
          <w:tcPr>
            <w:tcW w:w="6688" w:type="dxa"/>
            <w:vAlign w:val="center"/>
          </w:tcPr>
          <w:p w14:paraId="7ED999FE">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6A87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171FA71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技术负责人</w:t>
            </w:r>
          </w:p>
        </w:tc>
        <w:tc>
          <w:tcPr>
            <w:tcW w:w="6688" w:type="dxa"/>
            <w:vAlign w:val="center"/>
          </w:tcPr>
          <w:p w14:paraId="65E426D7">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2B435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697FE4B9">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总监理工程师及电话</w:t>
            </w:r>
          </w:p>
        </w:tc>
        <w:tc>
          <w:tcPr>
            <w:tcW w:w="6688" w:type="dxa"/>
            <w:vAlign w:val="center"/>
          </w:tcPr>
          <w:p w14:paraId="5FBC0687">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68BD0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jc w:val="center"/>
        </w:trPr>
        <w:tc>
          <w:tcPr>
            <w:tcW w:w="2678" w:type="dxa"/>
            <w:vAlign w:val="center"/>
          </w:tcPr>
          <w:p w14:paraId="1540155A">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项目描述</w:t>
            </w:r>
          </w:p>
        </w:tc>
        <w:tc>
          <w:tcPr>
            <w:tcW w:w="6688" w:type="dxa"/>
            <w:vAlign w:val="center"/>
          </w:tcPr>
          <w:p w14:paraId="6F70233E">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71C77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25FCA32E">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备注</w:t>
            </w:r>
          </w:p>
        </w:tc>
        <w:tc>
          <w:tcPr>
            <w:tcW w:w="6688" w:type="dxa"/>
            <w:vAlign w:val="center"/>
          </w:tcPr>
          <w:p w14:paraId="2B22A6D4">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bl>
    <w:p w14:paraId="0A17C252">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210" w:firstLineChars="100"/>
        <w:jc w:val="left"/>
        <w:textAlignment w:val="auto"/>
        <w:rPr>
          <w:rFonts w:hint="eastAsia" w:ascii="宋体" w:hAnsi="宋体" w:eastAsia="宋体" w:cs="宋体"/>
          <w:color w:val="auto"/>
          <w:sz w:val="21"/>
          <w:szCs w:val="21"/>
          <w:highlight w:val="none"/>
        </w:rPr>
      </w:pPr>
      <w:bookmarkStart w:id="523" w:name="_Toc228589279"/>
      <w:bookmarkStart w:id="524" w:name="_Toc228591625"/>
      <w:bookmarkStart w:id="525" w:name="_Toc228881265"/>
      <w:bookmarkStart w:id="526" w:name="_Toc228591773"/>
      <w:bookmarkStart w:id="527" w:name="_Toc272772685"/>
      <w:bookmarkStart w:id="528" w:name="_Toc214434005"/>
      <w:bookmarkStart w:id="529" w:name="_Toc228337214"/>
      <w:bookmarkStart w:id="530" w:name="_Toc227657603"/>
      <w:bookmarkStart w:id="531" w:name="_Toc431367160"/>
      <w:bookmarkStart w:id="532" w:name="_Toc227492361"/>
      <w:r>
        <w:rPr>
          <w:rFonts w:hint="eastAsia" w:ascii="宋体" w:hAnsi="宋体" w:eastAsia="宋体" w:cs="宋体"/>
          <w:color w:val="auto"/>
          <w:sz w:val="21"/>
          <w:szCs w:val="21"/>
          <w:highlight w:val="none"/>
        </w:rPr>
        <w:t>注：1.每张表格只填写一个项目，并标明序号。</w:t>
      </w:r>
    </w:p>
    <w:p w14:paraId="7FA5CA1A">
      <w:pPr>
        <w:keepNext w:val="0"/>
        <w:keepLines w:val="0"/>
        <w:pageBreakBefore w:val="0"/>
        <w:widowControl w:val="0"/>
        <w:kinsoku/>
        <w:wordWrap w:val="0"/>
        <w:overflowPunct/>
        <w:topLinePunct w:val="0"/>
        <w:autoSpaceDE/>
        <w:autoSpaceDN/>
        <w:bidi w:val="0"/>
        <w:adjustRightInd/>
        <w:snapToGrid/>
        <w:spacing w:line="360" w:lineRule="auto"/>
        <w:ind w:left="644" w:right="0"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2.投标人应根据招标文件第二章“投标人须知”第 </w:t>
      </w:r>
      <w:r>
        <w:rPr>
          <w:rFonts w:hint="eastAsia" w:ascii="宋体" w:hAnsi="宋体" w:eastAsia="宋体" w:cs="宋体"/>
          <w:color w:val="auto"/>
          <w:sz w:val="21"/>
          <w:szCs w:val="21"/>
          <w:highlight w:val="none"/>
        </w:rPr>
        <w:t>3.5.3</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z w:val="21"/>
          <w:szCs w:val="21"/>
          <w:highlight w:val="none"/>
        </w:rPr>
        <w:t>项的要求在本表后附相关证明材料。</w:t>
      </w:r>
    </w:p>
    <w:p w14:paraId="62093E4F">
      <w:pPr>
        <w:keepNext w:val="0"/>
        <w:keepLines w:val="0"/>
        <w:pageBreakBefore w:val="0"/>
        <w:widowControl w:val="0"/>
        <w:kinsoku/>
        <w:wordWrap w:val="0"/>
        <w:overflowPunct/>
        <w:topLinePunct w:val="0"/>
        <w:autoSpaceDE/>
        <w:autoSpaceDN/>
        <w:bidi w:val="0"/>
        <w:adjustRightInd/>
        <w:snapToGrid/>
        <w:spacing w:line="360" w:lineRule="auto"/>
        <w:ind w:left="812" w:right="0" w:hanging="168"/>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3.如近年来</w:t>
      </w: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4"/>
          <w:sz w:val="21"/>
          <w:szCs w:val="21"/>
          <w:highlight w:val="none"/>
        </w:rPr>
        <w:t>投标人法人机构发生合法变更或重组或法人名称变更时，应提供相关部门的合</w:t>
      </w:r>
      <w:r>
        <w:rPr>
          <w:rFonts w:hint="eastAsia" w:ascii="宋体" w:hAnsi="宋体" w:eastAsia="宋体" w:cs="宋体"/>
          <w:color w:val="auto"/>
          <w:spacing w:val="-41"/>
          <w:sz w:val="21"/>
          <w:szCs w:val="21"/>
          <w:highlight w:val="none"/>
        </w:rPr>
        <w:t xml:space="preserve"> </w:t>
      </w:r>
      <w:r>
        <w:rPr>
          <w:rFonts w:hint="eastAsia" w:ascii="宋体" w:hAnsi="宋体" w:eastAsia="宋体" w:cs="宋体"/>
          <w:color w:val="auto"/>
          <w:sz w:val="21"/>
          <w:szCs w:val="21"/>
          <w:highlight w:val="none"/>
        </w:rPr>
        <w:t>法批件或其他相关证明材料来证明其所附业绩的继承性。</w:t>
      </w:r>
    </w:p>
    <w:bookmarkEnd w:id="523"/>
    <w:bookmarkEnd w:id="524"/>
    <w:bookmarkEnd w:id="525"/>
    <w:bookmarkEnd w:id="526"/>
    <w:bookmarkEnd w:id="527"/>
    <w:bookmarkEnd w:id="528"/>
    <w:bookmarkEnd w:id="529"/>
    <w:bookmarkEnd w:id="530"/>
    <w:bookmarkEnd w:id="531"/>
    <w:bookmarkEnd w:id="532"/>
    <w:p w14:paraId="0B9345FC">
      <w:pPr>
        <w:pStyle w:val="10"/>
        <w:keepNext w:val="0"/>
        <w:keepLines w:val="0"/>
        <w:pageBreakBefore w:val="0"/>
        <w:widowControl w:val="0"/>
        <w:kinsoku/>
        <w:wordWrap w:val="0"/>
        <w:overflowPunct/>
        <w:topLinePunct w:val="0"/>
        <w:autoSpaceDE/>
        <w:autoSpaceDN/>
        <w:bidi w:val="0"/>
        <w:adjustRightInd/>
        <w:snapToGrid/>
        <w:spacing w:after="157" w:afterLines="50" w:line="360" w:lineRule="auto"/>
        <w:ind w:left="0" w:right="0"/>
        <w:jc w:val="center"/>
        <w:textAlignment w:val="auto"/>
        <w:rPr>
          <w:rFonts w:hint="eastAsia" w:ascii="宋体" w:hAnsi="宋体" w:eastAsia="宋体" w:cs="宋体"/>
          <w:b/>
          <w:bCs/>
          <w:color w:val="auto"/>
          <w:sz w:val="28"/>
          <w:szCs w:val="28"/>
          <w:highlight w:val="none"/>
        </w:rPr>
        <w:sectPr>
          <w:headerReference r:id="rId10" w:type="default"/>
          <w:pgSz w:w="11910" w:h="16850"/>
          <w:pgMar w:top="1587" w:right="1417" w:bottom="1417" w:left="1417" w:header="883" w:footer="845" w:gutter="0"/>
          <w:pgNumType w:fmt="decimal"/>
          <w:cols w:space="720" w:num="1"/>
        </w:sectPr>
      </w:pPr>
    </w:p>
    <w:p w14:paraId="36A6FCF9">
      <w:pPr>
        <w:pStyle w:val="10"/>
        <w:keepNext w:val="0"/>
        <w:keepLines w:val="0"/>
        <w:pageBreakBefore w:val="0"/>
        <w:widowControl w:val="0"/>
        <w:kinsoku/>
        <w:wordWrap w:val="0"/>
        <w:overflowPunct/>
        <w:topLinePunct w:val="0"/>
        <w:autoSpaceDE/>
        <w:autoSpaceDN/>
        <w:bidi w:val="0"/>
        <w:adjustRightInd/>
        <w:snapToGrid/>
        <w:spacing w:after="157" w:afterLines="50" w:line="360" w:lineRule="auto"/>
        <w:ind w:left="0" w:right="0"/>
        <w:jc w:val="center"/>
        <w:textAlignment w:val="auto"/>
        <w:rPr>
          <w:rFonts w:ascii="黑体" w:hAnsi="黑体" w:eastAsia="黑体" w:cs="黑体"/>
          <w:color w:val="auto"/>
          <w:sz w:val="13"/>
          <w:szCs w:val="13"/>
          <w:highlight w:val="none"/>
        </w:rPr>
      </w:pPr>
      <w:r>
        <w:rPr>
          <w:rFonts w:hint="eastAsia" w:ascii="宋体" w:hAnsi="宋体" w:eastAsia="宋体" w:cs="宋体"/>
          <w:b/>
          <w:bCs/>
          <w:color w:val="auto"/>
          <w:sz w:val="28"/>
          <w:szCs w:val="28"/>
          <w:highlight w:val="none"/>
        </w:rPr>
        <w:t>（五）投标人的信誉情况表</w:t>
      </w:r>
    </w:p>
    <w:tbl>
      <w:tblPr>
        <w:tblStyle w:val="23"/>
        <w:tblW w:w="0" w:type="auto"/>
        <w:jc w:val="center"/>
        <w:tblLayout w:type="fixed"/>
        <w:tblCellMar>
          <w:top w:w="0" w:type="dxa"/>
          <w:left w:w="0" w:type="dxa"/>
          <w:bottom w:w="0" w:type="dxa"/>
          <w:right w:w="0" w:type="dxa"/>
        </w:tblCellMar>
      </w:tblPr>
      <w:tblGrid>
        <w:gridCol w:w="4261"/>
        <w:gridCol w:w="4263"/>
      </w:tblGrid>
      <w:tr w14:paraId="7C3C70C4">
        <w:tblPrEx>
          <w:tblCellMar>
            <w:top w:w="0" w:type="dxa"/>
            <w:left w:w="0" w:type="dxa"/>
            <w:bottom w:w="0" w:type="dxa"/>
            <w:right w:w="0" w:type="dxa"/>
          </w:tblCellMar>
        </w:tblPrEx>
        <w:trPr>
          <w:trHeight w:val="106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45A1C213">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4D3E2FC4">
            <w:pPr>
              <w:pStyle w:val="106"/>
              <w:keepNext w:val="0"/>
              <w:keepLines w:val="0"/>
              <w:pageBreakBefore w:val="0"/>
              <w:widowControl w:val="0"/>
              <w:kinsoku/>
              <w:wordWrap w:val="0"/>
              <w:overflowPunct/>
              <w:topLinePunct w:val="0"/>
              <w:autoSpaceDE/>
              <w:autoSpaceDN/>
              <w:bidi w:val="0"/>
              <w:snapToGrid/>
              <w:spacing w:before="160" w:line="240" w:lineRule="auto"/>
              <w:ind w:left="1"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项</w:t>
            </w:r>
            <w:r>
              <w:rPr>
                <w:rFonts w:ascii="宋体" w:hAnsi="宋体" w:eastAsia="宋体" w:cs="宋体"/>
                <w:color w:val="auto"/>
                <w:spacing w:val="2"/>
                <w:sz w:val="21"/>
                <w:szCs w:val="21"/>
                <w:highlight w:val="none"/>
              </w:rPr>
              <w:t xml:space="preserve"> </w:t>
            </w:r>
            <w:r>
              <w:rPr>
                <w:rFonts w:ascii="宋体" w:hAnsi="宋体" w:eastAsia="宋体" w:cs="宋体"/>
                <w:color w:val="auto"/>
                <w:sz w:val="21"/>
                <w:szCs w:val="21"/>
                <w:highlight w:val="none"/>
              </w:rPr>
              <w:t>目</w:t>
            </w:r>
          </w:p>
        </w:tc>
        <w:tc>
          <w:tcPr>
            <w:tcW w:w="4263" w:type="dxa"/>
            <w:tcBorders>
              <w:top w:val="single" w:color="000000" w:sz="4" w:space="0"/>
              <w:left w:val="single" w:color="000000" w:sz="4" w:space="0"/>
              <w:bottom w:val="single" w:color="000000" w:sz="4" w:space="0"/>
              <w:right w:val="single" w:color="000000" w:sz="4" w:space="0"/>
            </w:tcBorders>
          </w:tcPr>
          <w:p w14:paraId="2C2FADC0">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60B9C5F4">
            <w:pPr>
              <w:pStyle w:val="106"/>
              <w:keepNext w:val="0"/>
              <w:keepLines w:val="0"/>
              <w:pageBreakBefore w:val="0"/>
              <w:widowControl w:val="0"/>
              <w:kinsoku/>
              <w:wordWrap w:val="0"/>
              <w:overflowPunct/>
              <w:topLinePunct w:val="0"/>
              <w:autoSpaceDE/>
              <w:autoSpaceDN/>
              <w:bidi w:val="0"/>
              <w:snapToGrid/>
              <w:spacing w:before="160" w:line="240" w:lineRule="auto"/>
              <w:ind w:left="138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投标人情况说明</w:t>
            </w:r>
          </w:p>
        </w:tc>
      </w:tr>
      <w:tr w14:paraId="679A59D3">
        <w:tblPrEx>
          <w:tblCellMar>
            <w:top w:w="0" w:type="dxa"/>
            <w:left w:w="0" w:type="dxa"/>
            <w:bottom w:w="0" w:type="dxa"/>
            <w:right w:w="0" w:type="dxa"/>
          </w:tblCellMar>
        </w:tblPrEx>
        <w:trPr>
          <w:trHeight w:val="113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4BE05D37">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6945B686">
            <w:pPr>
              <w:keepNext w:val="0"/>
              <w:keepLines w:val="0"/>
              <w:pageBreakBefore w:val="0"/>
              <w:widowControl w:val="0"/>
              <w:kinsoku/>
              <w:wordWrap w:val="0"/>
              <w:overflowPunct/>
              <w:topLinePunct w:val="0"/>
              <w:autoSpaceDE/>
              <w:autoSpaceDN/>
              <w:bidi w:val="0"/>
              <w:snapToGrid/>
              <w:rPr>
                <w:color w:val="auto"/>
                <w:highlight w:val="none"/>
              </w:rPr>
            </w:pPr>
          </w:p>
        </w:tc>
      </w:tr>
      <w:tr w14:paraId="4B8A3963">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40DA7F10">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3A845945">
            <w:pPr>
              <w:keepNext w:val="0"/>
              <w:keepLines w:val="0"/>
              <w:pageBreakBefore w:val="0"/>
              <w:widowControl w:val="0"/>
              <w:kinsoku/>
              <w:wordWrap w:val="0"/>
              <w:overflowPunct/>
              <w:topLinePunct w:val="0"/>
              <w:autoSpaceDE/>
              <w:autoSpaceDN/>
              <w:bidi w:val="0"/>
              <w:snapToGrid/>
              <w:rPr>
                <w:color w:val="auto"/>
                <w:highlight w:val="none"/>
              </w:rPr>
            </w:pPr>
          </w:p>
        </w:tc>
      </w:tr>
      <w:tr w14:paraId="2F0841E3">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65B13BF6">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67DE7AD3">
            <w:pPr>
              <w:keepNext w:val="0"/>
              <w:keepLines w:val="0"/>
              <w:pageBreakBefore w:val="0"/>
              <w:widowControl w:val="0"/>
              <w:kinsoku/>
              <w:wordWrap w:val="0"/>
              <w:overflowPunct/>
              <w:topLinePunct w:val="0"/>
              <w:autoSpaceDE/>
              <w:autoSpaceDN/>
              <w:bidi w:val="0"/>
              <w:snapToGrid/>
              <w:rPr>
                <w:color w:val="auto"/>
                <w:highlight w:val="none"/>
              </w:rPr>
            </w:pPr>
          </w:p>
        </w:tc>
      </w:tr>
      <w:tr w14:paraId="46119C7B">
        <w:tblPrEx>
          <w:tblCellMar>
            <w:top w:w="0" w:type="dxa"/>
            <w:left w:w="0" w:type="dxa"/>
            <w:bottom w:w="0" w:type="dxa"/>
            <w:right w:w="0" w:type="dxa"/>
          </w:tblCellMar>
        </w:tblPrEx>
        <w:trPr>
          <w:trHeight w:val="113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7179C26C">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5910D131">
            <w:pPr>
              <w:keepNext w:val="0"/>
              <w:keepLines w:val="0"/>
              <w:pageBreakBefore w:val="0"/>
              <w:widowControl w:val="0"/>
              <w:kinsoku/>
              <w:wordWrap w:val="0"/>
              <w:overflowPunct/>
              <w:topLinePunct w:val="0"/>
              <w:autoSpaceDE/>
              <w:autoSpaceDN/>
              <w:bidi w:val="0"/>
              <w:snapToGrid/>
              <w:rPr>
                <w:color w:val="auto"/>
                <w:highlight w:val="none"/>
              </w:rPr>
            </w:pPr>
          </w:p>
        </w:tc>
      </w:tr>
      <w:tr w14:paraId="3066F6AD">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0AB68329">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71F55076">
            <w:pPr>
              <w:keepNext w:val="0"/>
              <w:keepLines w:val="0"/>
              <w:pageBreakBefore w:val="0"/>
              <w:widowControl w:val="0"/>
              <w:kinsoku/>
              <w:wordWrap w:val="0"/>
              <w:overflowPunct/>
              <w:topLinePunct w:val="0"/>
              <w:autoSpaceDE/>
              <w:autoSpaceDN/>
              <w:bidi w:val="0"/>
              <w:snapToGrid/>
              <w:rPr>
                <w:color w:val="auto"/>
                <w:highlight w:val="none"/>
              </w:rPr>
            </w:pPr>
          </w:p>
        </w:tc>
      </w:tr>
      <w:tr w14:paraId="5A47F2CC">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4C186D44">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0261F13E">
            <w:pPr>
              <w:keepNext w:val="0"/>
              <w:keepLines w:val="0"/>
              <w:pageBreakBefore w:val="0"/>
              <w:widowControl w:val="0"/>
              <w:kinsoku/>
              <w:wordWrap w:val="0"/>
              <w:overflowPunct/>
              <w:topLinePunct w:val="0"/>
              <w:autoSpaceDE/>
              <w:autoSpaceDN/>
              <w:bidi w:val="0"/>
              <w:snapToGrid/>
              <w:rPr>
                <w:color w:val="auto"/>
                <w:highlight w:val="none"/>
              </w:rPr>
            </w:pPr>
          </w:p>
        </w:tc>
      </w:tr>
      <w:tr w14:paraId="05EE5B53">
        <w:tblPrEx>
          <w:tblCellMar>
            <w:top w:w="0" w:type="dxa"/>
            <w:left w:w="0" w:type="dxa"/>
            <w:bottom w:w="0" w:type="dxa"/>
            <w:right w:w="0" w:type="dxa"/>
          </w:tblCellMar>
        </w:tblPrEx>
        <w:trPr>
          <w:trHeight w:val="113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0B247094">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19ADCD47">
            <w:pPr>
              <w:keepNext w:val="0"/>
              <w:keepLines w:val="0"/>
              <w:pageBreakBefore w:val="0"/>
              <w:widowControl w:val="0"/>
              <w:kinsoku/>
              <w:wordWrap w:val="0"/>
              <w:overflowPunct/>
              <w:topLinePunct w:val="0"/>
              <w:autoSpaceDE/>
              <w:autoSpaceDN/>
              <w:bidi w:val="0"/>
              <w:snapToGrid/>
              <w:rPr>
                <w:color w:val="auto"/>
                <w:highlight w:val="none"/>
              </w:rPr>
            </w:pPr>
          </w:p>
        </w:tc>
      </w:tr>
      <w:tr w14:paraId="2253B89C">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1F9513A2">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2DC9694C">
            <w:pPr>
              <w:keepNext w:val="0"/>
              <w:keepLines w:val="0"/>
              <w:pageBreakBefore w:val="0"/>
              <w:widowControl w:val="0"/>
              <w:kinsoku/>
              <w:wordWrap w:val="0"/>
              <w:overflowPunct/>
              <w:topLinePunct w:val="0"/>
              <w:autoSpaceDE/>
              <w:autoSpaceDN/>
              <w:bidi w:val="0"/>
              <w:snapToGrid/>
              <w:rPr>
                <w:color w:val="auto"/>
                <w:highlight w:val="none"/>
              </w:rPr>
            </w:pPr>
          </w:p>
        </w:tc>
      </w:tr>
    </w:tbl>
    <w:p w14:paraId="1CE43820">
      <w:pPr>
        <w:keepNext w:val="0"/>
        <w:keepLines w:val="0"/>
        <w:pageBreakBefore w:val="0"/>
        <w:widowControl w:val="0"/>
        <w:kinsoku/>
        <w:wordWrap w:val="0"/>
        <w:overflowPunct/>
        <w:topLinePunct w:val="0"/>
        <w:autoSpaceDE/>
        <w:autoSpaceDN/>
        <w:bidi w:val="0"/>
        <w:adjustRightInd/>
        <w:snapToGrid/>
        <w:spacing w:before="0" w:beforeLines="50" w:line="360" w:lineRule="auto"/>
        <w:ind w:left="1050" w:leftChars="200" w:right="0" w:hanging="630" w:hanging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注：1.投标人应按照招标文件第二章“投标人须知”前附表附录 4和“投标人须知”正文第 1.4.4项规定，逐条说明其信誉情况。</w:t>
      </w:r>
    </w:p>
    <w:p w14:paraId="17DEC916">
      <w:pPr>
        <w:keepNext w:val="0"/>
        <w:keepLines w:val="0"/>
        <w:pageBreakBefore w:val="0"/>
        <w:widowControl w:val="0"/>
        <w:kinsoku/>
        <w:wordWrap w:val="0"/>
        <w:overflowPunct/>
        <w:topLinePunct w:val="0"/>
        <w:autoSpaceDE/>
        <w:autoSpaceDN/>
        <w:bidi w:val="0"/>
        <w:adjustRightInd/>
        <w:snapToGrid/>
        <w:spacing w:line="360" w:lineRule="auto"/>
        <w:ind w:left="1050" w:leftChars="400" w:right="102" w:hanging="210" w:hangingChars="1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2.投标人应根据招标文件第二章“投标人须知”第 3.5.4 项的要求在本表后附相关证明材料。</w:t>
      </w:r>
    </w:p>
    <w:p w14:paraId="593CBD23">
      <w:pPr>
        <w:keepNext w:val="0"/>
        <w:keepLines w:val="0"/>
        <w:pageBreakBefore w:val="0"/>
        <w:widowControl w:val="0"/>
        <w:kinsoku/>
        <w:wordWrap w:val="0"/>
        <w:overflowPunct/>
        <w:topLinePunct w:val="0"/>
        <w:autoSpaceDE/>
        <w:autoSpaceDN/>
        <w:bidi w:val="0"/>
        <w:adjustRightInd/>
        <w:snapToGrid/>
        <w:spacing w:line="360" w:lineRule="auto"/>
        <w:ind w:left="224" w:right="102" w:firstLine="0"/>
        <w:jc w:val="left"/>
        <w:textAlignment w:val="auto"/>
        <w:rPr>
          <w:rFonts w:hint="eastAsia" w:ascii="宋体" w:hAnsi="宋体" w:eastAsia="宋体" w:cs="宋体"/>
          <w:color w:val="auto"/>
          <w:sz w:val="21"/>
          <w:szCs w:val="21"/>
          <w:highlight w:val="none"/>
        </w:rPr>
      </w:pPr>
    </w:p>
    <w:p w14:paraId="6DB5AB94">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left"/>
        <w:rPr>
          <w:rFonts w:ascii="宋体" w:hAnsi="宋体" w:cs="宋体"/>
          <w:color w:val="auto"/>
          <w:kern w:val="0"/>
          <w:sz w:val="24"/>
          <w:highlight w:val="none"/>
        </w:rPr>
      </w:pPr>
    </w:p>
    <w:p w14:paraId="4296D302">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left"/>
        <w:rPr>
          <w:rFonts w:ascii="宋体" w:hAnsi="宋体" w:cs="宋体"/>
          <w:color w:val="auto"/>
          <w:kern w:val="0"/>
          <w:sz w:val="24"/>
          <w:highlight w:val="none"/>
        </w:rPr>
      </w:pPr>
    </w:p>
    <w:p w14:paraId="44CFA484">
      <w:pPr>
        <w:pStyle w:val="10"/>
        <w:keepNext w:val="0"/>
        <w:keepLines w:val="0"/>
        <w:pageBreakBefore w:val="0"/>
        <w:widowControl w:val="0"/>
        <w:kinsoku/>
        <w:wordWrap w:val="0"/>
        <w:overflowPunct/>
        <w:topLinePunct w:val="0"/>
        <w:autoSpaceDE/>
        <w:autoSpaceDN/>
        <w:bidi w:val="0"/>
        <w:adjustRightInd/>
        <w:snapToGrid/>
        <w:spacing w:after="157" w:afterLines="50" w:line="360" w:lineRule="auto"/>
        <w:ind w:left="0" w:right="0"/>
        <w:jc w:val="center"/>
        <w:textAlignment w:val="auto"/>
        <w:rPr>
          <w:rFonts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（六）拟委任的项目经理和项目总工资历表</w:t>
      </w:r>
    </w:p>
    <w:tbl>
      <w:tblPr>
        <w:tblStyle w:val="23"/>
        <w:tblW w:w="0" w:type="auto"/>
        <w:jc w:val="center"/>
        <w:tblLayout w:type="fixed"/>
        <w:tblCellMar>
          <w:top w:w="0" w:type="dxa"/>
          <w:left w:w="0" w:type="dxa"/>
          <w:bottom w:w="0" w:type="dxa"/>
          <w:right w:w="0" w:type="dxa"/>
        </w:tblCellMar>
      </w:tblPr>
      <w:tblGrid>
        <w:gridCol w:w="1261"/>
        <w:gridCol w:w="1377"/>
        <w:gridCol w:w="103"/>
        <w:gridCol w:w="1061"/>
        <w:gridCol w:w="1380"/>
        <w:gridCol w:w="338"/>
        <w:gridCol w:w="1543"/>
        <w:gridCol w:w="387"/>
        <w:gridCol w:w="1282"/>
      </w:tblGrid>
      <w:tr w14:paraId="70F309E1">
        <w:tblPrEx>
          <w:tblCellMar>
            <w:top w:w="0" w:type="dxa"/>
            <w:left w:w="0" w:type="dxa"/>
            <w:bottom w:w="0" w:type="dxa"/>
            <w:right w:w="0" w:type="dxa"/>
          </w:tblCellMar>
        </w:tblPrEx>
        <w:trPr>
          <w:trHeight w:val="562"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34F0A354">
            <w:pPr>
              <w:pStyle w:val="106"/>
              <w:keepNext w:val="0"/>
              <w:keepLines w:val="0"/>
              <w:pageBreakBefore w:val="0"/>
              <w:widowControl w:val="0"/>
              <w:tabs>
                <w:tab w:val="left" w:pos="823"/>
              </w:tabs>
              <w:kinsoku/>
              <w:wordWrap w:val="0"/>
              <w:overflowPunct/>
              <w:topLinePunct w:val="0"/>
              <w:autoSpaceDE/>
              <w:autoSpaceDN/>
              <w:bidi w:val="0"/>
              <w:snapToGrid/>
              <w:spacing w:before="150"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姓</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名</w:t>
            </w:r>
          </w:p>
        </w:tc>
        <w:tc>
          <w:tcPr>
            <w:tcW w:w="1480" w:type="dxa"/>
            <w:gridSpan w:val="2"/>
            <w:tcBorders>
              <w:top w:val="single" w:color="000000" w:sz="4" w:space="0"/>
              <w:left w:val="single" w:color="000000" w:sz="4" w:space="0"/>
              <w:bottom w:val="single" w:color="000000" w:sz="4" w:space="0"/>
              <w:right w:val="single" w:color="000000" w:sz="4" w:space="0"/>
            </w:tcBorders>
            <w:vAlign w:val="center"/>
          </w:tcPr>
          <w:p w14:paraId="3FED987C">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vAlign w:val="center"/>
          </w:tcPr>
          <w:p w14:paraId="1331D8AC">
            <w:pPr>
              <w:pStyle w:val="106"/>
              <w:keepNext w:val="0"/>
              <w:keepLines w:val="0"/>
              <w:pageBreakBefore w:val="0"/>
              <w:widowControl w:val="0"/>
              <w:tabs>
                <w:tab w:val="left" w:pos="736"/>
              </w:tabs>
              <w:kinsoku/>
              <w:wordWrap w:val="0"/>
              <w:overflowPunct/>
              <w:topLinePunct w:val="0"/>
              <w:autoSpaceDE/>
              <w:autoSpaceDN/>
              <w:bidi w:val="0"/>
              <w:snapToGrid/>
              <w:spacing w:before="150" w:line="240" w:lineRule="auto"/>
              <w:ind w:left="105"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龄</w:t>
            </w:r>
          </w:p>
        </w:tc>
        <w:tc>
          <w:tcPr>
            <w:tcW w:w="1380" w:type="dxa"/>
            <w:tcBorders>
              <w:top w:val="single" w:color="000000" w:sz="4" w:space="0"/>
              <w:left w:val="single" w:color="000000" w:sz="4" w:space="0"/>
              <w:bottom w:val="single" w:color="000000" w:sz="4" w:space="0"/>
              <w:right w:val="single" w:color="000000" w:sz="4" w:space="0"/>
            </w:tcBorders>
            <w:vAlign w:val="center"/>
          </w:tcPr>
          <w:p w14:paraId="2E028654">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882" w:type="dxa"/>
            <w:gridSpan w:val="2"/>
            <w:tcBorders>
              <w:top w:val="single" w:color="000000" w:sz="4" w:space="0"/>
              <w:left w:val="single" w:color="000000" w:sz="4" w:space="0"/>
              <w:bottom w:val="single" w:color="000000" w:sz="4" w:space="0"/>
              <w:right w:val="single" w:color="000000" w:sz="4" w:space="0"/>
            </w:tcBorders>
            <w:vAlign w:val="center"/>
          </w:tcPr>
          <w:p w14:paraId="18DF3062">
            <w:pPr>
              <w:pStyle w:val="106"/>
              <w:keepNext w:val="0"/>
              <w:keepLines w:val="0"/>
              <w:pageBreakBefore w:val="0"/>
              <w:widowControl w:val="0"/>
              <w:tabs>
                <w:tab w:val="left" w:pos="1147"/>
              </w:tabs>
              <w:kinsoku/>
              <w:wordWrap w:val="0"/>
              <w:overflowPunct/>
              <w:topLinePunct w:val="0"/>
              <w:autoSpaceDE/>
              <w:autoSpaceDN/>
              <w:bidi w:val="0"/>
              <w:snapToGrid/>
              <w:spacing w:before="150"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专</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业</w:t>
            </w:r>
          </w:p>
        </w:tc>
        <w:tc>
          <w:tcPr>
            <w:tcW w:w="1669" w:type="dxa"/>
            <w:gridSpan w:val="2"/>
            <w:tcBorders>
              <w:top w:val="single" w:color="000000" w:sz="4" w:space="0"/>
              <w:left w:val="single" w:color="000000" w:sz="4" w:space="0"/>
              <w:bottom w:val="single" w:color="000000" w:sz="4" w:space="0"/>
              <w:right w:val="single" w:color="000000" w:sz="4" w:space="0"/>
            </w:tcBorders>
            <w:vAlign w:val="center"/>
          </w:tcPr>
          <w:p w14:paraId="719B88A9">
            <w:pPr>
              <w:keepNext w:val="0"/>
              <w:keepLines w:val="0"/>
              <w:pageBreakBefore w:val="0"/>
              <w:widowControl w:val="0"/>
              <w:kinsoku/>
              <w:wordWrap w:val="0"/>
              <w:overflowPunct/>
              <w:topLinePunct w:val="0"/>
              <w:autoSpaceDE/>
              <w:autoSpaceDN/>
              <w:bidi w:val="0"/>
              <w:snapToGrid/>
              <w:rPr>
                <w:color w:val="auto"/>
                <w:highlight w:val="none"/>
              </w:rPr>
            </w:pPr>
          </w:p>
        </w:tc>
      </w:tr>
      <w:tr w14:paraId="1B0AE32A">
        <w:tblPrEx>
          <w:tblCellMar>
            <w:top w:w="0" w:type="dxa"/>
            <w:left w:w="0" w:type="dxa"/>
            <w:bottom w:w="0" w:type="dxa"/>
            <w:right w:w="0" w:type="dxa"/>
          </w:tblCellMar>
        </w:tblPrEx>
        <w:trPr>
          <w:trHeight w:val="84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084B272A">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技术职称</w:t>
            </w:r>
          </w:p>
        </w:tc>
        <w:tc>
          <w:tcPr>
            <w:tcW w:w="1480" w:type="dxa"/>
            <w:gridSpan w:val="2"/>
            <w:tcBorders>
              <w:top w:val="single" w:color="000000" w:sz="4" w:space="0"/>
              <w:left w:val="single" w:color="000000" w:sz="4" w:space="0"/>
              <w:bottom w:val="single" w:color="000000" w:sz="4" w:space="0"/>
              <w:right w:val="single" w:color="000000" w:sz="4" w:space="0"/>
            </w:tcBorders>
            <w:vAlign w:val="center"/>
          </w:tcPr>
          <w:p w14:paraId="00BE0127">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vAlign w:val="center"/>
          </w:tcPr>
          <w:p w14:paraId="0DB1CF40">
            <w:pPr>
              <w:pStyle w:val="106"/>
              <w:keepNext w:val="0"/>
              <w:keepLines w:val="0"/>
              <w:pageBreakBefore w:val="0"/>
              <w:widowControl w:val="0"/>
              <w:tabs>
                <w:tab w:val="left" w:pos="736"/>
              </w:tabs>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学</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历</w:t>
            </w:r>
          </w:p>
        </w:tc>
        <w:tc>
          <w:tcPr>
            <w:tcW w:w="1380" w:type="dxa"/>
            <w:tcBorders>
              <w:top w:val="single" w:color="000000" w:sz="4" w:space="0"/>
              <w:left w:val="single" w:color="000000" w:sz="4" w:space="0"/>
              <w:bottom w:val="single" w:color="000000" w:sz="4" w:space="0"/>
              <w:right w:val="single" w:color="000000" w:sz="4" w:space="0"/>
            </w:tcBorders>
            <w:vAlign w:val="center"/>
          </w:tcPr>
          <w:p w14:paraId="795C90AF">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882" w:type="dxa"/>
            <w:gridSpan w:val="2"/>
            <w:tcBorders>
              <w:top w:val="single" w:color="000000" w:sz="4" w:space="0"/>
              <w:left w:val="single" w:color="000000" w:sz="4" w:space="0"/>
              <w:bottom w:val="single" w:color="000000" w:sz="4" w:space="0"/>
              <w:right w:val="single" w:color="000000" w:sz="4" w:space="0"/>
            </w:tcBorders>
            <w:vAlign w:val="center"/>
          </w:tcPr>
          <w:p w14:paraId="5BDE78D0">
            <w:pPr>
              <w:pStyle w:val="106"/>
              <w:keepNext w:val="0"/>
              <w:keepLines w:val="0"/>
              <w:pageBreakBefore w:val="0"/>
              <w:widowControl w:val="0"/>
              <w:kinsoku/>
              <w:wordWrap w:val="0"/>
              <w:overflowPunct/>
              <w:topLinePunct w:val="0"/>
              <w:autoSpaceDE/>
              <w:autoSpaceDN/>
              <w:bidi w:val="0"/>
              <w:snapToGrid/>
              <w:spacing w:before="32" w:line="240" w:lineRule="auto"/>
              <w:ind w:left="515" w:right="405" w:hanging="106"/>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拟在本标段</w:t>
            </w:r>
            <w:r>
              <w:rPr>
                <w:rFonts w:ascii="宋体" w:hAnsi="宋体" w:eastAsia="宋体" w:cs="宋体"/>
                <w:color w:val="auto"/>
                <w:spacing w:val="-102"/>
                <w:sz w:val="21"/>
                <w:szCs w:val="21"/>
                <w:highlight w:val="none"/>
              </w:rPr>
              <w:t xml:space="preserve"> </w:t>
            </w:r>
            <w:r>
              <w:rPr>
                <w:rFonts w:ascii="宋体" w:hAnsi="宋体" w:eastAsia="宋体" w:cs="宋体"/>
                <w:color w:val="auto"/>
                <w:sz w:val="21"/>
                <w:szCs w:val="21"/>
                <w:highlight w:val="none"/>
              </w:rPr>
              <w:t>工程任职</w:t>
            </w:r>
          </w:p>
        </w:tc>
        <w:tc>
          <w:tcPr>
            <w:tcW w:w="1669" w:type="dxa"/>
            <w:gridSpan w:val="2"/>
            <w:tcBorders>
              <w:top w:val="single" w:color="000000" w:sz="4" w:space="0"/>
              <w:left w:val="single" w:color="000000" w:sz="4" w:space="0"/>
              <w:bottom w:val="single" w:color="000000" w:sz="4" w:space="0"/>
              <w:right w:val="single" w:color="000000" w:sz="4" w:space="0"/>
            </w:tcBorders>
            <w:vAlign w:val="center"/>
          </w:tcPr>
          <w:p w14:paraId="410CA0C8">
            <w:pPr>
              <w:keepNext w:val="0"/>
              <w:keepLines w:val="0"/>
              <w:pageBreakBefore w:val="0"/>
              <w:widowControl w:val="0"/>
              <w:kinsoku/>
              <w:wordWrap w:val="0"/>
              <w:overflowPunct/>
              <w:topLinePunct w:val="0"/>
              <w:autoSpaceDE/>
              <w:autoSpaceDN/>
              <w:bidi w:val="0"/>
              <w:snapToGrid/>
              <w:rPr>
                <w:color w:val="auto"/>
                <w:highlight w:val="none"/>
              </w:rPr>
            </w:pPr>
          </w:p>
        </w:tc>
      </w:tr>
      <w:tr w14:paraId="6905DE2F">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35812ADA">
            <w:pPr>
              <w:pStyle w:val="106"/>
              <w:keepNext w:val="0"/>
              <w:keepLines w:val="0"/>
              <w:pageBreakBefore w:val="0"/>
              <w:widowControl w:val="0"/>
              <w:kinsoku/>
              <w:wordWrap w:val="0"/>
              <w:overflowPunct/>
              <w:topLinePunct w:val="0"/>
              <w:autoSpaceDE/>
              <w:autoSpaceDN/>
              <w:bidi w:val="0"/>
              <w:snapToGrid/>
              <w:spacing w:before="150" w:line="240" w:lineRule="auto"/>
              <w:ind w:left="19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工作年限</w:t>
            </w:r>
          </w:p>
        </w:tc>
        <w:tc>
          <w:tcPr>
            <w:tcW w:w="3921" w:type="dxa"/>
            <w:gridSpan w:val="4"/>
            <w:tcBorders>
              <w:top w:val="single" w:color="000000" w:sz="4" w:space="0"/>
              <w:left w:val="single" w:color="000000" w:sz="4" w:space="0"/>
              <w:bottom w:val="single" w:color="000000" w:sz="4" w:space="0"/>
              <w:right w:val="single" w:color="000000" w:sz="4" w:space="0"/>
            </w:tcBorders>
            <w:vAlign w:val="center"/>
          </w:tcPr>
          <w:p w14:paraId="7299DC32">
            <w:pPr>
              <w:keepNext w:val="0"/>
              <w:keepLines w:val="0"/>
              <w:pageBreakBefore w:val="0"/>
              <w:widowControl w:val="0"/>
              <w:kinsoku/>
              <w:wordWrap w:val="0"/>
              <w:overflowPunct/>
              <w:topLinePunct w:val="0"/>
              <w:autoSpaceDE/>
              <w:autoSpaceDN/>
              <w:bidi w:val="0"/>
              <w:snapToGrid/>
              <w:rPr>
                <w:color w:val="auto"/>
                <w:highlight w:val="none"/>
              </w:rPr>
            </w:pPr>
          </w:p>
        </w:tc>
        <w:tc>
          <w:tcPr>
            <w:tcW w:w="1882" w:type="dxa"/>
            <w:gridSpan w:val="2"/>
            <w:tcBorders>
              <w:top w:val="single" w:color="000000" w:sz="4" w:space="0"/>
              <w:left w:val="single" w:color="000000" w:sz="4" w:space="0"/>
              <w:bottom w:val="single" w:color="000000" w:sz="4" w:space="0"/>
              <w:right w:val="single" w:color="000000" w:sz="4" w:space="0"/>
            </w:tcBorders>
            <w:vAlign w:val="center"/>
          </w:tcPr>
          <w:p w14:paraId="205AE185">
            <w:pPr>
              <w:pStyle w:val="106"/>
              <w:keepNext w:val="0"/>
              <w:keepLines w:val="0"/>
              <w:pageBreakBefore w:val="0"/>
              <w:widowControl w:val="0"/>
              <w:kinsoku/>
              <w:wordWrap w:val="0"/>
              <w:overflowPunct/>
              <w:topLinePunct w:val="0"/>
              <w:autoSpaceDE/>
              <w:autoSpaceDN/>
              <w:bidi w:val="0"/>
              <w:snapToGrid/>
              <w:spacing w:before="150" w:line="240" w:lineRule="auto"/>
              <w:ind w:left="95"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类似施工经验年限</w:t>
            </w:r>
          </w:p>
        </w:tc>
        <w:tc>
          <w:tcPr>
            <w:tcW w:w="1669" w:type="dxa"/>
            <w:gridSpan w:val="2"/>
            <w:tcBorders>
              <w:top w:val="single" w:color="000000" w:sz="4" w:space="0"/>
              <w:left w:val="single" w:color="000000" w:sz="4" w:space="0"/>
              <w:bottom w:val="single" w:color="000000" w:sz="4" w:space="0"/>
              <w:right w:val="single" w:color="000000" w:sz="4" w:space="0"/>
            </w:tcBorders>
            <w:vAlign w:val="center"/>
          </w:tcPr>
          <w:p w14:paraId="02DC5FD0">
            <w:pPr>
              <w:keepNext w:val="0"/>
              <w:keepLines w:val="0"/>
              <w:pageBreakBefore w:val="0"/>
              <w:widowControl w:val="0"/>
              <w:kinsoku/>
              <w:wordWrap w:val="0"/>
              <w:overflowPunct/>
              <w:topLinePunct w:val="0"/>
              <w:autoSpaceDE/>
              <w:autoSpaceDN/>
              <w:bidi w:val="0"/>
              <w:snapToGrid/>
              <w:rPr>
                <w:color w:val="auto"/>
                <w:highlight w:val="none"/>
              </w:rPr>
            </w:pPr>
          </w:p>
        </w:tc>
      </w:tr>
      <w:tr w14:paraId="25D35FA9">
        <w:tblPrEx>
          <w:tblCellMar>
            <w:top w:w="0" w:type="dxa"/>
            <w:left w:w="0" w:type="dxa"/>
            <w:bottom w:w="0" w:type="dxa"/>
            <w:right w:w="0" w:type="dxa"/>
          </w:tblCellMar>
        </w:tblPrEx>
        <w:trPr>
          <w:trHeight w:val="531"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7B9DF16A">
            <w:pPr>
              <w:pStyle w:val="106"/>
              <w:keepNext w:val="0"/>
              <w:keepLines w:val="0"/>
              <w:pageBreakBefore w:val="0"/>
              <w:widowControl w:val="0"/>
              <w:kinsoku/>
              <w:wordWrap w:val="0"/>
              <w:overflowPunct/>
              <w:topLinePunct w:val="0"/>
              <w:autoSpaceDE/>
              <w:autoSpaceDN/>
              <w:bidi w:val="0"/>
              <w:snapToGrid/>
              <w:spacing w:before="151" w:line="240" w:lineRule="auto"/>
              <w:ind w:left="19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毕业学校</w:t>
            </w:r>
          </w:p>
        </w:tc>
        <w:tc>
          <w:tcPr>
            <w:tcW w:w="7472" w:type="dxa"/>
            <w:gridSpan w:val="8"/>
            <w:tcBorders>
              <w:top w:val="single" w:color="000000" w:sz="4" w:space="0"/>
              <w:left w:val="single" w:color="000000" w:sz="4" w:space="0"/>
              <w:bottom w:val="single" w:color="000000" w:sz="4" w:space="0"/>
              <w:right w:val="single" w:color="000000" w:sz="4" w:space="0"/>
            </w:tcBorders>
            <w:vAlign w:val="center"/>
          </w:tcPr>
          <w:p w14:paraId="694DF452">
            <w:pPr>
              <w:pStyle w:val="106"/>
              <w:keepNext w:val="0"/>
              <w:keepLines w:val="0"/>
              <w:pageBreakBefore w:val="0"/>
              <w:widowControl w:val="0"/>
              <w:tabs>
                <w:tab w:val="left" w:pos="526"/>
                <w:tab w:val="left" w:pos="1052"/>
                <w:tab w:val="left" w:pos="3887"/>
                <w:tab w:val="left" w:pos="5462"/>
                <w:tab w:val="left" w:pos="7140"/>
              </w:tabs>
              <w:kinsoku/>
              <w:wordWrap w:val="0"/>
              <w:overflowPunct/>
              <w:topLinePunct w:val="0"/>
              <w:autoSpaceDE/>
              <w:autoSpaceDN/>
              <w:bidi w:val="0"/>
              <w:snapToGrid/>
              <w:spacing w:before="151" w:line="240" w:lineRule="auto"/>
              <w:ind w:left="1" w:right="0" w:firstLine="210" w:firstLineChars="100"/>
              <w:jc w:val="both"/>
              <w:rPr>
                <w:rFonts w:ascii="宋体" w:hAnsi="宋体" w:eastAsia="宋体" w:cs="宋体"/>
                <w:color w:val="auto"/>
                <w:sz w:val="21"/>
                <w:szCs w:val="21"/>
                <w:highlight w:val="none"/>
              </w:rPr>
            </w:pPr>
            <w:r>
              <w:rPr>
                <w:rFonts w:ascii="Times New Roman" w:hAnsi="Times New Roman" w:eastAsia="Times New Roman" w:cs="Times New Roman"/>
                <w:color w:val="auto"/>
                <w:w w:val="100"/>
                <w:sz w:val="21"/>
                <w:szCs w:val="21"/>
                <w:highlight w:val="none"/>
                <w:u w:val="single" w:color="000000"/>
              </w:rPr>
              <w:t xml:space="preserve"> </w:t>
            </w:r>
            <w:r>
              <w:rPr>
                <w:rFonts w:hint="eastAsia" w:ascii="Times New Roman" w:hAnsi="Times New Roman" w:eastAsia="宋体" w:cs="Times New Roman"/>
                <w:color w:val="auto"/>
                <w:w w:val="100"/>
                <w:sz w:val="21"/>
                <w:szCs w:val="21"/>
                <w:highlight w:val="none"/>
                <w:u w:val="single" w:color="000000"/>
                <w:lang w:val="en-US" w:eastAsia="zh-CN"/>
              </w:rPr>
              <w:t xml:space="preserve">     </w:t>
            </w:r>
            <w:r>
              <w:rPr>
                <w:rFonts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pacing w:val="-2"/>
                <w:sz w:val="21"/>
                <w:szCs w:val="21"/>
                <w:highlight w:val="none"/>
              </w:rPr>
              <w:t>月毕业于</w:t>
            </w:r>
            <w:r>
              <w:rPr>
                <w:rFonts w:hint="eastAsia" w:ascii="宋体" w:hAnsi="宋体" w:eastAsia="宋体" w:cs="宋体"/>
                <w:color w:val="auto"/>
                <w:spacing w:val="-2"/>
                <w:sz w:val="21"/>
                <w:szCs w:val="21"/>
                <w:highlight w:val="none"/>
                <w:u w:val="single"/>
                <w:lang w:val="en-US" w:eastAsia="zh-CN"/>
              </w:rPr>
              <w:t xml:space="preserve">            </w:t>
            </w:r>
            <w:r>
              <w:rPr>
                <w:rFonts w:ascii="宋体" w:hAnsi="宋体" w:eastAsia="宋体" w:cs="宋体"/>
                <w:color w:val="auto"/>
                <w:spacing w:val="-2"/>
                <w:sz w:val="21"/>
                <w:szCs w:val="21"/>
                <w:highlight w:val="none"/>
              </w:rPr>
              <w:t>学校</w:t>
            </w:r>
            <w:r>
              <w:rPr>
                <w:rFonts w:ascii="Times New Roman" w:hAnsi="Times New Roman" w:eastAsia="Times New Roman" w:cs="Times New Roman"/>
                <w:color w:val="auto"/>
                <w:spacing w:val="-2"/>
                <w:sz w:val="21"/>
                <w:szCs w:val="21"/>
                <w:highlight w:val="none"/>
                <w:u w:val="single" w:color="000000"/>
              </w:rPr>
              <w:tab/>
            </w:r>
            <w:r>
              <w:rPr>
                <w:rFonts w:ascii="宋体" w:hAnsi="宋体" w:eastAsia="宋体" w:cs="宋体"/>
                <w:color w:val="auto"/>
                <w:spacing w:val="-2"/>
                <w:sz w:val="21"/>
                <w:szCs w:val="21"/>
                <w:highlight w:val="none"/>
              </w:rPr>
              <w:t>专业，学制</w:t>
            </w:r>
            <w:r>
              <w:rPr>
                <w:rFonts w:hint="eastAsia" w:ascii="宋体" w:hAnsi="宋体" w:eastAsia="宋体" w:cs="宋体"/>
                <w:color w:val="auto"/>
                <w:spacing w:val="-2"/>
                <w:sz w:val="21"/>
                <w:szCs w:val="21"/>
                <w:highlight w:val="none"/>
                <w:u w:val="single"/>
                <w:lang w:val="en-US" w:eastAsia="zh-CN"/>
              </w:rPr>
              <w:t xml:space="preserve">     </w:t>
            </w:r>
            <w:r>
              <w:rPr>
                <w:rFonts w:ascii="宋体" w:hAnsi="宋体" w:eastAsia="宋体" w:cs="宋体"/>
                <w:color w:val="auto"/>
                <w:sz w:val="21"/>
                <w:szCs w:val="21"/>
                <w:highlight w:val="none"/>
              </w:rPr>
              <w:t>年</w:t>
            </w:r>
          </w:p>
        </w:tc>
      </w:tr>
      <w:tr w14:paraId="438AA557">
        <w:tblPrEx>
          <w:tblCellMar>
            <w:top w:w="0" w:type="dxa"/>
            <w:left w:w="0" w:type="dxa"/>
            <w:bottom w:w="0" w:type="dxa"/>
            <w:right w:w="0" w:type="dxa"/>
          </w:tblCellMar>
        </w:tblPrEx>
        <w:trPr>
          <w:trHeight w:val="528" w:hRule="exact"/>
          <w:jc w:val="center"/>
        </w:trPr>
        <w:tc>
          <w:tcPr>
            <w:tcW w:w="8733" w:type="dxa"/>
            <w:gridSpan w:val="9"/>
            <w:tcBorders>
              <w:top w:val="single" w:color="000000" w:sz="4" w:space="0"/>
              <w:left w:val="single" w:color="000000" w:sz="4" w:space="0"/>
              <w:bottom w:val="single" w:color="000000" w:sz="4" w:space="0"/>
              <w:right w:val="single" w:color="000000" w:sz="4" w:space="0"/>
            </w:tcBorders>
            <w:vAlign w:val="center"/>
          </w:tcPr>
          <w:p w14:paraId="5793EE8A">
            <w:pPr>
              <w:pStyle w:val="106"/>
              <w:keepNext w:val="0"/>
              <w:keepLines w:val="0"/>
              <w:pageBreakBefore w:val="0"/>
              <w:widowControl w:val="0"/>
              <w:tabs>
                <w:tab w:val="left" w:pos="1161"/>
              </w:tabs>
              <w:kinsoku/>
              <w:wordWrap w:val="0"/>
              <w:overflowPunct/>
              <w:topLinePunct w:val="0"/>
              <w:autoSpaceDE/>
              <w:autoSpaceDN/>
              <w:bidi w:val="0"/>
              <w:snapToGrid/>
              <w:spacing w:before="150" w:line="240" w:lineRule="auto"/>
              <w:ind w:left="4"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经</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历</w:t>
            </w:r>
          </w:p>
        </w:tc>
      </w:tr>
      <w:tr w14:paraId="3058AA91">
        <w:tblPrEx>
          <w:tblCellMar>
            <w:top w:w="0" w:type="dxa"/>
            <w:left w:w="0" w:type="dxa"/>
            <w:bottom w:w="0" w:type="dxa"/>
            <w:right w:w="0" w:type="dxa"/>
          </w:tblCellMar>
        </w:tblPrEx>
        <w:trPr>
          <w:trHeight w:val="931"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15586D1B">
            <w:pPr>
              <w:pStyle w:val="106"/>
              <w:keepNext w:val="0"/>
              <w:keepLines w:val="0"/>
              <w:pageBreakBefore w:val="0"/>
              <w:widowControl w:val="0"/>
              <w:tabs>
                <w:tab w:val="left" w:pos="743"/>
              </w:tabs>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间</w:t>
            </w: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655A3531">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参加过的类似工程项目名称</w:t>
            </w: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4F475472">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担任职务</w:t>
            </w:r>
          </w:p>
        </w:tc>
        <w:tc>
          <w:tcPr>
            <w:tcW w:w="1282" w:type="dxa"/>
            <w:tcBorders>
              <w:top w:val="single" w:color="000000" w:sz="4" w:space="0"/>
              <w:left w:val="single" w:color="000000" w:sz="4" w:space="0"/>
              <w:bottom w:val="single" w:color="000000" w:sz="4" w:space="0"/>
              <w:right w:val="single" w:color="000000" w:sz="4" w:space="0"/>
            </w:tcBorders>
            <w:vAlign w:val="center"/>
          </w:tcPr>
          <w:p w14:paraId="268F021E">
            <w:pPr>
              <w:pStyle w:val="106"/>
              <w:keepNext w:val="0"/>
              <w:keepLines w:val="0"/>
              <w:pageBreakBefore w:val="0"/>
              <w:widowControl w:val="0"/>
              <w:kinsoku/>
              <w:wordWrap w:val="0"/>
              <w:overflowPunct/>
              <w:topLinePunct w:val="0"/>
              <w:autoSpaceDE/>
              <w:autoSpaceDN/>
              <w:bidi w:val="0"/>
              <w:snapToGrid/>
              <w:spacing w:before="153" w:line="240" w:lineRule="auto"/>
              <w:ind w:right="108"/>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发包人及联</w:t>
            </w:r>
            <w:r>
              <w:rPr>
                <w:rFonts w:ascii="宋体" w:hAnsi="宋体" w:eastAsia="宋体" w:cs="宋体"/>
                <w:color w:val="auto"/>
                <w:spacing w:val="-102"/>
                <w:sz w:val="21"/>
                <w:szCs w:val="21"/>
                <w:highlight w:val="none"/>
              </w:rPr>
              <w:t xml:space="preserve"> </w:t>
            </w:r>
            <w:r>
              <w:rPr>
                <w:rFonts w:ascii="宋体" w:hAnsi="宋体" w:eastAsia="宋体" w:cs="宋体"/>
                <w:color w:val="auto"/>
                <w:sz w:val="21"/>
                <w:szCs w:val="21"/>
                <w:highlight w:val="none"/>
              </w:rPr>
              <w:t>系电话</w:t>
            </w:r>
          </w:p>
        </w:tc>
      </w:tr>
      <w:tr w14:paraId="28A4C92B">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787E56A9">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0FCDC236">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75B7BFCA">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74CA446A">
            <w:pPr>
              <w:keepNext w:val="0"/>
              <w:keepLines w:val="0"/>
              <w:pageBreakBefore w:val="0"/>
              <w:widowControl w:val="0"/>
              <w:kinsoku/>
              <w:wordWrap w:val="0"/>
              <w:overflowPunct/>
              <w:topLinePunct w:val="0"/>
              <w:autoSpaceDE/>
              <w:autoSpaceDN/>
              <w:bidi w:val="0"/>
              <w:snapToGrid/>
              <w:rPr>
                <w:color w:val="auto"/>
                <w:highlight w:val="none"/>
              </w:rPr>
            </w:pPr>
          </w:p>
        </w:tc>
      </w:tr>
      <w:tr w14:paraId="517CCAC8">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29D168A6">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4BEB1DE0">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0C11B9E6">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4B201027">
            <w:pPr>
              <w:keepNext w:val="0"/>
              <w:keepLines w:val="0"/>
              <w:pageBreakBefore w:val="0"/>
              <w:widowControl w:val="0"/>
              <w:kinsoku/>
              <w:wordWrap w:val="0"/>
              <w:overflowPunct/>
              <w:topLinePunct w:val="0"/>
              <w:autoSpaceDE/>
              <w:autoSpaceDN/>
              <w:bidi w:val="0"/>
              <w:snapToGrid/>
              <w:rPr>
                <w:color w:val="auto"/>
                <w:highlight w:val="none"/>
              </w:rPr>
            </w:pPr>
          </w:p>
        </w:tc>
      </w:tr>
      <w:tr w14:paraId="56368B30">
        <w:tblPrEx>
          <w:tblCellMar>
            <w:top w:w="0" w:type="dxa"/>
            <w:left w:w="0" w:type="dxa"/>
            <w:bottom w:w="0" w:type="dxa"/>
            <w:right w:w="0" w:type="dxa"/>
          </w:tblCellMar>
        </w:tblPrEx>
        <w:trPr>
          <w:trHeight w:val="528"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1DB82F87">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2CD341DA">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0D1EFA8D">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3989BA09">
            <w:pPr>
              <w:keepNext w:val="0"/>
              <w:keepLines w:val="0"/>
              <w:pageBreakBefore w:val="0"/>
              <w:widowControl w:val="0"/>
              <w:kinsoku/>
              <w:wordWrap w:val="0"/>
              <w:overflowPunct/>
              <w:topLinePunct w:val="0"/>
              <w:autoSpaceDE/>
              <w:autoSpaceDN/>
              <w:bidi w:val="0"/>
              <w:snapToGrid/>
              <w:rPr>
                <w:color w:val="auto"/>
                <w:highlight w:val="none"/>
              </w:rPr>
            </w:pPr>
          </w:p>
        </w:tc>
      </w:tr>
      <w:tr w14:paraId="0CE235C5">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4DC866DF">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48BA88BF">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4A743E17">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755B7AD0">
            <w:pPr>
              <w:keepNext w:val="0"/>
              <w:keepLines w:val="0"/>
              <w:pageBreakBefore w:val="0"/>
              <w:widowControl w:val="0"/>
              <w:kinsoku/>
              <w:wordWrap w:val="0"/>
              <w:overflowPunct/>
              <w:topLinePunct w:val="0"/>
              <w:autoSpaceDE/>
              <w:autoSpaceDN/>
              <w:bidi w:val="0"/>
              <w:snapToGrid/>
              <w:rPr>
                <w:color w:val="auto"/>
                <w:highlight w:val="none"/>
              </w:rPr>
            </w:pPr>
          </w:p>
        </w:tc>
      </w:tr>
      <w:tr w14:paraId="6B2B1CC8">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4DB4449C">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452657B5">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7AB08B5B">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57C4DFE9">
            <w:pPr>
              <w:keepNext w:val="0"/>
              <w:keepLines w:val="0"/>
              <w:pageBreakBefore w:val="0"/>
              <w:widowControl w:val="0"/>
              <w:kinsoku/>
              <w:wordWrap w:val="0"/>
              <w:overflowPunct/>
              <w:topLinePunct w:val="0"/>
              <w:autoSpaceDE/>
              <w:autoSpaceDN/>
              <w:bidi w:val="0"/>
              <w:snapToGrid/>
              <w:rPr>
                <w:color w:val="auto"/>
                <w:highlight w:val="none"/>
              </w:rPr>
            </w:pPr>
          </w:p>
        </w:tc>
      </w:tr>
      <w:tr w14:paraId="33EE0551">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12D3507C">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4DD01368">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6F651B77">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4137798A">
            <w:pPr>
              <w:keepNext w:val="0"/>
              <w:keepLines w:val="0"/>
              <w:pageBreakBefore w:val="0"/>
              <w:widowControl w:val="0"/>
              <w:kinsoku/>
              <w:wordWrap w:val="0"/>
              <w:overflowPunct/>
              <w:topLinePunct w:val="0"/>
              <w:autoSpaceDE/>
              <w:autoSpaceDN/>
              <w:bidi w:val="0"/>
              <w:snapToGrid/>
              <w:rPr>
                <w:color w:val="auto"/>
                <w:highlight w:val="none"/>
              </w:rPr>
            </w:pPr>
          </w:p>
        </w:tc>
      </w:tr>
      <w:tr w14:paraId="721BF1FC">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4E95C752">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58AA3D1E">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05CFA8B7">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02421939">
            <w:pPr>
              <w:keepNext w:val="0"/>
              <w:keepLines w:val="0"/>
              <w:pageBreakBefore w:val="0"/>
              <w:widowControl w:val="0"/>
              <w:kinsoku/>
              <w:wordWrap w:val="0"/>
              <w:overflowPunct/>
              <w:topLinePunct w:val="0"/>
              <w:autoSpaceDE/>
              <w:autoSpaceDN/>
              <w:bidi w:val="0"/>
              <w:snapToGrid/>
              <w:rPr>
                <w:color w:val="auto"/>
                <w:highlight w:val="none"/>
              </w:rPr>
            </w:pPr>
          </w:p>
        </w:tc>
      </w:tr>
      <w:tr w14:paraId="1522E892">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38C101D8">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5327E16A">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556E066A">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040FADED">
            <w:pPr>
              <w:keepNext w:val="0"/>
              <w:keepLines w:val="0"/>
              <w:pageBreakBefore w:val="0"/>
              <w:widowControl w:val="0"/>
              <w:kinsoku/>
              <w:wordWrap w:val="0"/>
              <w:overflowPunct/>
              <w:topLinePunct w:val="0"/>
              <w:autoSpaceDE/>
              <w:autoSpaceDN/>
              <w:bidi w:val="0"/>
              <w:snapToGrid/>
              <w:rPr>
                <w:color w:val="auto"/>
                <w:highlight w:val="none"/>
              </w:rPr>
            </w:pPr>
          </w:p>
        </w:tc>
      </w:tr>
      <w:tr w14:paraId="73EEF3DB">
        <w:tblPrEx>
          <w:tblCellMar>
            <w:top w:w="0" w:type="dxa"/>
            <w:left w:w="0" w:type="dxa"/>
            <w:bottom w:w="0" w:type="dxa"/>
            <w:right w:w="0" w:type="dxa"/>
          </w:tblCellMar>
        </w:tblPrEx>
        <w:trPr>
          <w:trHeight w:val="529"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7B3E7118">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6EF63FFC">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03938314">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6321EB25">
            <w:pPr>
              <w:keepNext w:val="0"/>
              <w:keepLines w:val="0"/>
              <w:pageBreakBefore w:val="0"/>
              <w:widowControl w:val="0"/>
              <w:kinsoku/>
              <w:wordWrap w:val="0"/>
              <w:overflowPunct/>
              <w:topLinePunct w:val="0"/>
              <w:autoSpaceDE/>
              <w:autoSpaceDN/>
              <w:bidi w:val="0"/>
              <w:snapToGrid/>
              <w:rPr>
                <w:color w:val="auto"/>
                <w:highlight w:val="none"/>
              </w:rPr>
            </w:pPr>
          </w:p>
        </w:tc>
      </w:tr>
      <w:tr w14:paraId="0013E2E2">
        <w:tblPrEx>
          <w:tblCellMar>
            <w:top w:w="0" w:type="dxa"/>
            <w:left w:w="0" w:type="dxa"/>
            <w:bottom w:w="0" w:type="dxa"/>
            <w:right w:w="0" w:type="dxa"/>
          </w:tblCellMar>
        </w:tblPrEx>
        <w:trPr>
          <w:trHeight w:val="530" w:hRule="exact"/>
          <w:jc w:val="center"/>
        </w:trPr>
        <w:tc>
          <w:tcPr>
            <w:tcW w:w="2638" w:type="dxa"/>
            <w:gridSpan w:val="2"/>
            <w:tcBorders>
              <w:top w:val="single" w:color="000000" w:sz="4" w:space="0"/>
              <w:left w:val="single" w:color="000000" w:sz="4" w:space="0"/>
              <w:bottom w:val="single" w:color="000000" w:sz="4" w:space="0"/>
              <w:right w:val="single" w:color="000000" w:sz="4" w:space="0"/>
            </w:tcBorders>
            <w:vAlign w:val="center"/>
          </w:tcPr>
          <w:p w14:paraId="55E99E1E">
            <w:pPr>
              <w:pStyle w:val="106"/>
              <w:keepNext w:val="0"/>
              <w:keepLines w:val="0"/>
              <w:pageBreakBefore w:val="0"/>
              <w:widowControl w:val="0"/>
              <w:kinsoku/>
              <w:wordWrap w:val="0"/>
              <w:overflowPunct/>
              <w:topLinePunct w:val="0"/>
              <w:autoSpaceDE/>
              <w:autoSpaceDN/>
              <w:bidi w:val="0"/>
              <w:snapToGrid/>
              <w:spacing w:before="153"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获奖情况</w:t>
            </w:r>
          </w:p>
        </w:tc>
        <w:tc>
          <w:tcPr>
            <w:tcW w:w="6095" w:type="dxa"/>
            <w:gridSpan w:val="7"/>
            <w:tcBorders>
              <w:top w:val="single" w:color="000000" w:sz="4" w:space="0"/>
              <w:left w:val="single" w:color="000000" w:sz="4" w:space="0"/>
              <w:bottom w:val="single" w:color="000000" w:sz="4" w:space="0"/>
              <w:right w:val="single" w:color="000000" w:sz="4" w:space="0"/>
            </w:tcBorders>
            <w:vAlign w:val="center"/>
          </w:tcPr>
          <w:p w14:paraId="6E78D4D9">
            <w:pPr>
              <w:keepNext w:val="0"/>
              <w:keepLines w:val="0"/>
              <w:pageBreakBefore w:val="0"/>
              <w:widowControl w:val="0"/>
              <w:kinsoku/>
              <w:wordWrap w:val="0"/>
              <w:overflowPunct/>
              <w:topLinePunct w:val="0"/>
              <w:autoSpaceDE/>
              <w:autoSpaceDN/>
              <w:bidi w:val="0"/>
              <w:snapToGrid/>
              <w:rPr>
                <w:color w:val="auto"/>
                <w:highlight w:val="none"/>
              </w:rPr>
            </w:pPr>
          </w:p>
        </w:tc>
      </w:tr>
      <w:tr w14:paraId="59FC686F">
        <w:tblPrEx>
          <w:tblCellMar>
            <w:top w:w="0" w:type="dxa"/>
            <w:left w:w="0" w:type="dxa"/>
            <w:bottom w:w="0" w:type="dxa"/>
            <w:right w:w="0" w:type="dxa"/>
          </w:tblCellMar>
        </w:tblPrEx>
        <w:trPr>
          <w:trHeight w:val="1383" w:hRule="exact"/>
          <w:jc w:val="center"/>
        </w:trPr>
        <w:tc>
          <w:tcPr>
            <w:tcW w:w="2638" w:type="dxa"/>
            <w:gridSpan w:val="2"/>
            <w:tcBorders>
              <w:top w:val="single" w:color="000000" w:sz="4" w:space="0"/>
              <w:left w:val="single" w:color="000000" w:sz="4" w:space="0"/>
              <w:bottom w:val="single" w:color="000000" w:sz="4" w:space="0"/>
              <w:right w:val="single" w:color="000000" w:sz="4" w:space="0"/>
            </w:tcBorders>
            <w:vAlign w:val="center"/>
          </w:tcPr>
          <w:p w14:paraId="7DC13B30">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54589909">
            <w:pPr>
              <w:pStyle w:val="106"/>
              <w:keepNext w:val="0"/>
              <w:keepLines w:val="0"/>
              <w:pageBreakBefore w:val="0"/>
              <w:widowControl w:val="0"/>
              <w:kinsoku/>
              <w:wordWrap w:val="0"/>
              <w:overflowPunct/>
              <w:topLinePunct w:val="0"/>
              <w:autoSpaceDE/>
              <w:autoSpaceDN/>
              <w:bidi w:val="0"/>
              <w:snapToGrid/>
              <w:spacing w:before="1" w:line="240" w:lineRule="auto"/>
              <w:ind w:right="0"/>
              <w:jc w:val="left"/>
              <w:rPr>
                <w:rFonts w:ascii="黑体" w:hAnsi="黑体" w:eastAsia="黑体" w:cs="黑体"/>
                <w:color w:val="auto"/>
                <w:sz w:val="16"/>
                <w:szCs w:val="16"/>
                <w:highlight w:val="none"/>
              </w:rPr>
            </w:pPr>
          </w:p>
          <w:p w14:paraId="345C1935">
            <w:pPr>
              <w:pStyle w:val="106"/>
              <w:keepNext w:val="0"/>
              <w:keepLines w:val="0"/>
              <w:pageBreakBefore w:val="0"/>
              <w:widowControl w:val="0"/>
              <w:kinsoku/>
              <w:wordWrap w:val="0"/>
              <w:overflowPunct/>
              <w:topLinePunct w:val="0"/>
              <w:autoSpaceDE/>
              <w:autoSpaceDN/>
              <w:bidi w:val="0"/>
              <w:snapToGrid/>
              <w:spacing w:line="240" w:lineRule="auto"/>
              <w:ind w:left="68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说明在岗情况</w:t>
            </w:r>
          </w:p>
        </w:tc>
        <w:tc>
          <w:tcPr>
            <w:tcW w:w="6095" w:type="dxa"/>
            <w:gridSpan w:val="7"/>
            <w:tcBorders>
              <w:top w:val="single" w:color="000000" w:sz="4" w:space="0"/>
              <w:left w:val="single" w:color="000000" w:sz="4" w:space="0"/>
              <w:bottom w:val="single" w:color="000000" w:sz="4" w:space="0"/>
              <w:right w:val="single" w:color="000000" w:sz="4" w:space="0"/>
            </w:tcBorders>
            <w:vAlign w:val="center"/>
          </w:tcPr>
          <w:p w14:paraId="55DD4528">
            <w:pPr>
              <w:pStyle w:val="106"/>
              <w:keepNext w:val="0"/>
              <w:keepLines w:val="0"/>
              <w:pageBreakBefore w:val="0"/>
              <w:widowControl w:val="0"/>
              <w:tabs>
                <w:tab w:val="left" w:pos="5775"/>
              </w:tabs>
              <w:kinsoku/>
              <w:wordWrap w:val="0"/>
              <w:overflowPunct/>
              <w:topLinePunct w:val="0"/>
              <w:autoSpaceDE/>
              <w:autoSpaceDN/>
              <w:bidi w:val="0"/>
              <w:snapToGrid/>
              <w:spacing w:before="54" w:line="240" w:lineRule="auto"/>
              <w:ind w:left="103" w:right="0"/>
              <w:jc w:val="left"/>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□目前未在其他项目上任职，现从事工作为：</w:t>
            </w:r>
            <w:r>
              <w:rPr>
                <w:rFonts w:ascii="Times New Roman" w:hAnsi="Times New Roman" w:eastAsia="Times New Roman" w:cs="Times New Roman"/>
                <w:color w:val="auto"/>
                <w:spacing w:val="-2"/>
                <w:sz w:val="21"/>
                <w:szCs w:val="21"/>
                <w:highlight w:val="none"/>
                <w:u w:val="single" w:color="000000"/>
              </w:rPr>
              <w:tab/>
            </w:r>
          </w:p>
          <w:p w14:paraId="1E58CA8E">
            <w:pPr>
              <w:pStyle w:val="106"/>
              <w:keepNext w:val="0"/>
              <w:keepLines w:val="0"/>
              <w:pageBreakBefore w:val="0"/>
              <w:widowControl w:val="0"/>
              <w:tabs>
                <w:tab w:val="left" w:pos="3621"/>
                <w:tab w:val="left" w:pos="5878"/>
              </w:tabs>
              <w:kinsoku/>
              <w:wordWrap w:val="0"/>
              <w:overflowPunct/>
              <w:topLinePunct w:val="0"/>
              <w:autoSpaceDE/>
              <w:autoSpaceDN/>
              <w:bidi w:val="0"/>
              <w:snapToGrid/>
              <w:spacing w:before="46" w:line="400" w:lineRule="exact"/>
              <w:ind w:left="103" w:right="-5"/>
              <w:jc w:val="left"/>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□目前虽在其他项目上任职，但本项目中标后能够从该项目撤</w:t>
            </w:r>
            <w:r>
              <w:rPr>
                <w:rFonts w:ascii="宋体" w:hAnsi="宋体" w:eastAsia="宋体" w:cs="宋体"/>
                <w:color w:val="auto"/>
                <w:spacing w:val="-39"/>
                <w:sz w:val="21"/>
                <w:szCs w:val="21"/>
                <w:highlight w:val="none"/>
              </w:rPr>
              <w:t xml:space="preserve"> </w:t>
            </w:r>
            <w:r>
              <w:rPr>
                <w:rFonts w:ascii="宋体" w:hAnsi="宋体" w:eastAsia="宋体" w:cs="宋体"/>
                <w:color w:val="auto"/>
                <w:spacing w:val="-10"/>
                <w:sz w:val="21"/>
                <w:szCs w:val="21"/>
                <w:highlight w:val="none"/>
              </w:rPr>
              <w:t>离，目前任职</w:t>
            </w:r>
            <w:r>
              <w:rPr>
                <w:rFonts w:ascii="宋体" w:hAnsi="宋体" w:eastAsia="宋体" w:cs="宋体"/>
                <w:color w:val="auto"/>
                <w:spacing w:val="-10"/>
                <w:sz w:val="21"/>
                <w:szCs w:val="21"/>
                <w:highlight w:val="none"/>
                <w:u w:val="none" w:color="auto"/>
              </w:rPr>
              <w:t>项目</w:t>
            </w:r>
            <w:r>
              <w:rPr>
                <w:rFonts w:hint="eastAsia" w:ascii="宋体" w:hAnsi="宋体" w:eastAsia="宋体" w:cs="宋体"/>
                <w:color w:val="auto"/>
                <w:spacing w:val="-10"/>
                <w:sz w:val="21"/>
                <w:szCs w:val="21"/>
                <w:highlight w:val="none"/>
                <w:u w:val="none" w:color="auto"/>
                <w:lang w:eastAsia="zh-CN"/>
              </w:rPr>
              <w:t>：</w:t>
            </w:r>
            <w:r>
              <w:rPr>
                <w:rFonts w:hint="eastAsia" w:ascii="宋体" w:hAnsi="宋体" w:eastAsia="宋体" w:cs="宋体"/>
                <w:color w:val="auto"/>
                <w:spacing w:val="-10"/>
                <w:sz w:val="21"/>
                <w:szCs w:val="21"/>
                <w:highlight w:val="none"/>
                <w:u w:val="single" w:color="auto"/>
                <w:lang w:val="en-US" w:eastAsia="zh-CN"/>
              </w:rPr>
              <w:t xml:space="preserve">           </w:t>
            </w:r>
            <w:r>
              <w:rPr>
                <w:rFonts w:ascii="宋体" w:hAnsi="宋体" w:eastAsia="宋体" w:cs="宋体"/>
                <w:color w:val="auto"/>
                <w:spacing w:val="-15"/>
                <w:sz w:val="21"/>
                <w:szCs w:val="21"/>
                <w:highlight w:val="none"/>
              </w:rPr>
              <w:t>，</w:t>
            </w:r>
            <w:r>
              <w:rPr>
                <w:rFonts w:ascii="宋体" w:hAnsi="宋体" w:eastAsia="宋体" w:cs="宋体"/>
                <w:color w:val="auto"/>
                <w:spacing w:val="-10"/>
                <w:sz w:val="21"/>
                <w:szCs w:val="21"/>
                <w:highlight w:val="none"/>
                <w:u w:val="none" w:color="auto"/>
              </w:rPr>
              <w:t>担任职位</w:t>
            </w:r>
            <w:r>
              <w:rPr>
                <w:rFonts w:hint="eastAsia" w:ascii="宋体" w:hAnsi="宋体" w:eastAsia="宋体" w:cs="宋体"/>
                <w:color w:val="auto"/>
                <w:spacing w:val="-10"/>
                <w:sz w:val="21"/>
                <w:szCs w:val="21"/>
                <w:highlight w:val="none"/>
                <w:u w:val="none" w:color="auto"/>
                <w:lang w:eastAsia="zh-CN"/>
              </w:rPr>
              <w:t>：</w:t>
            </w:r>
            <w:r>
              <w:rPr>
                <w:rFonts w:hint="eastAsia" w:ascii="宋体" w:hAnsi="宋体" w:eastAsia="宋体" w:cs="宋体"/>
                <w:color w:val="auto"/>
                <w:spacing w:val="-15"/>
                <w:sz w:val="21"/>
                <w:szCs w:val="21"/>
                <w:highlight w:val="none"/>
                <w:u w:val="single"/>
                <w:lang w:val="en-US" w:eastAsia="zh-CN"/>
              </w:rPr>
              <w:t xml:space="preserve">              </w:t>
            </w:r>
          </w:p>
        </w:tc>
      </w:tr>
      <w:tr w14:paraId="631098FD">
        <w:tblPrEx>
          <w:tblCellMar>
            <w:top w:w="0" w:type="dxa"/>
            <w:left w:w="0" w:type="dxa"/>
            <w:bottom w:w="0" w:type="dxa"/>
            <w:right w:w="0" w:type="dxa"/>
          </w:tblCellMar>
        </w:tblPrEx>
        <w:trPr>
          <w:trHeight w:val="1145" w:hRule="exact"/>
          <w:jc w:val="center"/>
        </w:trPr>
        <w:tc>
          <w:tcPr>
            <w:tcW w:w="2638" w:type="dxa"/>
            <w:gridSpan w:val="2"/>
            <w:tcBorders>
              <w:top w:val="single" w:color="000000" w:sz="4" w:space="0"/>
              <w:left w:val="single" w:color="000000" w:sz="4" w:space="0"/>
              <w:bottom w:val="single" w:color="000000" w:sz="4" w:space="0"/>
              <w:right w:val="single" w:color="000000" w:sz="4" w:space="0"/>
            </w:tcBorders>
            <w:vAlign w:val="center"/>
          </w:tcPr>
          <w:p w14:paraId="57B71A12">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1D4BA1CA">
            <w:pPr>
              <w:pStyle w:val="106"/>
              <w:keepNext w:val="0"/>
              <w:keepLines w:val="0"/>
              <w:pageBreakBefore w:val="0"/>
              <w:widowControl w:val="0"/>
              <w:kinsoku/>
              <w:wordWrap w:val="0"/>
              <w:overflowPunct/>
              <w:topLinePunct w:val="0"/>
              <w:autoSpaceDE/>
              <w:autoSpaceDN/>
              <w:bidi w:val="0"/>
              <w:snapToGrid/>
              <w:spacing w:before="13" w:line="240" w:lineRule="auto"/>
              <w:ind w:right="0"/>
              <w:jc w:val="left"/>
              <w:rPr>
                <w:rFonts w:ascii="黑体" w:hAnsi="黑体" w:eastAsia="黑体" w:cs="黑体"/>
                <w:color w:val="auto"/>
                <w:sz w:val="14"/>
                <w:szCs w:val="14"/>
                <w:highlight w:val="none"/>
              </w:rPr>
            </w:pPr>
          </w:p>
          <w:p w14:paraId="1238F913">
            <w:pPr>
              <w:pStyle w:val="106"/>
              <w:keepNext w:val="0"/>
              <w:keepLines w:val="0"/>
              <w:pageBreakBefore w:val="0"/>
              <w:widowControl w:val="0"/>
              <w:tabs>
                <w:tab w:val="left" w:pos="1576"/>
              </w:tabs>
              <w:kinsoku/>
              <w:wordWrap w:val="0"/>
              <w:overflowPunct/>
              <w:topLinePunct w:val="0"/>
              <w:autoSpaceDE/>
              <w:autoSpaceDN/>
              <w:bidi w:val="0"/>
              <w:snapToGrid/>
              <w:spacing w:line="240" w:lineRule="auto"/>
              <w:ind w:left="83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备</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注</w:t>
            </w:r>
          </w:p>
        </w:tc>
        <w:tc>
          <w:tcPr>
            <w:tcW w:w="6095" w:type="dxa"/>
            <w:gridSpan w:val="7"/>
            <w:tcBorders>
              <w:top w:val="single" w:color="000000" w:sz="4" w:space="0"/>
              <w:left w:val="single" w:color="000000" w:sz="4" w:space="0"/>
              <w:bottom w:val="single" w:color="000000" w:sz="4" w:space="0"/>
              <w:right w:val="single" w:color="000000" w:sz="4" w:space="0"/>
            </w:tcBorders>
            <w:vAlign w:val="center"/>
          </w:tcPr>
          <w:p w14:paraId="231FA777">
            <w:pPr>
              <w:keepNext w:val="0"/>
              <w:keepLines w:val="0"/>
              <w:pageBreakBefore w:val="0"/>
              <w:widowControl w:val="0"/>
              <w:kinsoku/>
              <w:wordWrap w:val="0"/>
              <w:overflowPunct/>
              <w:topLinePunct w:val="0"/>
              <w:autoSpaceDE/>
              <w:autoSpaceDN/>
              <w:bidi w:val="0"/>
              <w:snapToGrid/>
              <w:rPr>
                <w:color w:val="auto"/>
                <w:highlight w:val="none"/>
              </w:rPr>
            </w:pPr>
          </w:p>
        </w:tc>
      </w:tr>
    </w:tbl>
    <w:p w14:paraId="7E5422D0">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1.本表应填写项目经理和项目总工相关情况。</w:t>
      </w:r>
    </w:p>
    <w:p w14:paraId="0EFA888B">
      <w:pPr>
        <w:keepNext w:val="0"/>
        <w:keepLines w:val="0"/>
        <w:pageBreakBefore w:val="0"/>
        <w:widowControl w:val="0"/>
        <w:kinsoku/>
        <w:wordWrap w:val="0"/>
        <w:overflowPunct/>
        <w:topLinePunct w:val="0"/>
        <w:autoSpaceDE/>
        <w:autoSpaceDN/>
        <w:bidi w:val="0"/>
        <w:adjustRightInd/>
        <w:snapToGrid/>
        <w:spacing w:line="360" w:lineRule="auto"/>
        <w:ind w:right="0" w:firstLine="792" w:firstLineChars="4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2.投标人应根据招标文件第二章“投标人须知”第 </w:t>
      </w:r>
      <w:r>
        <w:rPr>
          <w:rFonts w:hint="eastAsia" w:ascii="宋体" w:hAnsi="宋体" w:eastAsia="宋体" w:cs="宋体"/>
          <w:color w:val="auto"/>
          <w:sz w:val="21"/>
          <w:szCs w:val="21"/>
          <w:highlight w:val="none"/>
        </w:rPr>
        <w:t>3.5.5</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z w:val="21"/>
          <w:szCs w:val="21"/>
          <w:highlight w:val="none"/>
        </w:rPr>
        <w:t>项的要求在本表后附相关证明材料。</w:t>
      </w:r>
    </w:p>
    <w:p w14:paraId="42C3187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outlineLvl w:val="1"/>
        <w:rPr>
          <w:rFonts w:hint="eastAsia" w:ascii="宋体" w:hAnsi="宋体" w:cs="宋体"/>
          <w:color w:val="auto"/>
          <w:kern w:val="0"/>
          <w:sz w:val="28"/>
          <w:highlight w:val="none"/>
          <w:lang w:eastAsia="zh-CN"/>
        </w:rPr>
        <w:sectPr>
          <w:headerReference r:id="rId11" w:type="default"/>
          <w:pgSz w:w="11910" w:h="16850"/>
          <w:pgMar w:top="1587" w:right="1417" w:bottom="1417" w:left="1417" w:header="883" w:footer="845" w:gutter="0"/>
          <w:pgNumType w:fmt="decimal"/>
          <w:cols w:space="720" w:num="1"/>
        </w:sectPr>
      </w:pPr>
      <w:bookmarkStart w:id="533" w:name="_Toc6890"/>
      <w:bookmarkStart w:id="534" w:name="_Toc37747018"/>
      <w:bookmarkStart w:id="535" w:name="_Toc500864557"/>
      <w:bookmarkStart w:id="536" w:name="_Toc24409"/>
      <w:bookmarkStart w:id="537" w:name="_Toc37422302"/>
      <w:bookmarkStart w:id="538" w:name="_Toc431367174"/>
    </w:p>
    <w:p w14:paraId="65672724">
      <w:pPr>
        <w:keepNext w:val="0"/>
        <w:keepLines w:val="0"/>
        <w:pageBreakBefore w:val="0"/>
        <w:widowControl w:val="0"/>
        <w:kinsoku/>
        <w:wordWrap w:val="0"/>
        <w:overflowPunct/>
        <w:topLinePunct w:val="0"/>
        <w:autoSpaceDE/>
        <w:autoSpaceDN/>
        <w:bidi w:val="0"/>
        <w:adjustRightInd w:val="0"/>
        <w:snapToGrid/>
        <w:spacing w:line="360" w:lineRule="auto"/>
        <w:ind w:right="0" w:rightChars="0"/>
        <w:jc w:val="center"/>
        <w:textAlignment w:val="auto"/>
        <w:outlineLvl w:val="1"/>
        <w:rPr>
          <w:rFonts w:hint="eastAsia" w:ascii="宋体" w:hAnsi="宋体" w:eastAsia="宋体" w:cs="宋体"/>
          <w:b/>
          <w:bCs/>
          <w:color w:val="auto"/>
          <w:kern w:val="0"/>
          <w:sz w:val="30"/>
          <w:szCs w:val="30"/>
          <w:highlight w:val="none"/>
        </w:rPr>
      </w:pPr>
      <w:r>
        <w:rPr>
          <w:rFonts w:hint="eastAsia" w:ascii="宋体" w:hAnsi="宋体" w:eastAsia="宋体" w:cs="宋体"/>
          <w:b/>
          <w:bCs/>
          <w:color w:val="auto"/>
          <w:kern w:val="0"/>
          <w:sz w:val="30"/>
          <w:szCs w:val="30"/>
          <w:highlight w:val="none"/>
          <w:lang w:eastAsia="zh-CN"/>
        </w:rPr>
        <w:t>七</w:t>
      </w:r>
      <w:r>
        <w:rPr>
          <w:rFonts w:hint="eastAsia" w:ascii="宋体" w:hAnsi="宋体" w:eastAsia="宋体" w:cs="宋体"/>
          <w:b/>
          <w:bCs/>
          <w:color w:val="auto"/>
          <w:kern w:val="0"/>
          <w:sz w:val="30"/>
          <w:szCs w:val="30"/>
          <w:highlight w:val="none"/>
        </w:rPr>
        <w:t>、其他材料</w:t>
      </w:r>
      <w:bookmarkEnd w:id="533"/>
      <w:bookmarkEnd w:id="534"/>
      <w:bookmarkEnd w:id="535"/>
      <w:bookmarkEnd w:id="536"/>
      <w:bookmarkEnd w:id="537"/>
      <w:bookmarkEnd w:id="538"/>
    </w:p>
    <w:p w14:paraId="176F0BCC">
      <w:pPr>
        <w:keepNext w:val="0"/>
        <w:keepLines w:val="0"/>
        <w:pageBreakBefore w:val="0"/>
        <w:widowControl w:val="0"/>
        <w:kinsoku/>
        <w:wordWrap w:val="0"/>
        <w:overflowPunct/>
        <w:topLinePunct w:val="0"/>
        <w:autoSpaceDE/>
        <w:autoSpaceDN/>
        <w:bidi w:val="0"/>
        <w:adjustRightInd w:val="0"/>
        <w:snapToGrid/>
        <w:spacing w:line="400" w:lineRule="exact"/>
        <w:ind w:right="-34" w:rightChars="-16"/>
        <w:rPr>
          <w:rFonts w:ascii="宋体" w:hAnsi="宋体" w:cs="宋体"/>
          <w:b/>
          <w:color w:val="auto"/>
          <w:kern w:val="0"/>
          <w:sz w:val="30"/>
          <w:szCs w:val="30"/>
          <w:highlight w:val="none"/>
        </w:rPr>
      </w:pPr>
    </w:p>
    <w:p w14:paraId="7DD19CEB">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38D197BC">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255B3AD5">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0F4262F2">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46E5BC7E">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647CF345">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678B2969">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76759337">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63F44E5C">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1CF4AE00">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67AD60D6">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4A014B07">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7A5278EA">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5C8C8D75">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37E57E5C">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67A65046">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1C596CAC">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7F270608">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0614932A">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01484BC9">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0C6C31BC">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5E1507DC">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16C30EA4">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7C10DABA">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60483643">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76D46840">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11C52AF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hint="eastAsia" w:ascii="黑体" w:hAnsi="黑体" w:eastAsia="黑体"/>
          <w:b/>
          <w:color w:val="auto"/>
          <w:kern w:val="0"/>
          <w:sz w:val="30"/>
          <w:szCs w:val="30"/>
          <w:highlight w:val="none"/>
        </w:rPr>
      </w:pPr>
    </w:p>
    <w:p w14:paraId="60F8E020">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0"/>
          <w:szCs w:val="20"/>
          <w:highlight w:val="none"/>
        </w:rPr>
        <w:sectPr>
          <w:headerReference r:id="rId12" w:type="default"/>
          <w:pgSz w:w="11910" w:h="16850"/>
          <w:pgMar w:top="1587" w:right="1417" w:bottom="1417" w:left="1417" w:header="883" w:footer="845" w:gutter="0"/>
          <w:pgNumType w:fmt="decimal"/>
          <w:cols w:space="720" w:num="1"/>
        </w:sectPr>
      </w:pPr>
    </w:p>
    <w:p w14:paraId="0DE64898">
      <w:pPr>
        <w:pStyle w:val="21"/>
        <w:ind w:left="0" w:leftChars="0" w:firstLine="0" w:firstLineChars="0"/>
        <w:rPr>
          <w:color w:val="auto"/>
          <w:highlight w:val="none"/>
        </w:rPr>
      </w:pPr>
    </w:p>
    <w:p w14:paraId="35A3E0EE">
      <w:pPr>
        <w:pStyle w:val="21"/>
        <w:rPr>
          <w:color w:val="auto"/>
          <w:highlight w:val="none"/>
        </w:rPr>
      </w:pPr>
    </w:p>
    <w:p w14:paraId="2D72AD32">
      <w:pPr>
        <w:pStyle w:val="5"/>
        <w:keepNext w:val="0"/>
        <w:keepLines w:val="0"/>
        <w:pageBreakBefore w:val="0"/>
        <w:widowControl w:val="0"/>
        <w:tabs>
          <w:tab w:val="left" w:pos="3436"/>
        </w:tabs>
        <w:kinsoku/>
        <w:wordWrap w:val="0"/>
        <w:overflowPunct/>
        <w:topLinePunct w:val="0"/>
        <w:autoSpaceDE/>
        <w:autoSpaceDN/>
        <w:bidi w:val="0"/>
        <w:snapToGrid/>
        <w:spacing w:line="240" w:lineRule="auto"/>
        <w:ind w:left="1888" w:right="0"/>
        <w:jc w:val="left"/>
        <w:rPr>
          <w:color w:val="auto"/>
          <w:sz w:val="30"/>
          <w:szCs w:val="30"/>
          <w:highlight w:val="none"/>
          <w:u w:val="none"/>
        </w:rPr>
      </w:pPr>
      <w:r>
        <w:rPr>
          <w:rFonts w:ascii="Times New Roman" w:hAnsi="Times New Roman" w:eastAsia="Times New Roman" w:cs="Times New Roman"/>
          <w:color w:val="auto"/>
          <w:w w:val="99"/>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color w:val="auto"/>
          <w:sz w:val="30"/>
          <w:szCs w:val="30"/>
          <w:highlight w:val="none"/>
          <w:u w:val="none"/>
        </w:rPr>
        <w:t>省（自治区、直辖市）</w:t>
      </w:r>
    </w:p>
    <w:p w14:paraId="0075560E">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0"/>
          <w:szCs w:val="30"/>
          <w:highlight w:val="none"/>
        </w:rPr>
      </w:pPr>
    </w:p>
    <w:p w14:paraId="1F6B7BC1">
      <w:pPr>
        <w:keepNext w:val="0"/>
        <w:keepLines w:val="0"/>
        <w:pageBreakBefore w:val="0"/>
        <w:widowControl w:val="0"/>
        <w:kinsoku/>
        <w:wordWrap w:val="0"/>
        <w:overflowPunct/>
        <w:topLinePunct w:val="0"/>
        <w:autoSpaceDE/>
        <w:autoSpaceDN/>
        <w:bidi w:val="0"/>
        <w:snapToGrid/>
        <w:spacing w:before="6" w:line="240" w:lineRule="auto"/>
        <w:rPr>
          <w:rFonts w:ascii="黑体" w:hAnsi="黑体" w:eastAsia="黑体" w:cs="黑体"/>
          <w:color w:val="auto"/>
          <w:sz w:val="30"/>
          <w:szCs w:val="30"/>
          <w:highlight w:val="none"/>
        </w:rPr>
      </w:pPr>
    </w:p>
    <w:p w14:paraId="554E4062">
      <w:pPr>
        <w:pStyle w:val="10"/>
        <w:keepNext w:val="0"/>
        <w:keepLines w:val="0"/>
        <w:pageBreakBefore w:val="0"/>
        <w:widowControl w:val="0"/>
        <w:tabs>
          <w:tab w:val="left" w:pos="2337"/>
          <w:tab w:val="left" w:pos="5042"/>
        </w:tabs>
        <w:kinsoku/>
        <w:wordWrap w:val="0"/>
        <w:overflowPunct/>
        <w:topLinePunct w:val="0"/>
        <w:autoSpaceDE/>
        <w:autoSpaceDN/>
        <w:bidi w:val="0"/>
        <w:snapToGrid/>
        <w:spacing w:before="26" w:line="240" w:lineRule="auto"/>
        <w:ind w:left="124" w:right="0"/>
        <w:jc w:val="center"/>
        <w:rPr>
          <w:rFonts w:ascii="黑体" w:hAnsi="黑体" w:eastAsia="黑体" w:cs="黑体"/>
          <w:color w:val="auto"/>
          <w:highlight w:val="none"/>
        </w:rPr>
      </w:pPr>
      <w:r>
        <w:rPr>
          <w:rFonts w:ascii="Times New Roman" w:hAnsi="Times New Roman" w:eastAsia="Times New Roman" w:cs="Times New Roman"/>
          <w:color w:val="auto"/>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（项目名称）</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标段施工招标</w:t>
      </w:r>
    </w:p>
    <w:p w14:paraId="24A3215A">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415800E9">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4A5CB5BC">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26EBF009">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2EAAAABD">
      <w:pPr>
        <w:keepNext w:val="0"/>
        <w:keepLines w:val="0"/>
        <w:pageBreakBefore w:val="0"/>
        <w:widowControl w:val="0"/>
        <w:kinsoku/>
        <w:wordWrap w:val="0"/>
        <w:overflowPunct/>
        <w:topLinePunct w:val="0"/>
        <w:autoSpaceDE/>
        <w:autoSpaceDN/>
        <w:bidi w:val="0"/>
        <w:snapToGrid/>
        <w:spacing w:before="8" w:line="240" w:lineRule="auto"/>
        <w:rPr>
          <w:rFonts w:ascii="黑体" w:hAnsi="黑体" w:eastAsia="黑体" w:cs="黑体"/>
          <w:color w:val="auto"/>
          <w:sz w:val="33"/>
          <w:szCs w:val="33"/>
          <w:highlight w:val="none"/>
        </w:rPr>
      </w:pPr>
    </w:p>
    <w:p w14:paraId="3EF47B03">
      <w:pPr>
        <w:keepNext w:val="0"/>
        <w:keepLines w:val="0"/>
        <w:pageBreakBefore w:val="0"/>
        <w:widowControl w:val="0"/>
        <w:tabs>
          <w:tab w:val="left" w:pos="1677"/>
          <w:tab w:val="left" w:pos="3117"/>
          <w:tab w:val="left" w:pos="4557"/>
        </w:tabs>
        <w:kinsoku/>
        <w:wordWrap w:val="0"/>
        <w:overflowPunct/>
        <w:topLinePunct w:val="0"/>
        <w:autoSpaceDE/>
        <w:autoSpaceDN/>
        <w:bidi w:val="0"/>
        <w:snapToGrid/>
        <w:spacing w:before="0"/>
        <w:ind w:left="236" w:right="0" w:firstLine="0"/>
        <w:jc w:val="center"/>
        <w:rPr>
          <w:rFonts w:ascii="黑体" w:hAnsi="黑体" w:eastAsia="黑体" w:cs="黑体"/>
          <w:color w:val="auto"/>
          <w:sz w:val="72"/>
          <w:szCs w:val="72"/>
          <w:highlight w:val="none"/>
        </w:rPr>
      </w:pPr>
      <w:bookmarkStart w:id="539" w:name="_bookmark322"/>
      <w:bookmarkEnd w:id="539"/>
      <w:r>
        <w:rPr>
          <w:rFonts w:ascii="黑体" w:hAnsi="黑体" w:eastAsia="黑体" w:cs="黑体"/>
          <w:color w:val="auto"/>
          <w:sz w:val="72"/>
          <w:szCs w:val="72"/>
          <w:highlight w:val="none"/>
        </w:rPr>
        <w:t>投</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件</w:t>
      </w:r>
    </w:p>
    <w:p w14:paraId="1333129E">
      <w:pPr>
        <w:pStyle w:val="4"/>
        <w:keepNext w:val="0"/>
        <w:keepLines w:val="0"/>
        <w:pageBreakBefore w:val="0"/>
        <w:widowControl w:val="0"/>
        <w:kinsoku/>
        <w:wordWrap w:val="0"/>
        <w:overflowPunct/>
        <w:topLinePunct w:val="0"/>
        <w:autoSpaceDE/>
        <w:autoSpaceDN/>
        <w:bidi w:val="0"/>
        <w:snapToGrid/>
        <w:spacing w:before="526" w:line="240" w:lineRule="auto"/>
        <w:ind w:left="237" w:right="0"/>
        <w:jc w:val="center"/>
        <w:rPr>
          <w:color w:val="auto"/>
          <w:highlight w:val="none"/>
        </w:rPr>
      </w:pPr>
      <w:r>
        <w:rPr>
          <w:color w:val="auto"/>
          <w:highlight w:val="none"/>
        </w:rPr>
        <w:t>（报价文件）</w:t>
      </w:r>
    </w:p>
    <w:p w14:paraId="66C1DF78">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5F555830">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5B68CFB7">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0CE16177">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16EFE4A2">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59D47FA2">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485213C7">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519F07DD">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5F06A15A">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5A340010">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15473687">
      <w:pPr>
        <w:keepNext w:val="0"/>
        <w:keepLines w:val="0"/>
        <w:pageBreakBefore w:val="0"/>
        <w:widowControl w:val="0"/>
        <w:kinsoku/>
        <w:wordWrap w:val="0"/>
        <w:overflowPunct/>
        <w:topLinePunct w:val="0"/>
        <w:autoSpaceDE/>
        <w:autoSpaceDN/>
        <w:bidi w:val="0"/>
        <w:snapToGrid/>
        <w:spacing w:before="9" w:line="240" w:lineRule="auto"/>
        <w:rPr>
          <w:rFonts w:ascii="黑体" w:hAnsi="黑体" w:eastAsia="黑体" w:cs="黑体"/>
          <w:color w:val="auto"/>
          <w:sz w:val="37"/>
          <w:szCs w:val="37"/>
          <w:highlight w:val="none"/>
        </w:rPr>
      </w:pPr>
    </w:p>
    <w:p w14:paraId="62818590">
      <w:pPr>
        <w:keepNext w:val="0"/>
        <w:keepLines w:val="0"/>
        <w:pageBreakBefore w:val="0"/>
        <w:widowControl w:val="0"/>
        <w:tabs>
          <w:tab w:val="left" w:pos="6120"/>
        </w:tabs>
        <w:kinsoku/>
        <w:wordWrap w:val="0"/>
        <w:overflowPunct/>
        <w:topLinePunct w:val="0"/>
        <w:autoSpaceDE/>
        <w:autoSpaceDN/>
        <w:bidi w:val="0"/>
        <w:snapToGrid/>
        <w:spacing w:before="0"/>
        <w:ind w:left="239" w:right="0" w:firstLine="0"/>
        <w:jc w:val="center"/>
        <w:rPr>
          <w:rFonts w:ascii="黑体" w:hAnsi="黑体" w:eastAsia="黑体" w:cs="黑体"/>
          <w:color w:val="auto"/>
          <w:sz w:val="28"/>
          <w:szCs w:val="28"/>
          <w:highlight w:val="none"/>
        </w:rPr>
      </w:pPr>
      <w:r>
        <w:rPr>
          <w:rFonts w:ascii="黑体" w:hAnsi="黑体" w:eastAsia="黑体" w:cs="黑体"/>
          <w:color w:val="auto"/>
          <w:sz w:val="28"/>
          <w:szCs w:val="28"/>
          <w:highlight w:val="none"/>
        </w:rPr>
        <w:t>投标人：</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（盖单位章）</w:t>
      </w:r>
    </w:p>
    <w:p w14:paraId="37B80F6A">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8"/>
          <w:szCs w:val="28"/>
          <w:highlight w:val="none"/>
        </w:rPr>
      </w:pPr>
    </w:p>
    <w:p w14:paraId="22C0C48E">
      <w:pPr>
        <w:keepNext w:val="0"/>
        <w:keepLines w:val="0"/>
        <w:pageBreakBefore w:val="0"/>
        <w:widowControl w:val="0"/>
        <w:kinsoku/>
        <w:wordWrap w:val="0"/>
        <w:overflowPunct/>
        <w:topLinePunct w:val="0"/>
        <w:autoSpaceDE/>
        <w:autoSpaceDN/>
        <w:bidi w:val="0"/>
        <w:snapToGrid/>
        <w:spacing w:before="3" w:line="240" w:lineRule="auto"/>
        <w:rPr>
          <w:rFonts w:ascii="黑体" w:hAnsi="黑体" w:eastAsia="黑体" w:cs="黑体"/>
          <w:color w:val="auto"/>
          <w:sz w:val="28"/>
          <w:szCs w:val="28"/>
          <w:highlight w:val="none"/>
        </w:rPr>
      </w:pPr>
    </w:p>
    <w:p w14:paraId="6859C7AC">
      <w:pPr>
        <w:keepNext w:val="0"/>
        <w:keepLines w:val="0"/>
        <w:pageBreakBefore w:val="0"/>
        <w:widowControl w:val="0"/>
        <w:tabs>
          <w:tab w:val="left" w:pos="3470"/>
          <w:tab w:val="left" w:pos="4872"/>
          <w:tab w:val="left" w:pos="6410"/>
        </w:tabs>
        <w:kinsoku/>
        <w:wordWrap w:val="0"/>
        <w:overflowPunct/>
        <w:topLinePunct w:val="0"/>
        <w:autoSpaceDE/>
        <w:autoSpaceDN/>
        <w:bidi w:val="0"/>
        <w:snapToGrid/>
        <w:spacing w:before="14"/>
        <w:ind w:left="2352" w:right="0" w:firstLine="0"/>
        <w:jc w:val="left"/>
        <w:rPr>
          <w:rFonts w:ascii="Times New Roman" w:hAnsi="Times New Roman" w:eastAsia="Times New Roman" w:cs="Times New Roman"/>
          <w:color w:val="auto"/>
          <w:w w:val="100"/>
          <w:sz w:val="28"/>
          <w:szCs w:val="28"/>
          <w:highlight w:val="none"/>
          <w:u w:val="single" w:color="000000"/>
        </w:rPr>
      </w:pPr>
    </w:p>
    <w:p w14:paraId="2A526BF8">
      <w:pPr>
        <w:keepNext w:val="0"/>
        <w:keepLines w:val="0"/>
        <w:pageBreakBefore w:val="0"/>
        <w:widowControl w:val="0"/>
        <w:tabs>
          <w:tab w:val="left" w:pos="3470"/>
          <w:tab w:val="left" w:pos="4872"/>
          <w:tab w:val="left" w:pos="6410"/>
        </w:tabs>
        <w:kinsoku/>
        <w:wordWrap w:val="0"/>
        <w:overflowPunct/>
        <w:topLinePunct w:val="0"/>
        <w:autoSpaceDE/>
        <w:autoSpaceDN/>
        <w:bidi w:val="0"/>
        <w:snapToGrid/>
        <w:spacing w:before="14"/>
        <w:ind w:left="2352" w:right="0" w:firstLine="0"/>
        <w:jc w:val="left"/>
        <w:rPr>
          <w:rFonts w:ascii="黑体" w:hAnsi="黑体" w:eastAsia="黑体" w:cs="黑体"/>
          <w:color w:val="auto"/>
          <w:sz w:val="28"/>
          <w:szCs w:val="28"/>
          <w:highlight w:val="none"/>
        </w:rPr>
      </w:pPr>
      <w:r>
        <w:rPr>
          <w:rFonts w:ascii="Times New Roman" w:hAnsi="Times New Roman" w:eastAsia="Times New Roman" w:cs="Times New Roman"/>
          <w:color w:val="auto"/>
          <w:w w:val="100"/>
          <w:sz w:val="28"/>
          <w:szCs w:val="28"/>
          <w:highlight w:val="none"/>
          <w:u w:val="single" w:color="000000"/>
        </w:rPr>
        <w:t xml:space="preserve"> </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年</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月</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日</w:t>
      </w:r>
    </w:p>
    <w:p w14:paraId="64FAA15A">
      <w:pPr>
        <w:keepNext w:val="0"/>
        <w:keepLines w:val="0"/>
        <w:pageBreakBefore w:val="0"/>
        <w:widowControl w:val="0"/>
        <w:kinsoku/>
        <w:wordWrap w:val="0"/>
        <w:overflowPunct/>
        <w:topLinePunct w:val="0"/>
        <w:autoSpaceDE/>
        <w:autoSpaceDN/>
        <w:bidi w:val="0"/>
        <w:snapToGrid/>
        <w:spacing w:after="0"/>
        <w:jc w:val="left"/>
        <w:rPr>
          <w:rFonts w:ascii="黑体" w:hAnsi="黑体" w:eastAsia="黑体" w:cs="黑体"/>
          <w:color w:val="auto"/>
          <w:sz w:val="28"/>
          <w:szCs w:val="28"/>
          <w:highlight w:val="none"/>
        </w:rPr>
        <w:sectPr>
          <w:headerReference r:id="rId13" w:type="default"/>
          <w:pgSz w:w="11910" w:h="16850"/>
          <w:pgMar w:top="1587" w:right="1417" w:bottom="1417" w:left="1417" w:header="883" w:footer="845" w:gutter="0"/>
          <w:pgNumType w:fmt="decimal"/>
          <w:cols w:space="720" w:num="1"/>
        </w:sectPr>
      </w:pPr>
    </w:p>
    <w:p w14:paraId="38E2A260">
      <w:pPr>
        <w:keepNext w:val="0"/>
        <w:keepLines w:val="0"/>
        <w:pageBreakBefore w:val="0"/>
        <w:widowControl w:val="0"/>
        <w:tabs>
          <w:tab w:val="left" w:pos="1235"/>
        </w:tabs>
        <w:kinsoku/>
        <w:wordWrap w:val="0"/>
        <w:overflowPunct/>
        <w:topLinePunct w:val="0"/>
        <w:autoSpaceDE/>
        <w:autoSpaceDN/>
        <w:bidi w:val="0"/>
        <w:snapToGrid/>
        <w:spacing w:before="7"/>
        <w:ind w:left="183" w:right="0" w:firstLine="0"/>
        <w:jc w:val="center"/>
        <w:rPr>
          <w:rFonts w:ascii="黑体" w:hAnsi="黑体" w:eastAsia="黑体" w:cs="黑体"/>
          <w:b/>
          <w:bCs/>
          <w:color w:val="auto"/>
          <w:w w:val="95"/>
          <w:sz w:val="30"/>
          <w:szCs w:val="30"/>
          <w:highlight w:val="none"/>
        </w:rPr>
      </w:pPr>
    </w:p>
    <w:p w14:paraId="3197D881">
      <w:pPr>
        <w:keepNext w:val="0"/>
        <w:keepLines w:val="0"/>
        <w:pageBreakBefore w:val="0"/>
        <w:widowControl w:val="0"/>
        <w:tabs>
          <w:tab w:val="left" w:pos="1235"/>
        </w:tabs>
        <w:kinsoku/>
        <w:wordWrap w:val="0"/>
        <w:overflowPunct/>
        <w:topLinePunct w:val="0"/>
        <w:autoSpaceDE/>
        <w:autoSpaceDN/>
        <w:bidi w:val="0"/>
        <w:snapToGrid/>
        <w:spacing w:before="7"/>
        <w:ind w:left="183" w:right="0" w:firstLine="0"/>
        <w:jc w:val="center"/>
        <w:rPr>
          <w:rFonts w:ascii="黑体" w:hAnsi="黑体" w:eastAsia="黑体" w:cs="黑体"/>
          <w:b/>
          <w:bCs/>
          <w:color w:val="auto"/>
          <w:sz w:val="30"/>
          <w:szCs w:val="30"/>
          <w:highlight w:val="none"/>
        </w:rPr>
      </w:pPr>
      <w:r>
        <w:rPr>
          <w:rFonts w:ascii="黑体" w:hAnsi="黑体" w:eastAsia="黑体" w:cs="黑体"/>
          <w:b/>
          <w:bCs/>
          <w:color w:val="auto"/>
          <w:w w:val="95"/>
          <w:sz w:val="30"/>
          <w:szCs w:val="30"/>
          <w:highlight w:val="none"/>
        </w:rPr>
        <w:t>目</w:t>
      </w:r>
      <w:r>
        <w:rPr>
          <w:rFonts w:ascii="黑体" w:hAnsi="黑体" w:eastAsia="黑体" w:cs="黑体"/>
          <w:b/>
          <w:bCs/>
          <w:color w:val="auto"/>
          <w:w w:val="95"/>
          <w:sz w:val="30"/>
          <w:szCs w:val="30"/>
          <w:highlight w:val="none"/>
        </w:rPr>
        <w:tab/>
      </w:r>
      <w:r>
        <w:rPr>
          <w:rFonts w:ascii="黑体" w:hAnsi="黑体" w:eastAsia="黑体" w:cs="黑体"/>
          <w:b/>
          <w:bCs/>
          <w:color w:val="auto"/>
          <w:sz w:val="30"/>
          <w:szCs w:val="30"/>
          <w:highlight w:val="none"/>
        </w:rPr>
        <w:t>录</w:t>
      </w:r>
    </w:p>
    <w:p w14:paraId="6FF14270">
      <w:pPr>
        <w:keepNext w:val="0"/>
        <w:keepLines w:val="0"/>
        <w:pageBreakBefore w:val="0"/>
        <w:widowControl w:val="0"/>
        <w:tabs>
          <w:tab w:val="left" w:pos="1235"/>
        </w:tabs>
        <w:kinsoku/>
        <w:wordWrap w:val="0"/>
        <w:overflowPunct/>
        <w:topLinePunct w:val="0"/>
        <w:autoSpaceDE/>
        <w:autoSpaceDN/>
        <w:bidi w:val="0"/>
        <w:snapToGrid/>
        <w:spacing w:before="7"/>
        <w:ind w:left="183" w:right="0" w:firstLine="0"/>
        <w:jc w:val="center"/>
        <w:rPr>
          <w:rFonts w:ascii="黑体" w:hAnsi="黑体" w:eastAsia="黑体" w:cs="黑体"/>
          <w:b/>
          <w:bCs/>
          <w:color w:val="auto"/>
          <w:sz w:val="30"/>
          <w:szCs w:val="30"/>
          <w:highlight w:val="none"/>
        </w:rPr>
      </w:pPr>
    </w:p>
    <w:p w14:paraId="0AA7A7CF">
      <w:pPr>
        <w:pStyle w:val="10"/>
        <w:keepNext w:val="0"/>
        <w:keepLines w:val="0"/>
        <w:pageBreakBefore w:val="0"/>
        <w:widowControl w:val="0"/>
        <w:numPr>
          <w:ilvl w:val="0"/>
          <w:numId w:val="0"/>
        </w:numPr>
        <w:kinsoku/>
        <w:wordWrap w:val="0"/>
        <w:overflowPunct/>
        <w:topLinePunct w:val="0"/>
        <w:autoSpaceDE/>
        <w:autoSpaceDN/>
        <w:bidi w:val="0"/>
        <w:snapToGrid/>
        <w:spacing w:line="336" w:lineRule="auto"/>
        <w:ind w:right="3822" w:rightChars="0"/>
        <w:jc w:val="left"/>
        <w:rPr>
          <w:color w:val="auto"/>
          <w:highlight w:val="none"/>
        </w:rPr>
      </w:pPr>
    </w:p>
    <w:p w14:paraId="26AB2BB8">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r>
        <w:rPr>
          <w:rFonts w:hint="eastAsia"/>
          <w:color w:val="auto"/>
          <w:highlight w:val="none"/>
          <w:lang w:eastAsia="zh-CN"/>
        </w:rPr>
        <w:t>一、</w:t>
      </w:r>
      <w:r>
        <w:rPr>
          <w:color w:val="auto"/>
          <w:highlight w:val="none"/>
        </w:rPr>
        <w:t>投标函</w:t>
      </w:r>
      <w:r>
        <w:rPr>
          <w:rFonts w:ascii="宋体" w:hAnsi="宋体" w:eastAsia="宋体" w:cs="宋体"/>
          <w:color w:val="auto"/>
          <w:highlight w:val="none"/>
        </w:rPr>
        <w:t xml:space="preserve"> </w:t>
      </w:r>
    </w:p>
    <w:p w14:paraId="2472B683">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r>
        <w:rPr>
          <w:color w:val="auto"/>
          <w:highlight w:val="none"/>
        </w:rPr>
        <w:t>二、已标价工程量清单</w:t>
      </w:r>
      <w:r>
        <w:rPr>
          <w:rFonts w:ascii="宋体" w:hAnsi="宋体" w:eastAsia="宋体" w:cs="宋体"/>
          <w:color w:val="auto"/>
          <w:highlight w:val="none"/>
        </w:rPr>
        <w:t xml:space="preserve"> </w:t>
      </w:r>
    </w:p>
    <w:p w14:paraId="35C3992D">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r>
        <w:rPr>
          <w:color w:val="auto"/>
          <w:highlight w:val="none"/>
        </w:rPr>
        <w:t>三、合同用款估算表</w:t>
      </w:r>
      <w:r>
        <w:rPr>
          <w:rFonts w:ascii="宋体" w:hAnsi="宋体" w:eastAsia="宋体" w:cs="宋体"/>
          <w:color w:val="auto"/>
          <w:highlight w:val="none"/>
        </w:rPr>
        <w:t xml:space="preserve"> </w:t>
      </w:r>
    </w:p>
    <w:p w14:paraId="71E8ACE6">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7222E319">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7093D7E2">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A95188C">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4C037B4">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64DD4E65">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2D3E214A">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1DE1671">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75E7911B">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25383EB6">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C8CCF35">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36560373">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D8FC212">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67F6FA14">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622533BF">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FF10567">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87B2A58">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11A9B00">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7C236CF">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4E515B28">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6B42B7EF">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3F083A60">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jc w:val="left"/>
        <w:textAlignment w:val="auto"/>
        <w:rPr>
          <w:rFonts w:ascii="宋体" w:hAnsi="宋体" w:eastAsia="宋体" w:cs="宋体"/>
          <w:color w:val="auto"/>
          <w:highlight w:val="none"/>
        </w:rPr>
        <w:sectPr>
          <w:headerReference r:id="rId14" w:type="default"/>
          <w:pgSz w:w="11910" w:h="16850"/>
          <w:pgMar w:top="1587" w:right="1417" w:bottom="1417" w:left="1417" w:header="883" w:footer="869" w:gutter="0"/>
          <w:pgNumType w:fmt="decimal"/>
          <w:cols w:space="720" w:num="1"/>
        </w:sectPr>
      </w:pPr>
    </w:p>
    <w:p w14:paraId="0EB73BBE">
      <w:pPr>
        <w:pStyle w:val="6"/>
        <w:keepNext w:val="0"/>
        <w:keepLines w:val="0"/>
        <w:pageBreakBefore w:val="0"/>
        <w:widowControl w:val="0"/>
        <w:kinsoku/>
        <w:wordWrap w:val="0"/>
        <w:overflowPunct/>
        <w:topLinePunct w:val="0"/>
        <w:autoSpaceDE/>
        <w:autoSpaceDN/>
        <w:bidi w:val="0"/>
        <w:snapToGrid/>
        <w:spacing w:line="240" w:lineRule="auto"/>
        <w:ind w:right="78"/>
        <w:jc w:val="center"/>
        <w:rPr>
          <w:rFonts w:ascii="黑体" w:hAnsi="黑体" w:eastAsia="黑体" w:cs="黑体"/>
          <w:color w:val="auto"/>
          <w:sz w:val="20"/>
          <w:szCs w:val="20"/>
          <w:highlight w:val="none"/>
        </w:rPr>
      </w:pPr>
      <w:r>
        <w:rPr>
          <w:rFonts w:hint="eastAsia" w:ascii="宋体" w:hAnsi="宋体" w:eastAsia="宋体" w:cs="宋体"/>
          <w:b/>
          <w:bCs/>
          <w:color w:val="auto"/>
          <w:highlight w:val="none"/>
        </w:rPr>
        <w:t>一、投标函</w:t>
      </w:r>
    </w:p>
    <w:p w14:paraId="02C91F85">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黑体" w:hAnsi="黑体" w:eastAsia="黑体" w:cs="黑体"/>
          <w:color w:val="auto"/>
          <w:sz w:val="21"/>
          <w:szCs w:val="21"/>
          <w:highlight w:val="none"/>
        </w:rPr>
      </w:pPr>
    </w:p>
    <w:p w14:paraId="188AD8D3">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黑体" w:hAnsi="黑体" w:eastAsia="黑体" w:cs="黑体"/>
          <w:color w:val="auto"/>
          <w:sz w:val="21"/>
          <w:szCs w:val="21"/>
          <w:highlight w:val="none"/>
        </w:rPr>
      </w:pPr>
    </w:p>
    <w:p w14:paraId="340EB21B">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黑体" w:hAnsi="黑体" w:eastAsia="黑体" w:cs="黑体"/>
          <w:color w:val="auto"/>
          <w:sz w:val="21"/>
          <w:szCs w:val="21"/>
          <w:highlight w:val="none"/>
        </w:rPr>
      </w:pPr>
    </w:p>
    <w:p w14:paraId="515DE3A6">
      <w:pPr>
        <w:pStyle w:val="10"/>
        <w:keepNext w:val="0"/>
        <w:keepLines w:val="0"/>
        <w:pageBreakBefore w:val="0"/>
        <w:widowControl w:val="0"/>
        <w:tabs>
          <w:tab w:val="left" w:pos="3144"/>
        </w:tabs>
        <w:kinsoku/>
        <w:wordWrap w:val="0"/>
        <w:overflowPunct/>
        <w:topLinePunct w:val="0"/>
        <w:autoSpaceDE/>
        <w:autoSpaceDN/>
        <w:bidi w:val="0"/>
        <w:adjustRightInd/>
        <w:snapToGrid/>
        <w:spacing w:line="360"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15"/>
          <w:sz w:val="24"/>
          <w:szCs w:val="24"/>
          <w:highlight w:val="none"/>
        </w:rPr>
        <w:t>（招标人名称）：</w:t>
      </w:r>
    </w:p>
    <w:p w14:paraId="2F612C47">
      <w:pPr>
        <w:pStyle w:val="10"/>
        <w:keepNext w:val="0"/>
        <w:keepLines w:val="0"/>
        <w:pageBreakBefore w:val="0"/>
        <w:widowControl w:val="0"/>
        <w:tabs>
          <w:tab w:val="left" w:pos="3596"/>
          <w:tab w:val="left" w:pos="4676"/>
          <w:tab w:val="left" w:pos="4844"/>
          <w:tab w:val="left" w:pos="7374"/>
        </w:tabs>
        <w:kinsoku/>
        <w:wordWrap w:val="0"/>
        <w:overflowPunct/>
        <w:topLinePunct w:val="0"/>
        <w:autoSpaceDE/>
        <w:autoSpaceDN/>
        <w:bidi w:val="0"/>
        <w:adjustRightInd/>
        <w:snapToGrid/>
        <w:spacing w:line="360" w:lineRule="auto"/>
        <w:ind w:right="225" w:firstLine="479"/>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1．我方已仔细研究</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 xml:space="preserve">标段施工招标 </w:t>
      </w:r>
      <w:r>
        <w:rPr>
          <w:rFonts w:hint="eastAsia" w:ascii="宋体" w:hAnsi="宋体" w:eastAsia="宋体" w:cs="宋体"/>
          <w:color w:val="auto"/>
          <w:spacing w:val="-3"/>
          <w:sz w:val="24"/>
          <w:szCs w:val="24"/>
          <w:highlight w:val="none"/>
        </w:rPr>
        <w:t>文件的全部内容（含补遗书第</w:t>
      </w:r>
      <w:r>
        <w:rPr>
          <w:rFonts w:hint="eastAsia" w:ascii="宋体" w:hAnsi="宋体" w:eastAsia="宋体" w:cs="宋体"/>
          <w:color w:val="auto"/>
          <w:spacing w:val="-3"/>
          <w:sz w:val="24"/>
          <w:szCs w:val="24"/>
          <w:highlight w:val="none"/>
          <w:u w:val="single" w:color="000000"/>
        </w:rPr>
        <w:tab/>
      </w:r>
      <w:r>
        <w:rPr>
          <w:rFonts w:hint="eastAsia" w:ascii="宋体" w:hAnsi="宋体" w:eastAsia="宋体" w:cs="宋体"/>
          <w:color w:val="auto"/>
          <w:sz w:val="24"/>
          <w:szCs w:val="24"/>
          <w:highlight w:val="none"/>
        </w:rPr>
        <w:t>号至第</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10"/>
          <w:sz w:val="24"/>
          <w:szCs w:val="24"/>
          <w:highlight w:val="none"/>
        </w:rPr>
        <w:t>号），在考察工程现场后，愿意以人民币</w:t>
      </w:r>
    </w:p>
    <w:p w14:paraId="75585C66">
      <w:pPr>
        <w:pStyle w:val="10"/>
        <w:keepNext w:val="0"/>
        <w:keepLines w:val="0"/>
        <w:pageBreakBefore w:val="0"/>
        <w:widowControl w:val="0"/>
        <w:tabs>
          <w:tab w:val="left" w:pos="2436"/>
          <w:tab w:val="left" w:pos="4004"/>
          <w:tab w:val="left" w:pos="5809"/>
        </w:tabs>
        <w:kinsoku/>
        <w:wordWrap w:val="0"/>
        <w:overflowPunct/>
        <w:topLinePunct w:val="0"/>
        <w:autoSpaceDE/>
        <w:autoSpaceDN/>
        <w:bidi w:val="0"/>
        <w:adjustRightInd/>
        <w:snapToGrid/>
        <w:spacing w:line="360" w:lineRule="auto"/>
        <w:ind w:right="22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1"/>
          <w:sz w:val="24"/>
          <w:szCs w:val="24"/>
          <w:highlight w:val="none"/>
        </w:rPr>
        <w:t>元（¥</w:t>
      </w:r>
      <w:r>
        <w:rPr>
          <w:rFonts w:hint="eastAsia" w:ascii="宋体" w:hAnsi="宋体" w:eastAsia="宋体" w:cs="宋体"/>
          <w:color w:val="auto"/>
          <w:spacing w:val="-1"/>
          <w:sz w:val="24"/>
          <w:szCs w:val="24"/>
          <w:highlight w:val="none"/>
          <w:u w:val="single" w:color="000000"/>
        </w:rPr>
        <w:tab/>
      </w:r>
      <w:r>
        <w:rPr>
          <w:rFonts w:hint="eastAsia" w:ascii="宋体" w:hAnsi="宋体" w:eastAsia="宋体" w:cs="宋体"/>
          <w:color w:val="auto"/>
          <w:sz w:val="24"/>
          <w:szCs w:val="24"/>
          <w:highlight w:val="none"/>
        </w:rPr>
        <w:t>）的投标总报价（或根据招标文件规定修正核</w:t>
      </w:r>
      <w:r>
        <w:rPr>
          <w:rFonts w:hint="eastAsia" w:ascii="宋体" w:hAnsi="宋体" w:eastAsia="宋体" w:cs="宋体"/>
          <w:color w:val="auto"/>
          <w:spacing w:val="-110"/>
          <w:sz w:val="24"/>
          <w:szCs w:val="24"/>
          <w:highlight w:val="none"/>
        </w:rPr>
        <w:t xml:space="preserve"> </w:t>
      </w:r>
      <w:r>
        <w:rPr>
          <w:rFonts w:hint="eastAsia" w:ascii="宋体" w:hAnsi="宋体" w:eastAsia="宋体" w:cs="宋体"/>
          <w:color w:val="auto"/>
          <w:sz w:val="24"/>
          <w:szCs w:val="24"/>
          <w:highlight w:val="none"/>
        </w:rPr>
        <w:t>实后确定的另一金额，其中，增值税税率为</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9"/>
          <w:sz w:val="24"/>
          <w:szCs w:val="24"/>
          <w:highlight w:val="none"/>
        </w:rPr>
        <w:t>），按合同约定实施和完成承</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z w:val="24"/>
          <w:szCs w:val="24"/>
          <w:highlight w:val="none"/>
        </w:rPr>
        <w:t>包工程，修补工程中的任何缺陷。</w:t>
      </w:r>
    </w:p>
    <w:p w14:paraId="29B18E26">
      <w:pPr>
        <w:pStyle w:val="10"/>
        <w:keepNext w:val="0"/>
        <w:keepLines w:val="0"/>
        <w:pageBreakBefore w:val="0"/>
        <w:widowControl w:val="0"/>
        <w:kinsoku/>
        <w:wordWrap w:val="0"/>
        <w:overflowPunct/>
        <w:topLinePunct w:val="0"/>
        <w:autoSpaceDE/>
        <w:autoSpaceDN/>
        <w:bidi w:val="0"/>
        <w:adjustRightInd/>
        <w:snapToGrid/>
        <w:spacing w:line="360" w:lineRule="auto"/>
        <w:ind w:right="0" w:firstLine="479"/>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2．在合同协议书正式签署生效之前，本投标函连同你方的中标通知书将构成我</w:t>
      </w:r>
      <w:r>
        <w:rPr>
          <w:rFonts w:hint="eastAsia" w:ascii="宋体" w:hAnsi="宋体" w:eastAsia="宋体" w:cs="宋体"/>
          <w:color w:val="auto"/>
          <w:sz w:val="24"/>
          <w:szCs w:val="24"/>
          <w:highlight w:val="none"/>
        </w:rPr>
        <w:t>们双方之间共同遵守的文件，对双方具有约束力。</w:t>
      </w:r>
    </w:p>
    <w:p w14:paraId="13E3BF3F">
      <w:pPr>
        <w:pStyle w:val="10"/>
        <w:keepNext w:val="0"/>
        <w:keepLines w:val="0"/>
        <w:pageBreakBefore w:val="0"/>
        <w:widowControl w:val="0"/>
        <w:tabs>
          <w:tab w:val="left" w:pos="5665"/>
        </w:tabs>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14"/>
          <w:sz w:val="24"/>
          <w:szCs w:val="24"/>
          <w:highlight w:val="none"/>
        </w:rPr>
        <w:t>（其他补充说明）。</w:t>
      </w:r>
    </w:p>
    <w:p w14:paraId="567B0CF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2C34A453">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w:t>
      </w:r>
      <w:r>
        <w:rPr>
          <w:rFonts w:hint="eastAsia" w:ascii="宋体" w:hAnsi="宋体" w:eastAsia="宋体" w:cs="宋体"/>
          <w:color w:val="auto"/>
          <w:spacing w:val="-4"/>
          <w:sz w:val="24"/>
          <w:szCs w:val="24"/>
          <w:highlight w:val="none"/>
        </w:rPr>
        <w:t>人：</w:t>
      </w:r>
      <w:r>
        <w:rPr>
          <w:rFonts w:hint="eastAsia" w:ascii="宋体" w:hAnsi="宋体" w:eastAsia="宋体" w:cs="宋体"/>
          <w:color w:val="auto"/>
          <w:spacing w:val="-4"/>
          <w:sz w:val="24"/>
          <w:szCs w:val="24"/>
          <w:highlight w:val="none"/>
          <w:u w:val="single" w:color="000000"/>
        </w:rPr>
        <w:tab/>
      </w:r>
      <w:r>
        <w:rPr>
          <w:rFonts w:hint="eastAsia" w:ascii="宋体" w:hAnsi="宋体" w:eastAsia="宋体" w:cs="宋体"/>
          <w:color w:val="auto"/>
          <w:sz w:val="24"/>
          <w:szCs w:val="24"/>
          <w:highlight w:val="none"/>
        </w:rPr>
        <w:t>（盖单位章）</w:t>
      </w:r>
    </w:p>
    <w:p w14:paraId="4634EFED">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法定代表人或其委托代理人：</w:t>
      </w:r>
      <w:r>
        <w:rPr>
          <w:rFonts w:hint="eastAsia" w:ascii="宋体" w:hAnsi="宋体" w:eastAsia="宋体" w:cs="宋体"/>
          <w:color w:val="auto"/>
          <w:spacing w:val="-1"/>
          <w:sz w:val="24"/>
          <w:szCs w:val="24"/>
          <w:highlight w:val="none"/>
          <w:u w:val="single" w:color="000000"/>
        </w:rPr>
        <w:tab/>
      </w:r>
      <w:r>
        <w:rPr>
          <w:rFonts w:hint="eastAsia" w:ascii="宋体" w:hAnsi="宋体" w:eastAsia="宋体" w:cs="宋体"/>
          <w:color w:val="auto"/>
          <w:spacing w:val="-1"/>
          <w:sz w:val="24"/>
          <w:szCs w:val="24"/>
          <w:highlight w:val="none"/>
          <w:u w:val="single" w:color="000000"/>
        </w:rPr>
        <w:tab/>
      </w:r>
      <w:r>
        <w:rPr>
          <w:rFonts w:hint="eastAsia" w:ascii="宋体" w:hAnsi="宋体" w:eastAsia="宋体" w:cs="宋体"/>
          <w:color w:val="auto"/>
          <w:sz w:val="24"/>
          <w:szCs w:val="24"/>
          <w:highlight w:val="none"/>
        </w:rPr>
        <w:t>（签字） 地</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 xml:space="preserve"> </w:t>
      </w:r>
    </w:p>
    <w:p w14:paraId="346A5E8F">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u w:val="single" w:color="000000"/>
        </w:rPr>
      </w:pPr>
      <w:r>
        <w:rPr>
          <w:rFonts w:hint="eastAsia" w:ascii="宋体" w:hAnsi="宋体" w:eastAsia="宋体" w:cs="宋体"/>
          <w:color w:val="auto"/>
          <w:sz w:val="24"/>
          <w:szCs w:val="24"/>
          <w:highlight w:val="none"/>
        </w:rPr>
        <w:t>网</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p>
    <w:p w14:paraId="60396492">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u w:val="single" w:color="000000"/>
        </w:rPr>
      </w:pPr>
      <w:r>
        <w:rPr>
          <w:rFonts w:hint="eastAsia" w:ascii="宋体" w:hAnsi="宋体" w:eastAsia="宋体" w:cs="宋体"/>
          <w:color w:val="auto"/>
          <w:sz w:val="24"/>
          <w:szCs w:val="24"/>
          <w:highlight w:val="none"/>
        </w:rPr>
        <w:t>电</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话：</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p>
    <w:p w14:paraId="2F5A307F">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u w:val="single" w:color="000000"/>
        </w:rPr>
      </w:pPr>
      <w:r>
        <w:rPr>
          <w:rFonts w:hint="eastAsia" w:ascii="宋体" w:hAnsi="宋体" w:eastAsia="宋体" w:cs="宋体"/>
          <w:color w:val="auto"/>
          <w:sz w:val="24"/>
          <w:szCs w:val="24"/>
          <w:highlight w:val="none"/>
        </w:rPr>
        <w:t>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真：</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p>
    <w:p w14:paraId="0B6D74AB">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p>
    <w:p w14:paraId="11700D10">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5A1E89B">
      <w:pPr>
        <w:pStyle w:val="10"/>
        <w:keepNext w:val="0"/>
        <w:keepLines w:val="0"/>
        <w:pageBreakBefore w:val="0"/>
        <w:widowControl w:val="0"/>
        <w:tabs>
          <w:tab w:val="left" w:pos="5965"/>
          <w:tab w:val="left" w:pos="7045"/>
          <w:tab w:val="left" w:pos="8125"/>
        </w:tabs>
        <w:kinsoku/>
        <w:wordWrap w:val="0"/>
        <w:overflowPunct/>
        <w:topLinePunct w:val="0"/>
        <w:autoSpaceDE/>
        <w:autoSpaceDN/>
        <w:bidi w:val="0"/>
        <w:adjustRightInd/>
        <w:snapToGrid/>
        <w:spacing w:line="360" w:lineRule="auto"/>
        <w:ind w:left="4885"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日</w:t>
      </w:r>
    </w:p>
    <w:p w14:paraId="0560840D">
      <w:pPr>
        <w:keepNext w:val="0"/>
        <w:keepLines w:val="0"/>
        <w:pageBreakBefore w:val="0"/>
        <w:widowControl w:val="0"/>
        <w:kinsoku/>
        <w:wordWrap w:val="0"/>
        <w:overflowPunct/>
        <w:topLinePunct w:val="0"/>
        <w:autoSpaceDE/>
        <w:autoSpaceDN/>
        <w:bidi w:val="0"/>
        <w:snapToGrid/>
        <w:spacing w:before="0" w:line="240" w:lineRule="auto"/>
        <w:rPr>
          <w:rFonts w:hint="eastAsia" w:ascii="宋体" w:hAnsi="宋体" w:eastAsia="宋体" w:cs="宋体"/>
          <w:color w:val="auto"/>
          <w:sz w:val="24"/>
          <w:szCs w:val="24"/>
          <w:highlight w:val="none"/>
        </w:rPr>
      </w:pPr>
    </w:p>
    <w:p w14:paraId="55375F20">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6D8AE7E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AAFE9F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5DD114B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854F5B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696CF2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500523B">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30"/>
          <w:szCs w:val="30"/>
          <w:highlight w:val="none"/>
        </w:rPr>
      </w:pPr>
      <w:r>
        <w:rPr>
          <w:rFonts w:hint="eastAsia" w:eastAsia="宋体" w:cs="Times New Roman"/>
          <w:b/>
          <w:bCs/>
          <w:color w:val="auto"/>
          <w:kern w:val="2"/>
          <w:sz w:val="30"/>
          <w:szCs w:val="30"/>
          <w:highlight w:val="none"/>
          <w:lang w:val="en-US" w:eastAsia="zh-CN" w:bidi="ar-SA"/>
        </w:rPr>
        <w:t>二</w:t>
      </w:r>
      <w:r>
        <w:rPr>
          <w:rFonts w:hint="default" w:ascii="Times New Roman" w:hAnsi="Times New Roman" w:eastAsia="宋体" w:cs="Times New Roman"/>
          <w:b/>
          <w:bCs/>
          <w:color w:val="auto"/>
          <w:kern w:val="2"/>
          <w:sz w:val="30"/>
          <w:szCs w:val="30"/>
          <w:highlight w:val="none"/>
          <w:lang w:val="en-US" w:eastAsia="zh-CN" w:bidi="ar-SA"/>
        </w:rPr>
        <w:t>、</w:t>
      </w:r>
      <w:r>
        <w:rPr>
          <w:rFonts w:hint="eastAsia" w:ascii="宋体" w:hAnsi="宋体" w:eastAsia="宋体" w:cs="宋体"/>
          <w:b/>
          <w:bCs/>
          <w:color w:val="auto"/>
          <w:sz w:val="30"/>
          <w:szCs w:val="30"/>
          <w:highlight w:val="none"/>
        </w:rPr>
        <w:t>已标价工程量清单</w:t>
      </w:r>
    </w:p>
    <w:p w14:paraId="2A6B867E">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42165218">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21FEAC34">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57B4481B">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5BB68CD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C4860B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8083C0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B0DEB1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4892A92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2F18B0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0BCE75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ACFD25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098483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6FC89C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42C250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72B0E9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5C24966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49800AE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564680C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D93CE3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44A48ED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B5897D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5CA33B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56715EF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9333C4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41E6DE0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952BD8A">
      <w:pPr>
        <w:keepNext w:val="0"/>
        <w:keepLines w:val="0"/>
        <w:pageBreakBefore w:val="0"/>
        <w:widowControl w:val="0"/>
        <w:kinsoku/>
        <w:wordWrap w:val="0"/>
        <w:overflowPunct/>
        <w:topLinePunct w:val="0"/>
        <w:autoSpaceDE/>
        <w:autoSpaceDN/>
        <w:bidi w:val="0"/>
        <w:snapToGrid/>
        <w:spacing w:before="14"/>
        <w:ind w:left="0" w:right="301" w:firstLine="0"/>
        <w:jc w:val="center"/>
        <w:rPr>
          <w:rFonts w:ascii="黑体" w:hAnsi="黑体" w:eastAsia="黑体" w:cs="黑体"/>
          <w:color w:val="auto"/>
          <w:sz w:val="28"/>
          <w:szCs w:val="28"/>
          <w:highlight w:val="none"/>
        </w:rPr>
      </w:pPr>
      <w:r>
        <w:rPr>
          <w:rFonts w:hint="eastAsia" w:ascii="宋体" w:hAnsi="宋体" w:eastAsia="宋体" w:cs="宋体"/>
          <w:b/>
          <w:bCs/>
          <w:color w:val="auto"/>
          <w:sz w:val="30"/>
          <w:szCs w:val="30"/>
          <w:highlight w:val="none"/>
        </w:rPr>
        <w:t>三、合同用款估算表</w:t>
      </w:r>
    </w:p>
    <w:p w14:paraId="2CC94D97">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0"/>
          <w:szCs w:val="20"/>
          <w:highlight w:val="none"/>
        </w:rPr>
      </w:pPr>
    </w:p>
    <w:p w14:paraId="7D6791EC">
      <w:pPr>
        <w:keepNext w:val="0"/>
        <w:keepLines w:val="0"/>
        <w:pageBreakBefore w:val="0"/>
        <w:widowControl w:val="0"/>
        <w:kinsoku/>
        <w:wordWrap w:val="0"/>
        <w:overflowPunct/>
        <w:topLinePunct w:val="0"/>
        <w:autoSpaceDE/>
        <w:autoSpaceDN/>
        <w:bidi w:val="0"/>
        <w:snapToGrid/>
        <w:spacing w:before="11" w:line="240" w:lineRule="auto"/>
        <w:rPr>
          <w:rFonts w:ascii="黑体" w:hAnsi="黑体" w:eastAsia="黑体" w:cs="黑体"/>
          <w:color w:val="auto"/>
          <w:sz w:val="13"/>
          <w:szCs w:val="13"/>
          <w:highlight w:val="none"/>
        </w:rPr>
      </w:pPr>
    </w:p>
    <w:tbl>
      <w:tblPr>
        <w:tblStyle w:val="23"/>
        <w:tblW w:w="0" w:type="auto"/>
        <w:tblInd w:w="108" w:type="dxa"/>
        <w:tblLayout w:type="fixed"/>
        <w:tblCellMar>
          <w:top w:w="0" w:type="dxa"/>
          <w:left w:w="0" w:type="dxa"/>
          <w:bottom w:w="0" w:type="dxa"/>
          <w:right w:w="0" w:type="dxa"/>
        </w:tblCellMar>
      </w:tblPr>
      <w:tblGrid>
        <w:gridCol w:w="628"/>
        <w:gridCol w:w="2025"/>
        <w:gridCol w:w="1544"/>
        <w:gridCol w:w="1547"/>
        <w:gridCol w:w="1547"/>
        <w:gridCol w:w="1548"/>
      </w:tblGrid>
      <w:tr w14:paraId="16EFC67F">
        <w:tblPrEx>
          <w:tblCellMar>
            <w:top w:w="0" w:type="dxa"/>
            <w:left w:w="0" w:type="dxa"/>
            <w:bottom w:w="0" w:type="dxa"/>
            <w:right w:w="0" w:type="dxa"/>
          </w:tblCellMar>
        </w:tblPrEx>
        <w:trPr>
          <w:trHeight w:val="515" w:hRule="exact"/>
        </w:trPr>
        <w:tc>
          <w:tcPr>
            <w:tcW w:w="2653" w:type="dxa"/>
            <w:gridSpan w:val="2"/>
            <w:vMerge w:val="restart"/>
            <w:tcBorders>
              <w:top w:val="single" w:color="000000" w:sz="6" w:space="0"/>
              <w:left w:val="single" w:color="000000" w:sz="6" w:space="0"/>
              <w:right w:val="single" w:color="000000" w:sz="6" w:space="0"/>
            </w:tcBorders>
          </w:tcPr>
          <w:p w14:paraId="7D4ECC5D">
            <w:pPr>
              <w:pStyle w:val="106"/>
              <w:keepNext w:val="0"/>
              <w:keepLines w:val="0"/>
              <w:pageBreakBefore w:val="0"/>
              <w:widowControl w:val="0"/>
              <w:kinsoku/>
              <w:wordWrap w:val="0"/>
              <w:overflowPunct/>
              <w:topLinePunct w:val="0"/>
              <w:autoSpaceDE/>
              <w:autoSpaceDN/>
              <w:bidi w:val="0"/>
              <w:snapToGrid/>
              <w:spacing w:before="13" w:line="240" w:lineRule="auto"/>
              <w:ind w:right="0"/>
              <w:jc w:val="left"/>
              <w:rPr>
                <w:rFonts w:ascii="黑体" w:hAnsi="黑体" w:eastAsia="黑体" w:cs="黑体"/>
                <w:color w:val="auto"/>
                <w:sz w:val="14"/>
                <w:szCs w:val="14"/>
                <w:highlight w:val="none"/>
              </w:rPr>
            </w:pPr>
          </w:p>
          <w:p w14:paraId="2FFEAC80">
            <w:pPr>
              <w:pStyle w:val="106"/>
              <w:keepNext w:val="0"/>
              <w:keepLines w:val="0"/>
              <w:pageBreakBefore w:val="0"/>
              <w:widowControl w:val="0"/>
              <w:kinsoku/>
              <w:wordWrap w:val="0"/>
              <w:overflowPunct/>
              <w:topLinePunct w:val="0"/>
              <w:autoSpaceDE/>
              <w:autoSpaceDN/>
              <w:bidi w:val="0"/>
              <w:snapToGrid/>
              <w:spacing w:line="240" w:lineRule="auto"/>
              <w:ind w:left="2"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从开工月算起的时间</w:t>
            </w:r>
          </w:p>
          <w:p w14:paraId="35EA3B29">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（月）</w:t>
            </w:r>
          </w:p>
        </w:tc>
        <w:tc>
          <w:tcPr>
            <w:tcW w:w="6186" w:type="dxa"/>
            <w:gridSpan w:val="4"/>
            <w:tcBorders>
              <w:top w:val="single" w:color="000000" w:sz="6" w:space="0"/>
              <w:left w:val="single" w:color="000000" w:sz="6" w:space="0"/>
              <w:bottom w:val="single" w:color="000000" w:sz="6" w:space="0"/>
              <w:right w:val="single" w:color="000000" w:sz="6" w:space="0"/>
            </w:tcBorders>
          </w:tcPr>
          <w:p w14:paraId="01C8636B">
            <w:pPr>
              <w:pStyle w:val="106"/>
              <w:keepNext w:val="0"/>
              <w:keepLines w:val="0"/>
              <w:pageBreakBefore w:val="0"/>
              <w:widowControl w:val="0"/>
              <w:kinsoku/>
              <w:wordWrap w:val="0"/>
              <w:overflowPunct/>
              <w:topLinePunct w:val="0"/>
              <w:autoSpaceDE/>
              <w:autoSpaceDN/>
              <w:bidi w:val="0"/>
              <w:snapToGrid/>
              <w:spacing w:before="153"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投标人的估算</w:t>
            </w:r>
          </w:p>
        </w:tc>
      </w:tr>
      <w:tr w14:paraId="7B68E97D">
        <w:tblPrEx>
          <w:tblCellMar>
            <w:top w:w="0" w:type="dxa"/>
            <w:left w:w="0" w:type="dxa"/>
            <w:bottom w:w="0" w:type="dxa"/>
            <w:right w:w="0" w:type="dxa"/>
          </w:tblCellMar>
        </w:tblPrEx>
        <w:trPr>
          <w:trHeight w:val="513" w:hRule="exact"/>
        </w:trPr>
        <w:tc>
          <w:tcPr>
            <w:tcW w:w="2653" w:type="dxa"/>
            <w:gridSpan w:val="2"/>
            <w:vMerge w:val="continue"/>
            <w:tcBorders>
              <w:left w:val="single" w:color="000000" w:sz="6" w:space="0"/>
              <w:right w:val="single" w:color="000000" w:sz="6" w:space="0"/>
            </w:tcBorders>
          </w:tcPr>
          <w:p w14:paraId="2B9DD726">
            <w:pPr>
              <w:keepNext w:val="0"/>
              <w:keepLines w:val="0"/>
              <w:pageBreakBefore w:val="0"/>
              <w:widowControl w:val="0"/>
              <w:kinsoku/>
              <w:wordWrap w:val="0"/>
              <w:overflowPunct/>
              <w:topLinePunct w:val="0"/>
              <w:autoSpaceDE/>
              <w:autoSpaceDN/>
              <w:bidi w:val="0"/>
              <w:snapToGrid/>
              <w:rPr>
                <w:color w:val="auto"/>
                <w:highlight w:val="none"/>
              </w:rPr>
            </w:pPr>
          </w:p>
        </w:tc>
        <w:tc>
          <w:tcPr>
            <w:tcW w:w="3091" w:type="dxa"/>
            <w:gridSpan w:val="2"/>
            <w:tcBorders>
              <w:top w:val="single" w:color="000000" w:sz="6" w:space="0"/>
              <w:left w:val="single" w:color="000000" w:sz="6" w:space="0"/>
              <w:bottom w:val="single" w:color="000000" w:sz="6" w:space="0"/>
              <w:right w:val="single" w:color="000000" w:sz="6" w:space="0"/>
            </w:tcBorders>
          </w:tcPr>
          <w:p w14:paraId="79981BE6">
            <w:pPr>
              <w:pStyle w:val="106"/>
              <w:keepNext w:val="0"/>
              <w:keepLines w:val="0"/>
              <w:pageBreakBefore w:val="0"/>
              <w:widowControl w:val="0"/>
              <w:tabs>
                <w:tab w:val="left" w:pos="736"/>
              </w:tabs>
              <w:kinsoku/>
              <w:wordWrap w:val="0"/>
              <w:overflowPunct/>
              <w:topLinePunct w:val="0"/>
              <w:autoSpaceDE/>
              <w:autoSpaceDN/>
              <w:bidi w:val="0"/>
              <w:snapToGrid/>
              <w:spacing w:before="153"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分</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期</w:t>
            </w:r>
          </w:p>
        </w:tc>
        <w:tc>
          <w:tcPr>
            <w:tcW w:w="3095" w:type="dxa"/>
            <w:gridSpan w:val="2"/>
            <w:tcBorders>
              <w:top w:val="single" w:color="000000" w:sz="6" w:space="0"/>
              <w:left w:val="single" w:color="000000" w:sz="6" w:space="0"/>
              <w:bottom w:val="single" w:color="000000" w:sz="6" w:space="0"/>
              <w:right w:val="single" w:color="000000" w:sz="6" w:space="0"/>
            </w:tcBorders>
          </w:tcPr>
          <w:p w14:paraId="3E7A17E6">
            <w:pPr>
              <w:pStyle w:val="106"/>
              <w:keepNext w:val="0"/>
              <w:keepLines w:val="0"/>
              <w:pageBreakBefore w:val="0"/>
              <w:widowControl w:val="0"/>
              <w:tabs>
                <w:tab w:val="left" w:pos="739"/>
              </w:tabs>
              <w:kinsoku/>
              <w:wordWrap w:val="0"/>
              <w:overflowPunct/>
              <w:topLinePunct w:val="0"/>
              <w:autoSpaceDE/>
              <w:autoSpaceDN/>
              <w:bidi w:val="0"/>
              <w:snapToGrid/>
              <w:spacing w:before="153" w:line="240" w:lineRule="auto"/>
              <w:ind w:left="2"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累</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计</w:t>
            </w:r>
          </w:p>
        </w:tc>
      </w:tr>
      <w:tr w14:paraId="12CBB861">
        <w:tblPrEx>
          <w:tblCellMar>
            <w:top w:w="0" w:type="dxa"/>
            <w:left w:w="0" w:type="dxa"/>
            <w:bottom w:w="0" w:type="dxa"/>
            <w:right w:w="0" w:type="dxa"/>
          </w:tblCellMar>
        </w:tblPrEx>
        <w:trPr>
          <w:trHeight w:val="515" w:hRule="exact"/>
        </w:trPr>
        <w:tc>
          <w:tcPr>
            <w:tcW w:w="2653" w:type="dxa"/>
            <w:gridSpan w:val="2"/>
            <w:vMerge w:val="continue"/>
            <w:tcBorders>
              <w:left w:val="single" w:color="000000" w:sz="6" w:space="0"/>
              <w:bottom w:val="single" w:color="000000" w:sz="6" w:space="0"/>
              <w:right w:val="single" w:color="000000" w:sz="6" w:space="0"/>
            </w:tcBorders>
          </w:tcPr>
          <w:p w14:paraId="79617B57">
            <w:pPr>
              <w:keepNext w:val="0"/>
              <w:keepLines w:val="0"/>
              <w:pageBreakBefore w:val="0"/>
              <w:widowControl w:val="0"/>
              <w:kinsoku/>
              <w:wordWrap w:val="0"/>
              <w:overflowPunct/>
              <w:topLinePunct w:val="0"/>
              <w:autoSpaceDE/>
              <w:autoSpaceDN/>
              <w:bidi w:val="0"/>
              <w:snapToGrid/>
              <w:rPr>
                <w:color w:val="auto"/>
                <w:highlight w:val="none"/>
              </w:rPr>
            </w:pPr>
          </w:p>
        </w:tc>
        <w:tc>
          <w:tcPr>
            <w:tcW w:w="1544" w:type="dxa"/>
            <w:tcBorders>
              <w:top w:val="single" w:color="000000" w:sz="6" w:space="0"/>
              <w:left w:val="single" w:color="000000" w:sz="6" w:space="0"/>
              <w:bottom w:val="single" w:color="000000" w:sz="6" w:space="0"/>
              <w:right w:val="single" w:color="000000" w:sz="6" w:space="0"/>
            </w:tcBorders>
          </w:tcPr>
          <w:p w14:paraId="660C2489">
            <w:pPr>
              <w:pStyle w:val="106"/>
              <w:keepNext w:val="0"/>
              <w:keepLines w:val="0"/>
              <w:pageBreakBefore w:val="0"/>
              <w:widowControl w:val="0"/>
              <w:kinsoku/>
              <w:wordWrap w:val="0"/>
              <w:overflowPunct/>
              <w:topLinePunct w:val="0"/>
              <w:autoSpaceDE/>
              <w:autoSpaceDN/>
              <w:bidi w:val="0"/>
              <w:snapToGrid/>
              <w:spacing w:before="155" w:line="240" w:lineRule="auto"/>
              <w:ind w:left="23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金额（元）</w:t>
            </w:r>
          </w:p>
        </w:tc>
        <w:tc>
          <w:tcPr>
            <w:tcW w:w="1547" w:type="dxa"/>
            <w:tcBorders>
              <w:top w:val="single" w:color="000000" w:sz="6" w:space="0"/>
              <w:left w:val="single" w:color="000000" w:sz="6" w:space="0"/>
              <w:bottom w:val="single" w:color="000000" w:sz="6" w:space="0"/>
              <w:right w:val="single" w:color="000000" w:sz="6" w:space="0"/>
            </w:tcBorders>
          </w:tcPr>
          <w:p w14:paraId="3B3423CD">
            <w:pPr>
              <w:pStyle w:val="106"/>
              <w:keepNext w:val="0"/>
              <w:keepLines w:val="0"/>
              <w:pageBreakBefore w:val="0"/>
              <w:widowControl w:val="0"/>
              <w:kinsoku/>
              <w:wordWrap w:val="0"/>
              <w:overflowPunct/>
              <w:topLinePunct w:val="0"/>
              <w:autoSpaceDE/>
              <w:autoSpaceDN/>
              <w:bidi w:val="0"/>
              <w:snapToGrid/>
              <w:spacing w:before="155" w:line="240" w:lineRule="auto"/>
              <w:ind w:left="470"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w:t>
            </w:r>
            <w:r>
              <w:rPr>
                <w:rFonts w:ascii="宋体" w:hAnsi="宋体" w:eastAsia="宋体" w:cs="宋体"/>
                <w:color w:val="auto"/>
                <w:sz w:val="21"/>
                <w:szCs w:val="21"/>
                <w:highlight w:val="none"/>
              </w:rPr>
              <w:t>）</w:t>
            </w:r>
          </w:p>
        </w:tc>
        <w:tc>
          <w:tcPr>
            <w:tcW w:w="1547" w:type="dxa"/>
            <w:tcBorders>
              <w:top w:val="single" w:color="000000" w:sz="6" w:space="0"/>
              <w:left w:val="single" w:color="000000" w:sz="6" w:space="0"/>
              <w:bottom w:val="single" w:color="000000" w:sz="6" w:space="0"/>
              <w:right w:val="single" w:color="000000" w:sz="6" w:space="0"/>
            </w:tcBorders>
          </w:tcPr>
          <w:p w14:paraId="4CA7B1A9">
            <w:pPr>
              <w:pStyle w:val="106"/>
              <w:keepNext w:val="0"/>
              <w:keepLines w:val="0"/>
              <w:pageBreakBefore w:val="0"/>
              <w:widowControl w:val="0"/>
              <w:kinsoku/>
              <w:wordWrap w:val="0"/>
              <w:overflowPunct/>
              <w:topLinePunct w:val="0"/>
              <w:autoSpaceDE/>
              <w:autoSpaceDN/>
              <w:bidi w:val="0"/>
              <w:snapToGrid/>
              <w:spacing w:before="155" w:line="240" w:lineRule="auto"/>
              <w:ind w:left="24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金额（元）</w:t>
            </w:r>
          </w:p>
        </w:tc>
        <w:tc>
          <w:tcPr>
            <w:tcW w:w="1548" w:type="dxa"/>
            <w:tcBorders>
              <w:top w:val="single" w:color="000000" w:sz="6" w:space="0"/>
              <w:left w:val="single" w:color="000000" w:sz="6" w:space="0"/>
              <w:bottom w:val="single" w:color="000000" w:sz="6" w:space="0"/>
              <w:right w:val="single" w:color="000000" w:sz="6" w:space="0"/>
            </w:tcBorders>
          </w:tcPr>
          <w:p w14:paraId="4966D972">
            <w:pPr>
              <w:pStyle w:val="106"/>
              <w:keepNext w:val="0"/>
              <w:keepLines w:val="0"/>
              <w:pageBreakBefore w:val="0"/>
              <w:widowControl w:val="0"/>
              <w:kinsoku/>
              <w:wordWrap w:val="0"/>
              <w:overflowPunct/>
              <w:topLinePunct w:val="0"/>
              <w:autoSpaceDE/>
              <w:autoSpaceDN/>
              <w:bidi w:val="0"/>
              <w:snapToGrid/>
              <w:spacing w:before="155" w:line="240" w:lineRule="auto"/>
              <w:ind w:left="470"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w:t>
            </w:r>
            <w:r>
              <w:rPr>
                <w:rFonts w:ascii="宋体" w:hAnsi="宋体" w:eastAsia="宋体" w:cs="宋体"/>
                <w:color w:val="auto"/>
                <w:sz w:val="21"/>
                <w:szCs w:val="21"/>
                <w:highlight w:val="none"/>
              </w:rPr>
              <w:t>）</w:t>
            </w:r>
          </w:p>
        </w:tc>
      </w:tr>
      <w:tr w14:paraId="36799DDB">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4D578226">
            <w:pPr>
              <w:pStyle w:val="106"/>
              <w:keepNext w:val="0"/>
              <w:keepLines w:val="0"/>
              <w:pageBreakBefore w:val="0"/>
              <w:widowControl w:val="0"/>
              <w:kinsoku/>
              <w:wordWrap w:val="0"/>
              <w:overflowPunct/>
              <w:topLinePunct w:val="0"/>
              <w:autoSpaceDE/>
              <w:autoSpaceDN/>
              <w:bidi w:val="0"/>
              <w:snapToGrid/>
              <w:spacing w:before="155" w:line="240" w:lineRule="auto"/>
              <w:ind w:left="47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第一次开工预付款</w:t>
            </w:r>
          </w:p>
        </w:tc>
        <w:tc>
          <w:tcPr>
            <w:tcW w:w="1544" w:type="dxa"/>
            <w:tcBorders>
              <w:top w:val="single" w:color="000000" w:sz="6" w:space="0"/>
              <w:left w:val="single" w:color="000000" w:sz="6" w:space="0"/>
              <w:bottom w:val="single" w:color="000000" w:sz="6" w:space="0"/>
              <w:right w:val="single" w:color="000000" w:sz="6" w:space="0"/>
            </w:tcBorders>
          </w:tcPr>
          <w:p w14:paraId="648545DE">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10E5973E">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61B353A4">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5B078239">
            <w:pPr>
              <w:keepNext w:val="0"/>
              <w:keepLines w:val="0"/>
              <w:pageBreakBefore w:val="0"/>
              <w:widowControl w:val="0"/>
              <w:kinsoku/>
              <w:wordWrap w:val="0"/>
              <w:overflowPunct/>
              <w:topLinePunct w:val="0"/>
              <w:autoSpaceDE/>
              <w:autoSpaceDN/>
              <w:bidi w:val="0"/>
              <w:snapToGrid/>
              <w:rPr>
                <w:color w:val="auto"/>
                <w:highlight w:val="none"/>
              </w:rPr>
            </w:pPr>
          </w:p>
        </w:tc>
      </w:tr>
      <w:tr w14:paraId="6E51CF24">
        <w:tblPrEx>
          <w:tblCellMar>
            <w:top w:w="0" w:type="dxa"/>
            <w:left w:w="0" w:type="dxa"/>
            <w:bottom w:w="0" w:type="dxa"/>
            <w:right w:w="0" w:type="dxa"/>
          </w:tblCellMar>
        </w:tblPrEx>
        <w:trPr>
          <w:trHeight w:val="516"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782CB9B8">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color w:val="auto"/>
                <w:sz w:val="21"/>
                <w:highlight w:val="none"/>
              </w:rPr>
              <w:t>1 ~</w:t>
            </w:r>
            <w:r>
              <w:rPr>
                <w:rFonts w:ascii="Times New Roman"/>
                <w:color w:val="auto"/>
                <w:spacing w:val="1"/>
                <w:sz w:val="21"/>
                <w:highlight w:val="none"/>
              </w:rPr>
              <w:t xml:space="preserve"> </w:t>
            </w:r>
            <w:r>
              <w:rPr>
                <w:rFonts w:ascii="Times New Roman"/>
                <w:color w:val="auto"/>
                <w:sz w:val="21"/>
                <w:highlight w:val="none"/>
              </w:rPr>
              <w:t>3</w:t>
            </w:r>
          </w:p>
        </w:tc>
        <w:tc>
          <w:tcPr>
            <w:tcW w:w="1544" w:type="dxa"/>
            <w:tcBorders>
              <w:top w:val="single" w:color="000000" w:sz="6" w:space="0"/>
              <w:left w:val="single" w:color="000000" w:sz="6" w:space="0"/>
              <w:bottom w:val="single" w:color="000000" w:sz="6" w:space="0"/>
              <w:right w:val="single" w:color="000000" w:sz="6" w:space="0"/>
            </w:tcBorders>
          </w:tcPr>
          <w:p w14:paraId="4674FF32">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3F9D9021">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412408CA">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5C193598">
            <w:pPr>
              <w:keepNext w:val="0"/>
              <w:keepLines w:val="0"/>
              <w:pageBreakBefore w:val="0"/>
              <w:widowControl w:val="0"/>
              <w:kinsoku/>
              <w:wordWrap w:val="0"/>
              <w:overflowPunct/>
              <w:topLinePunct w:val="0"/>
              <w:autoSpaceDE/>
              <w:autoSpaceDN/>
              <w:bidi w:val="0"/>
              <w:snapToGrid/>
              <w:rPr>
                <w:color w:val="auto"/>
                <w:highlight w:val="none"/>
              </w:rPr>
            </w:pPr>
          </w:p>
        </w:tc>
      </w:tr>
      <w:tr w14:paraId="78155825">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23D7189F">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color w:val="auto"/>
                <w:sz w:val="21"/>
                <w:highlight w:val="none"/>
              </w:rPr>
              <w:t>4 ~</w:t>
            </w:r>
            <w:r>
              <w:rPr>
                <w:rFonts w:ascii="Times New Roman"/>
                <w:color w:val="auto"/>
                <w:spacing w:val="1"/>
                <w:sz w:val="21"/>
                <w:highlight w:val="none"/>
              </w:rPr>
              <w:t xml:space="preserve"> </w:t>
            </w:r>
            <w:r>
              <w:rPr>
                <w:rFonts w:ascii="Times New Roman"/>
                <w:color w:val="auto"/>
                <w:sz w:val="21"/>
                <w:highlight w:val="none"/>
              </w:rPr>
              <w:t>6</w:t>
            </w:r>
          </w:p>
        </w:tc>
        <w:tc>
          <w:tcPr>
            <w:tcW w:w="1544" w:type="dxa"/>
            <w:tcBorders>
              <w:top w:val="single" w:color="000000" w:sz="6" w:space="0"/>
              <w:left w:val="single" w:color="000000" w:sz="6" w:space="0"/>
              <w:bottom w:val="single" w:color="000000" w:sz="6" w:space="0"/>
              <w:right w:val="single" w:color="000000" w:sz="6" w:space="0"/>
            </w:tcBorders>
          </w:tcPr>
          <w:p w14:paraId="7A95E79C">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3ED97F9C">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48D95099">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0B75B47B">
            <w:pPr>
              <w:keepNext w:val="0"/>
              <w:keepLines w:val="0"/>
              <w:pageBreakBefore w:val="0"/>
              <w:widowControl w:val="0"/>
              <w:kinsoku/>
              <w:wordWrap w:val="0"/>
              <w:overflowPunct/>
              <w:topLinePunct w:val="0"/>
              <w:autoSpaceDE/>
              <w:autoSpaceDN/>
              <w:bidi w:val="0"/>
              <w:snapToGrid/>
              <w:rPr>
                <w:color w:val="auto"/>
                <w:highlight w:val="none"/>
              </w:rPr>
            </w:pPr>
          </w:p>
        </w:tc>
      </w:tr>
      <w:tr w14:paraId="3EE436D0">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1294BACE">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hint="eastAsia" w:ascii="Times New Roman" w:hAnsi="Times New Roman" w:eastAsia="宋体" w:cs="Times New Roman"/>
                <w:color w:val="auto"/>
                <w:sz w:val="21"/>
                <w:szCs w:val="21"/>
                <w:highlight w:val="none"/>
                <w:lang w:val="en-US" w:eastAsia="zh-CN"/>
              </w:rPr>
            </w:pPr>
            <w:r>
              <w:rPr>
                <w:rFonts w:hint="eastAsia"/>
                <w:color w:val="auto"/>
                <w:sz w:val="21"/>
                <w:highlight w:val="none"/>
                <w:lang w:val="en-US" w:eastAsia="zh-CN"/>
              </w:rPr>
              <w:t>7</w:t>
            </w:r>
            <w:r>
              <w:rPr>
                <w:rFonts w:ascii="Times New Roman"/>
                <w:color w:val="auto"/>
                <w:sz w:val="21"/>
                <w:highlight w:val="none"/>
              </w:rPr>
              <w:t xml:space="preserve"> ~</w:t>
            </w:r>
            <w:r>
              <w:rPr>
                <w:rFonts w:ascii="Times New Roman"/>
                <w:color w:val="auto"/>
                <w:spacing w:val="1"/>
                <w:sz w:val="21"/>
                <w:highlight w:val="none"/>
              </w:rPr>
              <w:t xml:space="preserve"> </w:t>
            </w:r>
            <w:r>
              <w:rPr>
                <w:rFonts w:hint="eastAsia"/>
                <w:color w:val="auto"/>
                <w:spacing w:val="1"/>
                <w:sz w:val="21"/>
                <w:highlight w:val="none"/>
                <w:lang w:val="en-US" w:eastAsia="zh-CN"/>
              </w:rPr>
              <w:t>9</w:t>
            </w:r>
          </w:p>
        </w:tc>
        <w:tc>
          <w:tcPr>
            <w:tcW w:w="1544" w:type="dxa"/>
            <w:tcBorders>
              <w:top w:val="single" w:color="000000" w:sz="6" w:space="0"/>
              <w:left w:val="single" w:color="000000" w:sz="6" w:space="0"/>
              <w:bottom w:val="single" w:color="000000" w:sz="6" w:space="0"/>
              <w:right w:val="single" w:color="000000" w:sz="6" w:space="0"/>
            </w:tcBorders>
          </w:tcPr>
          <w:p w14:paraId="44294983">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7060D8EA">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58920F45">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161975BA">
            <w:pPr>
              <w:keepNext w:val="0"/>
              <w:keepLines w:val="0"/>
              <w:pageBreakBefore w:val="0"/>
              <w:widowControl w:val="0"/>
              <w:kinsoku/>
              <w:wordWrap w:val="0"/>
              <w:overflowPunct/>
              <w:topLinePunct w:val="0"/>
              <w:autoSpaceDE/>
              <w:autoSpaceDN/>
              <w:bidi w:val="0"/>
              <w:snapToGrid/>
              <w:rPr>
                <w:color w:val="auto"/>
                <w:highlight w:val="none"/>
              </w:rPr>
            </w:pPr>
          </w:p>
        </w:tc>
      </w:tr>
      <w:tr w14:paraId="1912370F">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5CD9B57A">
            <w:pPr>
              <w:pStyle w:val="106"/>
              <w:keepNext w:val="0"/>
              <w:keepLines w:val="0"/>
              <w:pageBreakBefore w:val="0"/>
              <w:widowControl w:val="0"/>
              <w:kinsoku/>
              <w:wordWrap w:val="0"/>
              <w:overflowPunct/>
              <w:topLinePunct w:val="0"/>
              <w:autoSpaceDE/>
              <w:autoSpaceDN/>
              <w:bidi w:val="0"/>
              <w:snapToGrid/>
              <w:spacing w:line="240" w:lineRule="auto"/>
              <w:ind w:left="1" w:right="0"/>
              <w:jc w:val="center"/>
              <w:rPr>
                <w:rFonts w:hint="default" w:ascii="Times New Roman" w:hAnsi="Times New Roman" w:eastAsia="宋体" w:cs="Times New Roman"/>
                <w:color w:val="auto"/>
                <w:sz w:val="21"/>
                <w:szCs w:val="21"/>
                <w:highlight w:val="none"/>
                <w:lang w:val="en-US" w:eastAsia="zh-CN"/>
              </w:rPr>
            </w:pPr>
            <w:r>
              <w:rPr>
                <w:rFonts w:hint="eastAsia"/>
                <w:color w:val="auto"/>
                <w:sz w:val="21"/>
                <w:highlight w:val="none"/>
                <w:lang w:val="en-US" w:eastAsia="zh-CN"/>
              </w:rPr>
              <w:t>10</w:t>
            </w:r>
            <w:r>
              <w:rPr>
                <w:rFonts w:ascii="Times New Roman"/>
                <w:color w:val="auto"/>
                <w:sz w:val="21"/>
                <w:highlight w:val="none"/>
              </w:rPr>
              <w:t xml:space="preserve"> ~</w:t>
            </w:r>
            <w:r>
              <w:rPr>
                <w:rFonts w:ascii="Times New Roman"/>
                <w:color w:val="auto"/>
                <w:spacing w:val="1"/>
                <w:sz w:val="21"/>
                <w:highlight w:val="none"/>
              </w:rPr>
              <w:t xml:space="preserve"> </w:t>
            </w:r>
            <w:r>
              <w:rPr>
                <w:rFonts w:hint="eastAsia"/>
                <w:color w:val="auto"/>
                <w:spacing w:val="1"/>
                <w:sz w:val="21"/>
                <w:highlight w:val="none"/>
                <w:lang w:val="en-US" w:eastAsia="zh-CN"/>
              </w:rPr>
              <w:t>12</w:t>
            </w:r>
          </w:p>
        </w:tc>
        <w:tc>
          <w:tcPr>
            <w:tcW w:w="1544" w:type="dxa"/>
            <w:tcBorders>
              <w:top w:val="single" w:color="000000" w:sz="6" w:space="0"/>
              <w:left w:val="single" w:color="000000" w:sz="6" w:space="0"/>
              <w:bottom w:val="single" w:color="000000" w:sz="6" w:space="0"/>
              <w:right w:val="single" w:color="000000" w:sz="6" w:space="0"/>
            </w:tcBorders>
          </w:tcPr>
          <w:p w14:paraId="5356A2C3">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61F3E891">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0D0E1FD1">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52B03133">
            <w:pPr>
              <w:keepNext w:val="0"/>
              <w:keepLines w:val="0"/>
              <w:pageBreakBefore w:val="0"/>
              <w:widowControl w:val="0"/>
              <w:kinsoku/>
              <w:wordWrap w:val="0"/>
              <w:overflowPunct/>
              <w:topLinePunct w:val="0"/>
              <w:autoSpaceDE/>
              <w:autoSpaceDN/>
              <w:bidi w:val="0"/>
              <w:snapToGrid/>
              <w:rPr>
                <w:color w:val="auto"/>
                <w:highlight w:val="none"/>
              </w:rPr>
            </w:pPr>
          </w:p>
        </w:tc>
      </w:tr>
      <w:tr w14:paraId="64FE9226">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78274C21">
            <w:pPr>
              <w:pStyle w:val="106"/>
              <w:keepNext w:val="0"/>
              <w:keepLines w:val="0"/>
              <w:pageBreakBefore w:val="0"/>
              <w:widowControl w:val="0"/>
              <w:kinsoku/>
              <w:wordWrap w:val="0"/>
              <w:overflowPunct/>
              <w:topLinePunct w:val="0"/>
              <w:autoSpaceDE/>
              <w:autoSpaceDN/>
              <w:bidi w:val="0"/>
              <w:snapToGrid/>
              <w:spacing w:line="240" w:lineRule="auto"/>
              <w:ind w:left="1" w:right="0"/>
              <w:jc w:val="center"/>
              <w:rPr>
                <w:rFonts w:ascii="Times New Roman" w:hAnsi="Times New Roman" w:eastAsia="Times New Roman" w:cs="Times New Roman"/>
                <w:color w:val="auto"/>
                <w:sz w:val="21"/>
                <w:szCs w:val="21"/>
                <w:highlight w:val="none"/>
              </w:rPr>
            </w:pPr>
          </w:p>
        </w:tc>
        <w:tc>
          <w:tcPr>
            <w:tcW w:w="1544" w:type="dxa"/>
            <w:tcBorders>
              <w:top w:val="single" w:color="000000" w:sz="6" w:space="0"/>
              <w:left w:val="single" w:color="000000" w:sz="6" w:space="0"/>
              <w:bottom w:val="single" w:color="000000" w:sz="6" w:space="0"/>
              <w:right w:val="single" w:color="000000" w:sz="6" w:space="0"/>
            </w:tcBorders>
          </w:tcPr>
          <w:p w14:paraId="0D922250">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0D9C02E9">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1163DAC8">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4E7C6E8B">
            <w:pPr>
              <w:keepNext w:val="0"/>
              <w:keepLines w:val="0"/>
              <w:pageBreakBefore w:val="0"/>
              <w:widowControl w:val="0"/>
              <w:kinsoku/>
              <w:wordWrap w:val="0"/>
              <w:overflowPunct/>
              <w:topLinePunct w:val="0"/>
              <w:autoSpaceDE/>
              <w:autoSpaceDN/>
              <w:bidi w:val="0"/>
              <w:snapToGrid/>
              <w:rPr>
                <w:color w:val="auto"/>
                <w:highlight w:val="none"/>
              </w:rPr>
            </w:pPr>
          </w:p>
        </w:tc>
      </w:tr>
      <w:tr w14:paraId="2D7FAE6C">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572384A9">
            <w:pPr>
              <w:pStyle w:val="106"/>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18212D99">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544" w:type="dxa"/>
            <w:tcBorders>
              <w:top w:val="single" w:color="000000" w:sz="6" w:space="0"/>
              <w:left w:val="single" w:color="000000" w:sz="6" w:space="0"/>
              <w:bottom w:val="single" w:color="000000" w:sz="6" w:space="0"/>
              <w:right w:val="single" w:color="000000" w:sz="6" w:space="0"/>
            </w:tcBorders>
          </w:tcPr>
          <w:p w14:paraId="63F9EB6E">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2A344C9C">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47E0E58F">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74F7C73A">
            <w:pPr>
              <w:keepNext w:val="0"/>
              <w:keepLines w:val="0"/>
              <w:pageBreakBefore w:val="0"/>
              <w:widowControl w:val="0"/>
              <w:kinsoku/>
              <w:wordWrap w:val="0"/>
              <w:overflowPunct/>
              <w:topLinePunct w:val="0"/>
              <w:autoSpaceDE/>
              <w:autoSpaceDN/>
              <w:bidi w:val="0"/>
              <w:snapToGrid/>
              <w:rPr>
                <w:color w:val="auto"/>
                <w:highlight w:val="none"/>
              </w:rPr>
            </w:pPr>
          </w:p>
        </w:tc>
      </w:tr>
      <w:tr w14:paraId="0D2426D2">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1CD24434">
            <w:pPr>
              <w:pStyle w:val="106"/>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3C8A431D">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544" w:type="dxa"/>
            <w:tcBorders>
              <w:top w:val="single" w:color="000000" w:sz="6" w:space="0"/>
              <w:left w:val="single" w:color="000000" w:sz="6" w:space="0"/>
              <w:bottom w:val="single" w:color="000000" w:sz="6" w:space="0"/>
              <w:right w:val="single" w:color="000000" w:sz="6" w:space="0"/>
            </w:tcBorders>
          </w:tcPr>
          <w:p w14:paraId="50E0BBAD">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214A2674">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07B0FC73">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07944FEC">
            <w:pPr>
              <w:keepNext w:val="0"/>
              <w:keepLines w:val="0"/>
              <w:pageBreakBefore w:val="0"/>
              <w:widowControl w:val="0"/>
              <w:kinsoku/>
              <w:wordWrap w:val="0"/>
              <w:overflowPunct/>
              <w:topLinePunct w:val="0"/>
              <w:autoSpaceDE/>
              <w:autoSpaceDN/>
              <w:bidi w:val="0"/>
              <w:snapToGrid/>
              <w:rPr>
                <w:color w:val="auto"/>
                <w:highlight w:val="none"/>
              </w:rPr>
            </w:pPr>
          </w:p>
        </w:tc>
      </w:tr>
      <w:tr w14:paraId="4DC50F45">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5D9B231B">
            <w:pPr>
              <w:keepNext w:val="0"/>
              <w:keepLines w:val="0"/>
              <w:pageBreakBefore w:val="0"/>
              <w:widowControl w:val="0"/>
              <w:kinsoku/>
              <w:wordWrap w:val="0"/>
              <w:overflowPunct/>
              <w:topLinePunct w:val="0"/>
              <w:autoSpaceDE/>
              <w:autoSpaceDN/>
              <w:bidi w:val="0"/>
              <w:snapToGrid/>
              <w:rPr>
                <w:color w:val="auto"/>
                <w:highlight w:val="none"/>
              </w:rPr>
            </w:pPr>
          </w:p>
        </w:tc>
        <w:tc>
          <w:tcPr>
            <w:tcW w:w="1544" w:type="dxa"/>
            <w:tcBorders>
              <w:top w:val="single" w:color="000000" w:sz="6" w:space="0"/>
              <w:left w:val="single" w:color="000000" w:sz="6" w:space="0"/>
              <w:bottom w:val="single" w:color="000000" w:sz="6" w:space="0"/>
              <w:right w:val="single" w:color="000000" w:sz="6" w:space="0"/>
            </w:tcBorders>
          </w:tcPr>
          <w:p w14:paraId="4DE05CB4">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5D1AC412">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382075A9">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11614ABA">
            <w:pPr>
              <w:keepNext w:val="0"/>
              <w:keepLines w:val="0"/>
              <w:pageBreakBefore w:val="0"/>
              <w:widowControl w:val="0"/>
              <w:kinsoku/>
              <w:wordWrap w:val="0"/>
              <w:overflowPunct/>
              <w:topLinePunct w:val="0"/>
              <w:autoSpaceDE/>
              <w:autoSpaceDN/>
              <w:bidi w:val="0"/>
              <w:snapToGrid/>
              <w:rPr>
                <w:color w:val="auto"/>
                <w:highlight w:val="none"/>
              </w:rPr>
            </w:pPr>
          </w:p>
        </w:tc>
      </w:tr>
      <w:tr w14:paraId="27775044">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22E91238">
            <w:pPr>
              <w:pStyle w:val="106"/>
              <w:keepNext w:val="0"/>
              <w:keepLines w:val="0"/>
              <w:pageBreakBefore w:val="0"/>
              <w:widowControl w:val="0"/>
              <w:kinsoku/>
              <w:wordWrap w:val="0"/>
              <w:overflowPunct/>
              <w:topLinePunct w:val="0"/>
              <w:autoSpaceDE/>
              <w:autoSpaceDN/>
              <w:bidi w:val="0"/>
              <w:snapToGrid/>
              <w:spacing w:before="153" w:line="240" w:lineRule="auto"/>
              <w:ind w:left="794"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缺陷责任期</w:t>
            </w:r>
          </w:p>
        </w:tc>
        <w:tc>
          <w:tcPr>
            <w:tcW w:w="1544" w:type="dxa"/>
            <w:tcBorders>
              <w:top w:val="single" w:color="000000" w:sz="6" w:space="0"/>
              <w:left w:val="single" w:color="000000" w:sz="6" w:space="0"/>
              <w:bottom w:val="single" w:color="000000" w:sz="6" w:space="0"/>
              <w:right w:val="single" w:color="000000" w:sz="6" w:space="0"/>
            </w:tcBorders>
          </w:tcPr>
          <w:p w14:paraId="7148A120">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1BC2C324">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24FEE66E">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07D99801">
            <w:pPr>
              <w:keepNext w:val="0"/>
              <w:keepLines w:val="0"/>
              <w:pageBreakBefore w:val="0"/>
              <w:widowControl w:val="0"/>
              <w:kinsoku/>
              <w:wordWrap w:val="0"/>
              <w:overflowPunct/>
              <w:topLinePunct w:val="0"/>
              <w:autoSpaceDE/>
              <w:autoSpaceDN/>
              <w:bidi w:val="0"/>
              <w:snapToGrid/>
              <w:rPr>
                <w:color w:val="auto"/>
                <w:highlight w:val="none"/>
              </w:rPr>
            </w:pPr>
          </w:p>
        </w:tc>
      </w:tr>
      <w:tr w14:paraId="21D67FCA">
        <w:tblPrEx>
          <w:tblCellMar>
            <w:top w:w="0" w:type="dxa"/>
            <w:left w:w="0" w:type="dxa"/>
            <w:bottom w:w="0" w:type="dxa"/>
            <w:right w:w="0" w:type="dxa"/>
          </w:tblCellMar>
        </w:tblPrEx>
        <w:trPr>
          <w:trHeight w:val="513"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6BDEDAD5">
            <w:pPr>
              <w:pStyle w:val="106"/>
              <w:keepNext w:val="0"/>
              <w:keepLines w:val="0"/>
              <w:pageBreakBefore w:val="0"/>
              <w:widowControl w:val="0"/>
              <w:tabs>
                <w:tab w:val="left" w:pos="1636"/>
              </w:tabs>
              <w:kinsoku/>
              <w:wordWrap w:val="0"/>
              <w:overflowPunct/>
              <w:topLinePunct w:val="0"/>
              <w:autoSpaceDE/>
              <w:autoSpaceDN/>
              <w:bidi w:val="0"/>
              <w:snapToGrid/>
              <w:spacing w:before="153" w:line="240" w:lineRule="auto"/>
              <w:ind w:left="794"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小</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计</w:t>
            </w:r>
          </w:p>
        </w:tc>
        <w:tc>
          <w:tcPr>
            <w:tcW w:w="1544" w:type="dxa"/>
            <w:tcBorders>
              <w:top w:val="single" w:color="000000" w:sz="6" w:space="0"/>
              <w:left w:val="single" w:color="000000" w:sz="6" w:space="0"/>
              <w:bottom w:val="single" w:color="000000" w:sz="6" w:space="0"/>
              <w:right w:val="single" w:color="000000" w:sz="6" w:space="0"/>
            </w:tcBorders>
          </w:tcPr>
          <w:p w14:paraId="5065AECF">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6B394843">
            <w:pPr>
              <w:pStyle w:val="106"/>
              <w:keepNext w:val="0"/>
              <w:keepLines w:val="0"/>
              <w:pageBreakBefore w:val="0"/>
              <w:widowControl w:val="0"/>
              <w:kinsoku/>
              <w:wordWrap w:val="0"/>
              <w:overflowPunct/>
              <w:topLinePunct w:val="0"/>
              <w:autoSpaceDE/>
              <w:autoSpaceDN/>
              <w:bidi w:val="0"/>
              <w:snapToGrid/>
              <w:spacing w:line="240" w:lineRule="auto"/>
              <w:ind w:left="477" w:right="0"/>
              <w:jc w:val="left"/>
              <w:rPr>
                <w:rFonts w:ascii="Times New Roman" w:hAnsi="Times New Roman" w:eastAsia="Times New Roman" w:cs="Times New Roman"/>
                <w:color w:val="auto"/>
                <w:sz w:val="21"/>
                <w:szCs w:val="21"/>
                <w:highlight w:val="none"/>
              </w:rPr>
            </w:pPr>
            <w:r>
              <w:rPr>
                <w:rFonts w:ascii="Times New Roman"/>
                <w:color w:val="auto"/>
                <w:sz w:val="21"/>
                <w:highlight w:val="none"/>
              </w:rPr>
              <w:t>100.00</w:t>
            </w:r>
          </w:p>
        </w:tc>
        <w:tc>
          <w:tcPr>
            <w:tcW w:w="1547" w:type="dxa"/>
            <w:tcBorders>
              <w:top w:val="single" w:color="000000" w:sz="6" w:space="0"/>
              <w:left w:val="single" w:color="000000" w:sz="6" w:space="0"/>
              <w:bottom w:val="single" w:color="000000" w:sz="6" w:space="0"/>
              <w:right w:val="single" w:color="000000" w:sz="6" w:space="0"/>
            </w:tcBorders>
          </w:tcPr>
          <w:p w14:paraId="7FBF69EA">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38E3E455">
            <w:pPr>
              <w:keepNext w:val="0"/>
              <w:keepLines w:val="0"/>
              <w:pageBreakBefore w:val="0"/>
              <w:widowControl w:val="0"/>
              <w:kinsoku/>
              <w:wordWrap w:val="0"/>
              <w:overflowPunct/>
              <w:topLinePunct w:val="0"/>
              <w:autoSpaceDE/>
              <w:autoSpaceDN/>
              <w:bidi w:val="0"/>
              <w:snapToGrid/>
              <w:rPr>
                <w:color w:val="auto"/>
                <w:highlight w:val="none"/>
              </w:rPr>
            </w:pPr>
          </w:p>
        </w:tc>
      </w:tr>
      <w:tr w14:paraId="7CE6EFBC">
        <w:tblPrEx>
          <w:tblCellMar>
            <w:top w:w="0" w:type="dxa"/>
            <w:left w:w="0" w:type="dxa"/>
            <w:bottom w:w="0" w:type="dxa"/>
            <w:right w:w="0" w:type="dxa"/>
          </w:tblCellMar>
        </w:tblPrEx>
        <w:trPr>
          <w:trHeight w:val="515" w:hRule="exact"/>
        </w:trPr>
        <w:tc>
          <w:tcPr>
            <w:tcW w:w="8839" w:type="dxa"/>
            <w:gridSpan w:val="6"/>
            <w:tcBorders>
              <w:top w:val="single" w:color="000000" w:sz="6" w:space="0"/>
              <w:left w:val="single" w:color="000000" w:sz="6" w:space="0"/>
              <w:bottom w:val="single" w:color="000000" w:sz="6" w:space="0"/>
              <w:right w:val="single" w:color="000000" w:sz="6" w:space="0"/>
            </w:tcBorders>
          </w:tcPr>
          <w:p w14:paraId="37C82D31">
            <w:pPr>
              <w:pStyle w:val="106"/>
              <w:keepNext w:val="0"/>
              <w:keepLines w:val="0"/>
              <w:pageBreakBefore w:val="0"/>
              <w:widowControl w:val="0"/>
              <w:kinsoku/>
              <w:wordWrap w:val="0"/>
              <w:overflowPunct/>
              <w:topLinePunct w:val="0"/>
              <w:autoSpaceDE/>
              <w:autoSpaceDN/>
              <w:bidi w:val="0"/>
              <w:snapToGrid/>
              <w:spacing w:before="155" w:line="240" w:lineRule="auto"/>
              <w:ind w:left="2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投标价：</w:t>
            </w:r>
          </w:p>
        </w:tc>
      </w:tr>
      <w:tr w14:paraId="42813A44">
        <w:tblPrEx>
          <w:tblCellMar>
            <w:top w:w="0" w:type="dxa"/>
            <w:left w:w="0" w:type="dxa"/>
            <w:bottom w:w="0" w:type="dxa"/>
            <w:right w:w="0" w:type="dxa"/>
          </w:tblCellMar>
        </w:tblPrEx>
        <w:trPr>
          <w:trHeight w:val="3069" w:hRule="exact"/>
        </w:trPr>
        <w:tc>
          <w:tcPr>
            <w:tcW w:w="628" w:type="dxa"/>
            <w:tcBorders>
              <w:top w:val="single" w:color="000000" w:sz="6" w:space="0"/>
              <w:left w:val="single" w:color="000000" w:sz="6" w:space="0"/>
              <w:bottom w:val="single" w:color="000000" w:sz="6" w:space="0"/>
              <w:right w:val="single" w:color="000000" w:sz="6" w:space="0"/>
            </w:tcBorders>
          </w:tcPr>
          <w:p w14:paraId="6C8569F3">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0ECDE18D">
            <w:pPr>
              <w:pStyle w:val="106"/>
              <w:keepNext w:val="0"/>
              <w:keepLines w:val="0"/>
              <w:pageBreakBefore w:val="0"/>
              <w:widowControl w:val="0"/>
              <w:kinsoku/>
              <w:wordWrap w:val="0"/>
              <w:overflowPunct/>
              <w:topLinePunct w:val="0"/>
              <w:autoSpaceDE/>
              <w:autoSpaceDN/>
              <w:bidi w:val="0"/>
              <w:snapToGrid/>
              <w:spacing w:before="153" w:line="240" w:lineRule="auto"/>
              <w:ind w:left="201" w:right="0"/>
              <w:jc w:val="left"/>
              <w:rPr>
                <w:rFonts w:ascii="宋体" w:hAnsi="宋体" w:eastAsia="宋体" w:cs="宋体"/>
                <w:color w:val="auto"/>
                <w:sz w:val="21"/>
                <w:szCs w:val="21"/>
                <w:highlight w:val="none"/>
              </w:rPr>
            </w:pPr>
            <w:r>
              <w:rPr>
                <w:rFonts w:ascii="宋体" w:hAnsi="宋体" w:eastAsia="宋体" w:cs="宋体"/>
                <w:color w:val="auto"/>
                <w:w w:val="100"/>
                <w:sz w:val="21"/>
                <w:szCs w:val="21"/>
                <w:highlight w:val="none"/>
              </w:rPr>
              <w:t>说</w:t>
            </w:r>
          </w:p>
          <w:p w14:paraId="742C890B">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137A4A8A">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7A05AB6E">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08F8A448">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328C477E">
            <w:pPr>
              <w:pStyle w:val="106"/>
              <w:keepNext w:val="0"/>
              <w:keepLines w:val="0"/>
              <w:pageBreakBefore w:val="0"/>
              <w:widowControl w:val="0"/>
              <w:kinsoku/>
              <w:wordWrap w:val="0"/>
              <w:overflowPunct/>
              <w:topLinePunct w:val="0"/>
              <w:autoSpaceDE/>
              <w:autoSpaceDN/>
              <w:bidi w:val="0"/>
              <w:snapToGrid/>
              <w:spacing w:before="2" w:line="240" w:lineRule="auto"/>
              <w:ind w:right="0"/>
              <w:jc w:val="left"/>
              <w:rPr>
                <w:rFonts w:ascii="黑体" w:hAnsi="黑体" w:eastAsia="黑体" w:cs="黑体"/>
                <w:color w:val="auto"/>
                <w:sz w:val="21"/>
                <w:szCs w:val="21"/>
                <w:highlight w:val="none"/>
              </w:rPr>
            </w:pPr>
          </w:p>
          <w:p w14:paraId="4A6FCE59">
            <w:pPr>
              <w:pStyle w:val="106"/>
              <w:keepNext w:val="0"/>
              <w:keepLines w:val="0"/>
              <w:pageBreakBefore w:val="0"/>
              <w:widowControl w:val="0"/>
              <w:kinsoku/>
              <w:wordWrap w:val="0"/>
              <w:overflowPunct/>
              <w:topLinePunct w:val="0"/>
              <w:autoSpaceDE/>
              <w:autoSpaceDN/>
              <w:bidi w:val="0"/>
              <w:snapToGrid/>
              <w:spacing w:line="240" w:lineRule="auto"/>
              <w:ind w:left="201" w:right="0"/>
              <w:jc w:val="left"/>
              <w:rPr>
                <w:rFonts w:ascii="宋体" w:hAnsi="宋体" w:eastAsia="宋体" w:cs="宋体"/>
                <w:color w:val="auto"/>
                <w:sz w:val="21"/>
                <w:szCs w:val="21"/>
                <w:highlight w:val="none"/>
              </w:rPr>
            </w:pPr>
            <w:r>
              <w:rPr>
                <w:rFonts w:ascii="宋体" w:hAnsi="宋体" w:eastAsia="宋体" w:cs="宋体"/>
                <w:color w:val="auto"/>
                <w:w w:val="100"/>
                <w:sz w:val="21"/>
                <w:szCs w:val="21"/>
                <w:highlight w:val="none"/>
              </w:rPr>
              <w:t>明</w:t>
            </w:r>
          </w:p>
        </w:tc>
        <w:tc>
          <w:tcPr>
            <w:tcW w:w="8211" w:type="dxa"/>
            <w:gridSpan w:val="5"/>
            <w:tcBorders>
              <w:top w:val="single" w:color="000000" w:sz="6" w:space="0"/>
              <w:left w:val="single" w:color="000000" w:sz="6" w:space="0"/>
              <w:bottom w:val="single" w:color="000000" w:sz="6" w:space="0"/>
              <w:right w:val="single" w:color="000000" w:sz="6" w:space="0"/>
            </w:tcBorders>
          </w:tcPr>
          <w:p w14:paraId="431C2438">
            <w:pPr>
              <w:keepNext w:val="0"/>
              <w:keepLines w:val="0"/>
              <w:pageBreakBefore w:val="0"/>
              <w:widowControl w:val="0"/>
              <w:kinsoku/>
              <w:wordWrap w:val="0"/>
              <w:overflowPunct/>
              <w:topLinePunct w:val="0"/>
              <w:autoSpaceDE/>
              <w:autoSpaceDN/>
              <w:bidi w:val="0"/>
              <w:snapToGrid/>
              <w:rPr>
                <w:color w:val="auto"/>
                <w:highlight w:val="none"/>
              </w:rPr>
            </w:pPr>
          </w:p>
        </w:tc>
      </w:tr>
    </w:tbl>
    <w:p w14:paraId="0DF4EA73">
      <w:pPr>
        <w:keepNext w:val="0"/>
        <w:keepLines w:val="0"/>
        <w:pageBreakBefore w:val="0"/>
        <w:widowControl w:val="0"/>
        <w:kinsoku/>
        <w:wordWrap w:val="0"/>
        <w:overflowPunct/>
        <w:topLinePunct w:val="0"/>
        <w:autoSpaceDE/>
        <w:autoSpaceDN/>
        <w:bidi w:val="0"/>
        <w:adjustRightInd/>
        <w:snapToGrid/>
        <w:spacing w:before="0" w:beforeLines="50"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注：1.投标人可按工程进度估算并填写本表。</w:t>
      </w:r>
    </w:p>
    <w:p w14:paraId="4ACC49ED">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left="1050" w:leftChars="400" w:right="0" w:hanging="210" w:hangingChars="100"/>
        <w:jc w:val="left"/>
        <w:textAlignment w:val="auto"/>
        <w:rPr>
          <w:rFonts w:ascii="宋体" w:hAnsi="宋体"/>
          <w:color w:val="auto"/>
          <w:spacing w:val="10"/>
          <w:sz w:val="19"/>
          <w:szCs w:val="19"/>
          <w:highlight w:val="none"/>
        </w:rPr>
      </w:pPr>
      <w:r>
        <w:rPr>
          <w:rFonts w:hint="eastAsia" w:ascii="宋体" w:hAnsi="宋体" w:eastAsia="宋体" w:cs="宋体"/>
          <w:color w:val="auto"/>
          <w:sz w:val="21"/>
          <w:szCs w:val="21"/>
          <w:highlight w:val="none"/>
        </w:rPr>
        <w:t>用款额按所报单价和总额价估算，不包括价格调整和暂列金额、暂估价，但应考虑开工预</w:t>
      </w:r>
      <w:r>
        <w:rPr>
          <w:rFonts w:hint="eastAsia" w:ascii="宋体" w:hAnsi="宋体" w:eastAsia="宋体" w:cs="宋体"/>
          <w:color w:val="auto"/>
          <w:spacing w:val="-43"/>
          <w:sz w:val="21"/>
          <w:szCs w:val="21"/>
          <w:highlight w:val="none"/>
        </w:rPr>
        <w:t xml:space="preserve"> </w:t>
      </w:r>
      <w:r>
        <w:rPr>
          <w:rFonts w:hint="eastAsia" w:ascii="宋体" w:hAnsi="宋体" w:eastAsia="宋体" w:cs="宋体"/>
          <w:color w:val="auto"/>
          <w:sz w:val="21"/>
          <w:szCs w:val="21"/>
          <w:highlight w:val="none"/>
        </w:rPr>
        <w:t>付款的扣回以及签发付款证书后到实际支</w:t>
      </w:r>
      <w:r>
        <w:rPr>
          <w:rFonts w:hint="eastAsia" w:ascii="宋体" w:hAnsi="宋体" w:eastAsia="宋体" w:cs="宋体"/>
          <w:color w:val="auto"/>
          <w:sz w:val="21"/>
          <w:szCs w:val="21"/>
          <w:highlight w:val="none"/>
          <w:lang w:eastAsia="zh-CN"/>
        </w:rPr>
        <w:t>付的时间隔。</w:t>
      </w:r>
    </w:p>
    <w:sectPr>
      <w:footerReference r:id="rId17" w:type="first"/>
      <w:headerReference r:id="rId15" w:type="default"/>
      <w:footerReference r:id="rId16" w:type="default"/>
      <w:pgSz w:w="11905" w:h="16838"/>
      <w:pgMar w:top="1440" w:right="1417" w:bottom="1440" w:left="1417" w:header="850" w:footer="1106" w:gutter="0"/>
      <w:pgBorders>
        <w:top w:val="none" w:sz="0" w:space="0"/>
        <w:left w:val="none" w:sz="0" w:space="0"/>
        <w:bottom w:val="none" w:sz="0" w:space="0"/>
        <w:right w:val="none" w:sz="0" w:space="0"/>
      </w:pgBorders>
      <w:pgNumType w:fmt="decimal"/>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2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roman"/>
    <w:pitch w:val="default"/>
    <w:sig w:usb0="00000000" w:usb1="00000000" w:usb2="0000003F" w:usb3="00000000" w:csb0="603F01FF" w:csb1="FFFF0000"/>
  </w:font>
  <w:font w:name="Batang">
    <w:altName w:val="Malgun Gothic"/>
    <w:panose1 w:val="02030600000101010101"/>
    <w:charset w:val="81"/>
    <w:family w:val="auto"/>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Candara">
    <w:panose1 w:val="020E0502030303020204"/>
    <w:charset w:val="00"/>
    <w:family w:val="swiss"/>
    <w:pitch w:val="default"/>
    <w:sig w:usb0="A00002EF" w:usb1="4000A44B" w:usb2="00000000" w:usb3="00000000" w:csb0="2000019F" w:csb1="00000000"/>
  </w:font>
  <w:font w:name="华文宋体">
    <w:panose1 w:val="02010600040101010101"/>
    <w:charset w:val="86"/>
    <w:family w:val="auto"/>
    <w:pitch w:val="default"/>
    <w:sig w:usb0="00000287" w:usb1="080F0000" w:usb2="00000000" w:usb3="00000000" w:csb0="0004009F" w:csb1="DFD70000"/>
  </w:font>
  <w:font w:name="MS Mincho">
    <w:altName w:val="Yu Gothic UI"/>
    <w:panose1 w:val="02020609040205080304"/>
    <w:charset w:val="80"/>
    <w:family w:val="roma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1EFFA">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FF529">
    <w:pPr>
      <w:pStyle w:val="15"/>
      <w:tabs>
        <w:tab w:val="center" w:pos="4873"/>
      </w:tabs>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84C68">
    <w:pPr>
      <w:pStyle w:val="15"/>
      <w:tabs>
        <w:tab w:val="center" w:pos="4153"/>
        <w:tab w:val="right"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E763A">
    <w:pPr>
      <w:pStyle w:val="15"/>
      <w:tabs>
        <w:tab w:val="center" w:pos="4153"/>
        <w:tab w:val="right" w:pos="8306"/>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089C6">
    <w:pPr>
      <w:spacing w:before="0" w:after="0" w:line="14" w:lineRule="auto"/>
      <w:rPr>
        <w:sz w:val="2"/>
        <w:szCs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D0F1CA">
                          <w:pPr>
                            <w:pStyle w:val="15"/>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2D0F1CA">
                    <w:pPr>
                      <w:pStyle w:val="15"/>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82001">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3B33EF">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63B33EF">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354C5">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123E0">
                          <w:pPr>
                            <w:pStyle w:val="15"/>
                          </w:pPr>
                          <w:r>
                            <w:fldChar w:fldCharType="begin"/>
                          </w:r>
                          <w:r>
                            <w:instrText xml:space="preserve"> PAGE  \* MERGEFORMAT </w:instrText>
                          </w:r>
                          <w:r>
                            <w:fldChar w:fldCharType="separate"/>
                          </w:r>
                          <w:r>
                            <w:t>130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87123E0">
                    <w:pPr>
                      <w:pStyle w:val="15"/>
                    </w:pPr>
                    <w:r>
                      <w:fldChar w:fldCharType="begin"/>
                    </w:r>
                    <w:r>
                      <w:instrText xml:space="preserve"> PAGE  \* MERGEFORMAT </w:instrText>
                    </w:r>
                    <w:r>
                      <w:fldChar w:fldCharType="separate"/>
                    </w:r>
                    <w:r>
                      <w:t>130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3BF69">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7E1A9">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BAB1F">
    <w:pPr>
      <w:pStyle w:val="1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2F2BF">
    <w:pPr>
      <w:pStyle w:val="1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8216D">
    <w:pPr>
      <w:pStyle w:val="1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1D094">
    <w:pPr>
      <w:pStyle w:val="1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0564F">
    <w:pPr>
      <w:pStyle w:val="16"/>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153D5">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BB7CC8"/>
    <w:multiLevelType w:val="singleLevel"/>
    <w:tmpl w:val="8CBB7CC8"/>
    <w:lvl w:ilvl="0" w:tentative="0">
      <w:start w:val="1"/>
      <w:numFmt w:val="decimal"/>
      <w:suff w:val="nothing"/>
      <w:lvlText w:val="（%1）"/>
      <w:lvlJc w:val="left"/>
    </w:lvl>
  </w:abstractNum>
  <w:abstractNum w:abstractNumId="1">
    <w:nsid w:val="8E9802C4"/>
    <w:multiLevelType w:val="singleLevel"/>
    <w:tmpl w:val="8E9802C4"/>
    <w:lvl w:ilvl="0" w:tentative="0">
      <w:start w:val="1"/>
      <w:numFmt w:val="lowerLetter"/>
      <w:lvlText w:val="%1."/>
      <w:lvlJc w:val="left"/>
      <w:pPr>
        <w:tabs>
          <w:tab w:val="left" w:pos="312"/>
        </w:tabs>
      </w:pPr>
    </w:lvl>
  </w:abstractNum>
  <w:abstractNum w:abstractNumId="2">
    <w:nsid w:val="DB815AAB"/>
    <w:multiLevelType w:val="singleLevel"/>
    <w:tmpl w:val="DB815AAB"/>
    <w:lvl w:ilvl="0" w:tentative="0">
      <w:start w:val="2"/>
      <w:numFmt w:val="decimal"/>
      <w:lvlText w:val="%1."/>
      <w:lvlJc w:val="left"/>
      <w:pPr>
        <w:tabs>
          <w:tab w:val="left" w:pos="312"/>
        </w:tabs>
      </w:pPr>
    </w:lvl>
  </w:abstractNum>
  <w:abstractNum w:abstractNumId="3">
    <w:nsid w:val="FDE50123"/>
    <w:multiLevelType w:val="singleLevel"/>
    <w:tmpl w:val="FDE50123"/>
    <w:lvl w:ilvl="0" w:tentative="0">
      <w:start w:val="5"/>
      <w:numFmt w:val="chineseCounting"/>
      <w:suff w:val="space"/>
      <w:lvlText w:val="第%1章"/>
      <w:lvlJc w:val="left"/>
      <w:rPr>
        <w:rFonts w:hint="eastAsia"/>
      </w:rPr>
    </w:lvl>
  </w:abstractNum>
  <w:abstractNum w:abstractNumId="4">
    <w:nsid w:val="2027350F"/>
    <w:multiLevelType w:val="multilevel"/>
    <w:tmpl w:val="2027350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4219DF0C"/>
    <w:multiLevelType w:val="singleLevel"/>
    <w:tmpl w:val="4219DF0C"/>
    <w:lvl w:ilvl="0" w:tentative="0">
      <w:start w:val="10"/>
      <w:numFmt w:val="decimal"/>
      <w:suff w:val="space"/>
      <w:lvlText w:val="%1."/>
      <w:lvlJc w:val="left"/>
    </w:lvl>
  </w:abstractNum>
  <w:abstractNum w:abstractNumId="6">
    <w:nsid w:val="428D6BFA"/>
    <w:multiLevelType w:val="multilevel"/>
    <w:tmpl w:val="428D6BFA"/>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52B43AC1"/>
    <w:multiLevelType w:val="singleLevel"/>
    <w:tmpl w:val="52B43AC1"/>
    <w:lvl w:ilvl="0" w:tentative="0">
      <w:start w:val="1"/>
      <w:numFmt w:val="decimal"/>
      <w:suff w:val="nothing"/>
      <w:lvlText w:val="（%1）"/>
      <w:lvlJc w:val="left"/>
    </w:lvl>
  </w:abstractNum>
  <w:abstractNum w:abstractNumId="8">
    <w:nsid w:val="73C9ACF5"/>
    <w:multiLevelType w:val="singleLevel"/>
    <w:tmpl w:val="73C9ACF5"/>
    <w:lvl w:ilvl="0" w:tentative="0">
      <w:start w:val="1"/>
      <w:numFmt w:val="decimal"/>
      <w:suff w:val="nothing"/>
      <w:lvlText w:val="（%1）"/>
      <w:lvlJc w:val="left"/>
    </w:lvl>
  </w:abstractNum>
  <w:num w:numId="1">
    <w:abstractNumId w:val="5"/>
  </w:num>
  <w:num w:numId="2">
    <w:abstractNumId w:val="8"/>
  </w:num>
  <w:num w:numId="3">
    <w:abstractNumId w:val="1"/>
  </w:num>
  <w:num w:numId="4">
    <w:abstractNumId w:val="0"/>
  </w:num>
  <w:num w:numId="5">
    <w:abstractNumId w:val="7"/>
  </w:num>
  <w:num w:numId="6">
    <w:abstractNumId w:val="3"/>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79"/>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5YjVlNjEzMTVjNTU5ZDk5Y2Q5YzU2MTdkZTEzMzgifQ=="/>
  </w:docVars>
  <w:rsids>
    <w:rsidRoot w:val="000B2617"/>
    <w:rsid w:val="000142AC"/>
    <w:rsid w:val="000B2617"/>
    <w:rsid w:val="000F5E6E"/>
    <w:rsid w:val="00105E0D"/>
    <w:rsid w:val="001559D7"/>
    <w:rsid w:val="00156925"/>
    <w:rsid w:val="00277140"/>
    <w:rsid w:val="002E6413"/>
    <w:rsid w:val="00317E9E"/>
    <w:rsid w:val="00365D48"/>
    <w:rsid w:val="00392C87"/>
    <w:rsid w:val="005933B9"/>
    <w:rsid w:val="005B389B"/>
    <w:rsid w:val="00643BE3"/>
    <w:rsid w:val="006A72B0"/>
    <w:rsid w:val="006F200E"/>
    <w:rsid w:val="00704336"/>
    <w:rsid w:val="007D2CFB"/>
    <w:rsid w:val="007E1E97"/>
    <w:rsid w:val="007E3E46"/>
    <w:rsid w:val="008E69F8"/>
    <w:rsid w:val="0094794C"/>
    <w:rsid w:val="009B05DA"/>
    <w:rsid w:val="009C26D9"/>
    <w:rsid w:val="00BD6E6A"/>
    <w:rsid w:val="00DA6C31"/>
    <w:rsid w:val="00DC5E6F"/>
    <w:rsid w:val="00E05DFC"/>
    <w:rsid w:val="00E865C2"/>
    <w:rsid w:val="00EB1120"/>
    <w:rsid w:val="00F67370"/>
    <w:rsid w:val="00FB5B96"/>
    <w:rsid w:val="00FD3077"/>
    <w:rsid w:val="01227D26"/>
    <w:rsid w:val="01236564"/>
    <w:rsid w:val="0136492A"/>
    <w:rsid w:val="01487061"/>
    <w:rsid w:val="018C519F"/>
    <w:rsid w:val="019404F8"/>
    <w:rsid w:val="01944054"/>
    <w:rsid w:val="01A746B1"/>
    <w:rsid w:val="01C0309B"/>
    <w:rsid w:val="01CF7782"/>
    <w:rsid w:val="01D95B81"/>
    <w:rsid w:val="020236B3"/>
    <w:rsid w:val="02704AC1"/>
    <w:rsid w:val="02906F11"/>
    <w:rsid w:val="02B40459"/>
    <w:rsid w:val="02CF4893"/>
    <w:rsid w:val="02D1729F"/>
    <w:rsid w:val="02DA018C"/>
    <w:rsid w:val="02DA4630"/>
    <w:rsid w:val="02DF21EF"/>
    <w:rsid w:val="02F4252E"/>
    <w:rsid w:val="02FA60FB"/>
    <w:rsid w:val="033B3BA4"/>
    <w:rsid w:val="036B7D08"/>
    <w:rsid w:val="038D753E"/>
    <w:rsid w:val="03944B61"/>
    <w:rsid w:val="03B95516"/>
    <w:rsid w:val="03C70C12"/>
    <w:rsid w:val="03EC0177"/>
    <w:rsid w:val="03EE3C4B"/>
    <w:rsid w:val="0471015F"/>
    <w:rsid w:val="04897E29"/>
    <w:rsid w:val="04A15F13"/>
    <w:rsid w:val="04B36EE7"/>
    <w:rsid w:val="04BC0F1C"/>
    <w:rsid w:val="04CA439E"/>
    <w:rsid w:val="04E023D8"/>
    <w:rsid w:val="04F01EE9"/>
    <w:rsid w:val="05163834"/>
    <w:rsid w:val="0516626A"/>
    <w:rsid w:val="05461B09"/>
    <w:rsid w:val="055C132C"/>
    <w:rsid w:val="05701DE5"/>
    <w:rsid w:val="0575419C"/>
    <w:rsid w:val="05776166"/>
    <w:rsid w:val="058D43B1"/>
    <w:rsid w:val="05B979B1"/>
    <w:rsid w:val="05C375FE"/>
    <w:rsid w:val="05DE7F94"/>
    <w:rsid w:val="06012245"/>
    <w:rsid w:val="06090E6E"/>
    <w:rsid w:val="06164193"/>
    <w:rsid w:val="06426774"/>
    <w:rsid w:val="06497B03"/>
    <w:rsid w:val="064C13E1"/>
    <w:rsid w:val="064E5119"/>
    <w:rsid w:val="066056E0"/>
    <w:rsid w:val="066C4852"/>
    <w:rsid w:val="068B5A0C"/>
    <w:rsid w:val="069468A4"/>
    <w:rsid w:val="06C70A8C"/>
    <w:rsid w:val="06CC22A9"/>
    <w:rsid w:val="06E670D4"/>
    <w:rsid w:val="07204535"/>
    <w:rsid w:val="07470439"/>
    <w:rsid w:val="0763261D"/>
    <w:rsid w:val="076D2346"/>
    <w:rsid w:val="078910DD"/>
    <w:rsid w:val="07E83A8C"/>
    <w:rsid w:val="07EF764A"/>
    <w:rsid w:val="07F81B58"/>
    <w:rsid w:val="080E345D"/>
    <w:rsid w:val="081A31DA"/>
    <w:rsid w:val="0837398B"/>
    <w:rsid w:val="08412F2F"/>
    <w:rsid w:val="086230FE"/>
    <w:rsid w:val="087967EA"/>
    <w:rsid w:val="088F121B"/>
    <w:rsid w:val="08A36FCA"/>
    <w:rsid w:val="08E02E1C"/>
    <w:rsid w:val="092600E8"/>
    <w:rsid w:val="092E3A4F"/>
    <w:rsid w:val="093C74AB"/>
    <w:rsid w:val="0968007B"/>
    <w:rsid w:val="09845633"/>
    <w:rsid w:val="09DE7068"/>
    <w:rsid w:val="09FD1169"/>
    <w:rsid w:val="0A10767C"/>
    <w:rsid w:val="0A1E1F35"/>
    <w:rsid w:val="0A2F48AD"/>
    <w:rsid w:val="0A354248"/>
    <w:rsid w:val="0AD64479"/>
    <w:rsid w:val="0AEC68B1"/>
    <w:rsid w:val="0AF12517"/>
    <w:rsid w:val="0AFB1087"/>
    <w:rsid w:val="0B1E21E6"/>
    <w:rsid w:val="0B270FCB"/>
    <w:rsid w:val="0B356A7F"/>
    <w:rsid w:val="0B3F71B6"/>
    <w:rsid w:val="0B4114AB"/>
    <w:rsid w:val="0B470389"/>
    <w:rsid w:val="0B4F3615"/>
    <w:rsid w:val="0B9E269F"/>
    <w:rsid w:val="0BB736B1"/>
    <w:rsid w:val="0BD240F7"/>
    <w:rsid w:val="0BF91683"/>
    <w:rsid w:val="0C4B4C0A"/>
    <w:rsid w:val="0C675B15"/>
    <w:rsid w:val="0C7D3CE3"/>
    <w:rsid w:val="0C875893"/>
    <w:rsid w:val="0C921FF3"/>
    <w:rsid w:val="0C9279F6"/>
    <w:rsid w:val="0CA02447"/>
    <w:rsid w:val="0CB06B79"/>
    <w:rsid w:val="0CB675C8"/>
    <w:rsid w:val="0CBA2B3B"/>
    <w:rsid w:val="0CD00AD0"/>
    <w:rsid w:val="0CFD76A9"/>
    <w:rsid w:val="0D160588"/>
    <w:rsid w:val="0D196BD7"/>
    <w:rsid w:val="0D441024"/>
    <w:rsid w:val="0D471D94"/>
    <w:rsid w:val="0D700AEA"/>
    <w:rsid w:val="0D760ECF"/>
    <w:rsid w:val="0D781E33"/>
    <w:rsid w:val="0D89122B"/>
    <w:rsid w:val="0D961658"/>
    <w:rsid w:val="0DAD0BA6"/>
    <w:rsid w:val="0DC9777B"/>
    <w:rsid w:val="0DCF60DD"/>
    <w:rsid w:val="0E574F58"/>
    <w:rsid w:val="0E836CCB"/>
    <w:rsid w:val="0E8D7BC5"/>
    <w:rsid w:val="0EF65FDB"/>
    <w:rsid w:val="0F2309F9"/>
    <w:rsid w:val="0F44530B"/>
    <w:rsid w:val="0F5A1F76"/>
    <w:rsid w:val="0F632066"/>
    <w:rsid w:val="0F6E05DA"/>
    <w:rsid w:val="0F944733"/>
    <w:rsid w:val="0F9811B3"/>
    <w:rsid w:val="0FB36066"/>
    <w:rsid w:val="0FBA59D5"/>
    <w:rsid w:val="0FBD6E6C"/>
    <w:rsid w:val="0FC33500"/>
    <w:rsid w:val="0FE4264A"/>
    <w:rsid w:val="0FED7751"/>
    <w:rsid w:val="0FEF171B"/>
    <w:rsid w:val="0FFA7BE8"/>
    <w:rsid w:val="0FFC339B"/>
    <w:rsid w:val="10120942"/>
    <w:rsid w:val="10196798"/>
    <w:rsid w:val="10234FF5"/>
    <w:rsid w:val="10280397"/>
    <w:rsid w:val="10416DF4"/>
    <w:rsid w:val="104D4694"/>
    <w:rsid w:val="10727C56"/>
    <w:rsid w:val="107D407E"/>
    <w:rsid w:val="109A0F5B"/>
    <w:rsid w:val="10A71EC1"/>
    <w:rsid w:val="10A74DC7"/>
    <w:rsid w:val="10F54A36"/>
    <w:rsid w:val="11335637"/>
    <w:rsid w:val="113C1605"/>
    <w:rsid w:val="115D7C23"/>
    <w:rsid w:val="115E01DA"/>
    <w:rsid w:val="1182211B"/>
    <w:rsid w:val="118C23FE"/>
    <w:rsid w:val="11A069A6"/>
    <w:rsid w:val="11A26319"/>
    <w:rsid w:val="11B549E1"/>
    <w:rsid w:val="11B80A78"/>
    <w:rsid w:val="11F052D6"/>
    <w:rsid w:val="121319B6"/>
    <w:rsid w:val="12176D07"/>
    <w:rsid w:val="12211934"/>
    <w:rsid w:val="12275D54"/>
    <w:rsid w:val="123955FE"/>
    <w:rsid w:val="125D4693"/>
    <w:rsid w:val="127A2196"/>
    <w:rsid w:val="129E068A"/>
    <w:rsid w:val="12B752E8"/>
    <w:rsid w:val="12E52A16"/>
    <w:rsid w:val="13110905"/>
    <w:rsid w:val="136940B1"/>
    <w:rsid w:val="13CC25DA"/>
    <w:rsid w:val="13E13A8D"/>
    <w:rsid w:val="14014D8E"/>
    <w:rsid w:val="14107EB2"/>
    <w:rsid w:val="14292D22"/>
    <w:rsid w:val="14354836"/>
    <w:rsid w:val="14401588"/>
    <w:rsid w:val="14536440"/>
    <w:rsid w:val="145F58ED"/>
    <w:rsid w:val="14667B09"/>
    <w:rsid w:val="147E0129"/>
    <w:rsid w:val="14CA0061"/>
    <w:rsid w:val="14CF43E0"/>
    <w:rsid w:val="14DE5FC6"/>
    <w:rsid w:val="14F67130"/>
    <w:rsid w:val="15001E10"/>
    <w:rsid w:val="15112E59"/>
    <w:rsid w:val="152146A4"/>
    <w:rsid w:val="152D0BF2"/>
    <w:rsid w:val="154F47FE"/>
    <w:rsid w:val="157E1022"/>
    <w:rsid w:val="158740CA"/>
    <w:rsid w:val="159352D7"/>
    <w:rsid w:val="159B37AB"/>
    <w:rsid w:val="15B11221"/>
    <w:rsid w:val="15D710CB"/>
    <w:rsid w:val="160475A2"/>
    <w:rsid w:val="160F7CF5"/>
    <w:rsid w:val="161E145D"/>
    <w:rsid w:val="1621361D"/>
    <w:rsid w:val="16247C45"/>
    <w:rsid w:val="16436D08"/>
    <w:rsid w:val="164A7250"/>
    <w:rsid w:val="16523319"/>
    <w:rsid w:val="165A4331"/>
    <w:rsid w:val="165E3157"/>
    <w:rsid w:val="166444E5"/>
    <w:rsid w:val="167101B4"/>
    <w:rsid w:val="16716242"/>
    <w:rsid w:val="167C182F"/>
    <w:rsid w:val="16895CFA"/>
    <w:rsid w:val="16A82624"/>
    <w:rsid w:val="16A83143"/>
    <w:rsid w:val="16C86822"/>
    <w:rsid w:val="16DB2158"/>
    <w:rsid w:val="16E15B36"/>
    <w:rsid w:val="16F65AEF"/>
    <w:rsid w:val="16FF6042"/>
    <w:rsid w:val="17180EB0"/>
    <w:rsid w:val="1719707D"/>
    <w:rsid w:val="17237156"/>
    <w:rsid w:val="172B2925"/>
    <w:rsid w:val="17306175"/>
    <w:rsid w:val="174F1DAC"/>
    <w:rsid w:val="17513FBF"/>
    <w:rsid w:val="176302F9"/>
    <w:rsid w:val="178B73C7"/>
    <w:rsid w:val="17D304D2"/>
    <w:rsid w:val="17DD00AB"/>
    <w:rsid w:val="18153CE9"/>
    <w:rsid w:val="182D7643"/>
    <w:rsid w:val="18441ED8"/>
    <w:rsid w:val="18597DC9"/>
    <w:rsid w:val="1885398F"/>
    <w:rsid w:val="18986348"/>
    <w:rsid w:val="18E549FD"/>
    <w:rsid w:val="190A203B"/>
    <w:rsid w:val="19232806"/>
    <w:rsid w:val="19267418"/>
    <w:rsid w:val="19600F94"/>
    <w:rsid w:val="19810F0A"/>
    <w:rsid w:val="19826BD2"/>
    <w:rsid w:val="19BF4735"/>
    <w:rsid w:val="19CC2E51"/>
    <w:rsid w:val="1A277D03"/>
    <w:rsid w:val="1A2A15A2"/>
    <w:rsid w:val="1A4B6A9E"/>
    <w:rsid w:val="1A5F124B"/>
    <w:rsid w:val="1A700243"/>
    <w:rsid w:val="1A86265D"/>
    <w:rsid w:val="1A8C2802"/>
    <w:rsid w:val="1ADF05DE"/>
    <w:rsid w:val="1B11519E"/>
    <w:rsid w:val="1B244243"/>
    <w:rsid w:val="1B28788F"/>
    <w:rsid w:val="1B6376C3"/>
    <w:rsid w:val="1B9238A2"/>
    <w:rsid w:val="1B9852AF"/>
    <w:rsid w:val="1BAB226E"/>
    <w:rsid w:val="1BB60D11"/>
    <w:rsid w:val="1BBF1CAE"/>
    <w:rsid w:val="1BDA438A"/>
    <w:rsid w:val="1BE41952"/>
    <w:rsid w:val="1C0C002B"/>
    <w:rsid w:val="1C2F4C4D"/>
    <w:rsid w:val="1C3F2A4C"/>
    <w:rsid w:val="1C482575"/>
    <w:rsid w:val="1C4A7CD9"/>
    <w:rsid w:val="1C7928B8"/>
    <w:rsid w:val="1C8D74D1"/>
    <w:rsid w:val="1C9729AD"/>
    <w:rsid w:val="1CA83640"/>
    <w:rsid w:val="1CCC104A"/>
    <w:rsid w:val="1CF040B1"/>
    <w:rsid w:val="1CF964F4"/>
    <w:rsid w:val="1D152095"/>
    <w:rsid w:val="1D253AC8"/>
    <w:rsid w:val="1D74500E"/>
    <w:rsid w:val="1D8334A3"/>
    <w:rsid w:val="1DC25EB6"/>
    <w:rsid w:val="1DF5145A"/>
    <w:rsid w:val="1E0400F2"/>
    <w:rsid w:val="1E114F52"/>
    <w:rsid w:val="1E355C25"/>
    <w:rsid w:val="1E544E3F"/>
    <w:rsid w:val="1E6E2B1C"/>
    <w:rsid w:val="1E84649B"/>
    <w:rsid w:val="1E9D0594"/>
    <w:rsid w:val="1E9F5661"/>
    <w:rsid w:val="1EAE7F57"/>
    <w:rsid w:val="1ED52284"/>
    <w:rsid w:val="1F1D7927"/>
    <w:rsid w:val="1F2A0F15"/>
    <w:rsid w:val="1F3352E9"/>
    <w:rsid w:val="1F391BDB"/>
    <w:rsid w:val="1F49071C"/>
    <w:rsid w:val="1F6470C9"/>
    <w:rsid w:val="1F683430"/>
    <w:rsid w:val="1F7F5EEC"/>
    <w:rsid w:val="1FA0114B"/>
    <w:rsid w:val="1FC55DBE"/>
    <w:rsid w:val="1FCD0DA6"/>
    <w:rsid w:val="1FDF6D29"/>
    <w:rsid w:val="1FF31047"/>
    <w:rsid w:val="1FF91430"/>
    <w:rsid w:val="20322F5E"/>
    <w:rsid w:val="203477F5"/>
    <w:rsid w:val="2071600A"/>
    <w:rsid w:val="20855784"/>
    <w:rsid w:val="2091237A"/>
    <w:rsid w:val="20B6731E"/>
    <w:rsid w:val="20D90E52"/>
    <w:rsid w:val="20E72E33"/>
    <w:rsid w:val="20F601B2"/>
    <w:rsid w:val="20FA0C45"/>
    <w:rsid w:val="2107745D"/>
    <w:rsid w:val="211730FE"/>
    <w:rsid w:val="211A7A85"/>
    <w:rsid w:val="21236D5F"/>
    <w:rsid w:val="212E332D"/>
    <w:rsid w:val="212E4C29"/>
    <w:rsid w:val="21356899"/>
    <w:rsid w:val="2136082C"/>
    <w:rsid w:val="21380A48"/>
    <w:rsid w:val="2142018C"/>
    <w:rsid w:val="2164183D"/>
    <w:rsid w:val="216E7FC6"/>
    <w:rsid w:val="21742624"/>
    <w:rsid w:val="21AD0AEE"/>
    <w:rsid w:val="21BD027C"/>
    <w:rsid w:val="21BE7913"/>
    <w:rsid w:val="220D3C83"/>
    <w:rsid w:val="22465C8A"/>
    <w:rsid w:val="224A27E1"/>
    <w:rsid w:val="224B3784"/>
    <w:rsid w:val="225262C8"/>
    <w:rsid w:val="22712F8D"/>
    <w:rsid w:val="22747619"/>
    <w:rsid w:val="22965A26"/>
    <w:rsid w:val="22972AD6"/>
    <w:rsid w:val="22B45668"/>
    <w:rsid w:val="22D447A0"/>
    <w:rsid w:val="22D55499"/>
    <w:rsid w:val="22DB7D9B"/>
    <w:rsid w:val="22F10EAE"/>
    <w:rsid w:val="2322550C"/>
    <w:rsid w:val="23296BD8"/>
    <w:rsid w:val="232E02C7"/>
    <w:rsid w:val="233D0598"/>
    <w:rsid w:val="23411E36"/>
    <w:rsid w:val="23517B9F"/>
    <w:rsid w:val="237A3CFD"/>
    <w:rsid w:val="237E09E8"/>
    <w:rsid w:val="23897339"/>
    <w:rsid w:val="23BF5773"/>
    <w:rsid w:val="23CE11F0"/>
    <w:rsid w:val="23DA18D0"/>
    <w:rsid w:val="23FA3D93"/>
    <w:rsid w:val="23FF7188"/>
    <w:rsid w:val="240440CC"/>
    <w:rsid w:val="24A02B8C"/>
    <w:rsid w:val="24DA0EEF"/>
    <w:rsid w:val="25090731"/>
    <w:rsid w:val="250F3A01"/>
    <w:rsid w:val="25276FE1"/>
    <w:rsid w:val="252C2672"/>
    <w:rsid w:val="252F3F10"/>
    <w:rsid w:val="25487995"/>
    <w:rsid w:val="255B6AB3"/>
    <w:rsid w:val="25E37751"/>
    <w:rsid w:val="26626ADB"/>
    <w:rsid w:val="26655E3B"/>
    <w:rsid w:val="269229A8"/>
    <w:rsid w:val="269D000F"/>
    <w:rsid w:val="26DE3B37"/>
    <w:rsid w:val="26DF7388"/>
    <w:rsid w:val="26E1380E"/>
    <w:rsid w:val="26EA27E4"/>
    <w:rsid w:val="26F92A28"/>
    <w:rsid w:val="27103A7F"/>
    <w:rsid w:val="271909D4"/>
    <w:rsid w:val="27231852"/>
    <w:rsid w:val="272F6449"/>
    <w:rsid w:val="275207CE"/>
    <w:rsid w:val="27554102"/>
    <w:rsid w:val="276121F5"/>
    <w:rsid w:val="278D0BE4"/>
    <w:rsid w:val="27B178DB"/>
    <w:rsid w:val="27C13545"/>
    <w:rsid w:val="27D220D7"/>
    <w:rsid w:val="27E33A67"/>
    <w:rsid w:val="28254032"/>
    <w:rsid w:val="28304D46"/>
    <w:rsid w:val="283B57BB"/>
    <w:rsid w:val="285A74F6"/>
    <w:rsid w:val="28624E69"/>
    <w:rsid w:val="28800981"/>
    <w:rsid w:val="28963EDB"/>
    <w:rsid w:val="28C17575"/>
    <w:rsid w:val="28E27CCD"/>
    <w:rsid w:val="28E7767C"/>
    <w:rsid w:val="290872A8"/>
    <w:rsid w:val="297A2B93"/>
    <w:rsid w:val="29AA0009"/>
    <w:rsid w:val="29B64C00"/>
    <w:rsid w:val="29B669AE"/>
    <w:rsid w:val="29CC7F7F"/>
    <w:rsid w:val="29D12335"/>
    <w:rsid w:val="29E26C49"/>
    <w:rsid w:val="2A043DB8"/>
    <w:rsid w:val="2A067935"/>
    <w:rsid w:val="2A110088"/>
    <w:rsid w:val="2A2E247A"/>
    <w:rsid w:val="2A693A20"/>
    <w:rsid w:val="2ABC600B"/>
    <w:rsid w:val="2ABE5B1A"/>
    <w:rsid w:val="2AD9758E"/>
    <w:rsid w:val="2B034B16"/>
    <w:rsid w:val="2B2E2CA4"/>
    <w:rsid w:val="2B42499D"/>
    <w:rsid w:val="2B6D57DA"/>
    <w:rsid w:val="2B784293"/>
    <w:rsid w:val="2B934E62"/>
    <w:rsid w:val="2BAA0794"/>
    <w:rsid w:val="2BB664DD"/>
    <w:rsid w:val="2BBD095F"/>
    <w:rsid w:val="2BD97FBD"/>
    <w:rsid w:val="2BE10FDC"/>
    <w:rsid w:val="2BEF50B2"/>
    <w:rsid w:val="2BF75AA9"/>
    <w:rsid w:val="2BFF0AC1"/>
    <w:rsid w:val="2C081FC1"/>
    <w:rsid w:val="2C1E02B5"/>
    <w:rsid w:val="2C273B93"/>
    <w:rsid w:val="2C602C01"/>
    <w:rsid w:val="2C6556A5"/>
    <w:rsid w:val="2C7E1059"/>
    <w:rsid w:val="2C9C632F"/>
    <w:rsid w:val="2CA927FA"/>
    <w:rsid w:val="2CAB0CC8"/>
    <w:rsid w:val="2CB54D9F"/>
    <w:rsid w:val="2D32328A"/>
    <w:rsid w:val="2D60735C"/>
    <w:rsid w:val="2D687FBF"/>
    <w:rsid w:val="2D927C68"/>
    <w:rsid w:val="2D963BA9"/>
    <w:rsid w:val="2DC23BAC"/>
    <w:rsid w:val="2E0A18D2"/>
    <w:rsid w:val="2E0A1F6A"/>
    <w:rsid w:val="2E1B7D45"/>
    <w:rsid w:val="2E1D14D9"/>
    <w:rsid w:val="2E2465DC"/>
    <w:rsid w:val="2E2E579B"/>
    <w:rsid w:val="2E652F0D"/>
    <w:rsid w:val="2E7C01C6"/>
    <w:rsid w:val="2E9665E0"/>
    <w:rsid w:val="2E9A689E"/>
    <w:rsid w:val="2ECB57C8"/>
    <w:rsid w:val="2ED60BC3"/>
    <w:rsid w:val="2EE30095"/>
    <w:rsid w:val="2EEB534C"/>
    <w:rsid w:val="2EEB70FA"/>
    <w:rsid w:val="2F3F3BD5"/>
    <w:rsid w:val="2F4F5F32"/>
    <w:rsid w:val="2F763CAE"/>
    <w:rsid w:val="2F7E5D66"/>
    <w:rsid w:val="2F870FB2"/>
    <w:rsid w:val="2FB03F14"/>
    <w:rsid w:val="2FD1060C"/>
    <w:rsid w:val="2FEB7E18"/>
    <w:rsid w:val="2FF10740"/>
    <w:rsid w:val="2FFD70E5"/>
    <w:rsid w:val="30187332"/>
    <w:rsid w:val="303F594F"/>
    <w:rsid w:val="306233EC"/>
    <w:rsid w:val="306B4E7D"/>
    <w:rsid w:val="30851D1F"/>
    <w:rsid w:val="30BF6A65"/>
    <w:rsid w:val="30D64E51"/>
    <w:rsid w:val="30E861C4"/>
    <w:rsid w:val="31305298"/>
    <w:rsid w:val="31553C02"/>
    <w:rsid w:val="315712CA"/>
    <w:rsid w:val="316311C9"/>
    <w:rsid w:val="316F4012"/>
    <w:rsid w:val="31802C7E"/>
    <w:rsid w:val="31A876A2"/>
    <w:rsid w:val="31AB7B22"/>
    <w:rsid w:val="31D6746F"/>
    <w:rsid w:val="31D76A2D"/>
    <w:rsid w:val="31F44517"/>
    <w:rsid w:val="321719DD"/>
    <w:rsid w:val="321B1AA4"/>
    <w:rsid w:val="32537490"/>
    <w:rsid w:val="325D3E6B"/>
    <w:rsid w:val="328533C1"/>
    <w:rsid w:val="32A31C4C"/>
    <w:rsid w:val="32B75C71"/>
    <w:rsid w:val="32C5728F"/>
    <w:rsid w:val="32D147E3"/>
    <w:rsid w:val="32E018D2"/>
    <w:rsid w:val="33072028"/>
    <w:rsid w:val="331F3816"/>
    <w:rsid w:val="332A30ED"/>
    <w:rsid w:val="333E1EEE"/>
    <w:rsid w:val="336C69A3"/>
    <w:rsid w:val="336E013E"/>
    <w:rsid w:val="33801A8B"/>
    <w:rsid w:val="338E1155"/>
    <w:rsid w:val="339D29F6"/>
    <w:rsid w:val="33B96B1E"/>
    <w:rsid w:val="33C274C9"/>
    <w:rsid w:val="33C361FD"/>
    <w:rsid w:val="33C45E8B"/>
    <w:rsid w:val="33DD02E9"/>
    <w:rsid w:val="33FB7DDF"/>
    <w:rsid w:val="33FF7B8F"/>
    <w:rsid w:val="34194CAE"/>
    <w:rsid w:val="342C3844"/>
    <w:rsid w:val="34471173"/>
    <w:rsid w:val="347F4209"/>
    <w:rsid w:val="34916165"/>
    <w:rsid w:val="349D49F2"/>
    <w:rsid w:val="34B47F8E"/>
    <w:rsid w:val="34C26DED"/>
    <w:rsid w:val="34C4064B"/>
    <w:rsid w:val="34E3096A"/>
    <w:rsid w:val="351B5994"/>
    <w:rsid w:val="351F7AFD"/>
    <w:rsid w:val="35205513"/>
    <w:rsid w:val="353510CF"/>
    <w:rsid w:val="3538296D"/>
    <w:rsid w:val="359B7CE1"/>
    <w:rsid w:val="35D375EA"/>
    <w:rsid w:val="35FD4A19"/>
    <w:rsid w:val="361B3B70"/>
    <w:rsid w:val="362B5B9C"/>
    <w:rsid w:val="36453593"/>
    <w:rsid w:val="364D069A"/>
    <w:rsid w:val="369547CF"/>
    <w:rsid w:val="3699372C"/>
    <w:rsid w:val="36B30238"/>
    <w:rsid w:val="36B349A1"/>
    <w:rsid w:val="36B424C7"/>
    <w:rsid w:val="36BE7748"/>
    <w:rsid w:val="370B2A16"/>
    <w:rsid w:val="37177E68"/>
    <w:rsid w:val="37180BE2"/>
    <w:rsid w:val="37744847"/>
    <w:rsid w:val="37A6648B"/>
    <w:rsid w:val="37BE35FD"/>
    <w:rsid w:val="37BE6012"/>
    <w:rsid w:val="37F06328"/>
    <w:rsid w:val="37F4701F"/>
    <w:rsid w:val="38061323"/>
    <w:rsid w:val="38335D24"/>
    <w:rsid w:val="38394719"/>
    <w:rsid w:val="383E4663"/>
    <w:rsid w:val="38507FCD"/>
    <w:rsid w:val="38514471"/>
    <w:rsid w:val="385F0069"/>
    <w:rsid w:val="3864285C"/>
    <w:rsid w:val="38650E83"/>
    <w:rsid w:val="38CE65E1"/>
    <w:rsid w:val="38EA0710"/>
    <w:rsid w:val="3902773E"/>
    <w:rsid w:val="390E707E"/>
    <w:rsid w:val="39167DE9"/>
    <w:rsid w:val="391B4A7F"/>
    <w:rsid w:val="39242C23"/>
    <w:rsid w:val="392A0C82"/>
    <w:rsid w:val="393E01A9"/>
    <w:rsid w:val="3942200C"/>
    <w:rsid w:val="39567866"/>
    <w:rsid w:val="395B30CE"/>
    <w:rsid w:val="39903AEB"/>
    <w:rsid w:val="399A7CBE"/>
    <w:rsid w:val="399F16B8"/>
    <w:rsid w:val="39C8164D"/>
    <w:rsid w:val="39CD3FCC"/>
    <w:rsid w:val="39EC23F0"/>
    <w:rsid w:val="39FA7411"/>
    <w:rsid w:val="39FD13E3"/>
    <w:rsid w:val="3A172CEC"/>
    <w:rsid w:val="3A1A62F9"/>
    <w:rsid w:val="3A375D56"/>
    <w:rsid w:val="3A571AE7"/>
    <w:rsid w:val="3A5D1B43"/>
    <w:rsid w:val="3A616FC3"/>
    <w:rsid w:val="3A6E6283"/>
    <w:rsid w:val="3A7B62F5"/>
    <w:rsid w:val="3A8D7822"/>
    <w:rsid w:val="3A9C74FA"/>
    <w:rsid w:val="3AB0290A"/>
    <w:rsid w:val="3AB552C8"/>
    <w:rsid w:val="3AB61CE0"/>
    <w:rsid w:val="3ABC7A3F"/>
    <w:rsid w:val="3AFE4D0B"/>
    <w:rsid w:val="3B181184"/>
    <w:rsid w:val="3B357808"/>
    <w:rsid w:val="3B442D86"/>
    <w:rsid w:val="3B4F061F"/>
    <w:rsid w:val="3B781D15"/>
    <w:rsid w:val="3B9449E3"/>
    <w:rsid w:val="3BAE5737"/>
    <w:rsid w:val="3BDB5919"/>
    <w:rsid w:val="3C3C22E5"/>
    <w:rsid w:val="3C3C71E7"/>
    <w:rsid w:val="3C53337D"/>
    <w:rsid w:val="3C5F4C83"/>
    <w:rsid w:val="3C613C13"/>
    <w:rsid w:val="3C722C08"/>
    <w:rsid w:val="3C7C3A87"/>
    <w:rsid w:val="3C811ABC"/>
    <w:rsid w:val="3C9E2725"/>
    <w:rsid w:val="3CB44FCF"/>
    <w:rsid w:val="3CB94393"/>
    <w:rsid w:val="3CD825B8"/>
    <w:rsid w:val="3CDD09B4"/>
    <w:rsid w:val="3D267967"/>
    <w:rsid w:val="3D7E3963"/>
    <w:rsid w:val="3D9077EA"/>
    <w:rsid w:val="3D9B2C39"/>
    <w:rsid w:val="3DA60DBB"/>
    <w:rsid w:val="3DD9580C"/>
    <w:rsid w:val="3DE034A8"/>
    <w:rsid w:val="3DE411D5"/>
    <w:rsid w:val="3E4A3DEF"/>
    <w:rsid w:val="3E6207FE"/>
    <w:rsid w:val="3E67330A"/>
    <w:rsid w:val="3E6A3B8B"/>
    <w:rsid w:val="3E924F28"/>
    <w:rsid w:val="3E946E66"/>
    <w:rsid w:val="3EC25994"/>
    <w:rsid w:val="3EE27F2B"/>
    <w:rsid w:val="3EF67997"/>
    <w:rsid w:val="3F3F333C"/>
    <w:rsid w:val="3F626F64"/>
    <w:rsid w:val="3F6E3B5B"/>
    <w:rsid w:val="3F712390"/>
    <w:rsid w:val="3F7D2F50"/>
    <w:rsid w:val="3F8B54F5"/>
    <w:rsid w:val="3F93737E"/>
    <w:rsid w:val="3FEC0081"/>
    <w:rsid w:val="3FEE25A6"/>
    <w:rsid w:val="40132052"/>
    <w:rsid w:val="401A6EC9"/>
    <w:rsid w:val="402C1320"/>
    <w:rsid w:val="405F48F5"/>
    <w:rsid w:val="4094502C"/>
    <w:rsid w:val="40A315E2"/>
    <w:rsid w:val="40A67324"/>
    <w:rsid w:val="40BD3642"/>
    <w:rsid w:val="40C8653D"/>
    <w:rsid w:val="40E340D5"/>
    <w:rsid w:val="41126768"/>
    <w:rsid w:val="41214B61"/>
    <w:rsid w:val="41485D02"/>
    <w:rsid w:val="41526080"/>
    <w:rsid w:val="417B255F"/>
    <w:rsid w:val="419E747D"/>
    <w:rsid w:val="41AC28A8"/>
    <w:rsid w:val="41BC1F64"/>
    <w:rsid w:val="41E77BCB"/>
    <w:rsid w:val="41F12821"/>
    <w:rsid w:val="421F1BC9"/>
    <w:rsid w:val="42470693"/>
    <w:rsid w:val="42557587"/>
    <w:rsid w:val="429831A4"/>
    <w:rsid w:val="42BD2703"/>
    <w:rsid w:val="431632BC"/>
    <w:rsid w:val="431A443B"/>
    <w:rsid w:val="43282273"/>
    <w:rsid w:val="43292984"/>
    <w:rsid w:val="433E55F2"/>
    <w:rsid w:val="436F7EA2"/>
    <w:rsid w:val="437F439D"/>
    <w:rsid w:val="438C45B0"/>
    <w:rsid w:val="43B600AD"/>
    <w:rsid w:val="43D45F57"/>
    <w:rsid w:val="43F403A7"/>
    <w:rsid w:val="44003B83"/>
    <w:rsid w:val="4404683C"/>
    <w:rsid w:val="44071E88"/>
    <w:rsid w:val="44BE7A04"/>
    <w:rsid w:val="44C164DB"/>
    <w:rsid w:val="44C271F2"/>
    <w:rsid w:val="44C63AF1"/>
    <w:rsid w:val="44CE56D9"/>
    <w:rsid w:val="44DC0BDB"/>
    <w:rsid w:val="44E623E5"/>
    <w:rsid w:val="44E91527"/>
    <w:rsid w:val="44F5417B"/>
    <w:rsid w:val="45010FB7"/>
    <w:rsid w:val="450F5065"/>
    <w:rsid w:val="451B6E96"/>
    <w:rsid w:val="45260A34"/>
    <w:rsid w:val="45365559"/>
    <w:rsid w:val="453C0257"/>
    <w:rsid w:val="458D0AB3"/>
    <w:rsid w:val="45941E41"/>
    <w:rsid w:val="45B47338"/>
    <w:rsid w:val="45EB27DC"/>
    <w:rsid w:val="45F60406"/>
    <w:rsid w:val="4607430F"/>
    <w:rsid w:val="463F7FFF"/>
    <w:rsid w:val="46670BC7"/>
    <w:rsid w:val="469B7FD9"/>
    <w:rsid w:val="46A95479"/>
    <w:rsid w:val="46C422B2"/>
    <w:rsid w:val="470A6FA0"/>
    <w:rsid w:val="470B7EE1"/>
    <w:rsid w:val="47106EE2"/>
    <w:rsid w:val="4714323A"/>
    <w:rsid w:val="47191F3B"/>
    <w:rsid w:val="475227AB"/>
    <w:rsid w:val="477503E3"/>
    <w:rsid w:val="478E1ED9"/>
    <w:rsid w:val="47953C4F"/>
    <w:rsid w:val="47AD0F98"/>
    <w:rsid w:val="47DB78B4"/>
    <w:rsid w:val="4801400D"/>
    <w:rsid w:val="48026F58"/>
    <w:rsid w:val="48036FE2"/>
    <w:rsid w:val="481B05F8"/>
    <w:rsid w:val="48281712"/>
    <w:rsid w:val="48304D58"/>
    <w:rsid w:val="48360E41"/>
    <w:rsid w:val="48360F8E"/>
    <w:rsid w:val="48486A94"/>
    <w:rsid w:val="48496760"/>
    <w:rsid w:val="48A420A7"/>
    <w:rsid w:val="48A44149"/>
    <w:rsid w:val="48AE5CCA"/>
    <w:rsid w:val="48D35C1B"/>
    <w:rsid w:val="48E1539E"/>
    <w:rsid w:val="48E16E12"/>
    <w:rsid w:val="48E92023"/>
    <w:rsid w:val="48F50E49"/>
    <w:rsid w:val="49125B3D"/>
    <w:rsid w:val="49292CBC"/>
    <w:rsid w:val="494F491F"/>
    <w:rsid w:val="496833C9"/>
    <w:rsid w:val="49A03F9C"/>
    <w:rsid w:val="49D942C7"/>
    <w:rsid w:val="49DA4781"/>
    <w:rsid w:val="49DD60C4"/>
    <w:rsid w:val="49FA51D7"/>
    <w:rsid w:val="4A1672C9"/>
    <w:rsid w:val="4A1C2405"/>
    <w:rsid w:val="4A6D331C"/>
    <w:rsid w:val="4A8A5355"/>
    <w:rsid w:val="4AEC627C"/>
    <w:rsid w:val="4AEF2379"/>
    <w:rsid w:val="4AF33C85"/>
    <w:rsid w:val="4AFB201B"/>
    <w:rsid w:val="4B2E58D5"/>
    <w:rsid w:val="4B3814C1"/>
    <w:rsid w:val="4B3D2BF8"/>
    <w:rsid w:val="4B4A51F9"/>
    <w:rsid w:val="4BBE4A86"/>
    <w:rsid w:val="4BBE6123"/>
    <w:rsid w:val="4BF224FA"/>
    <w:rsid w:val="4C4A00F0"/>
    <w:rsid w:val="4C5B0FC3"/>
    <w:rsid w:val="4C683A2B"/>
    <w:rsid w:val="4C6E5CB9"/>
    <w:rsid w:val="4C83676C"/>
    <w:rsid w:val="4CA9635E"/>
    <w:rsid w:val="4CAF7561"/>
    <w:rsid w:val="4CB80042"/>
    <w:rsid w:val="4CB81FAF"/>
    <w:rsid w:val="4CE32F82"/>
    <w:rsid w:val="4D002DB2"/>
    <w:rsid w:val="4D0C49B3"/>
    <w:rsid w:val="4D1B4BF6"/>
    <w:rsid w:val="4D63515F"/>
    <w:rsid w:val="4D830F94"/>
    <w:rsid w:val="4D8A3CAB"/>
    <w:rsid w:val="4D9E25AB"/>
    <w:rsid w:val="4DA14461"/>
    <w:rsid w:val="4DE35714"/>
    <w:rsid w:val="4E257D35"/>
    <w:rsid w:val="4E4A7B2B"/>
    <w:rsid w:val="4E615D1F"/>
    <w:rsid w:val="4E6519F8"/>
    <w:rsid w:val="4EB64BD7"/>
    <w:rsid w:val="4EBC01AF"/>
    <w:rsid w:val="4ED35788"/>
    <w:rsid w:val="4ED570B4"/>
    <w:rsid w:val="4EF32E4E"/>
    <w:rsid w:val="4EF37C3D"/>
    <w:rsid w:val="4F193510"/>
    <w:rsid w:val="4F331B48"/>
    <w:rsid w:val="4F3B332E"/>
    <w:rsid w:val="4F457D08"/>
    <w:rsid w:val="4F504A2E"/>
    <w:rsid w:val="4F674123"/>
    <w:rsid w:val="4F857DBD"/>
    <w:rsid w:val="4F8C7A5C"/>
    <w:rsid w:val="4FA345DA"/>
    <w:rsid w:val="4FA35C7A"/>
    <w:rsid w:val="4FB16006"/>
    <w:rsid w:val="4FB64093"/>
    <w:rsid w:val="4FDD43E5"/>
    <w:rsid w:val="50160FEC"/>
    <w:rsid w:val="501D6F74"/>
    <w:rsid w:val="503F0BFC"/>
    <w:rsid w:val="506D7743"/>
    <w:rsid w:val="508F3C1A"/>
    <w:rsid w:val="50A349B5"/>
    <w:rsid w:val="513E7B65"/>
    <w:rsid w:val="517174DB"/>
    <w:rsid w:val="518A5EA7"/>
    <w:rsid w:val="519A433C"/>
    <w:rsid w:val="51BB7195"/>
    <w:rsid w:val="521E2410"/>
    <w:rsid w:val="52202DFC"/>
    <w:rsid w:val="52614E59"/>
    <w:rsid w:val="52752746"/>
    <w:rsid w:val="527C72FC"/>
    <w:rsid w:val="528F19C6"/>
    <w:rsid w:val="529C40E3"/>
    <w:rsid w:val="529C5C35"/>
    <w:rsid w:val="52BB0A0D"/>
    <w:rsid w:val="52C75604"/>
    <w:rsid w:val="52CC5674"/>
    <w:rsid w:val="52ED5960"/>
    <w:rsid w:val="531719BC"/>
    <w:rsid w:val="531E76EE"/>
    <w:rsid w:val="53542C10"/>
    <w:rsid w:val="535B5D4C"/>
    <w:rsid w:val="536157AC"/>
    <w:rsid w:val="5372721D"/>
    <w:rsid w:val="5376002F"/>
    <w:rsid w:val="537C2650"/>
    <w:rsid w:val="53984C6E"/>
    <w:rsid w:val="539A4C0B"/>
    <w:rsid w:val="53A1405D"/>
    <w:rsid w:val="53E04BF9"/>
    <w:rsid w:val="53F229C4"/>
    <w:rsid w:val="53F33752"/>
    <w:rsid w:val="54261308"/>
    <w:rsid w:val="54282699"/>
    <w:rsid w:val="544929FF"/>
    <w:rsid w:val="545E6613"/>
    <w:rsid w:val="547868A6"/>
    <w:rsid w:val="548D63DA"/>
    <w:rsid w:val="549372B8"/>
    <w:rsid w:val="54A4559D"/>
    <w:rsid w:val="54A83213"/>
    <w:rsid w:val="54A85E53"/>
    <w:rsid w:val="54BC7FA2"/>
    <w:rsid w:val="54EA382C"/>
    <w:rsid w:val="54F56475"/>
    <w:rsid w:val="551729C3"/>
    <w:rsid w:val="551F522C"/>
    <w:rsid w:val="55200FFC"/>
    <w:rsid w:val="552420A8"/>
    <w:rsid w:val="55517407"/>
    <w:rsid w:val="557F21C6"/>
    <w:rsid w:val="55B47996"/>
    <w:rsid w:val="55C1529A"/>
    <w:rsid w:val="55FB150F"/>
    <w:rsid w:val="55FC39D9"/>
    <w:rsid w:val="55FE77C9"/>
    <w:rsid w:val="56041D46"/>
    <w:rsid w:val="561C5C67"/>
    <w:rsid w:val="56293EE0"/>
    <w:rsid w:val="56486A5C"/>
    <w:rsid w:val="565C0BAF"/>
    <w:rsid w:val="56717635"/>
    <w:rsid w:val="56825435"/>
    <w:rsid w:val="568B73E6"/>
    <w:rsid w:val="56AD0C13"/>
    <w:rsid w:val="56E63204"/>
    <w:rsid w:val="56F37E2F"/>
    <w:rsid w:val="56F7571F"/>
    <w:rsid w:val="56FA762A"/>
    <w:rsid w:val="570922EB"/>
    <w:rsid w:val="575916E1"/>
    <w:rsid w:val="575B631B"/>
    <w:rsid w:val="578515EA"/>
    <w:rsid w:val="57AC4DC9"/>
    <w:rsid w:val="57CF6D09"/>
    <w:rsid w:val="57D460CD"/>
    <w:rsid w:val="57D60097"/>
    <w:rsid w:val="58004D2C"/>
    <w:rsid w:val="5815647A"/>
    <w:rsid w:val="584F521B"/>
    <w:rsid w:val="58694A68"/>
    <w:rsid w:val="587F072F"/>
    <w:rsid w:val="58802EB5"/>
    <w:rsid w:val="58953F56"/>
    <w:rsid w:val="589A10C5"/>
    <w:rsid w:val="58AE1510"/>
    <w:rsid w:val="58C46E3D"/>
    <w:rsid w:val="58F34C16"/>
    <w:rsid w:val="59077279"/>
    <w:rsid w:val="59736F01"/>
    <w:rsid w:val="598F04FE"/>
    <w:rsid w:val="59934492"/>
    <w:rsid w:val="59A044B9"/>
    <w:rsid w:val="59B3529A"/>
    <w:rsid w:val="59BE5287"/>
    <w:rsid w:val="59D5500D"/>
    <w:rsid w:val="59DE3233"/>
    <w:rsid w:val="59E864AE"/>
    <w:rsid w:val="59E918DF"/>
    <w:rsid w:val="59F1740B"/>
    <w:rsid w:val="5A1243DA"/>
    <w:rsid w:val="5A1255F6"/>
    <w:rsid w:val="5A1D7E89"/>
    <w:rsid w:val="5A214E6E"/>
    <w:rsid w:val="5A2E41BB"/>
    <w:rsid w:val="5A3B739B"/>
    <w:rsid w:val="5A461F0B"/>
    <w:rsid w:val="5A6220B6"/>
    <w:rsid w:val="5A9B73B9"/>
    <w:rsid w:val="5ABF3065"/>
    <w:rsid w:val="5B4524B8"/>
    <w:rsid w:val="5B5C073F"/>
    <w:rsid w:val="5B6F7720"/>
    <w:rsid w:val="5B715A8A"/>
    <w:rsid w:val="5B8C73EB"/>
    <w:rsid w:val="5BAA2E28"/>
    <w:rsid w:val="5BB36D43"/>
    <w:rsid w:val="5BB53EFB"/>
    <w:rsid w:val="5BEC1C38"/>
    <w:rsid w:val="5BF0749C"/>
    <w:rsid w:val="5C217B6E"/>
    <w:rsid w:val="5C3830CF"/>
    <w:rsid w:val="5C732359"/>
    <w:rsid w:val="5C7F199D"/>
    <w:rsid w:val="5C8F0D4E"/>
    <w:rsid w:val="5C9A5B38"/>
    <w:rsid w:val="5CB141F4"/>
    <w:rsid w:val="5CB32888"/>
    <w:rsid w:val="5CC11316"/>
    <w:rsid w:val="5D011713"/>
    <w:rsid w:val="5D5C103F"/>
    <w:rsid w:val="5D830942"/>
    <w:rsid w:val="5D8312FB"/>
    <w:rsid w:val="5D9A7F01"/>
    <w:rsid w:val="5DAA7A9B"/>
    <w:rsid w:val="5DAF3625"/>
    <w:rsid w:val="5DDD2180"/>
    <w:rsid w:val="5E381A8A"/>
    <w:rsid w:val="5E4A533B"/>
    <w:rsid w:val="5E53650C"/>
    <w:rsid w:val="5EB01B7C"/>
    <w:rsid w:val="5EC039A1"/>
    <w:rsid w:val="5EF0706A"/>
    <w:rsid w:val="5F116F65"/>
    <w:rsid w:val="5F426012"/>
    <w:rsid w:val="5F5E2FD2"/>
    <w:rsid w:val="5F791DC2"/>
    <w:rsid w:val="5F824661"/>
    <w:rsid w:val="5F986345"/>
    <w:rsid w:val="5F9E76ED"/>
    <w:rsid w:val="5FB73766"/>
    <w:rsid w:val="5FBD556C"/>
    <w:rsid w:val="5FC15189"/>
    <w:rsid w:val="5FCA6734"/>
    <w:rsid w:val="5FF615BD"/>
    <w:rsid w:val="600912C5"/>
    <w:rsid w:val="6065645C"/>
    <w:rsid w:val="60685D35"/>
    <w:rsid w:val="606F4BE5"/>
    <w:rsid w:val="60850B13"/>
    <w:rsid w:val="608F4BC8"/>
    <w:rsid w:val="60941A94"/>
    <w:rsid w:val="60A30D33"/>
    <w:rsid w:val="60A30E16"/>
    <w:rsid w:val="60B35E19"/>
    <w:rsid w:val="60DD5FF3"/>
    <w:rsid w:val="60E02D21"/>
    <w:rsid w:val="60ED3C1F"/>
    <w:rsid w:val="60F2692D"/>
    <w:rsid w:val="60FA7009"/>
    <w:rsid w:val="61183386"/>
    <w:rsid w:val="61241E74"/>
    <w:rsid w:val="61333E65"/>
    <w:rsid w:val="61363955"/>
    <w:rsid w:val="614763AC"/>
    <w:rsid w:val="61671D60"/>
    <w:rsid w:val="616878AC"/>
    <w:rsid w:val="617475DE"/>
    <w:rsid w:val="619B3576"/>
    <w:rsid w:val="61B37EAD"/>
    <w:rsid w:val="61B9132D"/>
    <w:rsid w:val="62017B7F"/>
    <w:rsid w:val="62037172"/>
    <w:rsid w:val="62233ED9"/>
    <w:rsid w:val="623954AB"/>
    <w:rsid w:val="623C1711"/>
    <w:rsid w:val="624350F9"/>
    <w:rsid w:val="624E3BE7"/>
    <w:rsid w:val="62A1227D"/>
    <w:rsid w:val="62B337E3"/>
    <w:rsid w:val="62CC4571"/>
    <w:rsid w:val="6312303F"/>
    <w:rsid w:val="6331400B"/>
    <w:rsid w:val="635A1B7D"/>
    <w:rsid w:val="636C365E"/>
    <w:rsid w:val="63C80FC1"/>
    <w:rsid w:val="64144421"/>
    <w:rsid w:val="64287ECD"/>
    <w:rsid w:val="642A77A1"/>
    <w:rsid w:val="64303203"/>
    <w:rsid w:val="643273F2"/>
    <w:rsid w:val="643D27AA"/>
    <w:rsid w:val="64402948"/>
    <w:rsid w:val="64405593"/>
    <w:rsid w:val="6444183E"/>
    <w:rsid w:val="6466598A"/>
    <w:rsid w:val="64746D9B"/>
    <w:rsid w:val="647F0FFA"/>
    <w:rsid w:val="64AD03D2"/>
    <w:rsid w:val="64AE0A9B"/>
    <w:rsid w:val="64B67287"/>
    <w:rsid w:val="65095BA8"/>
    <w:rsid w:val="6511270F"/>
    <w:rsid w:val="65136487"/>
    <w:rsid w:val="652C579B"/>
    <w:rsid w:val="6549634D"/>
    <w:rsid w:val="658E0532"/>
    <w:rsid w:val="658E7DBC"/>
    <w:rsid w:val="65AE4402"/>
    <w:rsid w:val="65FA40E8"/>
    <w:rsid w:val="66083B12"/>
    <w:rsid w:val="660D737A"/>
    <w:rsid w:val="662F72F1"/>
    <w:rsid w:val="6635242D"/>
    <w:rsid w:val="664A412A"/>
    <w:rsid w:val="6692787F"/>
    <w:rsid w:val="66A01F9C"/>
    <w:rsid w:val="66DF6952"/>
    <w:rsid w:val="66E06A14"/>
    <w:rsid w:val="66EC51E2"/>
    <w:rsid w:val="6716225F"/>
    <w:rsid w:val="67386679"/>
    <w:rsid w:val="674B5935"/>
    <w:rsid w:val="67670D0C"/>
    <w:rsid w:val="678A48FB"/>
    <w:rsid w:val="678C0773"/>
    <w:rsid w:val="679D64DC"/>
    <w:rsid w:val="67A05FCC"/>
    <w:rsid w:val="67B114D6"/>
    <w:rsid w:val="67CB4B96"/>
    <w:rsid w:val="67E35883"/>
    <w:rsid w:val="67EA0CAD"/>
    <w:rsid w:val="67FA392E"/>
    <w:rsid w:val="68035532"/>
    <w:rsid w:val="68411AA8"/>
    <w:rsid w:val="6843275B"/>
    <w:rsid w:val="68456F93"/>
    <w:rsid w:val="686D5FFE"/>
    <w:rsid w:val="686F60CA"/>
    <w:rsid w:val="6870260E"/>
    <w:rsid w:val="687963F4"/>
    <w:rsid w:val="6880562B"/>
    <w:rsid w:val="688D71DC"/>
    <w:rsid w:val="688F5AB3"/>
    <w:rsid w:val="68BC5088"/>
    <w:rsid w:val="68CF6B69"/>
    <w:rsid w:val="69276D04"/>
    <w:rsid w:val="69476318"/>
    <w:rsid w:val="696D617A"/>
    <w:rsid w:val="6974326C"/>
    <w:rsid w:val="69A41DA4"/>
    <w:rsid w:val="69F753B3"/>
    <w:rsid w:val="6A06480C"/>
    <w:rsid w:val="6A0A6887"/>
    <w:rsid w:val="6A22245E"/>
    <w:rsid w:val="6A386564"/>
    <w:rsid w:val="6A4B0471"/>
    <w:rsid w:val="6A785DC3"/>
    <w:rsid w:val="6A7C062B"/>
    <w:rsid w:val="6A7C58E7"/>
    <w:rsid w:val="6A902328"/>
    <w:rsid w:val="6ADB724B"/>
    <w:rsid w:val="6B011627"/>
    <w:rsid w:val="6B20545A"/>
    <w:rsid w:val="6B340F05"/>
    <w:rsid w:val="6B4868B9"/>
    <w:rsid w:val="6B5C285D"/>
    <w:rsid w:val="6B7B4D86"/>
    <w:rsid w:val="6BA10FFF"/>
    <w:rsid w:val="6BCB232F"/>
    <w:rsid w:val="6C187CED"/>
    <w:rsid w:val="6C2471CC"/>
    <w:rsid w:val="6C494E84"/>
    <w:rsid w:val="6C5B53FF"/>
    <w:rsid w:val="6C62678B"/>
    <w:rsid w:val="6C7B0C8B"/>
    <w:rsid w:val="6C891725"/>
    <w:rsid w:val="6C8F1D13"/>
    <w:rsid w:val="6CA749BD"/>
    <w:rsid w:val="6CE07597"/>
    <w:rsid w:val="6CE10F5F"/>
    <w:rsid w:val="6CEA3DAE"/>
    <w:rsid w:val="6D8F2D6B"/>
    <w:rsid w:val="6DA53E18"/>
    <w:rsid w:val="6DD50783"/>
    <w:rsid w:val="6DEE2AC4"/>
    <w:rsid w:val="6DF110EA"/>
    <w:rsid w:val="6DF26FC2"/>
    <w:rsid w:val="6DFF4DC4"/>
    <w:rsid w:val="6E2C20FC"/>
    <w:rsid w:val="6E3A312B"/>
    <w:rsid w:val="6E427DDD"/>
    <w:rsid w:val="6E6048AE"/>
    <w:rsid w:val="6E9A66EC"/>
    <w:rsid w:val="6EAF63DD"/>
    <w:rsid w:val="6EB011EB"/>
    <w:rsid w:val="6EB8014D"/>
    <w:rsid w:val="6EC151A6"/>
    <w:rsid w:val="6F0926A9"/>
    <w:rsid w:val="6F1235F6"/>
    <w:rsid w:val="6F1352D6"/>
    <w:rsid w:val="6F3A0AB4"/>
    <w:rsid w:val="6F712728"/>
    <w:rsid w:val="6F7E4E45"/>
    <w:rsid w:val="6F9E00F8"/>
    <w:rsid w:val="6FA10312"/>
    <w:rsid w:val="6FA523D2"/>
    <w:rsid w:val="6FB021AD"/>
    <w:rsid w:val="6FB756DC"/>
    <w:rsid w:val="6FDE58E3"/>
    <w:rsid w:val="703C668E"/>
    <w:rsid w:val="706F2CCD"/>
    <w:rsid w:val="708A7B80"/>
    <w:rsid w:val="70B7060E"/>
    <w:rsid w:val="70BA27C6"/>
    <w:rsid w:val="70EE00BF"/>
    <w:rsid w:val="70FC0717"/>
    <w:rsid w:val="70FD0E77"/>
    <w:rsid w:val="71595B2F"/>
    <w:rsid w:val="716B0B0E"/>
    <w:rsid w:val="71770F3C"/>
    <w:rsid w:val="7185070D"/>
    <w:rsid w:val="71975EBA"/>
    <w:rsid w:val="71AE1AED"/>
    <w:rsid w:val="71E4391E"/>
    <w:rsid w:val="71EE0BF4"/>
    <w:rsid w:val="72014659"/>
    <w:rsid w:val="72053532"/>
    <w:rsid w:val="7214383E"/>
    <w:rsid w:val="72235642"/>
    <w:rsid w:val="7274556F"/>
    <w:rsid w:val="72850298"/>
    <w:rsid w:val="72BA0B6E"/>
    <w:rsid w:val="72D37256"/>
    <w:rsid w:val="730E64E0"/>
    <w:rsid w:val="73155AC0"/>
    <w:rsid w:val="73886292"/>
    <w:rsid w:val="73934DD2"/>
    <w:rsid w:val="73F51ED3"/>
    <w:rsid w:val="73F8066C"/>
    <w:rsid w:val="74021198"/>
    <w:rsid w:val="74145D78"/>
    <w:rsid w:val="74170692"/>
    <w:rsid w:val="74534AF2"/>
    <w:rsid w:val="74737927"/>
    <w:rsid w:val="74884070"/>
    <w:rsid w:val="74890514"/>
    <w:rsid w:val="74CF1C9F"/>
    <w:rsid w:val="74EE65C9"/>
    <w:rsid w:val="75045DEC"/>
    <w:rsid w:val="7507768A"/>
    <w:rsid w:val="75181898"/>
    <w:rsid w:val="752234DB"/>
    <w:rsid w:val="753A7A60"/>
    <w:rsid w:val="75516763"/>
    <w:rsid w:val="75526B58"/>
    <w:rsid w:val="75626666"/>
    <w:rsid w:val="757E794D"/>
    <w:rsid w:val="758B02BC"/>
    <w:rsid w:val="75C94E67"/>
    <w:rsid w:val="76200A04"/>
    <w:rsid w:val="76617192"/>
    <w:rsid w:val="76663819"/>
    <w:rsid w:val="7691545E"/>
    <w:rsid w:val="76A038F3"/>
    <w:rsid w:val="76CE33B8"/>
    <w:rsid w:val="770B6722"/>
    <w:rsid w:val="770F0450"/>
    <w:rsid w:val="77255275"/>
    <w:rsid w:val="774B42AF"/>
    <w:rsid w:val="77702036"/>
    <w:rsid w:val="779571D0"/>
    <w:rsid w:val="77C76D18"/>
    <w:rsid w:val="77EE068E"/>
    <w:rsid w:val="78290354"/>
    <w:rsid w:val="78410251"/>
    <w:rsid w:val="784A6072"/>
    <w:rsid w:val="78570929"/>
    <w:rsid w:val="787B213F"/>
    <w:rsid w:val="78827754"/>
    <w:rsid w:val="78832A30"/>
    <w:rsid w:val="789400EA"/>
    <w:rsid w:val="789456D9"/>
    <w:rsid w:val="789E20B4"/>
    <w:rsid w:val="78D92F95"/>
    <w:rsid w:val="78DC47C4"/>
    <w:rsid w:val="790525C0"/>
    <w:rsid w:val="790E0ADF"/>
    <w:rsid w:val="791F31F5"/>
    <w:rsid w:val="79226841"/>
    <w:rsid w:val="79584959"/>
    <w:rsid w:val="7960721B"/>
    <w:rsid w:val="796360B9"/>
    <w:rsid w:val="79A239FC"/>
    <w:rsid w:val="7A0643B5"/>
    <w:rsid w:val="7A0A4093"/>
    <w:rsid w:val="7A342CD0"/>
    <w:rsid w:val="7A490096"/>
    <w:rsid w:val="7A637111"/>
    <w:rsid w:val="7A6E0B03"/>
    <w:rsid w:val="7A9D16AD"/>
    <w:rsid w:val="7AB83901"/>
    <w:rsid w:val="7AED1F97"/>
    <w:rsid w:val="7AF64429"/>
    <w:rsid w:val="7B2A2B5F"/>
    <w:rsid w:val="7B377E82"/>
    <w:rsid w:val="7B662DB0"/>
    <w:rsid w:val="7B807B83"/>
    <w:rsid w:val="7B8E6FD6"/>
    <w:rsid w:val="7BA07EF1"/>
    <w:rsid w:val="7BB843EC"/>
    <w:rsid w:val="7C012C7C"/>
    <w:rsid w:val="7C27037B"/>
    <w:rsid w:val="7C2B1EB0"/>
    <w:rsid w:val="7C2C29FE"/>
    <w:rsid w:val="7C845068"/>
    <w:rsid w:val="7C86358B"/>
    <w:rsid w:val="7C9904E9"/>
    <w:rsid w:val="7CB03EC6"/>
    <w:rsid w:val="7CD262A7"/>
    <w:rsid w:val="7D2314D6"/>
    <w:rsid w:val="7D231D04"/>
    <w:rsid w:val="7D24527D"/>
    <w:rsid w:val="7D2821A2"/>
    <w:rsid w:val="7D2E2777"/>
    <w:rsid w:val="7D625DA6"/>
    <w:rsid w:val="7D6C6DC5"/>
    <w:rsid w:val="7D7463E8"/>
    <w:rsid w:val="7D9B3066"/>
    <w:rsid w:val="7DA93788"/>
    <w:rsid w:val="7DAF23AB"/>
    <w:rsid w:val="7DB01666"/>
    <w:rsid w:val="7DB639FC"/>
    <w:rsid w:val="7DBB3D0E"/>
    <w:rsid w:val="7DC375E5"/>
    <w:rsid w:val="7DCC1471"/>
    <w:rsid w:val="7DE20C95"/>
    <w:rsid w:val="7DF10515"/>
    <w:rsid w:val="7E0907BF"/>
    <w:rsid w:val="7E550621"/>
    <w:rsid w:val="7E570E85"/>
    <w:rsid w:val="7E5E47BF"/>
    <w:rsid w:val="7E7E3BD2"/>
    <w:rsid w:val="7E8D2010"/>
    <w:rsid w:val="7E955D07"/>
    <w:rsid w:val="7ECF5DAB"/>
    <w:rsid w:val="7EE54599"/>
    <w:rsid w:val="7F453F63"/>
    <w:rsid w:val="7F5C59BA"/>
    <w:rsid w:val="7F797CAA"/>
    <w:rsid w:val="7F814F64"/>
    <w:rsid w:val="7F8E458E"/>
    <w:rsid w:val="7FA3511F"/>
    <w:rsid w:val="7FBB354B"/>
    <w:rsid w:val="7FC136F1"/>
    <w:rsid w:val="7FE01204"/>
    <w:rsid w:val="C3FF46F0"/>
    <w:rsid w:val="EB7903DE"/>
    <w:rsid w:val="F2EFAD99"/>
    <w:rsid w:val="F5FF9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1"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semiHidden="0" w:name="Salutation"/>
    <w:lsdException w:uiPriority="99" w:name="Date"/>
    <w:lsdException w:qFormat="1"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33"/>
    <w:qFormat/>
    <w:uiPriority w:val="99"/>
    <w:pPr>
      <w:keepNext/>
      <w:keepLines/>
      <w:spacing w:line="576" w:lineRule="auto"/>
      <w:outlineLvl w:val="0"/>
    </w:pPr>
    <w:rPr>
      <w:b/>
      <w:kern w:val="44"/>
      <w:sz w:val="44"/>
      <w:szCs w:val="44"/>
    </w:rPr>
  </w:style>
  <w:style w:type="paragraph" w:styleId="3">
    <w:name w:val="heading 2"/>
    <w:basedOn w:val="1"/>
    <w:next w:val="1"/>
    <w:link w:val="34"/>
    <w:qFormat/>
    <w:uiPriority w:val="99"/>
    <w:pPr>
      <w:keepNext/>
      <w:spacing w:before="100" w:beforeAutospacing="1" w:after="100" w:afterAutospacing="1" w:line="480" w:lineRule="auto"/>
      <w:ind w:left="1548" w:hanging="1128"/>
      <w:outlineLvl w:val="1"/>
    </w:pPr>
    <w:rPr>
      <w:rFonts w:ascii="黑体" w:hAnsi="宋体" w:eastAsia="黑体"/>
      <w:color w:val="000000"/>
      <w:sz w:val="32"/>
      <w:szCs w:val="32"/>
    </w:rPr>
  </w:style>
  <w:style w:type="paragraph" w:styleId="4">
    <w:name w:val="heading 3"/>
    <w:basedOn w:val="1"/>
    <w:next w:val="1"/>
    <w:link w:val="35"/>
    <w:qFormat/>
    <w:uiPriority w:val="99"/>
    <w:pPr>
      <w:keepNext/>
      <w:spacing w:before="100" w:beforeAutospacing="1" w:after="100" w:afterAutospacing="1"/>
      <w:ind w:left="2940" w:hanging="420"/>
      <w:outlineLvl w:val="2"/>
    </w:pPr>
    <w:rPr>
      <w:rFonts w:eastAsia="黑体"/>
      <w:b/>
      <w:bCs/>
      <w:sz w:val="30"/>
      <w:szCs w:val="30"/>
    </w:rPr>
  </w:style>
  <w:style w:type="paragraph" w:styleId="5">
    <w:name w:val="heading 4"/>
    <w:basedOn w:val="1"/>
    <w:next w:val="1"/>
    <w:qFormat/>
    <w:uiPriority w:val="1"/>
    <w:pPr>
      <w:spacing w:before="4"/>
      <w:ind w:left="1668"/>
      <w:outlineLvl w:val="4"/>
    </w:pPr>
    <w:rPr>
      <w:rFonts w:ascii="黑体" w:hAnsi="黑体" w:eastAsia="黑体"/>
      <w:sz w:val="31"/>
      <w:szCs w:val="31"/>
      <w:u w:val="single"/>
    </w:rPr>
  </w:style>
  <w:style w:type="paragraph" w:styleId="6">
    <w:name w:val="heading 5"/>
    <w:basedOn w:val="1"/>
    <w:next w:val="1"/>
    <w:qFormat/>
    <w:uiPriority w:val="1"/>
    <w:pPr>
      <w:spacing w:before="7"/>
      <w:outlineLvl w:val="5"/>
    </w:pPr>
    <w:rPr>
      <w:rFonts w:ascii="黑体" w:hAnsi="黑体" w:eastAsia="黑体"/>
      <w:sz w:val="30"/>
      <w:szCs w:val="30"/>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adjustRightInd w:val="0"/>
      <w:ind w:firstLine="420"/>
      <w:jc w:val="left"/>
      <w:textAlignment w:val="baseline"/>
    </w:pPr>
    <w:rPr>
      <w:rFonts w:eastAsia="楷体_GB2312"/>
      <w:sz w:val="24"/>
    </w:rPr>
  </w:style>
  <w:style w:type="paragraph" w:styleId="8">
    <w:name w:val="annotation text"/>
    <w:basedOn w:val="1"/>
    <w:semiHidden/>
    <w:unhideWhenUsed/>
    <w:qFormat/>
    <w:uiPriority w:val="99"/>
    <w:pPr>
      <w:jc w:val="left"/>
    </w:pPr>
  </w:style>
  <w:style w:type="paragraph" w:styleId="9">
    <w:name w:val="Salutation"/>
    <w:basedOn w:val="1"/>
    <w:next w:val="1"/>
    <w:link w:val="49"/>
    <w:unhideWhenUsed/>
    <w:qFormat/>
    <w:uiPriority w:val="99"/>
    <w:rPr>
      <w:rFonts w:ascii="宋体"/>
      <w:sz w:val="24"/>
      <w:szCs w:val="24"/>
    </w:rPr>
  </w:style>
  <w:style w:type="paragraph" w:styleId="10">
    <w:name w:val="Body Text"/>
    <w:basedOn w:val="1"/>
    <w:link w:val="36"/>
    <w:unhideWhenUsed/>
    <w:qFormat/>
    <w:uiPriority w:val="99"/>
    <w:pPr>
      <w:spacing w:line="520" w:lineRule="exact"/>
    </w:pPr>
    <w:rPr>
      <w:rFonts w:ascii="仿宋_GB2312" w:hAnsi="宋体"/>
      <w:color w:val="008000"/>
      <w:sz w:val="24"/>
      <w:szCs w:val="24"/>
    </w:rPr>
  </w:style>
  <w:style w:type="paragraph" w:styleId="11">
    <w:name w:val="Body Text Indent"/>
    <w:basedOn w:val="1"/>
    <w:next w:val="12"/>
    <w:link w:val="38"/>
    <w:unhideWhenUsed/>
    <w:qFormat/>
    <w:uiPriority w:val="99"/>
    <w:pPr>
      <w:spacing w:line="360" w:lineRule="auto"/>
      <w:ind w:firstLine="482" w:firstLineChars="100"/>
      <w:jc w:val="center"/>
    </w:pPr>
    <w:rPr>
      <w:rFonts w:ascii="黑体" w:eastAsia="黑体"/>
      <w:b/>
      <w:sz w:val="48"/>
      <w:szCs w:val="48"/>
    </w:rPr>
  </w:style>
  <w:style w:type="paragraph" w:styleId="12">
    <w:name w:val="envelope return"/>
    <w:basedOn w:val="1"/>
    <w:unhideWhenUsed/>
    <w:qFormat/>
    <w:uiPriority w:val="99"/>
    <w:pPr>
      <w:snapToGrid w:val="0"/>
    </w:pPr>
    <w:rPr>
      <w:rFonts w:ascii="Arial" w:hAnsi="Arial"/>
    </w:rPr>
  </w:style>
  <w:style w:type="paragraph" w:styleId="13">
    <w:name w:val="Plain Text"/>
    <w:basedOn w:val="1"/>
    <w:next w:val="10"/>
    <w:link w:val="47"/>
    <w:unhideWhenUsed/>
    <w:qFormat/>
    <w:uiPriority w:val="99"/>
    <w:rPr>
      <w:rFonts w:ascii="宋体" w:hAnsi="Courier New"/>
    </w:rPr>
  </w:style>
  <w:style w:type="paragraph" w:styleId="14">
    <w:name w:val="Body Text Indent 2"/>
    <w:basedOn w:val="1"/>
    <w:qFormat/>
    <w:uiPriority w:val="0"/>
    <w:pPr>
      <w:spacing w:after="120" w:line="480" w:lineRule="auto"/>
      <w:ind w:left="200" w:leftChars="200"/>
    </w:pPr>
  </w:style>
  <w:style w:type="paragraph" w:styleId="15">
    <w:name w:val="footer"/>
    <w:basedOn w:val="1"/>
    <w:link w:val="61"/>
    <w:unhideWhenUsed/>
    <w:qFormat/>
    <w:uiPriority w:val="99"/>
    <w:pPr>
      <w:snapToGrid w:val="0"/>
      <w:jc w:val="left"/>
    </w:pPr>
    <w:rPr>
      <w:sz w:val="18"/>
      <w:szCs w:val="18"/>
    </w:rPr>
  </w:style>
  <w:style w:type="paragraph" w:styleId="16">
    <w:name w:val="header"/>
    <w:basedOn w:val="1"/>
    <w:next w:val="15"/>
    <w:link w:val="62"/>
    <w:unhideWhenUsed/>
    <w:qFormat/>
    <w:uiPriority w:val="99"/>
    <w:pPr>
      <w:snapToGrid w:val="0"/>
    </w:pPr>
    <w:rPr>
      <w:sz w:val="18"/>
      <w:szCs w:val="18"/>
    </w:rPr>
  </w:style>
  <w:style w:type="paragraph" w:styleId="17">
    <w:name w:val="toc 1"/>
    <w:basedOn w:val="1"/>
    <w:next w:val="1"/>
    <w:unhideWhenUsed/>
    <w:qFormat/>
    <w:uiPriority w:val="99"/>
    <w:pPr>
      <w:spacing w:line="360" w:lineRule="auto"/>
    </w:pPr>
    <w:rPr>
      <w:rFonts w:ascii="黑体" w:eastAsia="黑体"/>
      <w:b/>
      <w:bCs/>
      <w:sz w:val="24"/>
      <w:szCs w:val="24"/>
    </w:rPr>
  </w:style>
  <w:style w:type="paragraph" w:styleId="18">
    <w:name w:val="Body Text 2"/>
    <w:basedOn w:val="1"/>
    <w:next w:val="10"/>
    <w:qFormat/>
    <w:uiPriority w:val="99"/>
    <w:pPr>
      <w:spacing w:line="500" w:lineRule="exact"/>
      <w:jc w:val="center"/>
    </w:pPr>
    <w:rPr>
      <w:rFonts w:hAnsi="宋体" w:eastAsia="方正小标宋_GBK"/>
      <w:spacing w:val="-20"/>
      <w:sz w:val="44"/>
    </w:rPr>
  </w:style>
  <w:style w:type="paragraph" w:styleId="19">
    <w:name w:val="Normal (Web)"/>
    <w:basedOn w:val="1"/>
    <w:unhideWhenUsed/>
    <w:qFormat/>
    <w:uiPriority w:val="99"/>
    <w:pPr>
      <w:jc w:val="left"/>
    </w:pPr>
    <w:rPr>
      <w:kern w:val="0"/>
      <w:sz w:val="24"/>
      <w:szCs w:val="24"/>
    </w:rPr>
  </w:style>
  <w:style w:type="paragraph" w:styleId="20">
    <w:name w:val="Title"/>
    <w:basedOn w:val="1"/>
    <w:link w:val="50"/>
    <w:qFormat/>
    <w:uiPriority w:val="99"/>
    <w:pPr>
      <w:jc w:val="center"/>
      <w:outlineLvl w:val="0"/>
    </w:pPr>
    <w:rPr>
      <w:rFonts w:ascii="Cambria" w:hAnsi="Cambria"/>
      <w:b/>
      <w:bCs/>
      <w:sz w:val="32"/>
      <w:szCs w:val="32"/>
    </w:rPr>
  </w:style>
  <w:style w:type="paragraph" w:styleId="21">
    <w:name w:val="Body Text First Indent"/>
    <w:basedOn w:val="10"/>
    <w:next w:val="1"/>
    <w:link w:val="37"/>
    <w:unhideWhenUsed/>
    <w:qFormat/>
    <w:uiPriority w:val="99"/>
    <w:pPr>
      <w:spacing w:line="360" w:lineRule="auto"/>
      <w:ind w:firstLine="420" w:firstLineChars="100"/>
    </w:pPr>
  </w:style>
  <w:style w:type="paragraph" w:styleId="22">
    <w:name w:val="Body Text First Indent 2"/>
    <w:basedOn w:val="11"/>
    <w:next w:val="21"/>
    <w:link w:val="39"/>
    <w:unhideWhenUsed/>
    <w:qFormat/>
    <w:uiPriority w:val="99"/>
    <w:pPr>
      <w:ind w:firstLine="420"/>
    </w:pPr>
  </w:style>
  <w:style w:type="table" w:styleId="24">
    <w:name w:val="Table Grid"/>
    <w:basedOn w:val="2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FollowedHyperlink"/>
    <w:basedOn w:val="25"/>
    <w:unhideWhenUsed/>
    <w:qFormat/>
    <w:uiPriority w:val="99"/>
    <w:rPr>
      <w:color w:val="800080"/>
      <w:u w:val="single"/>
    </w:rPr>
  </w:style>
  <w:style w:type="character" w:styleId="27">
    <w:name w:val="Hyperlink"/>
    <w:basedOn w:val="25"/>
    <w:unhideWhenUsed/>
    <w:qFormat/>
    <w:uiPriority w:val="99"/>
    <w:rPr>
      <w:color w:val="0000FF"/>
      <w:u w:val="single"/>
    </w:rPr>
  </w:style>
  <w:style w:type="paragraph" w:customStyle="1" w:styleId="28">
    <w:name w:val="正文（缩进）"/>
    <w:basedOn w:val="1"/>
    <w:qFormat/>
    <w:uiPriority w:val="0"/>
    <w:pPr>
      <w:spacing w:before="156" w:after="156"/>
      <w:ind w:firstLine="480" w:firstLineChars="200"/>
    </w:pPr>
  </w:style>
  <w:style w:type="paragraph" w:customStyle="1" w:styleId="29">
    <w:name w:val="style4"/>
    <w:basedOn w:val="30"/>
    <w:next w:val="31"/>
    <w:qFormat/>
    <w:uiPriority w:val="0"/>
    <w:pPr>
      <w:widowControl/>
      <w:autoSpaceDE/>
      <w:autoSpaceDN/>
      <w:spacing w:before="280" w:after="280" w:line="240" w:lineRule="auto"/>
      <w:ind w:left="0" w:firstLine="0"/>
      <w:jc w:val="both"/>
    </w:pPr>
    <w:rPr>
      <w:rFonts w:ascii="宋体" w:eastAsia="宋体"/>
      <w:sz w:val="18"/>
    </w:rPr>
  </w:style>
  <w:style w:type="paragraph" w:customStyle="1" w:styleId="30">
    <w:name w:val="Normal"/>
    <w:next w:val="21"/>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31">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2">
    <w:name w:val="样式 正文首行缩进 2 + Arial"/>
    <w:basedOn w:val="1"/>
    <w:next w:val="1"/>
    <w:qFormat/>
    <w:uiPriority w:val="0"/>
    <w:pPr>
      <w:spacing w:before="100" w:beforeAutospacing="1" w:after="120" w:line="320" w:lineRule="atLeast"/>
      <w:ind w:firstLine="200" w:firstLineChars="200"/>
    </w:pPr>
    <w:rPr>
      <w:rFonts w:ascii="Arial" w:hAnsi="Arial"/>
      <w:kern w:val="0"/>
    </w:rPr>
  </w:style>
  <w:style w:type="character" w:customStyle="1" w:styleId="33">
    <w:name w:val="标题 1 Char"/>
    <w:basedOn w:val="25"/>
    <w:link w:val="2"/>
    <w:qFormat/>
    <w:uiPriority w:val="99"/>
    <w:rPr>
      <w:rFonts w:ascii="Times New Roman" w:hAnsi="Times New Roman" w:eastAsia="宋体" w:cs="Times New Roman"/>
      <w:b/>
      <w:kern w:val="44"/>
      <w:sz w:val="44"/>
      <w:szCs w:val="44"/>
    </w:rPr>
  </w:style>
  <w:style w:type="character" w:customStyle="1" w:styleId="34">
    <w:name w:val="标题 2 Char"/>
    <w:basedOn w:val="25"/>
    <w:link w:val="3"/>
    <w:qFormat/>
    <w:uiPriority w:val="99"/>
    <w:rPr>
      <w:rFonts w:ascii="黑体" w:hAnsi="宋体" w:eastAsia="黑体" w:cs="Times New Roman"/>
      <w:color w:val="000000"/>
      <w:sz w:val="32"/>
      <w:szCs w:val="32"/>
    </w:rPr>
  </w:style>
  <w:style w:type="character" w:customStyle="1" w:styleId="35">
    <w:name w:val="标题 3 Char"/>
    <w:basedOn w:val="25"/>
    <w:link w:val="4"/>
    <w:qFormat/>
    <w:uiPriority w:val="99"/>
    <w:rPr>
      <w:rFonts w:ascii="Times New Roman" w:hAnsi="Times New Roman" w:eastAsia="黑体" w:cs="Times New Roman"/>
      <w:b/>
      <w:bCs/>
      <w:sz w:val="30"/>
      <w:szCs w:val="30"/>
    </w:rPr>
  </w:style>
  <w:style w:type="character" w:customStyle="1" w:styleId="36">
    <w:name w:val="正文文本 Char"/>
    <w:basedOn w:val="25"/>
    <w:link w:val="10"/>
    <w:qFormat/>
    <w:uiPriority w:val="99"/>
    <w:rPr>
      <w:rFonts w:ascii="仿宋_GB2312" w:hAnsi="宋体" w:eastAsia="宋体" w:cs="Times New Roman"/>
      <w:color w:val="008000"/>
      <w:sz w:val="24"/>
      <w:szCs w:val="24"/>
    </w:rPr>
  </w:style>
  <w:style w:type="character" w:customStyle="1" w:styleId="37">
    <w:name w:val="正文首行缩进 Char"/>
    <w:basedOn w:val="36"/>
    <w:link w:val="21"/>
    <w:qFormat/>
    <w:uiPriority w:val="99"/>
  </w:style>
  <w:style w:type="character" w:customStyle="1" w:styleId="38">
    <w:name w:val="正文文本缩进 Char"/>
    <w:basedOn w:val="25"/>
    <w:link w:val="11"/>
    <w:qFormat/>
    <w:uiPriority w:val="99"/>
    <w:rPr>
      <w:rFonts w:ascii="黑体" w:hAnsi="Times New Roman" w:eastAsia="黑体" w:cs="Times New Roman"/>
      <w:b/>
      <w:sz w:val="48"/>
      <w:szCs w:val="48"/>
    </w:rPr>
  </w:style>
  <w:style w:type="character" w:customStyle="1" w:styleId="39">
    <w:name w:val="正文首行缩进 2 Char"/>
    <w:basedOn w:val="38"/>
    <w:link w:val="22"/>
    <w:qFormat/>
    <w:uiPriority w:val="99"/>
  </w:style>
  <w:style w:type="paragraph" w:customStyle="1" w:styleId="40">
    <w:name w:val="标题 #12"/>
    <w:basedOn w:val="1"/>
    <w:qFormat/>
    <w:uiPriority w:val="0"/>
    <w:pPr>
      <w:shd w:val="clear" w:color="auto" w:fill="FFFFFF"/>
      <w:spacing w:line="0" w:lineRule="atLeast"/>
      <w:jc w:val="center"/>
    </w:pPr>
    <w:rPr>
      <w:rFonts w:ascii="MingLiU" w:hAnsi="MingLiU" w:eastAsia="MingLiU" w:cs="宋体"/>
      <w:spacing w:val="10"/>
      <w:sz w:val="28"/>
      <w:szCs w:val="28"/>
    </w:rPr>
  </w:style>
  <w:style w:type="paragraph" w:customStyle="1" w:styleId="41">
    <w:name w:val="正文文本8"/>
    <w:basedOn w:val="1"/>
    <w:qFormat/>
    <w:uiPriority w:val="0"/>
    <w:pPr>
      <w:shd w:val="clear" w:color="auto" w:fill="FFFFFF"/>
      <w:spacing w:line="398" w:lineRule="exact"/>
      <w:ind w:hanging="3860"/>
      <w:jc w:val="distribute"/>
    </w:pPr>
    <w:rPr>
      <w:rFonts w:ascii="MingLiU" w:hAnsi="MingLiU" w:eastAsia="MingLiU" w:cs="宋体"/>
      <w:sz w:val="22"/>
      <w:szCs w:val="22"/>
    </w:rPr>
  </w:style>
  <w:style w:type="paragraph" w:customStyle="1" w:styleId="42">
    <w:name w:val="p0"/>
    <w:basedOn w:val="1"/>
    <w:qFormat/>
    <w:uiPriority w:val="0"/>
    <w:pPr>
      <w:widowControl/>
      <w:jc w:val="left"/>
    </w:pPr>
    <w:rPr>
      <w:rFonts w:ascii="宋体" w:hAnsi="宋体" w:cs="宋体"/>
      <w:kern w:val="0"/>
      <w:sz w:val="24"/>
      <w:szCs w:val="24"/>
    </w:rPr>
  </w:style>
  <w:style w:type="paragraph" w:customStyle="1" w:styleId="43">
    <w:name w:val="Default"/>
    <w:basedOn w:val="13"/>
    <w:qFormat/>
    <w:uiPriority w:val="0"/>
    <w:pPr>
      <w:autoSpaceDE w:val="0"/>
      <w:autoSpaceDN w:val="0"/>
      <w:adjustRightInd w:val="0"/>
      <w:jc w:val="left"/>
    </w:pPr>
    <w:rPr>
      <w:rFonts w:cs="宋体"/>
      <w:color w:val="000000"/>
      <w:kern w:val="0"/>
      <w:sz w:val="24"/>
      <w:szCs w:val="24"/>
    </w:rPr>
  </w:style>
  <w:style w:type="paragraph" w:customStyle="1" w:styleId="44">
    <w:name w:val="样式 标题 2 + Times New Roman 四号 非加粗 段前: 5 磅 段后: 0 磅 行距: 固定值 20..."/>
    <w:basedOn w:val="3"/>
    <w:qFormat/>
    <w:uiPriority w:val="0"/>
    <w:pPr>
      <w:keepLines/>
      <w:spacing w:before="0" w:beforeAutospacing="0" w:after="0" w:afterAutospacing="0" w:line="400" w:lineRule="exact"/>
      <w:ind w:left="0" w:firstLine="0"/>
    </w:pPr>
    <w:rPr>
      <w:rFonts w:ascii="Times New Roman" w:hAnsi="Times New Roman" w:cs="宋体"/>
      <w:color w:val="auto"/>
      <w:sz w:val="28"/>
      <w:szCs w:val="28"/>
    </w:rPr>
  </w:style>
  <w:style w:type="paragraph" w:customStyle="1" w:styleId="45">
    <w:name w:val="样式 标题 3 + (中文) 黑体 小四 非加粗 段前: 7.8 磅 段后: 0 磅 行距: 固定值 20 磅"/>
    <w:basedOn w:val="4"/>
    <w:qFormat/>
    <w:uiPriority w:val="0"/>
    <w:pPr>
      <w:keepLines/>
      <w:spacing w:before="0" w:beforeAutospacing="0" w:after="0" w:afterAutospacing="0" w:line="400" w:lineRule="exact"/>
      <w:ind w:left="0" w:firstLine="0"/>
    </w:pPr>
    <w:rPr>
      <w:rFonts w:cs="宋体"/>
      <w:b w:val="0"/>
      <w:bCs w:val="0"/>
      <w:sz w:val="24"/>
      <w:szCs w:val="24"/>
    </w:rPr>
  </w:style>
  <w:style w:type="paragraph" w:customStyle="1" w:styleId="46">
    <w:name w:val="Char1 Char Char Char"/>
    <w:basedOn w:val="1"/>
    <w:qFormat/>
    <w:uiPriority w:val="0"/>
  </w:style>
  <w:style w:type="character" w:customStyle="1" w:styleId="47">
    <w:name w:val="纯文本 Char"/>
    <w:basedOn w:val="25"/>
    <w:link w:val="13"/>
    <w:qFormat/>
    <w:uiPriority w:val="99"/>
    <w:rPr>
      <w:rFonts w:ascii="宋体" w:hAnsi="Courier New" w:eastAsia="宋体" w:cs="Times New Roman"/>
      <w:szCs w:val="21"/>
    </w:rPr>
  </w:style>
  <w:style w:type="paragraph" w:customStyle="1" w:styleId="48">
    <w:name w:val="xl54"/>
    <w:basedOn w:val="1"/>
    <w:qFormat/>
    <w:uiPriority w:val="0"/>
    <w:pPr>
      <w:widowControl/>
      <w:spacing w:before="100" w:beforeAutospacing="1" w:after="100" w:afterAutospacing="1"/>
      <w:jc w:val="left"/>
      <w:textAlignment w:val="center"/>
    </w:pPr>
    <w:rPr>
      <w:rFonts w:ascii="仿宋_GB2312" w:hAnsi="Arial Unicode MS"/>
      <w:kern w:val="0"/>
      <w:sz w:val="18"/>
      <w:szCs w:val="18"/>
    </w:rPr>
  </w:style>
  <w:style w:type="character" w:customStyle="1" w:styleId="49">
    <w:name w:val="称呼 Char"/>
    <w:basedOn w:val="25"/>
    <w:link w:val="9"/>
    <w:qFormat/>
    <w:uiPriority w:val="99"/>
    <w:rPr>
      <w:rFonts w:ascii="宋体" w:hAnsi="Times New Roman" w:eastAsia="宋体" w:cs="Times New Roman"/>
      <w:sz w:val="24"/>
      <w:szCs w:val="24"/>
    </w:rPr>
  </w:style>
  <w:style w:type="character" w:customStyle="1" w:styleId="50">
    <w:name w:val="标题 Char"/>
    <w:basedOn w:val="25"/>
    <w:link w:val="20"/>
    <w:qFormat/>
    <w:uiPriority w:val="99"/>
    <w:rPr>
      <w:rFonts w:ascii="Cambria" w:hAnsi="Cambria" w:eastAsia="宋体" w:cs="Times New Roman"/>
      <w:b/>
      <w:bCs/>
      <w:sz w:val="32"/>
      <w:szCs w:val="32"/>
    </w:rPr>
  </w:style>
  <w:style w:type="paragraph" w:customStyle="1" w:styleId="51">
    <w:name w:val="正文文本9"/>
    <w:basedOn w:val="1"/>
    <w:qFormat/>
    <w:uiPriority w:val="0"/>
    <w:pPr>
      <w:shd w:val="clear" w:color="auto" w:fill="FFFFFF"/>
      <w:spacing w:line="398" w:lineRule="exact"/>
      <w:jc w:val="distribute"/>
    </w:pPr>
    <w:rPr>
      <w:rFonts w:ascii="MingLiU" w:hAnsi="MingLiU" w:eastAsia="MingLiU" w:cs="宋体"/>
      <w:sz w:val="23"/>
      <w:szCs w:val="23"/>
    </w:rPr>
  </w:style>
  <w:style w:type="paragraph" w:customStyle="1" w:styleId="52">
    <w:name w:val="正文文本 (16)6"/>
    <w:basedOn w:val="1"/>
    <w:qFormat/>
    <w:uiPriority w:val="0"/>
    <w:pPr>
      <w:shd w:val="clear" w:color="auto" w:fill="FFFFFF"/>
      <w:spacing w:line="293" w:lineRule="exact"/>
      <w:ind w:hanging="260"/>
      <w:jc w:val="distribute"/>
    </w:pPr>
    <w:rPr>
      <w:rFonts w:ascii="MingLiU" w:hAnsi="MingLiU" w:eastAsia="MingLiU" w:cs="宋体"/>
      <w:sz w:val="17"/>
      <w:szCs w:val="17"/>
    </w:rPr>
  </w:style>
  <w:style w:type="paragraph" w:customStyle="1" w:styleId="53">
    <w:name w:val="表格标题5"/>
    <w:basedOn w:val="1"/>
    <w:qFormat/>
    <w:uiPriority w:val="0"/>
    <w:pPr>
      <w:shd w:val="clear" w:color="auto" w:fill="FFFFFF"/>
      <w:spacing w:line="278" w:lineRule="exact"/>
      <w:jc w:val="distribute"/>
    </w:pPr>
    <w:rPr>
      <w:rFonts w:ascii="MingLiU" w:hAnsi="MingLiU" w:eastAsia="MingLiU" w:cs="宋体"/>
      <w:sz w:val="17"/>
      <w:szCs w:val="17"/>
    </w:rPr>
  </w:style>
  <w:style w:type="paragraph" w:customStyle="1" w:styleId="54">
    <w:name w:val="表格标题 (5)"/>
    <w:basedOn w:val="1"/>
    <w:qFormat/>
    <w:uiPriority w:val="0"/>
    <w:pPr>
      <w:shd w:val="clear" w:color="auto" w:fill="FFFFFF"/>
      <w:spacing w:line="0" w:lineRule="atLeast"/>
    </w:pPr>
    <w:rPr>
      <w:rFonts w:ascii="MingLiU" w:hAnsi="MingLiU" w:eastAsia="MingLiU" w:cs="宋体"/>
      <w:b/>
      <w:bCs/>
      <w:spacing w:val="10"/>
      <w:sz w:val="20"/>
      <w:szCs w:val="20"/>
    </w:rPr>
  </w:style>
  <w:style w:type="paragraph" w:customStyle="1" w:styleId="55">
    <w:name w:val="正文文本 (11)3"/>
    <w:basedOn w:val="1"/>
    <w:qFormat/>
    <w:uiPriority w:val="0"/>
    <w:pPr>
      <w:shd w:val="clear" w:color="auto" w:fill="FFFFFF"/>
      <w:spacing w:line="0" w:lineRule="atLeast"/>
      <w:jc w:val="center"/>
    </w:pPr>
    <w:rPr>
      <w:rFonts w:ascii="MingLiU" w:hAnsi="MingLiU" w:eastAsia="MingLiU" w:cs="宋体"/>
      <w:sz w:val="19"/>
      <w:szCs w:val="19"/>
    </w:rPr>
  </w:style>
  <w:style w:type="paragraph" w:customStyle="1" w:styleId="56">
    <w:name w:val="表格标题 (2)2"/>
    <w:basedOn w:val="1"/>
    <w:qFormat/>
    <w:uiPriority w:val="0"/>
    <w:pPr>
      <w:shd w:val="clear" w:color="auto" w:fill="FFFFFF"/>
      <w:spacing w:line="0" w:lineRule="atLeast"/>
    </w:pPr>
    <w:rPr>
      <w:rFonts w:ascii="MingLiU" w:hAnsi="MingLiU" w:eastAsia="MingLiU" w:cs="宋体"/>
      <w:sz w:val="19"/>
      <w:szCs w:val="19"/>
    </w:rPr>
  </w:style>
  <w:style w:type="paragraph" w:customStyle="1" w:styleId="57">
    <w:name w:val="正文文本 (6)"/>
    <w:basedOn w:val="1"/>
    <w:qFormat/>
    <w:uiPriority w:val="0"/>
    <w:pPr>
      <w:shd w:val="clear" w:color="auto" w:fill="FFFFFF"/>
      <w:spacing w:line="432" w:lineRule="exact"/>
      <w:ind w:hanging="3860"/>
      <w:jc w:val="right"/>
    </w:pPr>
    <w:rPr>
      <w:rFonts w:ascii="MingLiU" w:hAnsi="MingLiU" w:eastAsia="MingLiU" w:cs="宋体"/>
      <w:spacing w:val="50"/>
      <w:sz w:val="28"/>
      <w:szCs w:val="28"/>
    </w:rPr>
  </w:style>
  <w:style w:type="paragraph" w:customStyle="1" w:styleId="58">
    <w:name w:val="正文文本 (24)"/>
    <w:basedOn w:val="1"/>
    <w:qFormat/>
    <w:uiPriority w:val="0"/>
    <w:pPr>
      <w:shd w:val="clear" w:color="auto" w:fill="FFFFFF"/>
      <w:spacing w:line="0" w:lineRule="atLeast"/>
      <w:jc w:val="right"/>
    </w:pPr>
    <w:rPr>
      <w:rFonts w:ascii="MingLiU" w:hAnsi="MingLiU" w:eastAsia="MingLiU" w:cs="宋体"/>
      <w:b/>
      <w:bCs/>
      <w:spacing w:val="10"/>
      <w:sz w:val="27"/>
      <w:szCs w:val="27"/>
    </w:rPr>
  </w:style>
  <w:style w:type="paragraph" w:customStyle="1" w:styleId="59">
    <w:name w:val="标题 #103"/>
    <w:basedOn w:val="1"/>
    <w:qFormat/>
    <w:uiPriority w:val="0"/>
    <w:pPr>
      <w:shd w:val="clear" w:color="auto" w:fill="FFFFFF"/>
      <w:spacing w:line="0" w:lineRule="atLeast"/>
      <w:ind w:hanging="540"/>
    </w:pPr>
    <w:rPr>
      <w:rFonts w:ascii="MingLiU" w:hAnsi="MingLiU" w:eastAsia="MingLiU" w:cs="宋体"/>
      <w:spacing w:val="20"/>
      <w:sz w:val="28"/>
      <w:szCs w:val="28"/>
    </w:rPr>
  </w:style>
  <w:style w:type="paragraph" w:customStyle="1" w:styleId="60">
    <w:name w:val="正文文本 (17)5"/>
    <w:basedOn w:val="1"/>
    <w:qFormat/>
    <w:uiPriority w:val="0"/>
    <w:pPr>
      <w:shd w:val="clear" w:color="auto" w:fill="FFFFFF"/>
      <w:spacing w:line="0" w:lineRule="atLeast"/>
      <w:jc w:val="distribute"/>
    </w:pPr>
    <w:rPr>
      <w:rFonts w:ascii="Batang" w:hAnsi="Batang" w:eastAsia="Batang" w:cs="宋体"/>
      <w:sz w:val="22"/>
      <w:szCs w:val="22"/>
    </w:rPr>
  </w:style>
  <w:style w:type="character" w:customStyle="1" w:styleId="61">
    <w:name w:val="页脚 Char"/>
    <w:basedOn w:val="25"/>
    <w:link w:val="15"/>
    <w:qFormat/>
    <w:uiPriority w:val="99"/>
    <w:rPr>
      <w:rFonts w:ascii="Times New Roman" w:hAnsi="Times New Roman" w:eastAsia="宋体" w:cs="Times New Roman"/>
      <w:sz w:val="18"/>
      <w:szCs w:val="18"/>
    </w:rPr>
  </w:style>
  <w:style w:type="character" w:customStyle="1" w:styleId="62">
    <w:name w:val="页眉 Char"/>
    <w:basedOn w:val="25"/>
    <w:link w:val="16"/>
    <w:qFormat/>
    <w:uiPriority w:val="99"/>
    <w:rPr>
      <w:rFonts w:ascii="Times New Roman" w:hAnsi="Times New Roman" w:eastAsia="宋体" w:cs="Times New Roman"/>
      <w:sz w:val="18"/>
      <w:szCs w:val="18"/>
    </w:rPr>
  </w:style>
  <w:style w:type="character" w:customStyle="1" w:styleId="63">
    <w:name w:val="10"/>
    <w:basedOn w:val="25"/>
    <w:qFormat/>
    <w:uiPriority w:val="0"/>
    <w:rPr>
      <w:rFonts w:hint="default" w:ascii="Times New Roman" w:hAnsi="Times New Roman" w:cs="Times New Roman"/>
    </w:rPr>
  </w:style>
  <w:style w:type="character" w:customStyle="1" w:styleId="64">
    <w:name w:val="15"/>
    <w:basedOn w:val="25"/>
    <w:qFormat/>
    <w:uiPriority w:val="0"/>
    <w:rPr>
      <w:rFonts w:hint="eastAsia" w:ascii="Batang" w:hAnsi="Batang" w:eastAsia="Batang"/>
      <w:sz w:val="22"/>
      <w:szCs w:val="22"/>
    </w:rPr>
  </w:style>
  <w:style w:type="character" w:customStyle="1" w:styleId="65">
    <w:name w:val="16"/>
    <w:basedOn w:val="25"/>
    <w:qFormat/>
    <w:uiPriority w:val="0"/>
    <w:rPr>
      <w:rFonts w:hint="eastAsia" w:ascii="黑体" w:hAnsi="宋体" w:eastAsia="黑体"/>
      <w:color w:val="000000"/>
      <w:sz w:val="32"/>
      <w:szCs w:val="32"/>
    </w:rPr>
  </w:style>
  <w:style w:type="character" w:customStyle="1" w:styleId="66">
    <w:name w:val="17"/>
    <w:basedOn w:val="25"/>
    <w:qFormat/>
    <w:uiPriority w:val="0"/>
    <w:rPr>
      <w:rFonts w:hint="default" w:ascii="Times New Roman" w:hAnsi="Times New Roman" w:eastAsia="黑体" w:cs="Times New Roman"/>
      <w:b/>
      <w:bCs/>
      <w:sz w:val="30"/>
      <w:szCs w:val="30"/>
    </w:rPr>
  </w:style>
  <w:style w:type="character" w:customStyle="1" w:styleId="67">
    <w:name w:val="19"/>
    <w:basedOn w:val="25"/>
    <w:qFormat/>
    <w:uiPriority w:val="0"/>
    <w:rPr>
      <w:rFonts w:hint="eastAsia" w:ascii="MingLiU" w:hAnsi="MingLiU" w:eastAsia="MingLiU"/>
      <w:sz w:val="23"/>
      <w:szCs w:val="23"/>
    </w:rPr>
  </w:style>
  <w:style w:type="character" w:customStyle="1" w:styleId="68">
    <w:name w:val="18"/>
    <w:basedOn w:val="25"/>
    <w:qFormat/>
    <w:uiPriority w:val="0"/>
    <w:rPr>
      <w:rFonts w:hint="eastAsia" w:ascii="MingLiU" w:hAnsi="MingLiU" w:eastAsia="MingLiU"/>
      <w:color w:val="000000"/>
      <w:spacing w:val="0"/>
      <w:sz w:val="17"/>
      <w:szCs w:val="17"/>
    </w:rPr>
  </w:style>
  <w:style w:type="character" w:customStyle="1" w:styleId="69">
    <w:name w:val="20"/>
    <w:basedOn w:val="25"/>
    <w:qFormat/>
    <w:uiPriority w:val="0"/>
    <w:rPr>
      <w:rFonts w:hint="eastAsia" w:ascii="MingLiU" w:hAnsi="MingLiU" w:eastAsia="MingLiU"/>
      <w:color w:val="000000"/>
      <w:spacing w:val="-20"/>
      <w:sz w:val="17"/>
      <w:szCs w:val="17"/>
    </w:rPr>
  </w:style>
  <w:style w:type="character" w:customStyle="1" w:styleId="70">
    <w:name w:val="21"/>
    <w:basedOn w:val="25"/>
    <w:qFormat/>
    <w:uiPriority w:val="0"/>
    <w:rPr>
      <w:rFonts w:hint="eastAsia" w:ascii="MingLiU" w:hAnsi="MingLiU" w:eastAsia="MingLiU"/>
      <w:color w:val="000000"/>
      <w:spacing w:val="0"/>
      <w:sz w:val="17"/>
      <w:szCs w:val="17"/>
    </w:rPr>
  </w:style>
  <w:style w:type="character" w:customStyle="1" w:styleId="71">
    <w:name w:val="22"/>
    <w:basedOn w:val="25"/>
    <w:qFormat/>
    <w:uiPriority w:val="0"/>
    <w:rPr>
      <w:rFonts w:hint="eastAsia" w:ascii="MingLiU" w:hAnsi="MingLiU" w:eastAsia="MingLiU"/>
      <w:color w:val="000000"/>
      <w:spacing w:val="30"/>
      <w:sz w:val="17"/>
      <w:szCs w:val="17"/>
    </w:rPr>
  </w:style>
  <w:style w:type="character" w:customStyle="1" w:styleId="72">
    <w:name w:val="24"/>
    <w:basedOn w:val="25"/>
    <w:qFormat/>
    <w:uiPriority w:val="0"/>
    <w:rPr>
      <w:rFonts w:hint="eastAsia" w:ascii="MingLiU" w:hAnsi="MingLiU" w:eastAsia="MingLiU"/>
      <w:spacing w:val="10"/>
      <w:sz w:val="28"/>
      <w:szCs w:val="28"/>
    </w:rPr>
  </w:style>
  <w:style w:type="character" w:customStyle="1" w:styleId="73">
    <w:name w:val="23"/>
    <w:basedOn w:val="25"/>
    <w:qFormat/>
    <w:uiPriority w:val="0"/>
    <w:rPr>
      <w:rFonts w:hint="eastAsia" w:ascii="MingLiU" w:hAnsi="MingLiU" w:eastAsia="MingLiU"/>
      <w:color w:val="000000"/>
      <w:spacing w:val="0"/>
      <w:sz w:val="30"/>
      <w:szCs w:val="30"/>
    </w:rPr>
  </w:style>
  <w:style w:type="character" w:customStyle="1" w:styleId="74">
    <w:name w:val="25"/>
    <w:basedOn w:val="25"/>
    <w:qFormat/>
    <w:uiPriority w:val="0"/>
    <w:rPr>
      <w:rFonts w:hint="eastAsia" w:ascii="MingLiU" w:hAnsi="MingLiU" w:eastAsia="MingLiU"/>
      <w:color w:val="000000"/>
      <w:spacing w:val="0"/>
      <w:sz w:val="17"/>
      <w:szCs w:val="17"/>
    </w:rPr>
  </w:style>
  <w:style w:type="character" w:customStyle="1" w:styleId="75">
    <w:name w:val="27"/>
    <w:basedOn w:val="25"/>
    <w:qFormat/>
    <w:uiPriority w:val="0"/>
    <w:rPr>
      <w:rFonts w:hint="eastAsia" w:ascii="MingLiU" w:hAnsi="MingLiU" w:eastAsia="MingLiU"/>
      <w:sz w:val="17"/>
      <w:szCs w:val="17"/>
    </w:rPr>
  </w:style>
  <w:style w:type="character" w:customStyle="1" w:styleId="76">
    <w:name w:val="26"/>
    <w:basedOn w:val="25"/>
    <w:qFormat/>
    <w:uiPriority w:val="0"/>
    <w:rPr>
      <w:rFonts w:hint="eastAsia" w:ascii="MingLiU" w:hAnsi="MingLiU" w:eastAsia="MingLiU"/>
      <w:color w:val="000000"/>
      <w:spacing w:val="0"/>
      <w:sz w:val="17"/>
      <w:szCs w:val="17"/>
    </w:rPr>
  </w:style>
  <w:style w:type="character" w:customStyle="1" w:styleId="77">
    <w:name w:val="28"/>
    <w:basedOn w:val="25"/>
    <w:qFormat/>
    <w:uiPriority w:val="0"/>
    <w:rPr>
      <w:rFonts w:hint="eastAsia" w:ascii="MingLiU" w:hAnsi="MingLiU" w:eastAsia="MingLiU"/>
      <w:color w:val="000000"/>
      <w:spacing w:val="0"/>
      <w:sz w:val="17"/>
      <w:szCs w:val="17"/>
    </w:rPr>
  </w:style>
  <w:style w:type="character" w:customStyle="1" w:styleId="78">
    <w:name w:val="30"/>
    <w:basedOn w:val="25"/>
    <w:qFormat/>
    <w:uiPriority w:val="0"/>
    <w:rPr>
      <w:rFonts w:hint="eastAsia" w:ascii="MingLiU" w:hAnsi="MingLiU" w:eastAsia="MingLiU"/>
      <w:sz w:val="17"/>
      <w:szCs w:val="17"/>
    </w:rPr>
  </w:style>
  <w:style w:type="character" w:customStyle="1" w:styleId="79">
    <w:name w:val="29"/>
    <w:basedOn w:val="25"/>
    <w:qFormat/>
    <w:uiPriority w:val="0"/>
    <w:rPr>
      <w:rFonts w:hint="eastAsia" w:ascii="MingLiU" w:hAnsi="MingLiU" w:eastAsia="MingLiU"/>
      <w:color w:val="000000"/>
      <w:spacing w:val="0"/>
      <w:sz w:val="17"/>
      <w:szCs w:val="17"/>
    </w:rPr>
  </w:style>
  <w:style w:type="character" w:customStyle="1" w:styleId="80">
    <w:name w:val="31"/>
    <w:basedOn w:val="25"/>
    <w:qFormat/>
    <w:uiPriority w:val="0"/>
    <w:rPr>
      <w:rFonts w:hint="eastAsia" w:ascii="MingLiU" w:hAnsi="MingLiU" w:eastAsia="MingLiU"/>
      <w:color w:val="000000"/>
      <w:spacing w:val="0"/>
      <w:sz w:val="22"/>
      <w:szCs w:val="22"/>
    </w:rPr>
  </w:style>
  <w:style w:type="character" w:customStyle="1" w:styleId="81">
    <w:name w:val="32"/>
    <w:basedOn w:val="25"/>
    <w:qFormat/>
    <w:uiPriority w:val="0"/>
    <w:rPr>
      <w:rFonts w:hint="eastAsia" w:ascii="MingLiU" w:hAnsi="MingLiU" w:eastAsia="MingLiU"/>
      <w:color w:val="000000"/>
      <w:spacing w:val="10"/>
      <w:sz w:val="19"/>
      <w:szCs w:val="19"/>
    </w:rPr>
  </w:style>
  <w:style w:type="character" w:customStyle="1" w:styleId="82">
    <w:name w:val="33"/>
    <w:basedOn w:val="25"/>
    <w:qFormat/>
    <w:uiPriority w:val="0"/>
    <w:rPr>
      <w:rFonts w:hint="eastAsia" w:ascii="MingLiU" w:hAnsi="MingLiU" w:eastAsia="MingLiU"/>
      <w:color w:val="000000"/>
      <w:spacing w:val="0"/>
      <w:sz w:val="19"/>
      <w:szCs w:val="19"/>
    </w:rPr>
  </w:style>
  <w:style w:type="character" w:customStyle="1" w:styleId="83">
    <w:name w:val="34"/>
    <w:basedOn w:val="25"/>
    <w:qFormat/>
    <w:uiPriority w:val="0"/>
    <w:rPr>
      <w:rFonts w:hint="default" w:ascii="Candara" w:hAnsi="Candara"/>
      <w:color w:val="000000"/>
      <w:spacing w:val="20"/>
      <w:sz w:val="11"/>
      <w:szCs w:val="11"/>
    </w:rPr>
  </w:style>
  <w:style w:type="character" w:customStyle="1" w:styleId="84">
    <w:name w:val="36"/>
    <w:basedOn w:val="25"/>
    <w:qFormat/>
    <w:uiPriority w:val="0"/>
    <w:rPr>
      <w:rFonts w:hint="eastAsia" w:ascii="MingLiU" w:hAnsi="MingLiU" w:eastAsia="MingLiU"/>
      <w:sz w:val="19"/>
      <w:szCs w:val="19"/>
    </w:rPr>
  </w:style>
  <w:style w:type="character" w:customStyle="1" w:styleId="85">
    <w:name w:val="35"/>
    <w:basedOn w:val="25"/>
    <w:qFormat/>
    <w:uiPriority w:val="0"/>
    <w:rPr>
      <w:rFonts w:hint="eastAsia" w:ascii="MingLiU" w:hAnsi="MingLiU" w:eastAsia="MingLiU"/>
      <w:color w:val="000000"/>
      <w:spacing w:val="10"/>
      <w:sz w:val="19"/>
      <w:szCs w:val="19"/>
    </w:rPr>
  </w:style>
  <w:style w:type="character" w:customStyle="1" w:styleId="86">
    <w:name w:val="37"/>
    <w:basedOn w:val="25"/>
    <w:qFormat/>
    <w:uiPriority w:val="0"/>
    <w:rPr>
      <w:rFonts w:hint="eastAsia" w:ascii="MingLiU" w:hAnsi="MingLiU" w:eastAsia="MingLiU"/>
      <w:color w:val="000000"/>
      <w:spacing w:val="10"/>
      <w:sz w:val="19"/>
      <w:szCs w:val="19"/>
    </w:rPr>
  </w:style>
  <w:style w:type="character" w:customStyle="1" w:styleId="87">
    <w:name w:val="38"/>
    <w:basedOn w:val="25"/>
    <w:qFormat/>
    <w:uiPriority w:val="0"/>
    <w:rPr>
      <w:rFonts w:hint="eastAsia" w:ascii="Batang" w:hAnsi="Batang" w:eastAsia="Batang"/>
      <w:color w:val="000000"/>
      <w:spacing w:val="0"/>
      <w:sz w:val="19"/>
      <w:szCs w:val="19"/>
    </w:rPr>
  </w:style>
  <w:style w:type="character" w:customStyle="1" w:styleId="88">
    <w:name w:val="40"/>
    <w:basedOn w:val="25"/>
    <w:qFormat/>
    <w:uiPriority w:val="0"/>
    <w:rPr>
      <w:rFonts w:hint="eastAsia" w:ascii="MingLiU" w:hAnsi="MingLiU" w:eastAsia="MingLiU"/>
      <w:sz w:val="19"/>
      <w:szCs w:val="19"/>
    </w:rPr>
  </w:style>
  <w:style w:type="character" w:customStyle="1" w:styleId="89">
    <w:name w:val="39"/>
    <w:basedOn w:val="25"/>
    <w:qFormat/>
    <w:uiPriority w:val="0"/>
    <w:rPr>
      <w:rFonts w:hint="eastAsia" w:ascii="MingLiU" w:hAnsi="MingLiU" w:eastAsia="MingLiU"/>
      <w:color w:val="000000"/>
      <w:spacing w:val="10"/>
      <w:sz w:val="19"/>
      <w:szCs w:val="19"/>
    </w:rPr>
  </w:style>
  <w:style w:type="character" w:customStyle="1" w:styleId="90">
    <w:name w:val="41"/>
    <w:basedOn w:val="25"/>
    <w:qFormat/>
    <w:uiPriority w:val="0"/>
    <w:rPr>
      <w:rFonts w:hint="eastAsia" w:ascii="Batang" w:hAnsi="Batang" w:eastAsia="Batang"/>
      <w:color w:val="000000"/>
      <w:spacing w:val="0"/>
      <w:sz w:val="19"/>
      <w:szCs w:val="19"/>
    </w:rPr>
  </w:style>
  <w:style w:type="character" w:customStyle="1" w:styleId="91">
    <w:name w:val="42"/>
    <w:basedOn w:val="25"/>
    <w:qFormat/>
    <w:uiPriority w:val="0"/>
    <w:rPr>
      <w:rFonts w:hint="eastAsia" w:ascii="MingLiU" w:hAnsi="MingLiU" w:eastAsia="MingLiU"/>
      <w:color w:val="000000"/>
      <w:spacing w:val="0"/>
      <w:sz w:val="19"/>
      <w:szCs w:val="19"/>
    </w:rPr>
  </w:style>
  <w:style w:type="character" w:customStyle="1" w:styleId="92">
    <w:name w:val="43"/>
    <w:basedOn w:val="25"/>
    <w:qFormat/>
    <w:uiPriority w:val="0"/>
    <w:rPr>
      <w:rFonts w:hint="eastAsia" w:ascii="MingLiU" w:hAnsi="MingLiU" w:eastAsia="MingLiU"/>
      <w:color w:val="000000"/>
      <w:spacing w:val="0"/>
      <w:sz w:val="19"/>
      <w:szCs w:val="19"/>
    </w:rPr>
  </w:style>
  <w:style w:type="character" w:customStyle="1" w:styleId="93">
    <w:name w:val="44"/>
    <w:basedOn w:val="25"/>
    <w:qFormat/>
    <w:uiPriority w:val="0"/>
    <w:rPr>
      <w:rFonts w:hint="eastAsia" w:ascii="MingLiU" w:hAnsi="MingLiU" w:eastAsia="MingLiU"/>
      <w:color w:val="000000"/>
      <w:spacing w:val="10"/>
      <w:sz w:val="19"/>
      <w:szCs w:val="19"/>
    </w:rPr>
  </w:style>
  <w:style w:type="character" w:customStyle="1" w:styleId="94">
    <w:name w:val="45"/>
    <w:basedOn w:val="25"/>
    <w:qFormat/>
    <w:uiPriority w:val="0"/>
    <w:rPr>
      <w:rFonts w:hint="eastAsia" w:ascii="MingLiU" w:hAnsi="MingLiU" w:eastAsia="MingLiU"/>
      <w:color w:val="000000"/>
      <w:spacing w:val="10"/>
      <w:sz w:val="19"/>
      <w:szCs w:val="19"/>
    </w:rPr>
  </w:style>
  <w:style w:type="character" w:customStyle="1" w:styleId="95">
    <w:name w:val="46"/>
    <w:basedOn w:val="25"/>
    <w:qFormat/>
    <w:uiPriority w:val="0"/>
    <w:rPr>
      <w:rFonts w:hint="eastAsia" w:ascii="MingLiU" w:hAnsi="MingLiU" w:eastAsia="MingLiU"/>
      <w:color w:val="000000"/>
      <w:spacing w:val="0"/>
      <w:sz w:val="19"/>
      <w:szCs w:val="19"/>
    </w:rPr>
  </w:style>
  <w:style w:type="character" w:customStyle="1" w:styleId="96">
    <w:name w:val="48"/>
    <w:basedOn w:val="25"/>
    <w:qFormat/>
    <w:uiPriority w:val="0"/>
    <w:rPr>
      <w:rFonts w:hint="eastAsia" w:ascii="MingLiU" w:hAnsi="MingLiU" w:eastAsia="MingLiU"/>
      <w:spacing w:val="20"/>
      <w:sz w:val="28"/>
      <w:szCs w:val="28"/>
    </w:rPr>
  </w:style>
  <w:style w:type="character" w:customStyle="1" w:styleId="97">
    <w:name w:val="47"/>
    <w:basedOn w:val="25"/>
    <w:qFormat/>
    <w:uiPriority w:val="0"/>
    <w:rPr>
      <w:rFonts w:hint="eastAsia" w:ascii="MingLiU" w:hAnsi="MingLiU" w:eastAsia="MingLiU"/>
      <w:color w:val="000000"/>
      <w:spacing w:val="10"/>
      <w:sz w:val="28"/>
      <w:szCs w:val="28"/>
    </w:rPr>
  </w:style>
  <w:style w:type="character" w:customStyle="1" w:styleId="98">
    <w:name w:val="49"/>
    <w:basedOn w:val="25"/>
    <w:qFormat/>
    <w:uiPriority w:val="0"/>
    <w:rPr>
      <w:rFonts w:hint="eastAsia" w:ascii="Batang" w:hAnsi="Batang" w:eastAsia="Batang"/>
      <w:color w:val="000000"/>
      <w:spacing w:val="0"/>
      <w:sz w:val="22"/>
      <w:szCs w:val="22"/>
    </w:rPr>
  </w:style>
  <w:style w:type="character" w:customStyle="1" w:styleId="99">
    <w:name w:val="50"/>
    <w:basedOn w:val="25"/>
    <w:qFormat/>
    <w:uiPriority w:val="0"/>
    <w:rPr>
      <w:rFonts w:hint="eastAsia" w:ascii="MingLiU" w:hAnsi="MingLiU" w:eastAsia="MingLiU"/>
      <w:color w:val="000000"/>
      <w:spacing w:val="70"/>
      <w:sz w:val="22"/>
      <w:szCs w:val="22"/>
    </w:rPr>
  </w:style>
  <w:style w:type="character" w:customStyle="1" w:styleId="100">
    <w:name w:val="51"/>
    <w:basedOn w:val="25"/>
    <w:qFormat/>
    <w:uiPriority w:val="0"/>
    <w:rPr>
      <w:rFonts w:hint="eastAsia" w:ascii="MingLiU" w:hAnsi="MingLiU" w:eastAsia="MingLiU"/>
      <w:color w:val="000000"/>
      <w:spacing w:val="0"/>
      <w:sz w:val="22"/>
      <w:szCs w:val="22"/>
    </w:rPr>
  </w:style>
  <w:style w:type="character" w:customStyle="1" w:styleId="101">
    <w:name w:val="52"/>
    <w:basedOn w:val="25"/>
    <w:qFormat/>
    <w:uiPriority w:val="0"/>
    <w:rPr>
      <w:rFonts w:hint="eastAsia" w:ascii="MingLiU" w:hAnsi="MingLiU" w:eastAsia="MingLiU"/>
      <w:color w:val="000000"/>
      <w:spacing w:val="0"/>
      <w:sz w:val="22"/>
      <w:szCs w:val="22"/>
    </w:rPr>
  </w:style>
  <w:style w:type="character" w:customStyle="1" w:styleId="102">
    <w:name w:val="53"/>
    <w:basedOn w:val="25"/>
    <w:qFormat/>
    <w:uiPriority w:val="0"/>
    <w:rPr>
      <w:rFonts w:hint="eastAsia" w:ascii="MingLiU" w:hAnsi="MingLiU" w:eastAsia="MingLiU"/>
      <w:color w:val="000000"/>
      <w:spacing w:val="-20"/>
      <w:sz w:val="19"/>
      <w:szCs w:val="19"/>
    </w:rPr>
  </w:style>
  <w:style w:type="character" w:customStyle="1" w:styleId="103">
    <w:name w:val="54"/>
    <w:basedOn w:val="25"/>
    <w:qFormat/>
    <w:uiPriority w:val="0"/>
    <w:rPr>
      <w:rFonts w:hint="eastAsia" w:ascii="MingLiU" w:hAnsi="MingLiU" w:eastAsia="MingLiU"/>
      <w:color w:val="000000"/>
      <w:spacing w:val="-20"/>
      <w:sz w:val="19"/>
      <w:szCs w:val="19"/>
    </w:rPr>
  </w:style>
  <w:style w:type="character" w:customStyle="1" w:styleId="104">
    <w:name w:val="55"/>
    <w:basedOn w:val="25"/>
    <w:qFormat/>
    <w:uiPriority w:val="0"/>
    <w:rPr>
      <w:rFonts w:hint="default" w:ascii="Times New Roman" w:hAnsi="Times New Roman" w:cs="Times New Roman"/>
    </w:rPr>
  </w:style>
  <w:style w:type="table" w:customStyle="1" w:styleId="105">
    <w:name w:val="Table Normal"/>
    <w:unhideWhenUsed/>
    <w:qFormat/>
    <w:uiPriority w:val="0"/>
    <w:tblPr>
      <w:tblCellMar>
        <w:top w:w="0" w:type="dxa"/>
        <w:left w:w="0" w:type="dxa"/>
        <w:bottom w:w="0" w:type="dxa"/>
        <w:right w:w="0" w:type="dxa"/>
      </w:tblCellMar>
    </w:tblPr>
  </w:style>
  <w:style w:type="paragraph" w:customStyle="1" w:styleId="106">
    <w:name w:val="Table Paragraph"/>
    <w:basedOn w:val="1"/>
    <w:qFormat/>
    <w:uiPriority w:val="1"/>
  </w:style>
  <w:style w:type="paragraph" w:customStyle="1" w:styleId="107">
    <w:name w:val="Char1 Char Char Char1"/>
    <w:basedOn w:val="1"/>
    <w:qFormat/>
    <w:uiPriority w:val="0"/>
  </w:style>
  <w:style w:type="paragraph" w:customStyle="1" w:styleId="108">
    <w:name w:val=" Char1 Char Char Char"/>
    <w:basedOn w:val="1"/>
    <w:qFormat/>
    <w:uiPriority w:val="0"/>
    <w:rPr>
      <w:rFonts w:ascii="Times New Roman" w:hAnsi="Times New Roman" w:eastAsia="宋体" w:cs="Times New Roman"/>
    </w:rPr>
  </w:style>
  <w:style w:type="paragraph" w:customStyle="1" w:styleId="109">
    <w:name w:val="正文1"/>
    <w:basedOn w:val="1"/>
    <w:qFormat/>
    <w:uiPriority w:val="0"/>
    <w:pPr>
      <w:spacing w:line="360" w:lineRule="auto"/>
    </w:pPr>
    <w:rPr>
      <w:rFonts w:ascii="宋体" w:hAnsi="华文宋体"/>
      <w:kern w:val="20"/>
      <w:sz w:val="24"/>
      <w:szCs w:val="20"/>
    </w:rPr>
  </w:style>
  <w:style w:type="paragraph" w:styleId="110">
    <w:name w:val="List Paragraph"/>
    <w:basedOn w:val="1"/>
    <w:qFormat/>
    <w:uiPriority w:val="1"/>
    <w:pPr>
      <w:ind w:left="424" w:firstLine="48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127</Pages>
  <Words>47432</Words>
  <Characters>50836</Characters>
  <Lines>516</Lines>
  <Paragraphs>145</Paragraphs>
  <TotalTime>107</TotalTime>
  <ScaleCrop>false</ScaleCrop>
  <LinksUpToDate>false</LinksUpToDate>
  <CharactersWithSpaces>51945</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2025-08-05T20:34:00Z</dcterms:created>
  <dc:creator>Administrator</dc:creator>
  <cp:lastModifiedBy>登峰</cp:lastModifiedBy>
  <cp:lastPrinted>2026-10-18T07:43:00Z</cp:lastPrinted>
  <dcterms:modified xsi:type="dcterms:W3CDTF">2026-10-28T03:52:36Z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5E76AE6892454A8384587E6B57AD18E5_13</vt:lpwstr>
  </property>
  <property fmtid="{D5CDD505-2E9C-101B-9397-08002B2CF9AE}" pid="4" name="KSOTemplateDocerSaveRecord">
    <vt:lpwstr>eyJoZGlkIjoiZTgxMjczZWVhZjI4ZTIzOGI2NzI2MzMzNDMxZGRlMzIiLCJ1c2VySWQiOiIxODgzMDMwMTUwIn0=</vt:lpwstr>
  </property>
</Properties>
</file>