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3D6EB7">
      <w:pPr>
        <w:pageBreakBefore/>
        <w:widowControl/>
        <w:numPr>
          <w:ilvl w:val="0"/>
          <w:numId w:val="0"/>
        </w:numPr>
        <w:shd w:val="clear" w:color="auto" w:fill="FFFFFF"/>
        <w:spacing w:line="360" w:lineRule="auto"/>
        <w:jc w:val="left"/>
        <w:outlineLvl w:val="0"/>
        <w:rPr>
          <w:rFonts w:hint="eastAsia" w:ascii="黑体" w:hAnsi="宋体" w:eastAsia="黑体" w:cs="宋体"/>
          <w:b/>
          <w:bCs/>
          <w:color w:val="auto"/>
          <w:kern w:val="0"/>
          <w:sz w:val="32"/>
          <w:szCs w:val="32"/>
        </w:rPr>
      </w:pPr>
      <w:bookmarkStart w:id="34" w:name="_GoBack"/>
      <w:bookmarkEnd w:id="34"/>
      <w:r>
        <w:rPr>
          <w:rFonts w:hint="eastAsia" w:ascii="黑体" w:hAnsi="宋体" w:eastAsia="黑体" w:cs="宋体"/>
          <w:b/>
          <w:bCs/>
          <w:color w:val="auto"/>
          <w:kern w:val="0"/>
          <w:sz w:val="32"/>
          <w:szCs w:val="32"/>
          <w:lang w:eastAsia="zh-CN"/>
        </w:rPr>
        <w:t>上蔡县人民医院医疗废物处置项目</w:t>
      </w:r>
      <w:r>
        <w:rPr>
          <w:rFonts w:hint="eastAsia" w:ascii="黑体" w:hAnsi="宋体" w:eastAsia="黑体" w:cs="宋体"/>
          <w:b/>
          <w:bCs/>
          <w:color w:val="auto"/>
          <w:kern w:val="0"/>
          <w:sz w:val="32"/>
          <w:szCs w:val="32"/>
        </w:rPr>
        <w:t>竞争性磋商公告</w:t>
      </w:r>
    </w:p>
    <w:p w14:paraId="7BD71669">
      <w:pPr>
        <w:rPr>
          <w:color w:val="auto"/>
        </w:rPr>
      </w:pPr>
    </w:p>
    <w:p w14:paraId="21F6B585">
      <w:pPr>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项目概况</w:t>
      </w:r>
    </w:p>
    <w:p w14:paraId="73F1C80E">
      <w:pPr>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上蔡县人民医院医疗废物处置项目</w:t>
      </w:r>
      <w:r>
        <w:rPr>
          <w:rFonts w:hint="eastAsia" w:ascii="宋体" w:hAnsi="宋体" w:eastAsia="宋体" w:cs="宋体"/>
          <w:color w:val="auto"/>
          <w:sz w:val="24"/>
          <w:szCs w:val="24"/>
          <w:highlight w:val="none"/>
        </w:rPr>
        <w:t>的潜在供应商应在</w:t>
      </w:r>
      <w:r>
        <w:rPr>
          <w:rFonts w:hint="eastAsia" w:ascii="宋体" w:hAnsi="宋体" w:eastAsia="宋体" w:cs="宋体"/>
          <w:color w:val="auto"/>
          <w:sz w:val="24"/>
          <w:szCs w:val="24"/>
          <w:highlight w:val="none"/>
          <w:lang w:val="en-US" w:eastAsia="zh-CN"/>
        </w:rPr>
        <w:t>驻马店市公共资源交易中心网站</w:t>
      </w:r>
      <w:r>
        <w:rPr>
          <w:rFonts w:hint="eastAsia" w:ascii="宋体" w:hAnsi="宋体" w:eastAsia="宋体" w:cs="宋体"/>
          <w:color w:val="auto"/>
          <w:sz w:val="24"/>
          <w:szCs w:val="24"/>
          <w:highlight w:val="none"/>
          <w:u w:val="single"/>
        </w:rPr>
        <w:t>https://ggzy.zhumadian.gov.cn/TPFront/）</w:t>
      </w:r>
      <w:r>
        <w:rPr>
          <w:rFonts w:hint="eastAsia" w:ascii="宋体" w:hAnsi="宋体" w:eastAsia="宋体" w:cs="宋体"/>
          <w:color w:val="auto"/>
          <w:sz w:val="24"/>
          <w:szCs w:val="24"/>
          <w:highlight w:val="none"/>
        </w:rPr>
        <w:t>获取采购文件，并于</w:t>
      </w:r>
      <w:r>
        <w:rPr>
          <w:rFonts w:hint="eastAsia" w:ascii="宋体" w:hAnsi="宋体" w:eastAsia="宋体" w:cs="宋体"/>
          <w:color w:val="auto"/>
          <w:sz w:val="24"/>
          <w:szCs w:val="24"/>
          <w:highlight w:val="none"/>
          <w:u w:val="single"/>
          <w:lang w:val="en-US" w:eastAsia="zh-CN"/>
        </w:rPr>
        <w:t>2026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10</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u w:val="single"/>
          <w:lang w:val="en-US" w:eastAsia="zh-CN"/>
        </w:rPr>
        <w:t xml:space="preserve">9 </w:t>
      </w:r>
      <w:r>
        <w:rPr>
          <w:rFonts w:hint="eastAsia" w:ascii="宋体" w:hAnsi="宋体" w:eastAsia="宋体" w:cs="宋体"/>
          <w:bCs/>
          <w:color w:val="auto"/>
          <w:sz w:val="24"/>
          <w:szCs w:val="24"/>
          <w:highlight w:val="none"/>
          <w:u w:val="single"/>
        </w:rPr>
        <w:t>点</w:t>
      </w:r>
      <w:r>
        <w:rPr>
          <w:rFonts w:hint="eastAsia" w:ascii="宋体" w:hAnsi="宋体" w:eastAsia="宋体" w:cs="宋体"/>
          <w:bCs/>
          <w:color w:val="auto"/>
          <w:sz w:val="24"/>
          <w:szCs w:val="24"/>
          <w:highlight w:val="none"/>
          <w:u w:val="single"/>
          <w:lang w:val="en-US" w:eastAsia="zh-CN"/>
        </w:rPr>
        <w:t>00</w:t>
      </w:r>
      <w:r>
        <w:rPr>
          <w:rFonts w:hint="eastAsia" w:ascii="宋体" w:hAnsi="宋体" w:eastAsia="宋体" w:cs="宋体"/>
          <w:bCs/>
          <w:color w:val="auto"/>
          <w:sz w:val="24"/>
          <w:szCs w:val="24"/>
          <w:highlight w:val="none"/>
          <w:u w:val="single"/>
        </w:rPr>
        <w:t>分</w:t>
      </w:r>
      <w:r>
        <w:rPr>
          <w:rFonts w:hint="eastAsia" w:ascii="宋体" w:hAnsi="宋体" w:eastAsia="宋体" w:cs="宋体"/>
          <w:bCs/>
          <w:color w:val="auto"/>
          <w:sz w:val="24"/>
          <w:szCs w:val="24"/>
          <w:highlight w:val="none"/>
        </w:rPr>
        <w:t>（北京时间）前提交响应文件</w:t>
      </w:r>
      <w:r>
        <w:rPr>
          <w:rFonts w:hint="eastAsia" w:ascii="宋体" w:hAnsi="宋体" w:eastAsia="宋体" w:cs="宋体"/>
          <w:color w:val="auto"/>
          <w:sz w:val="24"/>
          <w:szCs w:val="24"/>
          <w:highlight w:val="none"/>
        </w:rPr>
        <w:t>。</w:t>
      </w:r>
    </w:p>
    <w:p w14:paraId="779D5BEA">
      <w:pPr>
        <w:bidi w:val="0"/>
        <w:spacing w:line="360" w:lineRule="auto"/>
        <w:rPr>
          <w:rFonts w:hint="eastAsia" w:ascii="宋体" w:hAnsi="宋体" w:eastAsia="宋体" w:cs="宋体"/>
          <w:b/>
          <w:bCs/>
          <w:color w:val="auto"/>
          <w:sz w:val="24"/>
          <w:szCs w:val="24"/>
          <w:highlight w:val="none"/>
        </w:rPr>
      </w:pPr>
      <w:bookmarkStart w:id="0" w:name="_Toc35393798"/>
      <w:bookmarkStart w:id="1" w:name="_Toc28359089"/>
      <w:bookmarkStart w:id="2" w:name="_Toc28359012"/>
      <w:bookmarkStart w:id="3" w:name="_Toc35393629"/>
      <w:r>
        <w:rPr>
          <w:rFonts w:hint="eastAsia" w:ascii="宋体" w:hAnsi="宋体" w:eastAsia="宋体" w:cs="宋体"/>
          <w:b/>
          <w:bCs/>
          <w:color w:val="auto"/>
          <w:sz w:val="24"/>
          <w:szCs w:val="24"/>
        </w:rPr>
        <w:t>一、</w:t>
      </w:r>
      <w:r>
        <w:rPr>
          <w:rFonts w:hint="eastAsia" w:ascii="宋体" w:hAnsi="宋体" w:eastAsia="宋体" w:cs="宋体"/>
          <w:b/>
          <w:bCs/>
          <w:color w:val="auto"/>
          <w:sz w:val="24"/>
          <w:szCs w:val="24"/>
          <w:highlight w:val="none"/>
        </w:rPr>
        <w:t>项目基本情况</w:t>
      </w:r>
      <w:bookmarkEnd w:id="0"/>
      <w:bookmarkEnd w:id="1"/>
      <w:bookmarkEnd w:id="2"/>
      <w:bookmarkEnd w:id="3"/>
    </w:p>
    <w:p w14:paraId="2D4CEAF6">
      <w:pPr>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项目编号：</w:t>
      </w:r>
      <w:r>
        <w:rPr>
          <w:rFonts w:hint="eastAsia" w:ascii="宋体" w:hAnsi="宋体" w:eastAsia="宋体" w:cs="宋体"/>
          <w:color w:val="auto"/>
          <w:spacing w:val="-1"/>
          <w:sz w:val="24"/>
          <w:szCs w:val="24"/>
          <w:lang w:eastAsia="zh-CN"/>
        </w:rPr>
        <w:t>上政采购-202</w:t>
      </w:r>
      <w:r>
        <w:rPr>
          <w:rFonts w:hint="eastAsia" w:ascii="宋体" w:hAnsi="宋体" w:eastAsia="宋体" w:cs="宋体"/>
          <w:color w:val="auto"/>
          <w:spacing w:val="-1"/>
          <w:sz w:val="24"/>
          <w:szCs w:val="24"/>
          <w:lang w:val="en-US" w:eastAsia="zh-CN"/>
        </w:rPr>
        <w:t>6</w:t>
      </w:r>
      <w:r>
        <w:rPr>
          <w:rFonts w:hint="eastAsia" w:ascii="宋体" w:hAnsi="宋体" w:eastAsia="宋体" w:cs="宋体"/>
          <w:color w:val="auto"/>
          <w:spacing w:val="-1"/>
          <w:sz w:val="24"/>
          <w:szCs w:val="24"/>
          <w:lang w:eastAsia="zh-CN"/>
        </w:rPr>
        <w:t>-</w:t>
      </w:r>
      <w:r>
        <w:rPr>
          <w:rFonts w:hint="eastAsia" w:ascii="宋体" w:hAnsi="宋体" w:eastAsia="宋体" w:cs="宋体"/>
          <w:color w:val="auto"/>
          <w:spacing w:val="-1"/>
          <w:sz w:val="24"/>
          <w:szCs w:val="24"/>
          <w:lang w:val="en-US" w:eastAsia="zh-CN"/>
        </w:rPr>
        <w:t>09</w:t>
      </w:r>
      <w:r>
        <w:rPr>
          <w:rFonts w:hint="eastAsia" w:ascii="宋体" w:hAnsi="宋体" w:eastAsia="宋体" w:cs="宋体"/>
          <w:color w:val="auto"/>
          <w:spacing w:val="-1"/>
          <w:sz w:val="24"/>
          <w:szCs w:val="24"/>
          <w:lang w:eastAsia="zh-CN"/>
        </w:rPr>
        <w:t>-</w:t>
      </w:r>
      <w:r>
        <w:rPr>
          <w:rFonts w:hint="eastAsia" w:ascii="宋体" w:hAnsi="宋体" w:eastAsia="宋体" w:cs="宋体"/>
          <w:color w:val="auto"/>
          <w:spacing w:val="-1"/>
          <w:sz w:val="24"/>
          <w:szCs w:val="24"/>
          <w:lang w:val="en-US" w:eastAsia="zh-CN"/>
        </w:rPr>
        <w:t>2</w:t>
      </w:r>
    </w:p>
    <w:p w14:paraId="0A3D35B5">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项目名称：</w:t>
      </w:r>
      <w:r>
        <w:rPr>
          <w:rFonts w:hint="eastAsia" w:ascii="宋体" w:hAnsi="宋体" w:eastAsia="宋体" w:cs="宋体"/>
          <w:color w:val="auto"/>
          <w:spacing w:val="-1"/>
          <w:sz w:val="24"/>
          <w:szCs w:val="24"/>
          <w:lang w:eastAsia="zh-CN"/>
        </w:rPr>
        <w:t>上蔡县人民医院医疗废物处置项目</w:t>
      </w:r>
    </w:p>
    <w:p w14:paraId="649E7DBD">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采购方式：竞争性</w:t>
      </w:r>
      <w:r>
        <w:rPr>
          <w:rFonts w:hint="eastAsia" w:ascii="宋体" w:hAnsi="宋体" w:eastAsia="宋体" w:cs="宋体"/>
          <w:color w:val="auto"/>
          <w:sz w:val="24"/>
          <w:szCs w:val="24"/>
          <w:highlight w:val="none"/>
          <w:lang w:eastAsia="zh-CN"/>
        </w:rPr>
        <w:t>磋商；</w:t>
      </w:r>
    </w:p>
    <w:p w14:paraId="796C33AF">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预算金额：</w:t>
      </w:r>
      <w:r>
        <w:rPr>
          <w:rFonts w:hint="eastAsia" w:ascii="宋体" w:hAnsi="宋体" w:eastAsia="宋体" w:cs="宋体"/>
          <w:color w:val="auto"/>
          <w:sz w:val="24"/>
          <w:szCs w:val="24"/>
          <w:highlight w:val="none"/>
          <w:lang w:val="en-US" w:eastAsia="zh-CN"/>
        </w:rPr>
        <w:t>950000.00</w:t>
      </w:r>
      <w:r>
        <w:rPr>
          <w:rFonts w:hint="eastAsia" w:ascii="宋体" w:hAnsi="宋体" w:eastAsia="宋体" w:cs="宋体"/>
          <w:color w:val="auto"/>
          <w:sz w:val="24"/>
          <w:szCs w:val="24"/>
          <w:highlight w:val="none"/>
          <w:lang w:eastAsia="zh-CN"/>
        </w:rPr>
        <w:t>元</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最高限价：</w:t>
      </w:r>
      <w:r>
        <w:rPr>
          <w:rFonts w:hint="eastAsia" w:ascii="宋体" w:hAnsi="宋体" w:eastAsia="宋体" w:cs="宋体"/>
          <w:color w:val="auto"/>
          <w:sz w:val="24"/>
          <w:szCs w:val="24"/>
          <w:highlight w:val="none"/>
          <w:lang w:val="en-US" w:eastAsia="zh-CN"/>
        </w:rPr>
        <w:t>950000.00</w:t>
      </w:r>
      <w:r>
        <w:rPr>
          <w:rFonts w:hint="eastAsia" w:ascii="宋体" w:hAnsi="宋体" w:eastAsia="宋体" w:cs="宋体"/>
          <w:color w:val="auto"/>
          <w:sz w:val="24"/>
          <w:szCs w:val="24"/>
          <w:highlight w:val="none"/>
          <w:lang w:eastAsia="zh-CN"/>
        </w:rPr>
        <w:t>元</w:t>
      </w:r>
    </w:p>
    <w:tbl>
      <w:tblPr>
        <w:tblStyle w:val="3"/>
        <w:tblW w:w="4930"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412"/>
        <w:gridCol w:w="1235"/>
        <w:gridCol w:w="1441"/>
        <w:gridCol w:w="1172"/>
        <w:gridCol w:w="1047"/>
        <w:gridCol w:w="1110"/>
        <w:gridCol w:w="1788"/>
      </w:tblGrid>
      <w:tr w14:paraId="2E4B50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250" w:type="pct"/>
            <w:noWrap w:val="0"/>
            <w:vAlign w:val="center"/>
          </w:tcPr>
          <w:p w14:paraId="1351C003">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序号</w:t>
            </w:r>
          </w:p>
        </w:tc>
        <w:tc>
          <w:tcPr>
            <w:tcW w:w="752" w:type="pct"/>
            <w:noWrap w:val="0"/>
            <w:vAlign w:val="center"/>
          </w:tcPr>
          <w:p w14:paraId="102625B5">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包号</w:t>
            </w:r>
          </w:p>
        </w:tc>
        <w:tc>
          <w:tcPr>
            <w:tcW w:w="878" w:type="pct"/>
            <w:noWrap w:val="0"/>
            <w:vAlign w:val="center"/>
          </w:tcPr>
          <w:p w14:paraId="6E1B4A98">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包名称</w:t>
            </w:r>
          </w:p>
        </w:tc>
        <w:tc>
          <w:tcPr>
            <w:tcW w:w="713" w:type="pct"/>
            <w:noWrap w:val="0"/>
            <w:vAlign w:val="center"/>
          </w:tcPr>
          <w:p w14:paraId="47EF0D94">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包预算（元）</w:t>
            </w:r>
          </w:p>
        </w:tc>
        <w:tc>
          <w:tcPr>
            <w:tcW w:w="638" w:type="pct"/>
            <w:noWrap w:val="0"/>
            <w:vAlign w:val="center"/>
          </w:tcPr>
          <w:p w14:paraId="578E8E0D">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包最高限价（元）</w:t>
            </w:r>
          </w:p>
        </w:tc>
        <w:tc>
          <w:tcPr>
            <w:tcW w:w="676" w:type="pct"/>
            <w:noWrap w:val="0"/>
            <w:vAlign w:val="center"/>
          </w:tcPr>
          <w:p w14:paraId="7853FB26">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是否专门面向中小企业</w:t>
            </w:r>
          </w:p>
        </w:tc>
        <w:tc>
          <w:tcPr>
            <w:tcW w:w="1089" w:type="pct"/>
            <w:noWrap w:val="0"/>
            <w:vAlign w:val="center"/>
          </w:tcPr>
          <w:p w14:paraId="2DC48DBA">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采购预留金额（元）</w:t>
            </w:r>
          </w:p>
        </w:tc>
      </w:tr>
      <w:tr w14:paraId="66EE77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94" w:hRule="atLeast"/>
          <w:jc w:val="center"/>
        </w:trPr>
        <w:tc>
          <w:tcPr>
            <w:tcW w:w="250" w:type="pct"/>
            <w:noWrap w:val="0"/>
            <w:vAlign w:val="center"/>
          </w:tcPr>
          <w:p w14:paraId="096F971B">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w:t>
            </w:r>
          </w:p>
        </w:tc>
        <w:tc>
          <w:tcPr>
            <w:tcW w:w="752" w:type="pct"/>
            <w:noWrap w:val="0"/>
            <w:vAlign w:val="center"/>
          </w:tcPr>
          <w:p w14:paraId="3CAF54E3">
            <w:pPr>
              <w:keepNext w:val="0"/>
              <w:keepLines w:val="0"/>
              <w:widowControl/>
              <w:suppressLineNumbers w:val="0"/>
              <w:spacing w:before="0" w:beforeAutospacing="0" w:after="0" w:afterAutospacing="0" w:line="15" w:lineRule="atLeast"/>
              <w:ind w:left="0" w:right="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上政采磋【2026】21号A</w:t>
            </w:r>
          </w:p>
        </w:tc>
        <w:tc>
          <w:tcPr>
            <w:tcW w:w="878" w:type="pct"/>
            <w:noWrap w:val="0"/>
            <w:vAlign w:val="center"/>
          </w:tcPr>
          <w:p w14:paraId="3A315C08">
            <w:pPr>
              <w:keepNext w:val="0"/>
              <w:keepLines w:val="0"/>
              <w:widowControl/>
              <w:suppressLineNumbers w:val="0"/>
              <w:spacing w:before="0" w:beforeAutospacing="0" w:after="0" w:afterAutospacing="0" w:line="15" w:lineRule="atLeast"/>
              <w:ind w:left="0" w:right="0"/>
              <w:jc w:val="center"/>
              <w:rPr>
                <w:rFonts w:hint="default" w:ascii="宋体" w:hAnsi="宋体" w:eastAsia="宋体" w:cs="宋体"/>
                <w:color w:val="auto"/>
                <w:sz w:val="24"/>
                <w:szCs w:val="24"/>
                <w:highlight w:val="none"/>
                <w:lang w:val="en-US" w:eastAsia="zh-CN"/>
              </w:rPr>
            </w:pPr>
            <w:r>
              <w:rPr>
                <w:rFonts w:hint="eastAsia" w:ascii="宋体" w:hAnsi="宋体"/>
                <w:color w:val="auto"/>
                <w:sz w:val="24"/>
                <w:lang w:eastAsia="zh-CN"/>
              </w:rPr>
              <w:t>上蔡县人民医院医疗废物处置项目</w:t>
            </w:r>
            <w:r>
              <w:rPr>
                <w:rFonts w:hint="eastAsia" w:ascii="宋体" w:hAnsi="宋体" w:eastAsia="宋体" w:cs="宋体"/>
                <w:color w:val="auto"/>
                <w:sz w:val="24"/>
                <w:szCs w:val="24"/>
                <w:highlight w:val="none"/>
                <w:lang w:val="en-US" w:eastAsia="zh-CN"/>
              </w:rPr>
              <w:t>A包</w:t>
            </w:r>
          </w:p>
        </w:tc>
        <w:tc>
          <w:tcPr>
            <w:tcW w:w="713" w:type="pct"/>
            <w:noWrap w:val="0"/>
            <w:vAlign w:val="center"/>
          </w:tcPr>
          <w:p w14:paraId="592FD496">
            <w:pPr>
              <w:keepNext w:val="0"/>
              <w:keepLines w:val="0"/>
              <w:widowControl/>
              <w:suppressLineNumbers w:val="0"/>
              <w:spacing w:before="0" w:beforeAutospacing="0" w:after="0" w:afterAutospacing="0" w:line="15" w:lineRule="atLeast"/>
              <w:ind w:left="0" w:right="0"/>
              <w:jc w:val="center"/>
              <w:rPr>
                <w:rFonts w:hint="default" w:ascii="宋体" w:hAnsi="宋体" w:eastAsia="宋体" w:cs="宋体"/>
                <w:color w:val="auto"/>
                <w:sz w:val="24"/>
                <w:szCs w:val="24"/>
                <w:highlight w:val="none"/>
                <w:lang w:val="en-US" w:eastAsia="zh-CN"/>
              </w:rPr>
            </w:pPr>
            <w:r>
              <w:rPr>
                <w:rFonts w:hint="eastAsia" w:ascii="宋体" w:hAnsi="宋体"/>
                <w:color w:val="auto"/>
                <w:sz w:val="24"/>
                <w:lang w:val="en-US" w:eastAsia="zh-CN"/>
              </w:rPr>
              <w:t>950000.00</w:t>
            </w:r>
          </w:p>
        </w:tc>
        <w:tc>
          <w:tcPr>
            <w:tcW w:w="638" w:type="pct"/>
            <w:noWrap w:val="0"/>
            <w:vAlign w:val="center"/>
          </w:tcPr>
          <w:p w14:paraId="4B303CE8">
            <w:pPr>
              <w:keepNext w:val="0"/>
              <w:keepLines w:val="0"/>
              <w:widowControl/>
              <w:suppressLineNumbers w:val="0"/>
              <w:spacing w:before="0" w:beforeAutospacing="0" w:after="0" w:afterAutospacing="0" w:line="15" w:lineRule="atLeast"/>
              <w:ind w:left="0" w:leftChars="0" w:right="0" w:rightChars="0"/>
              <w:jc w:val="center"/>
              <w:rPr>
                <w:rFonts w:hint="eastAsia" w:ascii="宋体" w:hAnsi="宋体" w:eastAsia="宋体" w:cs="宋体"/>
                <w:color w:val="auto"/>
                <w:sz w:val="24"/>
                <w:szCs w:val="24"/>
                <w:highlight w:val="none"/>
                <w:lang w:eastAsia="zh-CN"/>
              </w:rPr>
            </w:pPr>
            <w:r>
              <w:rPr>
                <w:rFonts w:hint="eastAsia" w:ascii="宋体" w:hAnsi="宋体"/>
                <w:color w:val="auto"/>
                <w:sz w:val="24"/>
                <w:lang w:val="en-US" w:eastAsia="zh-CN"/>
              </w:rPr>
              <w:t>950000.00</w:t>
            </w:r>
          </w:p>
        </w:tc>
        <w:tc>
          <w:tcPr>
            <w:tcW w:w="676" w:type="pct"/>
            <w:noWrap w:val="0"/>
            <w:vAlign w:val="center"/>
          </w:tcPr>
          <w:p w14:paraId="3EAC9D37">
            <w:pPr>
              <w:keepNext w:val="0"/>
              <w:keepLines w:val="0"/>
              <w:widowControl/>
              <w:suppressLineNumbers w:val="0"/>
              <w:spacing w:before="0" w:beforeAutospacing="0" w:after="0" w:afterAutospacing="0" w:line="15" w:lineRule="atLeas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是</w:t>
            </w:r>
          </w:p>
        </w:tc>
        <w:tc>
          <w:tcPr>
            <w:tcW w:w="1089" w:type="pct"/>
            <w:noWrap w:val="0"/>
            <w:vAlign w:val="center"/>
          </w:tcPr>
          <w:p w14:paraId="4A644B08">
            <w:pPr>
              <w:keepNext w:val="0"/>
              <w:keepLines w:val="0"/>
              <w:widowControl/>
              <w:suppressLineNumbers w:val="0"/>
              <w:spacing w:before="0" w:beforeAutospacing="0" w:after="0" w:afterAutospacing="0" w:line="15" w:lineRule="atLeast"/>
              <w:ind w:left="0" w:leftChars="0" w:right="0" w:rightChars="0"/>
              <w:jc w:val="center"/>
              <w:rPr>
                <w:rFonts w:hint="eastAsia" w:ascii="宋体" w:hAnsi="宋体" w:eastAsia="宋体" w:cs="宋体"/>
                <w:color w:val="auto"/>
                <w:sz w:val="24"/>
                <w:szCs w:val="24"/>
                <w:highlight w:val="none"/>
                <w:lang w:eastAsia="zh-CN"/>
              </w:rPr>
            </w:pPr>
            <w:r>
              <w:rPr>
                <w:rFonts w:hint="eastAsia" w:ascii="宋体" w:hAnsi="宋体"/>
                <w:color w:val="auto"/>
                <w:sz w:val="24"/>
                <w:lang w:val="en-US" w:eastAsia="zh-CN"/>
              </w:rPr>
              <w:t>950000.00</w:t>
            </w:r>
          </w:p>
        </w:tc>
      </w:tr>
    </w:tbl>
    <w:p w14:paraId="17128FDB">
      <w:pPr>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采购需求</w:t>
      </w:r>
      <w:r>
        <w:rPr>
          <w:rFonts w:hint="eastAsia" w:ascii="宋体" w:hAnsi="宋体" w:eastAsia="宋体" w:cs="宋体"/>
          <w:color w:val="auto"/>
          <w:sz w:val="24"/>
          <w:szCs w:val="24"/>
          <w:highlight w:val="none"/>
          <w:lang w:eastAsia="zh-CN"/>
        </w:rPr>
        <w:t>：（包括但不限于标的的名称、数量、简要技术需求或服务要求等）</w:t>
      </w:r>
      <w:r>
        <w:rPr>
          <w:rFonts w:hint="eastAsia" w:ascii="宋体" w:hAnsi="宋体" w:eastAsia="宋体" w:cs="宋体"/>
          <w:color w:val="auto"/>
          <w:sz w:val="24"/>
          <w:szCs w:val="24"/>
          <w:highlight w:val="none"/>
          <w:lang w:val="en-US" w:eastAsia="zh-CN"/>
        </w:rPr>
        <w:t>详见磋商文件采购需求</w:t>
      </w:r>
      <w:r>
        <w:rPr>
          <w:rFonts w:hint="eastAsia" w:ascii="宋体" w:hAnsi="宋体" w:eastAsia="宋体" w:cs="宋体"/>
          <w:color w:val="auto"/>
          <w:sz w:val="24"/>
          <w:szCs w:val="24"/>
          <w:highlight w:val="none"/>
          <w:lang w:eastAsia="zh-CN"/>
        </w:rPr>
        <w:t>。</w:t>
      </w:r>
    </w:p>
    <w:p w14:paraId="3986E463">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yellow"/>
          <w:lang w:eastAsia="zh-CN"/>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合同履行期限：</w:t>
      </w:r>
      <w:r>
        <w:rPr>
          <w:rFonts w:hint="eastAsia" w:ascii="宋体" w:hAnsi="宋体" w:eastAsia="宋体" w:cs="宋体"/>
          <w:color w:val="auto"/>
          <w:sz w:val="24"/>
          <w:szCs w:val="24"/>
          <w:highlight w:val="none"/>
          <w:lang w:val="en-US" w:eastAsia="zh-CN"/>
        </w:rPr>
        <w:t>一年</w:t>
      </w:r>
    </w:p>
    <w:p w14:paraId="61B6A5D8">
      <w:pPr>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本项目是否接受联合体：否</w:t>
      </w:r>
    </w:p>
    <w:p w14:paraId="2A9DCC43">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8、是否接受进口产品：否</w:t>
      </w:r>
    </w:p>
    <w:p w14:paraId="52B76D9C">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9、是否专门面向中小企业：是</w:t>
      </w:r>
    </w:p>
    <w:p w14:paraId="78550A6F">
      <w:pPr>
        <w:numPr>
          <w:ilvl w:val="0"/>
          <w:numId w:val="1"/>
        </w:numPr>
        <w:bidi w:val="0"/>
        <w:spacing w:line="360" w:lineRule="auto"/>
        <w:rPr>
          <w:rFonts w:hint="eastAsia" w:ascii="宋体" w:hAnsi="宋体" w:eastAsia="宋体" w:cs="宋体"/>
          <w:b/>
          <w:bCs/>
          <w:color w:val="auto"/>
          <w:sz w:val="24"/>
          <w:szCs w:val="24"/>
        </w:rPr>
      </w:pPr>
      <w:bookmarkStart w:id="4" w:name="_Toc28359090"/>
      <w:bookmarkStart w:id="5" w:name="_Toc28359013"/>
      <w:bookmarkStart w:id="6" w:name="_Toc35393630"/>
      <w:bookmarkStart w:id="7" w:name="_Toc35393799"/>
      <w:r>
        <w:rPr>
          <w:rFonts w:hint="eastAsia" w:ascii="宋体" w:hAnsi="宋体" w:eastAsia="宋体" w:cs="宋体"/>
          <w:b/>
          <w:bCs/>
          <w:color w:val="auto"/>
          <w:sz w:val="24"/>
          <w:szCs w:val="24"/>
        </w:rPr>
        <w:t>申请人的资格要求</w:t>
      </w:r>
      <w:bookmarkEnd w:id="4"/>
      <w:bookmarkEnd w:id="5"/>
      <w:bookmarkEnd w:id="6"/>
      <w:bookmarkEnd w:id="7"/>
    </w:p>
    <w:p w14:paraId="2A03E311">
      <w:pPr>
        <w:spacing w:line="360" w:lineRule="auto"/>
        <w:ind w:firstLine="480" w:firstLineChars="200"/>
        <w:rPr>
          <w:rFonts w:hint="eastAsia" w:ascii="宋体" w:hAnsi="宋体" w:cs="宋体"/>
          <w:color w:val="auto"/>
          <w:sz w:val="24"/>
        </w:rPr>
      </w:pPr>
      <w:bookmarkStart w:id="8" w:name="_Toc28359091"/>
      <w:bookmarkStart w:id="9" w:name="_Toc28359014"/>
      <w:r>
        <w:rPr>
          <w:rFonts w:hint="eastAsia" w:ascii="宋体" w:hAnsi="宋体" w:cs="宋体"/>
          <w:color w:val="auto"/>
          <w:sz w:val="24"/>
        </w:rPr>
        <w:t>1</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rPr>
        <w:t>满足《中华人民共和国政府采购法》第二十二条规定；</w:t>
      </w:r>
    </w:p>
    <w:p w14:paraId="7301DF79">
      <w:pPr>
        <w:widowControl/>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2</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rPr>
        <w:t>落实政府采购政策需满足的资格要求：本项目落实促进中小企业发展/监狱/残疾人福利性企业发展等政府采购政策；落实《政府采购促进中小企业发展管理办法》财库【2020】46号文件规定；</w:t>
      </w:r>
    </w:p>
    <w:p w14:paraId="26AFF750">
      <w:pPr>
        <w:widowControl/>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3</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rPr>
        <w:t>本项目的特定资格要求：</w:t>
      </w:r>
    </w:p>
    <w:p w14:paraId="45BB1F0B">
      <w:pPr>
        <w:pStyle w:val="2"/>
        <w:spacing w:before="0" w:beforeAutospacing="0" w:after="0" w:afterAutospacing="0" w:line="460" w:lineRule="exact"/>
        <w:ind w:firstLine="480"/>
        <w:jc w:val="both"/>
        <w:rPr>
          <w:rFonts w:hint="eastAsia" w:cs="宋体"/>
          <w:color w:val="auto"/>
          <w:highlight w:val="none"/>
          <w:lang w:val="en-US" w:eastAsia="zh-CN"/>
        </w:rPr>
      </w:pPr>
      <w:bookmarkStart w:id="10" w:name="_Toc35393631"/>
      <w:bookmarkStart w:id="11" w:name="_Toc35393800"/>
      <w:r>
        <w:rPr>
          <w:rFonts w:hint="eastAsia" w:eastAsia="新宋体"/>
          <w:color w:val="auto"/>
          <w:sz w:val="24"/>
          <w:lang w:val="en-US" w:eastAsia="zh-CN"/>
        </w:rPr>
        <w:t>3.1</w:t>
      </w:r>
      <w:r>
        <w:rPr>
          <w:rFonts w:hint="eastAsia" w:cs="宋体"/>
          <w:color w:val="auto"/>
          <w:highlight w:val="none"/>
          <w:lang w:val="en-US" w:eastAsia="zh-CN"/>
        </w:rPr>
        <w:t>供应商具有行政主管部门颁发的有效的《危险废物经营许可证》【许可证上注明的核准经营危险废物类别须包含：HW01（医疗废物）】；</w:t>
      </w:r>
    </w:p>
    <w:p w14:paraId="401FD5C4">
      <w:pPr>
        <w:pStyle w:val="2"/>
        <w:spacing w:before="0" w:beforeAutospacing="0" w:after="0" w:afterAutospacing="0" w:line="460" w:lineRule="exact"/>
        <w:ind w:firstLine="480"/>
        <w:jc w:val="both"/>
        <w:rPr>
          <w:rFonts w:hint="eastAsia"/>
          <w:color w:val="auto"/>
          <w:szCs w:val="22"/>
        </w:rPr>
      </w:pPr>
      <w:r>
        <w:rPr>
          <w:rFonts w:hint="eastAsia"/>
          <w:color w:val="auto"/>
          <w:szCs w:val="22"/>
          <w:lang w:val="en-US" w:eastAsia="zh-CN"/>
        </w:rPr>
        <w:t>3.2</w:t>
      </w:r>
      <w:r>
        <w:rPr>
          <w:rFonts w:hint="eastAsia"/>
          <w:color w:val="auto"/>
          <w:szCs w:val="22"/>
        </w:rPr>
        <w:t>信誉要求：</w:t>
      </w:r>
      <w:r>
        <w:rPr>
          <w:rFonts w:hAnsi="宋体" w:cs="宋体"/>
          <w:color w:val="auto"/>
          <w:highlight w:val="none"/>
        </w:rPr>
        <w:t>根据财政部《关于在政府采购活动中查询及使用信用记录有关问题的通知》（财库 〔2016〕125号）要求，被列入“信用中国”网站（www.creditchina.gov.cn）“失信被执行人”（此项查询以信用中国网站自动链接至中国执行信息公开网的查询结果为准）、重大税收违法失信主体和中国政府采购网（www.ccgp.gov.cn）“政府采购严重违法失信行为记录名 单”栏目中有失信记录的供应商，将拒绝其参加本项目（查询时间在公告发布日期之后）</w:t>
      </w:r>
      <w:r>
        <w:rPr>
          <w:rFonts w:hint="eastAsia" w:hAnsi="宋体" w:cs="宋体"/>
          <w:color w:val="auto"/>
          <w:highlight w:val="none"/>
        </w:rPr>
        <w:t>。</w:t>
      </w:r>
    </w:p>
    <w:p w14:paraId="0CD052F6">
      <w:pPr>
        <w:bidi w:val="0"/>
        <w:spacing w:line="36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rPr>
        <w:t>三、获取采</w:t>
      </w:r>
      <w:r>
        <w:rPr>
          <w:rFonts w:hint="eastAsia" w:ascii="宋体" w:hAnsi="宋体" w:eastAsia="宋体" w:cs="宋体"/>
          <w:b/>
          <w:bCs/>
          <w:color w:val="auto"/>
          <w:sz w:val="24"/>
          <w:szCs w:val="24"/>
          <w:highlight w:val="none"/>
        </w:rPr>
        <w:t>购文件</w:t>
      </w:r>
      <w:bookmarkEnd w:id="8"/>
      <w:bookmarkEnd w:id="9"/>
      <w:bookmarkEnd w:id="10"/>
      <w:bookmarkEnd w:id="11"/>
    </w:p>
    <w:p w14:paraId="79F11FE1">
      <w:pPr>
        <w:pageBreakBefore w:val="0"/>
        <w:kinsoku/>
        <w:wordWrap/>
        <w:overflowPunct/>
        <w:topLinePunct w:val="0"/>
        <w:autoSpaceDE/>
        <w:autoSpaceDN/>
        <w:bidi w:val="0"/>
        <w:adjustRightInd/>
        <w:snapToGrid/>
        <w:spacing w:line="360" w:lineRule="auto"/>
        <w:ind w:firstLine="54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时间：</w:t>
      </w:r>
      <w:r>
        <w:rPr>
          <w:rFonts w:hint="eastAsia" w:ascii="宋体" w:hAnsi="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rPr>
        <w:t>日至</w:t>
      </w:r>
      <w:r>
        <w:rPr>
          <w:rFonts w:hint="eastAsia" w:ascii="宋体" w:hAnsi="宋体" w:eastAsia="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日，每天上午</w:t>
      </w:r>
      <w:r>
        <w:rPr>
          <w:rFonts w:hint="eastAsia" w:ascii="宋体" w:hAnsi="宋体" w:eastAsia="宋体" w:cs="宋体"/>
          <w:color w:val="auto"/>
          <w:sz w:val="24"/>
          <w:szCs w:val="24"/>
          <w:highlight w:val="none"/>
          <w:lang w:val="en-US" w:eastAsia="zh-CN"/>
        </w:rPr>
        <w:t>08:00</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lang w:val="en-US" w:eastAsia="zh-CN"/>
        </w:rPr>
        <w:t>12:00</w:t>
      </w:r>
      <w:r>
        <w:rPr>
          <w:rFonts w:hint="eastAsia" w:ascii="宋体" w:hAnsi="宋体" w:eastAsia="宋体" w:cs="宋体"/>
          <w:color w:val="auto"/>
          <w:sz w:val="24"/>
          <w:szCs w:val="24"/>
          <w:highlight w:val="none"/>
        </w:rPr>
        <w:t>，下午</w:t>
      </w:r>
      <w:r>
        <w:rPr>
          <w:rFonts w:hint="eastAsia" w:ascii="宋体" w:hAnsi="宋体" w:eastAsia="宋体" w:cs="宋体"/>
          <w:color w:val="auto"/>
          <w:sz w:val="24"/>
          <w:szCs w:val="24"/>
          <w:highlight w:val="none"/>
          <w:lang w:val="en-US" w:eastAsia="zh-CN"/>
        </w:rPr>
        <w:t>12:00</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lang w:val="en-US" w:eastAsia="zh-CN"/>
        </w:rPr>
        <w:t>17：30</w:t>
      </w:r>
      <w:r>
        <w:rPr>
          <w:rFonts w:hint="eastAsia" w:ascii="宋体" w:hAnsi="宋体" w:eastAsia="宋体" w:cs="宋体"/>
          <w:color w:val="auto"/>
          <w:sz w:val="24"/>
          <w:szCs w:val="24"/>
          <w:highlight w:val="none"/>
        </w:rPr>
        <w:t>（北京时间，法定节假日除外 ）</w:t>
      </w:r>
      <w:r>
        <w:rPr>
          <w:rFonts w:hint="eastAsia" w:ascii="宋体" w:hAnsi="宋体" w:eastAsia="宋体" w:cs="宋体"/>
          <w:color w:val="auto"/>
          <w:sz w:val="24"/>
          <w:szCs w:val="24"/>
          <w:highlight w:val="none"/>
          <w:lang w:eastAsia="zh-CN"/>
        </w:rPr>
        <w:t>；</w:t>
      </w:r>
    </w:p>
    <w:p w14:paraId="171CECC8">
      <w:pPr>
        <w:pageBreakBefore w:val="0"/>
        <w:kinsoku/>
        <w:wordWrap/>
        <w:overflowPunct/>
        <w:topLinePunct w:val="0"/>
        <w:autoSpaceDE/>
        <w:autoSpaceDN/>
        <w:bidi w:val="0"/>
        <w:adjustRightInd/>
        <w:snapToGrid/>
        <w:spacing w:line="360" w:lineRule="auto"/>
        <w:ind w:firstLine="54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地点：</w:t>
      </w:r>
      <w:r>
        <w:rPr>
          <w:rFonts w:hint="eastAsia" w:ascii="宋体" w:hAnsi="宋体" w:eastAsia="宋体" w:cs="宋体"/>
          <w:color w:val="auto"/>
          <w:sz w:val="24"/>
          <w:szCs w:val="24"/>
          <w:highlight w:val="none"/>
          <w:lang w:val="en-US" w:eastAsia="zh-CN"/>
        </w:rPr>
        <w:t>驻马店市公共资源交易平台网站（https://ggzy.zhumadian.gov.cn/）；</w:t>
      </w:r>
    </w:p>
    <w:p w14:paraId="47BA4C2B">
      <w:pPr>
        <w:pageBreakBefore w:val="0"/>
        <w:kinsoku/>
        <w:wordWrap/>
        <w:overflowPunct/>
        <w:topLinePunct w:val="0"/>
        <w:autoSpaceDE/>
        <w:autoSpaceDN/>
        <w:bidi w:val="0"/>
        <w:adjustRightInd/>
        <w:snapToGrid/>
        <w:spacing w:line="360" w:lineRule="auto"/>
        <w:ind w:firstLine="54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方式：凭CA密钥</w:t>
      </w:r>
      <w:r>
        <w:rPr>
          <w:rFonts w:hint="eastAsia" w:ascii="宋体" w:hAnsi="宋体" w:eastAsia="宋体" w:cs="宋体"/>
          <w:color w:val="auto"/>
          <w:sz w:val="24"/>
          <w:szCs w:val="24"/>
          <w:highlight w:val="none"/>
          <w:lang w:eastAsia="zh-CN"/>
        </w:rPr>
        <w:t>登录</w:t>
      </w:r>
      <w:r>
        <w:rPr>
          <w:rFonts w:hint="eastAsia" w:ascii="宋体" w:hAnsi="宋体" w:eastAsia="宋体" w:cs="宋体"/>
          <w:color w:val="auto"/>
          <w:sz w:val="24"/>
          <w:szCs w:val="24"/>
          <w:highlight w:val="none"/>
        </w:rPr>
        <w:t>会员系统并按网上提示下载</w:t>
      </w:r>
      <w:r>
        <w:rPr>
          <w:rFonts w:hint="eastAsia" w:ascii="宋体" w:hAnsi="宋体" w:eastAsia="宋体" w:cs="宋体"/>
          <w:color w:val="auto"/>
          <w:sz w:val="24"/>
          <w:szCs w:val="24"/>
          <w:highlight w:val="none"/>
          <w:lang w:eastAsia="zh-CN"/>
        </w:rPr>
        <w:t>竞争性磋商</w:t>
      </w:r>
      <w:r>
        <w:rPr>
          <w:rFonts w:hint="eastAsia" w:ascii="宋体" w:hAnsi="宋体" w:eastAsia="宋体" w:cs="宋体"/>
          <w:color w:val="auto"/>
          <w:sz w:val="24"/>
          <w:szCs w:val="24"/>
          <w:highlight w:val="none"/>
        </w:rPr>
        <w:t>文件及资料（详见交易平台网站下载中心栏目里操作手册）</w:t>
      </w:r>
      <w:r>
        <w:rPr>
          <w:rFonts w:hint="eastAsia" w:ascii="宋体" w:hAnsi="宋体" w:eastAsia="宋体" w:cs="宋体"/>
          <w:color w:val="auto"/>
          <w:sz w:val="24"/>
          <w:szCs w:val="24"/>
          <w:highlight w:val="none"/>
          <w:lang w:eastAsia="zh-CN"/>
        </w:rPr>
        <w:t>；</w:t>
      </w:r>
    </w:p>
    <w:p w14:paraId="131D4401">
      <w:pPr>
        <w:pageBreakBefore w:val="0"/>
        <w:kinsoku/>
        <w:wordWrap/>
        <w:overflowPunct/>
        <w:topLinePunct w:val="0"/>
        <w:autoSpaceDE/>
        <w:autoSpaceDN/>
        <w:bidi w:val="0"/>
        <w:adjustRightInd/>
        <w:snapToGrid/>
        <w:spacing w:line="360" w:lineRule="auto"/>
        <w:ind w:firstLine="54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售价：</w:t>
      </w:r>
      <w:r>
        <w:rPr>
          <w:rFonts w:hint="eastAsia" w:ascii="宋体" w:hAnsi="宋体" w:eastAsia="宋体" w:cs="宋体"/>
          <w:color w:val="auto"/>
          <w:sz w:val="24"/>
          <w:szCs w:val="24"/>
          <w:highlight w:val="none"/>
          <w:lang w:val="en-US" w:eastAsia="zh-CN"/>
        </w:rPr>
        <w:t>0元。</w:t>
      </w:r>
    </w:p>
    <w:p w14:paraId="4CE47FD4">
      <w:pPr>
        <w:bidi w:val="0"/>
        <w:spacing w:line="360" w:lineRule="auto"/>
        <w:rPr>
          <w:rFonts w:hint="eastAsia" w:ascii="宋体" w:hAnsi="宋体" w:eastAsia="宋体" w:cs="宋体"/>
          <w:b/>
          <w:bCs/>
          <w:color w:val="auto"/>
          <w:sz w:val="24"/>
          <w:szCs w:val="24"/>
          <w:highlight w:val="none"/>
        </w:rPr>
      </w:pPr>
      <w:bookmarkStart w:id="12" w:name="_Toc28359092"/>
      <w:bookmarkStart w:id="13" w:name="_Toc35393632"/>
      <w:bookmarkStart w:id="14" w:name="_Toc35393801"/>
      <w:bookmarkStart w:id="15" w:name="_Toc28359015"/>
      <w:r>
        <w:rPr>
          <w:rFonts w:hint="eastAsia" w:ascii="宋体" w:hAnsi="宋体" w:eastAsia="宋体" w:cs="宋体"/>
          <w:b/>
          <w:bCs/>
          <w:color w:val="auto"/>
          <w:sz w:val="24"/>
          <w:szCs w:val="24"/>
          <w:highlight w:val="none"/>
        </w:rPr>
        <w:t>四、响应文件提交</w:t>
      </w:r>
      <w:bookmarkEnd w:id="12"/>
      <w:bookmarkEnd w:id="13"/>
      <w:bookmarkEnd w:id="14"/>
      <w:bookmarkEnd w:id="15"/>
    </w:p>
    <w:p w14:paraId="53E2F034">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截止时间：</w:t>
      </w:r>
      <w:r>
        <w:rPr>
          <w:rFonts w:hint="eastAsia" w:ascii="宋体" w:hAnsi="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日</w:t>
      </w:r>
      <w:r>
        <w:rPr>
          <w:rFonts w:hint="eastAsia" w:ascii="宋体" w:hAnsi="宋体" w:eastAsia="宋体" w:cs="宋体"/>
          <w:bCs/>
          <w:color w:val="auto"/>
          <w:sz w:val="24"/>
          <w:szCs w:val="24"/>
          <w:highlight w:val="none"/>
          <w:u w:val="none"/>
          <w:lang w:val="en-US" w:eastAsia="zh-CN"/>
        </w:rPr>
        <w:t>9</w:t>
      </w:r>
      <w:r>
        <w:rPr>
          <w:rFonts w:hint="eastAsia" w:ascii="宋体" w:hAnsi="宋体" w:eastAsia="宋体" w:cs="宋体"/>
          <w:bCs/>
          <w:color w:val="auto"/>
          <w:sz w:val="24"/>
          <w:szCs w:val="24"/>
          <w:highlight w:val="none"/>
          <w:u w:val="none"/>
        </w:rPr>
        <w:t>点</w:t>
      </w:r>
      <w:r>
        <w:rPr>
          <w:rFonts w:hint="eastAsia" w:ascii="宋体" w:hAnsi="宋体" w:eastAsia="宋体" w:cs="宋体"/>
          <w:bCs/>
          <w:color w:val="auto"/>
          <w:sz w:val="24"/>
          <w:szCs w:val="24"/>
          <w:highlight w:val="none"/>
          <w:u w:val="none"/>
          <w:lang w:val="en-US" w:eastAsia="zh-CN"/>
        </w:rPr>
        <w:t>00</w:t>
      </w:r>
      <w:r>
        <w:rPr>
          <w:rFonts w:hint="eastAsia" w:ascii="宋体" w:hAnsi="宋体" w:eastAsia="宋体" w:cs="宋体"/>
          <w:bCs/>
          <w:color w:val="auto"/>
          <w:sz w:val="24"/>
          <w:szCs w:val="24"/>
          <w:highlight w:val="none"/>
          <w:u w:val="none"/>
        </w:rPr>
        <w:t>分</w:t>
      </w:r>
      <w:r>
        <w:rPr>
          <w:rFonts w:hint="eastAsia" w:ascii="宋体" w:hAnsi="宋体" w:eastAsia="宋体" w:cs="宋体"/>
          <w:bCs/>
          <w:color w:val="auto"/>
          <w:sz w:val="24"/>
          <w:szCs w:val="24"/>
          <w:highlight w:val="none"/>
        </w:rPr>
        <w:t>（北京时间）</w:t>
      </w:r>
    </w:p>
    <w:p w14:paraId="0F7C8B2B">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highlight w:val="none"/>
          <w:u w:val="singl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地点：</w:t>
      </w:r>
      <w:r>
        <w:rPr>
          <w:rFonts w:hint="eastAsia" w:ascii="宋体" w:hAnsi="宋体" w:eastAsia="宋体" w:cs="宋体"/>
          <w:color w:val="auto"/>
          <w:sz w:val="24"/>
          <w:szCs w:val="24"/>
          <w:highlight w:val="none"/>
          <w:lang w:val="en-US" w:eastAsia="zh-CN"/>
        </w:rPr>
        <w:t>驻马店市公共资源交易平台网站</w:t>
      </w:r>
    </w:p>
    <w:p w14:paraId="66CF7A6D">
      <w:pPr>
        <w:bidi w:val="0"/>
        <w:spacing w:line="360" w:lineRule="auto"/>
        <w:rPr>
          <w:rFonts w:hint="eastAsia" w:ascii="宋体" w:hAnsi="宋体" w:eastAsia="宋体" w:cs="宋体"/>
          <w:b/>
          <w:bCs/>
          <w:color w:val="auto"/>
          <w:sz w:val="24"/>
          <w:szCs w:val="24"/>
          <w:highlight w:val="none"/>
        </w:rPr>
      </w:pPr>
      <w:bookmarkStart w:id="16" w:name="_Toc35393802"/>
      <w:bookmarkStart w:id="17" w:name="_Toc35393633"/>
      <w:bookmarkStart w:id="18" w:name="_Toc28359093"/>
      <w:bookmarkStart w:id="19" w:name="_Toc28359016"/>
      <w:r>
        <w:rPr>
          <w:rFonts w:hint="eastAsia" w:ascii="宋体" w:hAnsi="宋体" w:eastAsia="宋体" w:cs="宋体"/>
          <w:b/>
          <w:bCs/>
          <w:color w:val="auto"/>
          <w:sz w:val="24"/>
          <w:szCs w:val="24"/>
          <w:highlight w:val="none"/>
        </w:rPr>
        <w:t>五、开启</w:t>
      </w:r>
      <w:bookmarkEnd w:id="16"/>
      <w:bookmarkEnd w:id="17"/>
      <w:bookmarkEnd w:id="18"/>
      <w:bookmarkEnd w:id="19"/>
    </w:p>
    <w:p w14:paraId="5417F9FD">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时间：</w:t>
      </w:r>
      <w:r>
        <w:rPr>
          <w:rFonts w:hint="eastAsia" w:ascii="宋体" w:hAnsi="宋体" w:cs="宋体"/>
          <w:color w:val="auto"/>
          <w:sz w:val="24"/>
          <w:szCs w:val="24"/>
          <w:highlight w:val="none"/>
          <w:lang w:val="en-US" w:eastAsia="zh-CN"/>
        </w:rPr>
        <w:t>2026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日</w:t>
      </w:r>
      <w:r>
        <w:rPr>
          <w:rFonts w:hint="eastAsia" w:ascii="宋体" w:hAnsi="宋体" w:eastAsia="宋体" w:cs="宋体"/>
          <w:bCs/>
          <w:color w:val="auto"/>
          <w:sz w:val="24"/>
          <w:szCs w:val="24"/>
          <w:highlight w:val="none"/>
          <w:u w:val="none"/>
          <w:lang w:val="en-US" w:eastAsia="zh-CN"/>
        </w:rPr>
        <w:t>9</w:t>
      </w:r>
      <w:r>
        <w:rPr>
          <w:rFonts w:hint="eastAsia" w:ascii="宋体" w:hAnsi="宋体" w:eastAsia="宋体" w:cs="宋体"/>
          <w:bCs/>
          <w:color w:val="auto"/>
          <w:sz w:val="24"/>
          <w:szCs w:val="24"/>
          <w:highlight w:val="none"/>
          <w:u w:val="none"/>
        </w:rPr>
        <w:t>点</w:t>
      </w:r>
      <w:r>
        <w:rPr>
          <w:rFonts w:hint="eastAsia" w:ascii="宋体" w:hAnsi="宋体" w:eastAsia="宋体" w:cs="宋体"/>
          <w:bCs/>
          <w:color w:val="auto"/>
          <w:sz w:val="24"/>
          <w:szCs w:val="24"/>
          <w:highlight w:val="none"/>
          <w:u w:val="none"/>
          <w:lang w:val="en-US" w:eastAsia="zh-CN"/>
        </w:rPr>
        <w:t>00</w:t>
      </w:r>
      <w:r>
        <w:rPr>
          <w:rFonts w:hint="eastAsia" w:ascii="宋体" w:hAnsi="宋体" w:eastAsia="宋体" w:cs="宋体"/>
          <w:bCs/>
          <w:color w:val="auto"/>
          <w:sz w:val="24"/>
          <w:szCs w:val="24"/>
          <w:highlight w:val="none"/>
          <w:u w:val="none"/>
        </w:rPr>
        <w:t>分</w:t>
      </w:r>
      <w:r>
        <w:rPr>
          <w:rFonts w:hint="eastAsia" w:ascii="宋体" w:hAnsi="宋体" w:eastAsia="宋体" w:cs="宋体"/>
          <w:bCs/>
          <w:color w:val="auto"/>
          <w:sz w:val="24"/>
          <w:szCs w:val="24"/>
          <w:highlight w:val="none"/>
        </w:rPr>
        <w:t>（北京时间）</w:t>
      </w:r>
    </w:p>
    <w:p w14:paraId="669CF526">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kern w:val="0"/>
          <w:sz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地点：</w:t>
      </w:r>
      <w:r>
        <w:rPr>
          <w:rFonts w:hint="eastAsia" w:ascii="宋体" w:hAnsi="宋体"/>
          <w:color w:val="auto"/>
          <w:sz w:val="24"/>
          <w:lang w:eastAsia="zh-CN"/>
        </w:rPr>
        <w:t>上蔡</w:t>
      </w:r>
      <w:r>
        <w:rPr>
          <w:rFonts w:hint="eastAsia" w:ascii="宋体" w:hAnsi="宋体"/>
          <w:color w:val="auto"/>
          <w:sz w:val="24"/>
        </w:rPr>
        <w:t>县</w:t>
      </w:r>
      <w:r>
        <w:rPr>
          <w:rFonts w:hint="eastAsia" w:ascii="宋体" w:hAnsi="宋体" w:cs="宋体"/>
          <w:color w:val="auto"/>
          <w:kern w:val="0"/>
          <w:sz w:val="24"/>
          <w:highlight w:val="none"/>
        </w:rPr>
        <w:t>公共资源交易中心不见面开标厅</w:t>
      </w:r>
      <w:bookmarkStart w:id="20" w:name="_Toc28359094"/>
      <w:bookmarkStart w:id="21" w:name="_Toc28359017"/>
      <w:bookmarkStart w:id="22" w:name="_Toc35393634"/>
      <w:bookmarkStart w:id="23" w:name="_Toc35393803"/>
    </w:p>
    <w:p w14:paraId="5065B0A9">
      <w:pPr>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w:t>
      </w:r>
      <w:bookmarkEnd w:id="20"/>
      <w:bookmarkEnd w:id="21"/>
      <w:bookmarkEnd w:id="22"/>
      <w:bookmarkEnd w:id="23"/>
      <w:r>
        <w:rPr>
          <w:rFonts w:hint="eastAsia" w:ascii="宋体" w:hAnsi="宋体" w:eastAsia="宋体" w:cs="宋体"/>
          <w:b/>
          <w:bCs/>
          <w:color w:val="auto"/>
          <w:sz w:val="24"/>
          <w:szCs w:val="24"/>
          <w:highlight w:val="none"/>
        </w:rPr>
        <w:t>发布公告的媒介及公告期限</w:t>
      </w:r>
    </w:p>
    <w:p w14:paraId="69CA113D">
      <w:pPr>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本次公告在《河南省政府采购网》、《驻马店市公共资源交易平台》</w:t>
      </w:r>
      <w:r>
        <w:rPr>
          <w:rFonts w:hint="eastAsia" w:ascii="宋体" w:hAnsi="宋体"/>
          <w:color w:val="auto"/>
          <w:sz w:val="24"/>
          <w:lang w:eastAsia="zh-CN"/>
        </w:rPr>
        <w:t>、</w:t>
      </w:r>
      <w:r>
        <w:rPr>
          <w:rFonts w:ascii="宋体" w:hAnsi="宋体" w:eastAsia="宋体" w:cs="宋体"/>
          <w:color w:val="auto"/>
          <w:spacing w:val="-1"/>
          <w:sz w:val="24"/>
          <w:szCs w:val="24"/>
        </w:rPr>
        <w:t>《上蔡县人民政府网》</w:t>
      </w:r>
      <w:r>
        <w:rPr>
          <w:rFonts w:hint="eastAsia" w:ascii="宋体" w:hAnsi="宋体" w:eastAsia="宋体" w:cs="宋体"/>
          <w:color w:val="auto"/>
          <w:kern w:val="0"/>
          <w:sz w:val="24"/>
          <w:szCs w:val="24"/>
          <w:highlight w:val="none"/>
          <w:lang w:val="en-US" w:eastAsia="zh-CN"/>
        </w:rPr>
        <w:t>上发布，公告期限为五个工作日</w:t>
      </w:r>
      <w:r>
        <w:rPr>
          <w:rFonts w:hint="eastAsia" w:ascii="宋体" w:hAnsi="宋体" w:eastAsia="宋体" w:cs="宋体"/>
          <w:color w:val="auto"/>
          <w:kern w:val="0"/>
          <w:sz w:val="24"/>
          <w:szCs w:val="24"/>
          <w:highlight w:val="none"/>
        </w:rPr>
        <w:t>。</w:t>
      </w:r>
    </w:p>
    <w:p w14:paraId="6C7819DD">
      <w:pPr>
        <w:bidi w:val="0"/>
        <w:spacing w:line="360" w:lineRule="auto"/>
        <w:rPr>
          <w:rFonts w:hint="eastAsia" w:ascii="宋体" w:hAnsi="宋体" w:eastAsia="宋体" w:cs="宋体"/>
          <w:b/>
          <w:bCs/>
          <w:color w:val="auto"/>
          <w:sz w:val="24"/>
          <w:szCs w:val="24"/>
          <w:highlight w:val="none"/>
        </w:rPr>
      </w:pPr>
      <w:bookmarkStart w:id="24" w:name="_Toc35393804"/>
      <w:bookmarkStart w:id="25" w:name="_Toc35393635"/>
      <w:r>
        <w:rPr>
          <w:rFonts w:hint="eastAsia" w:ascii="宋体" w:hAnsi="宋体" w:eastAsia="宋体" w:cs="宋体"/>
          <w:b/>
          <w:bCs/>
          <w:color w:val="auto"/>
          <w:sz w:val="24"/>
          <w:szCs w:val="24"/>
          <w:highlight w:val="none"/>
        </w:rPr>
        <w:t>七、其他补充事宜</w:t>
      </w:r>
      <w:bookmarkEnd w:id="24"/>
      <w:bookmarkEnd w:id="25"/>
    </w:p>
    <w:p w14:paraId="0419BF48">
      <w:pPr>
        <w:bidi w:val="0"/>
        <w:spacing w:line="360" w:lineRule="auto"/>
        <w:ind w:firstLine="480" w:firstLineChars="200"/>
        <w:rPr>
          <w:rFonts w:hint="eastAsia" w:ascii="宋体" w:hAnsi="宋体" w:eastAsia="宋体" w:cs="宋体"/>
          <w:bCs/>
          <w:color w:val="auto"/>
          <w:sz w:val="24"/>
          <w:szCs w:val="24"/>
          <w:highlight w:val="none"/>
          <w:u w:val="none"/>
          <w:lang w:val="en-US" w:eastAsia="zh-CN"/>
        </w:rPr>
      </w:pPr>
      <w:bookmarkStart w:id="26" w:name="_Toc35393805"/>
      <w:bookmarkStart w:id="27" w:name="_Toc35393636"/>
      <w:bookmarkStart w:id="28" w:name="_Toc28359095"/>
      <w:bookmarkStart w:id="29" w:name="_Toc28359018"/>
      <w:r>
        <w:rPr>
          <w:rFonts w:hint="eastAsia" w:ascii="宋体" w:hAnsi="宋体" w:eastAsia="宋体" w:cs="宋体"/>
          <w:bCs/>
          <w:color w:val="auto"/>
          <w:sz w:val="24"/>
          <w:szCs w:val="24"/>
          <w:highlight w:val="none"/>
          <w:u w:val="none"/>
          <w:lang w:val="en-US" w:eastAsia="zh-CN"/>
        </w:rPr>
        <w:t>1.本项目使用远程不见面交易的模式。供应商应于提交响应文件截止时间前将加密电子响应文件(.zmdtf格式)在驻马店市公共资源交易中心电子交易平台加密上传，逾期上传其响应将被拒绝。</w:t>
      </w:r>
      <w:r>
        <w:rPr>
          <w:rFonts w:hint="eastAsia" w:ascii="宋体" w:hAnsi="宋体" w:eastAsia="宋体" w:cs="宋体"/>
          <w:bCs/>
          <w:color w:val="auto"/>
          <w:sz w:val="24"/>
          <w:szCs w:val="24"/>
          <w:highlight w:val="none"/>
          <w:u w:val="none"/>
          <w:lang w:val="en-US" w:eastAsia="zh-CN"/>
        </w:rPr>
        <w:br w:type="textWrapping"/>
      </w:r>
      <w:r>
        <w:rPr>
          <w:rFonts w:hint="eastAsia" w:ascii="宋体" w:hAnsi="宋体" w:eastAsia="宋体" w:cs="宋体"/>
          <w:bCs/>
          <w:color w:val="auto"/>
          <w:sz w:val="24"/>
          <w:szCs w:val="24"/>
          <w:highlight w:val="none"/>
          <w:u w:val="none"/>
          <w:lang w:val="en-US" w:eastAsia="zh-CN"/>
        </w:rPr>
        <w:t xml:space="preserve">    2.供应商注册:供应商首先通过“驻马店市公共资源交易中心（http://ggzy.zhumadian.gov.cn/）”网站“投标人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r>
        <w:rPr>
          <w:rFonts w:hint="eastAsia" w:ascii="宋体" w:hAnsi="宋体" w:eastAsia="宋体" w:cs="宋体"/>
          <w:bCs/>
          <w:color w:val="auto"/>
          <w:sz w:val="24"/>
          <w:szCs w:val="24"/>
          <w:highlight w:val="none"/>
          <w:u w:val="none"/>
          <w:lang w:val="en-US" w:eastAsia="zh-CN"/>
        </w:rPr>
        <w:br w:type="textWrapping"/>
      </w:r>
      <w:r>
        <w:rPr>
          <w:rFonts w:hint="eastAsia" w:ascii="宋体" w:hAnsi="宋体" w:eastAsia="宋体" w:cs="宋体"/>
          <w:bCs/>
          <w:color w:val="auto"/>
          <w:sz w:val="24"/>
          <w:szCs w:val="24"/>
          <w:highlight w:val="none"/>
          <w:u w:val="none"/>
          <w:lang w:val="en-US" w:eastAsia="zh-CN"/>
        </w:rPr>
        <w:t xml:space="preserve">    3.采购文件下载: 凡有意参加采购活动者，登录“驻马店市公共资源交易中心（http://ggzy.zhumadian.gov.cn/）”网站，凭领取的企业身份认证锁（CA密钥）登录系统进行网上免费下载采购文件。</w:t>
      </w:r>
    </w:p>
    <w:p w14:paraId="22C02590">
      <w:pPr>
        <w:bidi w:val="0"/>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八、凡对本次采购提出询问，请按以下方式联系</w:t>
      </w:r>
      <w:bookmarkEnd w:id="26"/>
      <w:bookmarkEnd w:id="27"/>
      <w:bookmarkEnd w:id="28"/>
      <w:bookmarkEnd w:id="29"/>
    </w:p>
    <w:p w14:paraId="0E1E34BF">
      <w:pPr>
        <w:bidi w:val="0"/>
        <w:spacing w:line="360" w:lineRule="auto"/>
        <w:ind w:firstLine="480" w:firstLineChars="200"/>
        <w:rPr>
          <w:rFonts w:hint="eastAsia" w:ascii="宋体" w:hAnsi="宋体" w:eastAsia="宋体" w:cs="宋体"/>
          <w:color w:val="auto"/>
          <w:sz w:val="24"/>
          <w:szCs w:val="24"/>
        </w:rPr>
      </w:pPr>
      <w:bookmarkStart w:id="30" w:name="_Toc28359096"/>
      <w:bookmarkStart w:id="31" w:name="_Toc35393806"/>
      <w:bookmarkStart w:id="32" w:name="_Toc35393637"/>
      <w:bookmarkStart w:id="33" w:name="_Toc28359019"/>
      <w:r>
        <w:rPr>
          <w:rFonts w:hint="eastAsia" w:ascii="宋体" w:hAnsi="宋体" w:eastAsia="宋体" w:cs="宋体"/>
          <w:color w:val="auto"/>
          <w:sz w:val="24"/>
          <w:szCs w:val="24"/>
        </w:rPr>
        <w:t>1.采购人信息</w:t>
      </w:r>
      <w:bookmarkEnd w:id="30"/>
      <w:bookmarkEnd w:id="31"/>
      <w:bookmarkEnd w:id="32"/>
      <w:bookmarkEnd w:id="33"/>
    </w:p>
    <w:p w14:paraId="0F0E13FF">
      <w:pPr>
        <w:pageBreakBefore w:val="0"/>
        <w:kinsoku/>
        <w:wordWrap/>
        <w:overflowPunct/>
        <w:topLinePunct w:val="0"/>
        <w:autoSpaceDE/>
        <w:autoSpaceDN/>
        <w:bidi w:val="0"/>
        <w:adjustRightInd/>
        <w:snapToGrid/>
        <w:spacing w:line="360" w:lineRule="auto"/>
        <w:ind w:firstLine="720" w:firstLineChars="300"/>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名称：</w:t>
      </w:r>
      <w:r>
        <w:rPr>
          <w:rFonts w:hint="eastAsia" w:ascii="宋体" w:hAnsi="宋体" w:eastAsia="宋体" w:cs="宋体"/>
          <w:color w:val="auto"/>
          <w:sz w:val="24"/>
          <w:szCs w:val="24"/>
          <w:highlight w:val="none"/>
          <w:lang w:val="en-US" w:eastAsia="zh-CN"/>
        </w:rPr>
        <w:t>上蔡县人民医院</w:t>
      </w:r>
    </w:p>
    <w:p w14:paraId="0A4C4E01">
      <w:pPr>
        <w:widowControl/>
        <w:spacing w:line="360" w:lineRule="auto"/>
        <w:ind w:firstLine="720" w:firstLineChars="300"/>
        <w:jc w:val="left"/>
        <w:rPr>
          <w:rFonts w:hint="default" w:ascii="宋体" w:hAnsi="宋体" w:eastAsia="宋体"/>
          <w:color w:val="auto"/>
          <w:sz w:val="24"/>
          <w:szCs w:val="24"/>
          <w:lang w:val="en-US" w:eastAsia="zh-CN"/>
        </w:rPr>
      </w:pPr>
      <w:r>
        <w:rPr>
          <w:rFonts w:hint="default" w:ascii="宋体" w:hAnsi="宋体" w:eastAsia="宋体"/>
          <w:color w:val="auto"/>
          <w:sz w:val="24"/>
          <w:szCs w:val="24"/>
          <w:lang w:val="en-US" w:eastAsia="zh-CN"/>
        </w:rPr>
        <w:t>地   址：</w:t>
      </w:r>
      <w:r>
        <w:rPr>
          <w:rFonts w:ascii="宋体" w:hAnsi="宋体" w:eastAsia="宋体" w:cs="宋体"/>
          <w:color w:val="auto"/>
          <w:sz w:val="24"/>
          <w:szCs w:val="24"/>
        </w:rPr>
        <w:t>上蔡县蔡都大道</w:t>
      </w:r>
    </w:p>
    <w:p w14:paraId="158483CB">
      <w:pPr>
        <w:widowControl/>
        <w:spacing w:line="360" w:lineRule="auto"/>
        <w:ind w:firstLine="720" w:firstLineChars="300"/>
        <w:jc w:val="left"/>
        <w:rPr>
          <w:rFonts w:hint="default" w:ascii="宋体" w:hAnsi="宋体" w:eastAsia="宋体"/>
          <w:color w:val="auto"/>
          <w:sz w:val="24"/>
          <w:szCs w:val="24"/>
          <w:lang w:val="en-US" w:eastAsia="zh-CN"/>
        </w:rPr>
      </w:pPr>
      <w:r>
        <w:rPr>
          <w:rFonts w:hint="default" w:ascii="宋体" w:hAnsi="宋体" w:eastAsia="宋体"/>
          <w:color w:val="auto"/>
          <w:sz w:val="24"/>
          <w:szCs w:val="24"/>
          <w:lang w:val="en-US" w:eastAsia="zh-CN"/>
        </w:rPr>
        <w:t>联 系 人：</w:t>
      </w:r>
      <w:r>
        <w:rPr>
          <w:rFonts w:hint="eastAsia" w:ascii="宋体" w:hAnsi="宋体"/>
          <w:color w:val="auto"/>
          <w:sz w:val="24"/>
          <w:szCs w:val="24"/>
          <w:lang w:val="en-US" w:eastAsia="zh-CN"/>
        </w:rPr>
        <w:t>李先生</w:t>
      </w:r>
    </w:p>
    <w:p w14:paraId="136815F2">
      <w:pPr>
        <w:widowControl/>
        <w:spacing w:line="360" w:lineRule="auto"/>
        <w:ind w:firstLine="720" w:firstLineChars="300"/>
        <w:jc w:val="left"/>
        <w:rPr>
          <w:rFonts w:hint="default" w:ascii="宋体" w:hAnsi="宋体" w:eastAsia="宋体" w:cs="宋体"/>
          <w:color w:val="auto"/>
          <w:sz w:val="24"/>
          <w:szCs w:val="24"/>
          <w:highlight w:val="none"/>
          <w:lang w:val="en-US" w:eastAsia="zh-CN"/>
        </w:rPr>
      </w:pPr>
      <w:r>
        <w:rPr>
          <w:rFonts w:hint="default" w:ascii="宋体" w:hAnsi="宋体" w:eastAsia="宋体"/>
          <w:color w:val="auto"/>
          <w:sz w:val="24"/>
          <w:szCs w:val="24"/>
          <w:lang w:val="en-US" w:eastAsia="zh-CN"/>
        </w:rPr>
        <w:t>联系电话：</w:t>
      </w:r>
      <w:r>
        <w:rPr>
          <w:rFonts w:hint="eastAsia" w:ascii="宋体" w:hAnsi="宋体" w:eastAsia="宋体" w:cs="宋体"/>
          <w:color w:val="auto"/>
          <w:sz w:val="24"/>
          <w:szCs w:val="24"/>
          <w:highlight w:val="none"/>
          <w:lang w:val="en-US" w:eastAsia="zh-CN"/>
        </w:rPr>
        <w:t>17516086222</w:t>
      </w:r>
      <w:r>
        <w:rPr>
          <w:rFonts w:hint="default" w:ascii="宋体" w:hAnsi="宋体" w:eastAsia="宋体" w:cs="宋体"/>
          <w:color w:val="auto"/>
          <w:sz w:val="24"/>
          <w:szCs w:val="24"/>
          <w:highlight w:val="none"/>
          <w:lang w:val="en-US" w:eastAsia="zh-CN"/>
        </w:rPr>
        <w:t xml:space="preserve">     </w:t>
      </w:r>
    </w:p>
    <w:p w14:paraId="155BE7C5">
      <w:pPr>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2.采购代理机构信息</w:t>
      </w:r>
    </w:p>
    <w:p w14:paraId="5855055D">
      <w:pPr>
        <w:pageBreakBefore w:val="0"/>
        <w:kinsoku/>
        <w:wordWrap/>
        <w:overflowPunct/>
        <w:topLinePunct w:val="0"/>
        <w:autoSpaceDE/>
        <w:autoSpaceDN/>
        <w:bidi w:val="0"/>
        <w:adjustRightInd/>
        <w:snapToGrid/>
        <w:spacing w:line="360" w:lineRule="auto"/>
        <w:ind w:firstLine="720" w:firstLineChars="300"/>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名称：诚辉工程管理有限公司</w:t>
      </w:r>
    </w:p>
    <w:p w14:paraId="01679771">
      <w:pPr>
        <w:pageBreakBefore w:val="0"/>
        <w:kinsoku/>
        <w:wordWrap/>
        <w:overflowPunct/>
        <w:topLinePunct w:val="0"/>
        <w:autoSpaceDE/>
        <w:autoSpaceDN/>
        <w:bidi w:val="0"/>
        <w:adjustRightInd/>
        <w:snapToGrid/>
        <w:spacing w:line="360" w:lineRule="auto"/>
        <w:ind w:firstLine="720" w:firstLineChars="300"/>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 xml:space="preserve">办公地址：郑州高新区西三环路283号10幢9层44号 </w:t>
      </w:r>
    </w:p>
    <w:p w14:paraId="37CB4D05">
      <w:pPr>
        <w:pageBreakBefore w:val="0"/>
        <w:kinsoku/>
        <w:wordWrap/>
        <w:overflowPunct/>
        <w:topLinePunct w:val="0"/>
        <w:autoSpaceDE/>
        <w:autoSpaceDN/>
        <w:bidi w:val="0"/>
        <w:adjustRightInd/>
        <w:snapToGrid/>
        <w:spacing w:line="360" w:lineRule="auto"/>
        <w:ind w:firstLine="720" w:firstLineChars="300"/>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联系人：赵先生</w:t>
      </w:r>
    </w:p>
    <w:p w14:paraId="6C8CF0F2">
      <w:pPr>
        <w:pageBreakBefore w:val="0"/>
        <w:kinsoku/>
        <w:wordWrap/>
        <w:overflowPunct/>
        <w:topLinePunct w:val="0"/>
        <w:autoSpaceDE/>
        <w:autoSpaceDN/>
        <w:bidi w:val="0"/>
        <w:adjustRightInd/>
        <w:snapToGrid/>
        <w:spacing w:line="360" w:lineRule="auto"/>
        <w:ind w:firstLine="720" w:firstLineChars="300"/>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电   话：18037376334</w:t>
      </w:r>
    </w:p>
    <w:p w14:paraId="1CB3BC9B">
      <w:pPr>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3.项目联系方式</w:t>
      </w:r>
    </w:p>
    <w:p w14:paraId="4EE2E5FB">
      <w:pPr>
        <w:pageBreakBefore w:val="0"/>
        <w:kinsoku/>
        <w:wordWrap/>
        <w:overflowPunct/>
        <w:topLinePunct w:val="0"/>
        <w:autoSpaceDE/>
        <w:autoSpaceDN/>
        <w:bidi w:val="0"/>
        <w:adjustRightInd/>
        <w:snapToGrid/>
        <w:spacing w:line="360" w:lineRule="auto"/>
        <w:ind w:firstLine="720" w:firstLineChars="300"/>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联系人：赵先生</w:t>
      </w:r>
    </w:p>
    <w:p w14:paraId="0AFBA7AC">
      <w:pPr>
        <w:pageBreakBefore w:val="0"/>
        <w:kinsoku/>
        <w:wordWrap/>
        <w:overflowPunct/>
        <w:topLinePunct w:val="0"/>
        <w:autoSpaceDE/>
        <w:autoSpaceDN/>
        <w:bidi w:val="0"/>
        <w:adjustRightInd/>
        <w:snapToGrid/>
        <w:spacing w:line="360" w:lineRule="auto"/>
        <w:ind w:firstLine="720" w:firstLineChars="300"/>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电   话：18037376334</w:t>
      </w:r>
    </w:p>
    <w:p w14:paraId="595A3DA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CA6D64"/>
    <w:multiLevelType w:val="singleLevel"/>
    <w:tmpl w:val="2BCA6D6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F85054"/>
    <w:rsid w:val="45F850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5</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2026-10-29T01:53:00Z</dcterms:created>
  <dc:creator>WPS_1650769878</dc:creator>
  <cp:lastModifiedBy>WPS_1650769878</cp:lastModifiedBy>
  <dcterms:modified xsi:type="dcterms:W3CDTF">2026-10-29T02:03:26Z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C6BC6C52EE70427189248D69CB56D9CC_11</vt:lpwstr>
  </property>
  <property fmtid="{D5CDD505-2E9C-101B-9397-08002B2CF9AE}" pid="4" name="KSOTemplateDocerSaveRecord">
    <vt:lpwstr>eyJoZGlkIjoiMmNkNGZiNWFmYTg5MDYyZDVlMjQxYzBhZmFmMzk5NDYiLCJ1c2VySWQiOiIxMzYyNzcxODk5In0=</vt:lpwstr>
  </property>
</Properties>
</file>