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D7B2A5">
      <w:pPr>
        <w:keepNext w:val="0"/>
        <w:keepLines w:val="0"/>
        <w:pageBreakBefore w:val="0"/>
        <w:widowControl w:val="0"/>
        <w:kinsoku/>
        <w:wordWrap/>
        <w:overflowPunct/>
        <w:topLinePunct w:val="0"/>
        <w:autoSpaceDE/>
        <w:autoSpaceDN/>
        <w:bidi w:val="0"/>
        <w:adjustRightInd w:val="0"/>
        <w:snapToGrid w:val="0"/>
        <w:spacing w:after="313" w:afterLines="100"/>
        <w:jc w:val="center"/>
        <w:textAlignment w:val="auto"/>
        <w:rPr>
          <w:rFonts w:hint="eastAsia" w:ascii="宋体" w:hAnsi="宋体" w:eastAsia="宋体"/>
          <w:b/>
          <w:color w:val="auto"/>
          <w:sz w:val="48"/>
          <w:szCs w:val="48"/>
          <w:highlight w:val="none"/>
          <w:lang w:eastAsia="zh-CN"/>
        </w:rPr>
      </w:pPr>
    </w:p>
    <w:p w14:paraId="61D69269">
      <w:pPr>
        <w:adjustRightInd w:val="0"/>
        <w:snapToGrid w:val="0"/>
        <w:jc w:val="center"/>
        <w:rPr>
          <w:rFonts w:hint="eastAsia" w:ascii="宋体" w:hAnsi="宋体"/>
          <w:b w:val="0"/>
          <w:bCs/>
          <w:color w:val="auto"/>
          <w:sz w:val="44"/>
          <w:szCs w:val="44"/>
          <w:highlight w:val="none"/>
          <w:lang w:val="en-US" w:eastAsia="zh-CN"/>
        </w:rPr>
      </w:pPr>
      <w:r>
        <w:rPr>
          <w:rFonts w:hint="eastAsia" w:ascii="宋体" w:hAnsi="宋体"/>
          <w:b w:val="0"/>
          <w:bCs/>
          <w:color w:val="auto"/>
          <w:sz w:val="44"/>
          <w:szCs w:val="44"/>
          <w:highlight w:val="none"/>
          <w:lang w:val="en-US" w:eastAsia="zh-CN"/>
        </w:rPr>
        <w:t>汝南县2026年第二批农村道路与桥涵建设</w:t>
      </w:r>
    </w:p>
    <w:p w14:paraId="1B2908FA">
      <w:pPr>
        <w:adjustRightInd w:val="0"/>
        <w:snapToGrid w:val="0"/>
        <w:jc w:val="center"/>
        <w:rPr>
          <w:rFonts w:hint="eastAsia" w:ascii="宋体" w:hAnsi="宋体" w:eastAsia="宋体" w:cs="Times New Roman"/>
          <w:b/>
          <w:color w:val="auto"/>
          <w:kern w:val="2"/>
          <w:sz w:val="44"/>
          <w:szCs w:val="44"/>
          <w:highlight w:val="none"/>
          <w:lang w:val="en-US" w:eastAsia="zh-CN" w:bidi="ar-SA"/>
        </w:rPr>
      </w:pPr>
      <w:r>
        <w:rPr>
          <w:rFonts w:hint="eastAsia" w:ascii="宋体" w:hAnsi="宋体"/>
          <w:b w:val="0"/>
          <w:bCs/>
          <w:color w:val="auto"/>
          <w:sz w:val="44"/>
          <w:szCs w:val="44"/>
          <w:highlight w:val="none"/>
          <w:lang w:val="en-US" w:eastAsia="zh-CN"/>
        </w:rPr>
        <w:t>提升项目</w:t>
      </w:r>
    </w:p>
    <w:p w14:paraId="260EDA6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b/>
          <w:color w:val="auto"/>
          <w:sz w:val="36"/>
          <w:szCs w:val="36"/>
          <w:highlight w:val="none"/>
          <w:lang w:eastAsia="zh-CN"/>
        </w:rPr>
      </w:pPr>
    </w:p>
    <w:p w14:paraId="1A4A0A6C">
      <w:pPr>
        <w:pStyle w:val="3"/>
        <w:rPr>
          <w:rFonts w:hint="eastAsia"/>
          <w:color w:val="auto"/>
          <w:highlight w:val="none"/>
        </w:rPr>
      </w:pPr>
    </w:p>
    <w:p w14:paraId="461C616E">
      <w:pPr>
        <w:rPr>
          <w:rFonts w:hint="eastAsia"/>
          <w:color w:val="auto"/>
          <w:highlight w:val="none"/>
        </w:rPr>
      </w:pPr>
    </w:p>
    <w:p w14:paraId="643F7927">
      <w:pPr>
        <w:rPr>
          <w:rFonts w:hint="eastAsia"/>
          <w:color w:val="auto"/>
          <w:highlight w:val="none"/>
        </w:rPr>
      </w:pPr>
    </w:p>
    <w:p w14:paraId="3B08B8B5">
      <w:pPr>
        <w:pStyle w:val="21"/>
        <w:ind w:firstLine="240"/>
        <w:rPr>
          <w:rFonts w:ascii="宋体"/>
          <w:color w:val="auto"/>
          <w:highlight w:val="none"/>
        </w:rPr>
      </w:pPr>
      <w:r>
        <w:rPr>
          <w:rFonts w:hint="eastAsia" w:ascii="宋体"/>
          <w:color w:val="auto"/>
          <w:highlight w:val="none"/>
        </w:rPr>
        <w:t xml:space="preserve"> </w:t>
      </w:r>
    </w:p>
    <w:p w14:paraId="1600B41A">
      <w:pPr>
        <w:adjustRightInd w:val="0"/>
        <w:snapToGrid w:val="0"/>
        <w:jc w:val="center"/>
        <w:rPr>
          <w:rFonts w:ascii="宋体" w:hAnsi="宋体"/>
          <w:b/>
          <w:color w:val="auto"/>
          <w:sz w:val="52"/>
          <w:szCs w:val="52"/>
          <w:highlight w:val="none"/>
        </w:rPr>
      </w:pPr>
      <w:r>
        <w:rPr>
          <w:rFonts w:hint="eastAsia" w:ascii="宋体" w:hAnsi="宋体"/>
          <w:b/>
          <w:color w:val="auto"/>
          <w:sz w:val="72"/>
          <w:szCs w:val="72"/>
          <w:highlight w:val="none"/>
        </w:rPr>
        <w:t xml:space="preserve"> </w:t>
      </w:r>
      <w:r>
        <w:rPr>
          <w:rFonts w:hint="eastAsia" w:ascii="宋体" w:hAnsi="宋体"/>
          <w:b/>
          <w:color w:val="auto"/>
          <w:sz w:val="72"/>
          <w:szCs w:val="72"/>
          <w:highlight w:val="none"/>
          <w:lang w:val="en-US" w:eastAsia="zh-CN"/>
        </w:rPr>
        <w:t>施工招标</w:t>
      </w:r>
      <w:r>
        <w:rPr>
          <w:rFonts w:hint="eastAsia" w:ascii="宋体" w:hAnsi="宋体"/>
          <w:b/>
          <w:color w:val="auto"/>
          <w:sz w:val="72"/>
          <w:szCs w:val="72"/>
          <w:highlight w:val="none"/>
        </w:rPr>
        <w:t>文件</w:t>
      </w:r>
    </w:p>
    <w:p w14:paraId="57CAF8A6">
      <w:pPr>
        <w:adjustRightInd w:val="0"/>
        <w:snapToGrid w:val="0"/>
        <w:jc w:val="center"/>
        <w:rPr>
          <w:rFonts w:ascii="宋体" w:hAnsi="宋体"/>
          <w:b/>
          <w:bCs/>
          <w:color w:val="auto"/>
          <w:sz w:val="44"/>
          <w:szCs w:val="44"/>
          <w:highlight w:val="none"/>
        </w:rPr>
      </w:pPr>
      <w:r>
        <w:rPr>
          <w:rFonts w:hint="eastAsia" w:ascii="宋体" w:hAnsi="宋体"/>
          <w:b/>
          <w:bCs/>
          <w:color w:val="auto"/>
          <w:sz w:val="44"/>
          <w:szCs w:val="44"/>
          <w:highlight w:val="none"/>
        </w:rPr>
        <w:t xml:space="preserve"> </w:t>
      </w:r>
    </w:p>
    <w:p w14:paraId="11EBBD05">
      <w:pPr>
        <w:adjustRightInd w:val="0"/>
        <w:snapToGrid w:val="0"/>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w:t>
      </w:r>
    </w:p>
    <w:p w14:paraId="1D63EEE7">
      <w:pPr>
        <w:pStyle w:val="3"/>
        <w:rPr>
          <w:rFonts w:hint="eastAsia" w:ascii="宋体" w:hAnsi="宋体"/>
          <w:b/>
          <w:bCs/>
          <w:color w:val="auto"/>
          <w:sz w:val="44"/>
          <w:szCs w:val="44"/>
          <w:highlight w:val="none"/>
        </w:rPr>
      </w:pPr>
    </w:p>
    <w:p w14:paraId="2BA6D13C">
      <w:pPr>
        <w:rPr>
          <w:rFonts w:hint="eastAsia"/>
          <w:color w:val="auto"/>
          <w:highlight w:val="none"/>
        </w:rPr>
      </w:pPr>
    </w:p>
    <w:p w14:paraId="05FAE36F">
      <w:pPr>
        <w:pStyle w:val="3"/>
        <w:ind w:left="0" w:leftChars="0" w:firstLine="0" w:firstLineChars="0"/>
        <w:rPr>
          <w:color w:val="auto"/>
          <w:highlight w:val="none"/>
        </w:rPr>
      </w:pPr>
    </w:p>
    <w:p w14:paraId="25E23278">
      <w:pPr>
        <w:rPr>
          <w:color w:val="auto"/>
          <w:highlight w:val="none"/>
        </w:rPr>
      </w:pPr>
    </w:p>
    <w:p w14:paraId="59C215EE">
      <w:pPr>
        <w:rPr>
          <w:color w:val="auto"/>
          <w:highlight w:val="none"/>
        </w:rPr>
      </w:pPr>
    </w:p>
    <w:p w14:paraId="07B9039D">
      <w:pPr>
        <w:adjustRightInd w:val="0"/>
        <w:snapToGrid w:val="0"/>
        <w:spacing w:line="360" w:lineRule="auto"/>
        <w:ind w:firstLine="723" w:firstLineChars="200"/>
        <w:rPr>
          <w:rFonts w:ascii="宋体" w:hAnsi="宋体"/>
          <w:b/>
          <w:bCs/>
          <w:color w:val="auto"/>
          <w:kern w:val="10"/>
          <w:sz w:val="36"/>
          <w:szCs w:val="36"/>
          <w:highlight w:val="none"/>
        </w:rPr>
      </w:pPr>
      <w:r>
        <w:rPr>
          <w:rFonts w:hint="eastAsia" w:ascii="宋体" w:hAnsi="宋体"/>
          <w:b/>
          <w:bCs/>
          <w:color w:val="auto"/>
          <w:kern w:val="10"/>
          <w:sz w:val="36"/>
          <w:szCs w:val="36"/>
          <w:highlight w:val="none"/>
        </w:rPr>
        <w:t xml:space="preserve"> </w:t>
      </w:r>
    </w:p>
    <w:p w14:paraId="33FE2B0D">
      <w:pPr>
        <w:adjustRightInd w:val="0"/>
        <w:snapToGrid w:val="0"/>
        <w:spacing w:line="360" w:lineRule="auto"/>
        <w:ind w:firstLine="1285" w:firstLineChars="400"/>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kern w:val="10"/>
          <w:sz w:val="32"/>
          <w:szCs w:val="32"/>
          <w:highlight w:val="none"/>
        </w:rPr>
        <w:t>招</w:t>
      </w:r>
      <w:r>
        <w:rPr>
          <w:rFonts w:hint="eastAsia" w:ascii="宋体" w:hAnsi="宋体" w:cs="宋体"/>
          <w:b/>
          <w:bCs/>
          <w:color w:val="auto"/>
          <w:kern w:val="10"/>
          <w:sz w:val="32"/>
          <w:szCs w:val="32"/>
          <w:highlight w:val="none"/>
          <w:lang w:val="en-US" w:eastAsia="zh-CN"/>
        </w:rPr>
        <w:t xml:space="preserve">  </w:t>
      </w:r>
      <w:r>
        <w:rPr>
          <w:rFonts w:hint="eastAsia" w:ascii="宋体" w:hAnsi="宋体" w:eastAsia="宋体" w:cs="宋体"/>
          <w:b/>
          <w:bCs/>
          <w:color w:val="auto"/>
          <w:kern w:val="10"/>
          <w:sz w:val="32"/>
          <w:szCs w:val="32"/>
          <w:highlight w:val="none"/>
        </w:rPr>
        <w:t xml:space="preserve"> 标</w:t>
      </w:r>
      <w:r>
        <w:rPr>
          <w:rFonts w:hint="eastAsia" w:ascii="宋体" w:hAnsi="宋体" w:cs="宋体"/>
          <w:b/>
          <w:bCs/>
          <w:color w:val="auto"/>
          <w:kern w:val="10"/>
          <w:sz w:val="32"/>
          <w:szCs w:val="32"/>
          <w:highlight w:val="none"/>
          <w:lang w:val="en-US" w:eastAsia="zh-CN"/>
        </w:rPr>
        <w:t xml:space="preserve">  </w:t>
      </w:r>
      <w:r>
        <w:rPr>
          <w:rFonts w:hint="eastAsia" w:ascii="宋体" w:hAnsi="宋体" w:eastAsia="宋体" w:cs="宋体"/>
          <w:b/>
          <w:bCs/>
          <w:color w:val="auto"/>
          <w:kern w:val="10"/>
          <w:sz w:val="32"/>
          <w:szCs w:val="32"/>
          <w:highlight w:val="none"/>
        </w:rPr>
        <w:t xml:space="preserve"> 人</w:t>
      </w:r>
      <w:r>
        <w:rPr>
          <w:rFonts w:hint="eastAsia" w:ascii="宋体" w:hAnsi="宋体" w:eastAsia="宋体" w:cs="宋体"/>
          <w:b/>
          <w:bCs/>
          <w:color w:val="auto"/>
          <w:sz w:val="32"/>
          <w:szCs w:val="32"/>
          <w:highlight w:val="none"/>
        </w:rPr>
        <w:t>：</w:t>
      </w:r>
      <w:r>
        <w:rPr>
          <w:rFonts w:hint="eastAsia" w:ascii="宋体" w:hAnsi="宋体" w:cs="宋体"/>
          <w:b/>
          <w:bCs/>
          <w:color w:val="auto"/>
          <w:sz w:val="32"/>
          <w:szCs w:val="32"/>
          <w:highlight w:val="none"/>
          <w:u w:val="single"/>
          <w:lang w:eastAsia="zh-CN"/>
        </w:rPr>
        <w:t>汝南县公路事业发展中心</w:t>
      </w:r>
    </w:p>
    <w:p w14:paraId="2409CD82">
      <w:pPr>
        <w:adjustRightInd w:val="0"/>
        <w:snapToGrid w:val="0"/>
        <w:spacing w:beforeLines="50" w:afterLines="50" w:line="360" w:lineRule="auto"/>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rPr>
        <w:t>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招标代理机构：</w:t>
      </w:r>
      <w:r>
        <w:rPr>
          <w:rFonts w:hint="eastAsia" w:ascii="宋体" w:hAnsi="宋体"/>
          <w:b/>
          <w:bCs/>
          <w:color w:val="auto"/>
          <w:sz w:val="32"/>
          <w:szCs w:val="32"/>
          <w:highlight w:val="none"/>
          <w:u w:val="single"/>
          <w:lang w:eastAsia="zh-CN"/>
        </w:rPr>
        <w:t>河南省盛鸿工程管理咨询有限公司</w:t>
      </w:r>
    </w:p>
    <w:p w14:paraId="74B7C247">
      <w:pPr>
        <w:adjustRightInd w:val="0"/>
        <w:snapToGrid w:val="0"/>
        <w:spacing w:line="360" w:lineRule="auto"/>
        <w:ind w:firstLine="1285" w:firstLineChars="400"/>
        <w:rPr>
          <w:rFonts w:hint="eastAsia" w:ascii="宋体" w:hAnsi="宋体" w:eastAsia="宋体" w:cs="宋体"/>
          <w:b/>
          <w:bCs/>
          <w:color w:val="auto"/>
          <w:sz w:val="32"/>
          <w:szCs w:val="32"/>
          <w:highlight w:val="none"/>
        </w:rPr>
        <w:sectPr>
          <w:footerReference r:id="rId5" w:type="first"/>
          <w:headerReference r:id="rId3" w:type="even"/>
          <w:footerReference r:id="rId4" w:type="even"/>
          <w:pgSz w:w="11906" w:h="16838"/>
          <w:pgMar w:top="1587" w:right="1417" w:bottom="1417" w:left="1417" w:header="851" w:footer="992" w:gutter="0"/>
          <w:pgBorders>
            <w:top w:val="none" w:sz="0" w:space="0"/>
            <w:left w:val="none" w:sz="0" w:space="0"/>
            <w:bottom w:val="none" w:sz="0" w:space="0"/>
            <w:right w:val="none" w:sz="0" w:space="0"/>
          </w:pgBorders>
          <w:cols w:space="720" w:num="1"/>
          <w:titlePg/>
          <w:docGrid w:type="lines" w:linePitch="312" w:charSpace="0"/>
        </w:sectPr>
      </w:pPr>
      <w:r>
        <w:rPr>
          <w:rFonts w:hint="eastAsia" w:ascii="宋体" w:hAnsi="宋体" w:eastAsia="宋体" w:cs="宋体"/>
          <w:b/>
          <w:bCs/>
          <w:color w:val="auto"/>
          <w:sz w:val="32"/>
          <w:szCs w:val="32"/>
          <w:highlight w:val="none"/>
        </w:rPr>
        <w:t>日        期：</w:t>
      </w:r>
      <w:r>
        <w:rPr>
          <w:rFonts w:hint="eastAsia" w:ascii="宋体" w:hAnsi="宋体" w:eastAsia="宋体" w:cs="宋体"/>
          <w:b/>
          <w:bCs/>
          <w:color w:val="auto"/>
          <w:sz w:val="32"/>
          <w:szCs w:val="32"/>
          <w:highlight w:val="none"/>
          <w:u w:val="single"/>
        </w:rPr>
        <w:t>202</w:t>
      </w:r>
      <w:r>
        <w:rPr>
          <w:rFonts w:hint="eastAsia" w:ascii="宋体" w:hAnsi="宋体" w:cs="宋体"/>
          <w:b/>
          <w:bCs/>
          <w:color w:val="auto"/>
          <w:sz w:val="32"/>
          <w:szCs w:val="32"/>
          <w:highlight w:val="none"/>
          <w:u w:val="single"/>
          <w:lang w:val="en-US" w:eastAsia="zh-CN"/>
        </w:rPr>
        <w:t>6</w:t>
      </w:r>
      <w:r>
        <w:rPr>
          <w:rFonts w:hint="eastAsia" w:ascii="宋体" w:hAnsi="宋体" w:eastAsia="宋体" w:cs="宋体"/>
          <w:b/>
          <w:bCs/>
          <w:color w:val="auto"/>
          <w:sz w:val="32"/>
          <w:szCs w:val="32"/>
          <w:highlight w:val="none"/>
        </w:rPr>
        <w:t>年</w:t>
      </w:r>
      <w:r>
        <w:rPr>
          <w:rFonts w:hint="eastAsia" w:ascii="宋体" w:hAnsi="宋体" w:eastAsia="宋体" w:cs="宋体"/>
          <w:b/>
          <w:bCs/>
          <w:color w:val="auto"/>
          <w:sz w:val="32"/>
          <w:szCs w:val="32"/>
          <w:highlight w:val="none"/>
          <w:u w:val="single"/>
        </w:rPr>
        <w:t xml:space="preserve"> </w:t>
      </w:r>
      <w:r>
        <w:rPr>
          <w:rFonts w:hint="eastAsia" w:ascii="宋体" w:hAnsi="宋体" w:cs="宋体"/>
          <w:b/>
          <w:bCs/>
          <w:color w:val="auto"/>
          <w:sz w:val="32"/>
          <w:szCs w:val="32"/>
          <w:highlight w:val="none"/>
          <w:u w:val="single"/>
          <w:lang w:val="en-US" w:eastAsia="zh-CN"/>
        </w:rPr>
        <w:t>11</w:t>
      </w:r>
      <w:r>
        <w:rPr>
          <w:rFonts w:hint="eastAsia" w:ascii="宋体" w:hAnsi="宋体" w:eastAsia="宋体" w:cs="宋体"/>
          <w:b/>
          <w:bCs/>
          <w:color w:val="auto"/>
          <w:sz w:val="32"/>
          <w:szCs w:val="32"/>
          <w:highlight w:val="none"/>
          <w:u w:val="single"/>
        </w:rPr>
        <w:t>月</w:t>
      </w:r>
    </w:p>
    <w:p w14:paraId="10E426DB">
      <w:pPr>
        <w:jc w:val="center"/>
        <w:outlineLvl w:val="0"/>
        <w:rPr>
          <w:rFonts w:ascii="宋体" w:hAnsi="宋体" w:cs="宋体"/>
          <w:b/>
          <w:color w:val="auto"/>
          <w:sz w:val="36"/>
          <w:highlight w:val="none"/>
        </w:rPr>
      </w:pPr>
      <w:r>
        <w:rPr>
          <w:rFonts w:hint="eastAsia" w:ascii="宋体" w:hAnsi="宋体" w:cs="宋体"/>
          <w:b/>
          <w:color w:val="auto"/>
          <w:sz w:val="36"/>
          <w:highlight w:val="none"/>
        </w:rPr>
        <w:t>招标代理项目部人员组成</w:t>
      </w:r>
    </w:p>
    <w:p w14:paraId="1272E96F">
      <w:pPr>
        <w:pStyle w:val="14"/>
        <w:rPr>
          <w:rFonts w:ascii="宋体" w:hAnsi="宋体" w:cs="宋体"/>
          <w:color w:val="auto"/>
          <w:highlight w:val="none"/>
        </w:rPr>
      </w:pPr>
    </w:p>
    <w:p w14:paraId="1BA1F9C7">
      <w:pPr>
        <w:rPr>
          <w:rFonts w:ascii="宋体" w:hAnsi="宋体" w:cs="宋体"/>
          <w:color w:val="auto"/>
          <w:highlight w:val="none"/>
        </w:rPr>
      </w:pPr>
    </w:p>
    <w:p w14:paraId="3F9B4871">
      <w:pPr>
        <w:numPr>
          <w:ilvl w:val="0"/>
          <w:numId w:val="1"/>
        </w:numPr>
        <w:wordWrap w:val="0"/>
        <w:spacing w:line="48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项目负责人</w:t>
      </w:r>
      <w:r>
        <w:rPr>
          <w:rFonts w:hint="eastAsia" w:ascii="宋体" w:hAnsi="宋体" w:cs="宋体"/>
          <w:color w:val="auto"/>
          <w:sz w:val="28"/>
          <w:szCs w:val="28"/>
          <w:highlight w:val="none"/>
          <w:u w:val="single"/>
        </w:rPr>
        <w:t xml:space="preserve"> 郑乃强</w:t>
      </w:r>
      <w:r>
        <w:rPr>
          <w:rFonts w:hint="eastAsia" w:ascii="宋体" w:hAnsi="宋体" w:cs="宋体"/>
          <w:color w:val="auto"/>
          <w:sz w:val="28"/>
          <w:szCs w:val="28"/>
          <w:highlight w:val="none"/>
        </w:rPr>
        <w:t>（建设类注册执业（职业）资格证号：豫241142294116）</w:t>
      </w:r>
    </w:p>
    <w:p w14:paraId="234D8CEA">
      <w:pPr>
        <w:wordWrap w:val="0"/>
        <w:spacing w:line="48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二、其他人员</w:t>
      </w:r>
    </w:p>
    <w:p w14:paraId="0C12FE71">
      <w:pPr>
        <w:wordWrap w:val="0"/>
        <w:spacing w:line="48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1、姓名： </w:t>
      </w:r>
      <w:r>
        <w:rPr>
          <w:rFonts w:hint="eastAsia" w:ascii="宋体" w:hAnsi="宋体" w:cs="宋体"/>
          <w:color w:val="auto"/>
          <w:sz w:val="28"/>
          <w:szCs w:val="28"/>
          <w:highlight w:val="none"/>
          <w:u w:val="single"/>
        </w:rPr>
        <w:t>王巧灵     Z4501003246</w:t>
      </w:r>
      <w:r>
        <w:rPr>
          <w:rFonts w:hint="eastAsia" w:ascii="宋体" w:hAnsi="宋体" w:cs="宋体"/>
          <w:color w:val="auto"/>
          <w:sz w:val="28"/>
          <w:szCs w:val="28"/>
          <w:highlight w:val="none"/>
        </w:rPr>
        <w:t xml:space="preserve"> （职业资格或岗位证号）</w:t>
      </w:r>
    </w:p>
    <w:p w14:paraId="3A3DF967">
      <w:pPr>
        <w:wordWrap w:val="0"/>
        <w:spacing w:line="48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2、姓名： </w:t>
      </w:r>
      <w:r>
        <w:rPr>
          <w:rFonts w:hint="eastAsia" w:ascii="宋体" w:hAnsi="宋体" w:cs="宋体"/>
          <w:color w:val="auto"/>
          <w:sz w:val="28"/>
          <w:szCs w:val="28"/>
          <w:highlight w:val="none"/>
          <w:u w:val="single"/>
        </w:rPr>
        <w:t>王利明      Z4501003251</w:t>
      </w:r>
      <w:r>
        <w:rPr>
          <w:rFonts w:hint="eastAsia" w:ascii="宋体" w:hAnsi="宋体" w:cs="宋体"/>
          <w:color w:val="auto"/>
          <w:sz w:val="28"/>
          <w:szCs w:val="28"/>
          <w:highlight w:val="none"/>
        </w:rPr>
        <w:t>（职业资格或岗位证号）</w:t>
      </w:r>
    </w:p>
    <w:p w14:paraId="658F9FEF">
      <w:pPr>
        <w:wordWrap w:val="0"/>
        <w:spacing w:line="480" w:lineRule="auto"/>
        <w:ind w:firstLine="560" w:firstLineChars="200"/>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3、姓名： </w:t>
      </w:r>
      <w:r>
        <w:rPr>
          <w:rFonts w:hint="eastAsia" w:ascii="宋体" w:hAnsi="宋体" w:cs="宋体"/>
          <w:color w:val="auto"/>
          <w:sz w:val="28"/>
          <w:szCs w:val="28"/>
          <w:highlight w:val="none"/>
          <w:u w:val="single"/>
        </w:rPr>
        <w:t>范志刚      Z4501003250</w:t>
      </w:r>
      <w:r>
        <w:rPr>
          <w:rFonts w:hint="eastAsia" w:ascii="宋体" w:hAnsi="宋体" w:cs="宋体"/>
          <w:color w:val="auto"/>
          <w:sz w:val="28"/>
          <w:szCs w:val="28"/>
          <w:highlight w:val="none"/>
        </w:rPr>
        <w:t>（职业资格或岗位证号）</w:t>
      </w:r>
    </w:p>
    <w:p w14:paraId="343D182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242613C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1743BC6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3F7B9BC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1CD6016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74E48FF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59A3E08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64CBC62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7D965DA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011716C3">
      <w:pPr>
        <w:pStyle w:val="28"/>
        <w:rPr>
          <w:rFonts w:hint="eastAsia" w:ascii="宋体" w:hAnsi="宋体"/>
          <w:color w:val="auto"/>
          <w:sz w:val="32"/>
          <w:szCs w:val="32"/>
          <w:highlight w:val="none"/>
        </w:rPr>
      </w:pPr>
    </w:p>
    <w:p w14:paraId="13B25576">
      <w:pPr>
        <w:pStyle w:val="28"/>
        <w:rPr>
          <w:rFonts w:hint="eastAsia" w:ascii="宋体" w:hAnsi="宋体"/>
          <w:color w:val="auto"/>
          <w:sz w:val="32"/>
          <w:szCs w:val="32"/>
          <w:highlight w:val="none"/>
        </w:rPr>
      </w:pPr>
    </w:p>
    <w:p w14:paraId="1976154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583C14F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1AEF071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143FFB9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总  目  录</w:t>
      </w:r>
    </w:p>
    <w:p w14:paraId="45D31CB1">
      <w:pPr>
        <w:tabs>
          <w:tab w:val="left" w:pos="1950"/>
        </w:tabs>
        <w:spacing w:line="480" w:lineRule="auto"/>
        <w:rPr>
          <w:rFonts w:hint="eastAsia" w:ascii="宋体" w:hAnsi="宋体" w:eastAsia="宋体" w:cs="宋体"/>
          <w:b/>
          <w:bCs/>
          <w:color w:val="auto"/>
          <w:sz w:val="36"/>
          <w:szCs w:val="36"/>
          <w:highlight w:val="none"/>
        </w:rPr>
      </w:pPr>
    </w:p>
    <w:p w14:paraId="6683D6AC">
      <w:pPr>
        <w:spacing w:line="360" w:lineRule="auto"/>
        <w:ind w:firstLine="482" w:firstLineChars="150"/>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第一卷</w:t>
      </w:r>
    </w:p>
    <w:p w14:paraId="3AA09B61">
      <w:pPr>
        <w:spacing w:line="360" w:lineRule="auto"/>
        <w:ind w:firstLine="422" w:firstLineChars="150"/>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第一章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招标公告·····································</w:t>
      </w:r>
      <w:r>
        <w:rPr>
          <w:rFonts w:hint="eastAsia" w:ascii="宋体" w:hAnsi="宋体" w:eastAsia="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en-US" w:eastAsia="zh-CN"/>
        </w:rPr>
        <w:t>1</w:t>
      </w:r>
    </w:p>
    <w:p w14:paraId="7BD798CE">
      <w:pPr>
        <w:spacing w:line="360" w:lineRule="auto"/>
        <w:ind w:firstLine="422" w:firstLineChars="15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第二章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投标人须知···································</w:t>
      </w:r>
      <w:r>
        <w:rPr>
          <w:rFonts w:hint="eastAsia" w:ascii="宋体" w:hAnsi="宋体" w:eastAsia="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 xml:space="preserve"> 8</w:t>
      </w:r>
    </w:p>
    <w:p w14:paraId="1AF4939A">
      <w:pPr>
        <w:spacing w:line="360" w:lineRule="auto"/>
        <w:ind w:firstLine="422" w:firstLineChars="150"/>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第三章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评标办法····································</w:t>
      </w:r>
      <w:r>
        <w:rPr>
          <w:rFonts w:hint="eastAsia" w:ascii="宋体" w:hAnsi="宋体" w:eastAsia="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en-US" w:eastAsia="zh-CN"/>
        </w:rPr>
        <w:t>3</w:t>
      </w:r>
      <w:r>
        <w:rPr>
          <w:rFonts w:hint="eastAsia" w:ascii="宋体" w:hAnsi="宋体" w:cs="宋体"/>
          <w:b/>
          <w:bCs/>
          <w:color w:val="auto"/>
          <w:sz w:val="28"/>
          <w:szCs w:val="28"/>
          <w:highlight w:val="none"/>
          <w:lang w:val="en-US" w:eastAsia="zh-CN"/>
        </w:rPr>
        <w:t>7</w:t>
      </w:r>
    </w:p>
    <w:p w14:paraId="40769E35">
      <w:pPr>
        <w:spacing w:line="360" w:lineRule="auto"/>
        <w:ind w:firstLine="422" w:firstLineChars="150"/>
        <w:jc w:val="lef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第四章</w:t>
      </w:r>
      <w:r>
        <w:rPr>
          <w:rFonts w:hint="eastAsia" w:ascii="宋体" w:hAnsi="宋体" w:eastAsia="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en-US" w:eastAsia="zh-CN"/>
        </w:rPr>
        <w:t>定标办法（随</w:t>
      </w:r>
      <w:r>
        <w:rPr>
          <w:rFonts w:hint="eastAsia" w:ascii="宋体" w:hAnsi="宋体" w:cs="宋体"/>
          <w:b/>
          <w:bCs/>
          <w:color w:val="auto"/>
          <w:sz w:val="28"/>
          <w:szCs w:val="28"/>
          <w:highlight w:val="none"/>
          <w:lang w:val="en-US" w:eastAsia="zh-CN"/>
        </w:rPr>
        <w:t>机</w:t>
      </w:r>
      <w:r>
        <w:rPr>
          <w:rFonts w:hint="eastAsia" w:ascii="宋体" w:hAnsi="宋体" w:eastAsia="宋体" w:cs="宋体"/>
          <w:b/>
          <w:bCs/>
          <w:color w:val="auto"/>
          <w:sz w:val="28"/>
          <w:szCs w:val="28"/>
          <w:highlight w:val="none"/>
          <w:lang w:val="en-US" w:eastAsia="zh-CN"/>
        </w:rPr>
        <w:t>法）</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en-US" w:eastAsia="zh-CN"/>
        </w:rPr>
        <w:t>45</w:t>
      </w:r>
    </w:p>
    <w:p w14:paraId="3C1C2D4D">
      <w:pPr>
        <w:spacing w:line="360" w:lineRule="auto"/>
        <w:ind w:firstLine="422" w:firstLineChars="150"/>
        <w:jc w:val="lef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第</w:t>
      </w:r>
      <w:r>
        <w:rPr>
          <w:rFonts w:hint="eastAsia" w:ascii="宋体" w:hAnsi="宋体" w:eastAsia="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rPr>
        <w:t>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合同条款及格式······························</w:t>
      </w:r>
      <w:r>
        <w:rPr>
          <w:rFonts w:hint="eastAsia" w:ascii="宋体" w:hAnsi="宋体" w:eastAsia="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en-US" w:eastAsia="zh-CN"/>
        </w:rPr>
        <w:t>4</w:t>
      </w:r>
      <w:r>
        <w:rPr>
          <w:rFonts w:hint="eastAsia" w:ascii="宋体" w:hAnsi="宋体" w:cs="宋体"/>
          <w:b/>
          <w:bCs/>
          <w:color w:val="auto"/>
          <w:sz w:val="28"/>
          <w:szCs w:val="28"/>
          <w:highlight w:val="none"/>
          <w:lang w:val="en-US" w:eastAsia="zh-CN"/>
        </w:rPr>
        <w:t>8</w:t>
      </w:r>
    </w:p>
    <w:p w14:paraId="57AD8F64">
      <w:pPr>
        <w:spacing w:line="360" w:lineRule="auto"/>
        <w:ind w:firstLine="422" w:firstLineChars="150"/>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第</w:t>
      </w:r>
      <w:r>
        <w:rPr>
          <w:rFonts w:hint="eastAsia" w:ascii="宋体" w:hAnsi="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工程量清单</w:t>
      </w:r>
      <w:r>
        <w:rPr>
          <w:rFonts w:hint="eastAsia" w:ascii="宋体" w:hAnsi="宋体" w:eastAsia="宋体" w:cs="宋体"/>
          <w:b/>
          <w:bCs/>
          <w:color w:val="auto"/>
          <w:sz w:val="28"/>
          <w:szCs w:val="28"/>
          <w:highlight w:val="none"/>
          <w:lang w:eastAsia="zh-CN"/>
        </w:rPr>
        <w:t>（另册）</w:t>
      </w: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en-US" w:eastAsia="zh-CN"/>
        </w:rPr>
        <w:t>9</w:t>
      </w:r>
      <w:r>
        <w:rPr>
          <w:rFonts w:hint="eastAsia" w:ascii="宋体" w:hAnsi="宋体" w:cs="宋体"/>
          <w:b/>
          <w:bCs/>
          <w:color w:val="auto"/>
          <w:sz w:val="28"/>
          <w:szCs w:val="28"/>
          <w:highlight w:val="none"/>
          <w:lang w:val="en-US" w:eastAsia="zh-CN"/>
        </w:rPr>
        <w:t>7</w:t>
      </w:r>
    </w:p>
    <w:p w14:paraId="16918F86">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2" w:firstLineChars="150"/>
        <w:jc w:val="left"/>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第二卷</w:t>
      </w:r>
    </w:p>
    <w:p w14:paraId="3E64FE4F">
      <w:pPr>
        <w:spacing w:line="360" w:lineRule="auto"/>
        <w:ind w:left="480"/>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第</w:t>
      </w:r>
      <w:r>
        <w:rPr>
          <w:rFonts w:hint="eastAsia" w:ascii="宋体" w:hAnsi="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rPr>
        <w:t>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图纸（另册）····························</w:t>
      </w:r>
      <w:r>
        <w:rPr>
          <w:rFonts w:hint="eastAsia" w:ascii="宋体" w:hAnsi="宋体" w:cs="宋体"/>
          <w:b/>
          <w:bCs/>
          <w:color w:val="auto"/>
          <w:sz w:val="28"/>
          <w:szCs w:val="28"/>
          <w:highlight w:val="none"/>
          <w:lang w:val="en-US" w:eastAsia="zh-CN"/>
        </w:rPr>
        <w:t xml:space="preserve">  102</w:t>
      </w:r>
    </w:p>
    <w:p w14:paraId="0026D746">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left="482"/>
        <w:jc w:val="left"/>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第三卷</w:t>
      </w:r>
    </w:p>
    <w:p w14:paraId="0ED83F61">
      <w:pPr>
        <w:spacing w:line="360" w:lineRule="auto"/>
        <w:ind w:left="480"/>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第</w:t>
      </w:r>
      <w:r>
        <w:rPr>
          <w:rFonts w:hint="eastAsia" w:ascii="宋体" w:hAnsi="宋体" w:cs="宋体"/>
          <w:b/>
          <w:bCs/>
          <w:color w:val="auto"/>
          <w:sz w:val="28"/>
          <w:szCs w:val="28"/>
          <w:highlight w:val="none"/>
          <w:lang w:val="en-US" w:eastAsia="zh-CN"/>
        </w:rPr>
        <w:t>八</w:t>
      </w:r>
      <w:r>
        <w:rPr>
          <w:rFonts w:hint="eastAsia" w:ascii="宋体" w:hAnsi="宋体" w:eastAsia="宋体" w:cs="宋体"/>
          <w:b/>
          <w:bCs/>
          <w:color w:val="auto"/>
          <w:sz w:val="28"/>
          <w:szCs w:val="28"/>
          <w:highlight w:val="none"/>
        </w:rPr>
        <w:t>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技术规范（另册）····························</w:t>
      </w:r>
      <w:r>
        <w:rPr>
          <w:rFonts w:hint="eastAsia" w:ascii="宋体" w:hAnsi="宋体" w:eastAsia="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en-US" w:eastAsia="zh-CN"/>
        </w:rPr>
        <w:t>10</w:t>
      </w:r>
      <w:r>
        <w:rPr>
          <w:rFonts w:hint="eastAsia" w:ascii="宋体" w:hAnsi="宋体" w:cs="宋体"/>
          <w:b/>
          <w:bCs/>
          <w:color w:val="auto"/>
          <w:sz w:val="28"/>
          <w:szCs w:val="28"/>
          <w:highlight w:val="none"/>
          <w:lang w:val="en-US" w:eastAsia="zh-CN"/>
        </w:rPr>
        <w:t>4</w:t>
      </w:r>
    </w:p>
    <w:p w14:paraId="77AEB8A8">
      <w:pPr>
        <w:spacing w:line="360" w:lineRule="auto"/>
        <w:ind w:left="480"/>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第</w:t>
      </w:r>
      <w:r>
        <w:rPr>
          <w:rFonts w:hint="eastAsia" w:ascii="宋体" w:hAnsi="宋体" w:cs="宋体"/>
          <w:b/>
          <w:bCs/>
          <w:color w:val="auto"/>
          <w:sz w:val="28"/>
          <w:szCs w:val="28"/>
          <w:highlight w:val="none"/>
          <w:lang w:val="en-US" w:eastAsia="zh-CN"/>
        </w:rPr>
        <w:t>九</w:t>
      </w:r>
      <w:r>
        <w:rPr>
          <w:rFonts w:hint="eastAsia" w:ascii="宋体" w:hAnsi="宋体" w:eastAsia="宋体" w:cs="宋体"/>
          <w:b/>
          <w:bCs/>
          <w:color w:val="auto"/>
          <w:sz w:val="28"/>
          <w:szCs w:val="28"/>
          <w:highlight w:val="none"/>
        </w:rPr>
        <w:t>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工程量清单计量规则（另册）··················</w:t>
      </w:r>
      <w:r>
        <w:rPr>
          <w:rFonts w:hint="eastAsia" w:ascii="宋体" w:hAnsi="宋体" w:eastAsia="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en-US" w:eastAsia="zh-CN"/>
        </w:rPr>
        <w:t>10</w:t>
      </w:r>
      <w:r>
        <w:rPr>
          <w:rFonts w:hint="eastAsia" w:ascii="宋体" w:hAnsi="宋体" w:cs="宋体"/>
          <w:b/>
          <w:bCs/>
          <w:color w:val="auto"/>
          <w:sz w:val="28"/>
          <w:szCs w:val="28"/>
          <w:highlight w:val="none"/>
          <w:lang w:val="en-US" w:eastAsia="zh-CN"/>
        </w:rPr>
        <w:t>5</w:t>
      </w:r>
    </w:p>
    <w:p w14:paraId="75028F6D">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left="482"/>
        <w:jc w:val="left"/>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第四卷</w:t>
      </w:r>
    </w:p>
    <w:p w14:paraId="6CE4E7F5">
      <w:pPr>
        <w:tabs>
          <w:tab w:val="left" w:pos="1701"/>
        </w:tabs>
        <w:spacing w:line="520" w:lineRule="exact"/>
        <w:ind w:firstLine="562" w:firstLineChars="200"/>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28"/>
          <w:szCs w:val="28"/>
          <w:highlight w:val="none"/>
        </w:rPr>
        <w:t>第</w:t>
      </w:r>
      <w:r>
        <w:rPr>
          <w:rFonts w:hint="eastAsia" w:ascii="宋体" w:hAnsi="宋体" w:cs="宋体"/>
          <w:b/>
          <w:bCs/>
          <w:color w:val="auto"/>
          <w:sz w:val="28"/>
          <w:szCs w:val="28"/>
          <w:highlight w:val="none"/>
          <w:lang w:val="en-US" w:eastAsia="zh-CN"/>
        </w:rPr>
        <w:t>十</w:t>
      </w:r>
      <w:r>
        <w:rPr>
          <w:rFonts w:hint="eastAsia" w:ascii="宋体" w:hAnsi="宋体" w:eastAsia="宋体" w:cs="宋体"/>
          <w:b/>
          <w:bCs/>
          <w:color w:val="auto"/>
          <w:sz w:val="28"/>
          <w:szCs w:val="28"/>
          <w:highlight w:val="none"/>
        </w:rPr>
        <w:t>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投标文件格式·······························</w:t>
      </w:r>
      <w:r>
        <w:rPr>
          <w:rFonts w:hint="eastAsia" w:ascii="宋体" w:hAnsi="宋体" w:eastAsia="宋体" w:cs="宋体"/>
          <w:b/>
          <w:bCs/>
          <w:color w:val="auto"/>
          <w:sz w:val="28"/>
          <w:szCs w:val="28"/>
          <w:highlight w:val="none"/>
          <w:lang w:val="en-US" w:eastAsia="zh-CN"/>
        </w:rPr>
        <w:t xml:space="preserve"> 10</w:t>
      </w:r>
      <w:r>
        <w:rPr>
          <w:rFonts w:hint="eastAsia" w:ascii="宋体" w:hAnsi="宋体" w:cs="宋体"/>
          <w:b/>
          <w:bCs/>
          <w:color w:val="auto"/>
          <w:sz w:val="28"/>
          <w:szCs w:val="28"/>
          <w:highlight w:val="none"/>
          <w:lang w:val="en-US" w:eastAsia="zh-CN"/>
        </w:rPr>
        <w:t>7</w:t>
      </w:r>
    </w:p>
    <w:p w14:paraId="1D406C57">
      <w:pPr>
        <w:tabs>
          <w:tab w:val="left" w:pos="1701"/>
        </w:tabs>
        <w:spacing w:line="520" w:lineRule="exact"/>
        <w:ind w:firstLine="640" w:firstLineChars="200"/>
        <w:rPr>
          <w:rFonts w:hint="eastAsia" w:ascii="宋体" w:hAnsi="宋体" w:eastAsia="宋体" w:cs="宋体"/>
          <w:b w:val="0"/>
          <w:bCs/>
          <w:color w:val="auto"/>
          <w:sz w:val="32"/>
          <w:szCs w:val="32"/>
          <w:highlight w:val="none"/>
        </w:rPr>
        <w:sectPr>
          <w:footerReference r:id="rId7" w:type="first"/>
          <w:footerReference r:id="rId6" w:type="default"/>
          <w:footnotePr>
            <w:numFmt w:val="decimalEnclosedCircleChinese"/>
          </w:footnotePr>
          <w:pgSz w:w="11906" w:h="16838"/>
          <w:pgMar w:top="1587" w:right="1418" w:bottom="1417" w:left="1418" w:header="851" w:footer="992" w:gutter="0"/>
          <w:pgNumType w:fmt="decimal" w:start="1"/>
          <w:cols w:space="720" w:num="1"/>
          <w:titlePg/>
          <w:docGrid w:type="lines" w:linePitch="312" w:charSpace="0"/>
        </w:sectPr>
      </w:pPr>
    </w:p>
    <w:p w14:paraId="72384E7F">
      <w:pPr>
        <w:keepNext w:val="0"/>
        <w:keepLines w:val="0"/>
        <w:pageBreakBefore w:val="0"/>
        <w:widowControl w:val="0"/>
        <w:kinsoku/>
        <w:wordWrap/>
        <w:overflowPunct/>
        <w:topLinePunct w:val="0"/>
        <w:autoSpaceDE/>
        <w:autoSpaceDN/>
        <w:bidi w:val="0"/>
        <w:adjustRightInd w:val="0"/>
        <w:snapToGrid w:val="0"/>
        <w:spacing w:before="5305" w:beforeLines="1700" w:line="360" w:lineRule="auto"/>
        <w:jc w:val="center"/>
        <w:textAlignment w:val="auto"/>
        <w:rPr>
          <w:rFonts w:ascii="宋体" w:hAnsi="宋体"/>
          <w:b/>
          <w:bCs/>
          <w:color w:val="auto"/>
          <w:sz w:val="56"/>
          <w:szCs w:val="56"/>
          <w:highlight w:val="none"/>
        </w:rPr>
      </w:pPr>
      <w:r>
        <w:rPr>
          <w:rFonts w:hint="eastAsia" w:ascii="宋体" w:hAnsi="宋体"/>
          <w:color w:val="auto"/>
          <w:highlight w:val="none"/>
        </w:rPr>
        <w:t xml:space="preserve">  </w:t>
      </w:r>
      <w:bookmarkStart w:id="0" w:name="_Toc132601550"/>
      <w:bookmarkEnd w:id="0"/>
      <w:bookmarkStart w:id="1" w:name="_Toc132601549"/>
      <w:bookmarkEnd w:id="1"/>
      <w:bookmarkStart w:id="2" w:name="_Hlt111980651"/>
      <w:r>
        <w:rPr>
          <w:rFonts w:hint="eastAsia" w:ascii="宋体" w:hAnsi="宋体"/>
          <w:b/>
          <w:bCs/>
          <w:color w:val="auto"/>
          <w:sz w:val="56"/>
          <w:szCs w:val="56"/>
          <w:highlight w:val="none"/>
          <w:lang w:eastAsia="zh-CN"/>
        </w:rPr>
        <w:t>第</w:t>
      </w:r>
      <w:r>
        <w:rPr>
          <w:rFonts w:hint="eastAsia" w:ascii="宋体" w:hAnsi="宋体"/>
          <w:b/>
          <w:bCs/>
          <w:color w:val="auto"/>
          <w:sz w:val="56"/>
          <w:szCs w:val="56"/>
          <w:highlight w:val="none"/>
          <w:lang w:val="en-US" w:eastAsia="zh-CN"/>
        </w:rPr>
        <w:t xml:space="preserve"> </w:t>
      </w:r>
      <w:r>
        <w:rPr>
          <w:rFonts w:hint="eastAsia" w:ascii="宋体" w:hAnsi="宋体"/>
          <w:b/>
          <w:bCs/>
          <w:color w:val="auto"/>
          <w:sz w:val="56"/>
          <w:szCs w:val="56"/>
          <w:highlight w:val="none"/>
          <w:lang w:eastAsia="zh-CN"/>
        </w:rPr>
        <w:t>一</w:t>
      </w:r>
      <w:r>
        <w:rPr>
          <w:rFonts w:hint="eastAsia" w:ascii="宋体" w:hAnsi="宋体"/>
          <w:b/>
          <w:bCs/>
          <w:color w:val="auto"/>
          <w:sz w:val="56"/>
          <w:szCs w:val="56"/>
          <w:highlight w:val="none"/>
          <w:lang w:val="en-US" w:eastAsia="zh-CN"/>
        </w:rPr>
        <w:t xml:space="preserve"> </w:t>
      </w:r>
      <w:r>
        <w:rPr>
          <w:rFonts w:hint="eastAsia" w:ascii="宋体" w:hAnsi="宋体"/>
          <w:b/>
          <w:bCs/>
          <w:color w:val="auto"/>
          <w:sz w:val="56"/>
          <w:szCs w:val="56"/>
          <w:highlight w:val="none"/>
          <w:lang w:eastAsia="zh-CN"/>
        </w:rPr>
        <w:t>卷</w:t>
      </w:r>
      <w:r>
        <w:rPr>
          <w:rFonts w:hint="eastAsia" w:ascii="宋体" w:hAnsi="宋体"/>
          <w:b/>
          <w:bCs/>
          <w:color w:val="auto"/>
          <w:sz w:val="56"/>
          <w:szCs w:val="56"/>
          <w:highlight w:val="none"/>
        </w:rPr>
        <w:t xml:space="preserve"> </w:t>
      </w:r>
      <w:bookmarkEnd w:id="2"/>
    </w:p>
    <w:p w14:paraId="65A89CEC">
      <w:pPr>
        <w:keepNext w:val="0"/>
        <w:keepLines w:val="0"/>
        <w:pageBreakBefore w:val="0"/>
        <w:widowControl w:val="0"/>
        <w:kinsoku/>
        <w:wordWrap/>
        <w:overflowPunct/>
        <w:topLinePunct w:val="0"/>
        <w:autoSpaceDE/>
        <w:autoSpaceDN/>
        <w:bidi w:val="0"/>
        <w:adjustRightInd w:val="0"/>
        <w:snapToGrid w:val="0"/>
        <w:spacing w:before="5305" w:beforeLines="1700" w:line="240" w:lineRule="auto"/>
        <w:jc w:val="center"/>
        <w:textAlignment w:val="auto"/>
        <w:rPr>
          <w:rFonts w:hint="eastAsia" w:ascii="宋体" w:hAnsi="宋体"/>
          <w:b/>
          <w:color w:val="auto"/>
          <w:kern w:val="44"/>
          <w:sz w:val="48"/>
          <w:szCs w:val="48"/>
          <w:highlight w:val="none"/>
        </w:rPr>
      </w:pPr>
      <w:bookmarkStart w:id="3" w:name="_Toc24402"/>
      <w:bookmarkEnd w:id="3"/>
    </w:p>
    <w:p w14:paraId="03ED6F5B">
      <w:pPr>
        <w:keepNext w:val="0"/>
        <w:keepLines w:val="0"/>
        <w:pageBreakBefore w:val="0"/>
        <w:widowControl w:val="0"/>
        <w:kinsoku/>
        <w:wordWrap/>
        <w:overflowPunct/>
        <w:topLinePunct w:val="0"/>
        <w:autoSpaceDE/>
        <w:autoSpaceDN/>
        <w:bidi w:val="0"/>
        <w:adjustRightInd w:val="0"/>
        <w:snapToGrid w:val="0"/>
        <w:spacing w:before="5305" w:beforeLines="1700" w:line="240" w:lineRule="auto"/>
        <w:jc w:val="center"/>
        <w:textAlignment w:val="auto"/>
        <w:rPr>
          <w:b/>
          <w:color w:val="auto"/>
          <w:kern w:val="44"/>
          <w:sz w:val="48"/>
          <w:szCs w:val="48"/>
          <w:highlight w:val="none"/>
        </w:rPr>
      </w:pPr>
      <w:r>
        <w:rPr>
          <w:rFonts w:hint="eastAsia" w:ascii="宋体" w:hAnsi="宋体"/>
          <w:b/>
          <w:color w:val="auto"/>
          <w:kern w:val="44"/>
          <w:sz w:val="48"/>
          <w:szCs w:val="48"/>
          <w:highlight w:val="none"/>
        </w:rPr>
        <w:t>第一章  招标公告</w:t>
      </w:r>
      <w:bookmarkStart w:id="4" w:name="OLE_LINK4"/>
      <w:bookmarkEnd w:id="4"/>
      <w:bookmarkStart w:id="5" w:name="OLE_LINK2"/>
      <w:bookmarkEnd w:id="5"/>
      <w:bookmarkStart w:id="6" w:name="OLE_LINK1"/>
      <w:bookmarkEnd w:id="6"/>
      <w:bookmarkStart w:id="7" w:name="OLE_LINK3"/>
      <w:bookmarkEnd w:id="7"/>
    </w:p>
    <w:p w14:paraId="6EBAE0BC">
      <w:pPr>
        <w:keepNext w:val="0"/>
        <w:keepLines w:val="0"/>
        <w:pageBreakBefore w:val="0"/>
        <w:widowControl w:val="0"/>
        <w:kinsoku/>
        <w:wordWrap w:val="0"/>
        <w:overflowPunct/>
        <w:topLinePunct w:val="0"/>
        <w:autoSpaceDE/>
        <w:autoSpaceDN/>
        <w:bidi w:val="0"/>
        <w:adjustRightInd w:val="0"/>
        <w:snapToGrid w:val="0"/>
        <w:spacing w:line="400" w:lineRule="exact"/>
        <w:ind w:right="0"/>
        <w:jc w:val="center"/>
        <w:textAlignment w:val="auto"/>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t>汝南县2026年第二批农村道路与桥涵建设提升项目</w:t>
      </w:r>
    </w:p>
    <w:p w14:paraId="5020BF66">
      <w:pPr>
        <w:keepNext w:val="0"/>
        <w:keepLines w:val="0"/>
        <w:pageBreakBefore w:val="0"/>
        <w:widowControl w:val="0"/>
        <w:kinsoku/>
        <w:wordWrap w:val="0"/>
        <w:overflowPunct/>
        <w:topLinePunct w:val="0"/>
        <w:autoSpaceDE/>
        <w:autoSpaceDN/>
        <w:bidi w:val="0"/>
        <w:adjustRightInd w:val="0"/>
        <w:snapToGrid w:val="0"/>
        <w:spacing w:line="400" w:lineRule="exact"/>
        <w:ind w:right="0"/>
        <w:jc w:val="center"/>
        <w:textAlignment w:val="auto"/>
        <w:rPr>
          <w:rFonts w:ascii="宋体" w:hAnsi="宋体"/>
          <w:b/>
          <w:color w:val="auto"/>
          <w:sz w:val="36"/>
          <w:szCs w:val="36"/>
          <w:highlight w:val="none"/>
        </w:rPr>
      </w:pPr>
      <w:r>
        <w:rPr>
          <w:rFonts w:hint="eastAsia" w:ascii="宋体" w:hAnsi="宋体"/>
          <w:b/>
          <w:color w:val="auto"/>
          <w:sz w:val="36"/>
          <w:szCs w:val="36"/>
          <w:highlight w:val="none"/>
        </w:rPr>
        <w:t>招标公告</w:t>
      </w:r>
    </w:p>
    <w:p w14:paraId="4D1F3F55">
      <w:pPr>
        <w:pStyle w:val="21"/>
        <w:keepNext w:val="0"/>
        <w:keepLines w:val="0"/>
        <w:pageBreakBefore w:val="0"/>
        <w:widowControl w:val="0"/>
        <w:kinsoku/>
        <w:wordWrap w:val="0"/>
        <w:overflowPunct/>
        <w:topLinePunct w:val="0"/>
        <w:autoSpaceDE/>
        <w:autoSpaceDN/>
        <w:bidi w:val="0"/>
        <w:adjustRightInd/>
        <w:snapToGrid/>
        <w:spacing w:after="0" w:line="400" w:lineRule="exact"/>
        <w:ind w:right="0" w:firstLine="3614" w:firstLineChars="1500"/>
        <w:textAlignment w:val="auto"/>
        <w:rPr>
          <w:rFonts w:hint="default" w:ascii="宋体" w:eastAsia="宋体"/>
          <w:b/>
          <w:color w:val="auto"/>
          <w:highlight w:val="none"/>
          <w:u w:val="single"/>
          <w:lang w:val="en-US" w:eastAsia="zh-CN"/>
        </w:rPr>
      </w:pPr>
      <w:r>
        <w:rPr>
          <w:rFonts w:hint="eastAsia" w:ascii="宋体"/>
          <w:b/>
          <w:color w:val="auto"/>
          <w:highlight w:val="none"/>
          <w:lang w:eastAsia="zh-CN"/>
        </w:rPr>
        <w:t>招标</w:t>
      </w:r>
      <w:r>
        <w:rPr>
          <w:rFonts w:hint="eastAsia" w:ascii="宋体"/>
          <w:b/>
          <w:color w:val="auto"/>
          <w:highlight w:val="none"/>
        </w:rPr>
        <w:t>编号</w:t>
      </w:r>
      <w:r>
        <w:rPr>
          <w:rFonts w:hint="eastAsia" w:ascii="宋体"/>
          <w:b/>
          <w:color w:val="auto"/>
          <w:highlight w:val="none"/>
          <w:lang w:val="en-US" w:eastAsia="zh-CN"/>
        </w:rPr>
        <w:t>:RN</w:t>
      </w:r>
      <w:r>
        <w:rPr>
          <w:rFonts w:hint="eastAsia" w:ascii="宋体"/>
          <w:b/>
          <w:color w:val="auto"/>
          <w:highlight w:val="none"/>
        </w:rPr>
        <w:t>202</w:t>
      </w:r>
      <w:r>
        <w:rPr>
          <w:rFonts w:hint="eastAsia" w:ascii="宋体"/>
          <w:b/>
          <w:color w:val="auto"/>
          <w:highlight w:val="none"/>
          <w:lang w:val="en-US" w:eastAsia="zh-CN"/>
        </w:rPr>
        <w:t>6</w:t>
      </w:r>
      <w:r>
        <w:rPr>
          <w:rFonts w:hint="eastAsia" w:ascii="宋体"/>
          <w:b/>
          <w:color w:val="auto"/>
          <w:highlight w:val="none"/>
        </w:rPr>
        <w:t>-</w:t>
      </w:r>
      <w:r>
        <w:rPr>
          <w:rFonts w:hint="eastAsia" w:ascii="宋体"/>
          <w:b/>
          <w:color w:val="auto"/>
          <w:highlight w:val="none"/>
          <w:lang w:val="en-US" w:eastAsia="zh-CN"/>
        </w:rPr>
        <w:t>025</w:t>
      </w:r>
    </w:p>
    <w:p w14:paraId="197AB6C3">
      <w:pPr>
        <w:keepNext w:val="0"/>
        <w:keepLines w:val="0"/>
        <w:pageBreakBefore w:val="0"/>
        <w:widowControl w:val="0"/>
        <w:kinsoku/>
        <w:wordWrap w:val="0"/>
        <w:overflowPunct/>
        <w:topLinePunct w:val="0"/>
        <w:autoSpaceDE/>
        <w:autoSpaceDN/>
        <w:bidi w:val="0"/>
        <w:adjustRightInd/>
        <w:snapToGrid/>
        <w:spacing w:line="360" w:lineRule="auto"/>
        <w:ind w:right="0"/>
        <w:textAlignment w:val="auto"/>
        <w:rPr>
          <w:rFonts w:ascii="宋体" w:hAnsi="宋体"/>
          <w:color w:val="auto"/>
          <w:sz w:val="24"/>
          <w:szCs w:val="24"/>
          <w:highlight w:val="none"/>
        </w:rPr>
      </w:pPr>
      <w:bookmarkStart w:id="8" w:name="_Toc288741553"/>
      <w:bookmarkEnd w:id="8"/>
      <w:bookmarkStart w:id="9" w:name="_Toc16778731"/>
      <w:r>
        <w:rPr>
          <w:rFonts w:hint="eastAsia" w:ascii="宋体" w:hAnsi="宋体"/>
          <w:b/>
          <w:color w:val="auto"/>
          <w:sz w:val="24"/>
          <w:szCs w:val="24"/>
          <w:highlight w:val="none"/>
        </w:rPr>
        <w:t>1</w:t>
      </w:r>
      <w:bookmarkEnd w:id="9"/>
      <w:r>
        <w:rPr>
          <w:rFonts w:hint="eastAsia" w:ascii="宋体" w:hAnsi="宋体"/>
          <w:b/>
          <w:color w:val="auto"/>
          <w:sz w:val="24"/>
          <w:szCs w:val="24"/>
          <w:highlight w:val="none"/>
        </w:rPr>
        <w:t>.招标条件</w:t>
      </w:r>
    </w:p>
    <w:p w14:paraId="74DC223F">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ascii="宋体" w:hAnsi="宋体"/>
          <w:color w:val="auto"/>
          <w:highlight w:val="none"/>
        </w:rPr>
      </w:pPr>
      <w:r>
        <w:rPr>
          <w:rFonts w:hint="eastAsia" w:ascii="宋体" w:hAnsi="宋体" w:eastAsia="宋体" w:cs="宋体"/>
          <w:color w:val="auto"/>
          <w:kern w:val="2"/>
          <w:sz w:val="21"/>
          <w:szCs w:val="21"/>
          <w:highlight w:val="none"/>
          <w:lang w:val="en-US" w:eastAsia="zh-CN" w:bidi="ar-SA"/>
        </w:rPr>
        <w:t>本招标项目</w:t>
      </w:r>
      <w:r>
        <w:rPr>
          <w:rFonts w:hint="eastAsia" w:ascii="宋体" w:hAnsi="宋体" w:cs="宋体"/>
          <w:color w:val="auto"/>
          <w:kern w:val="2"/>
          <w:sz w:val="21"/>
          <w:szCs w:val="21"/>
          <w:highlight w:val="none"/>
          <w:u w:val="single"/>
          <w:lang w:val="en-US" w:eastAsia="zh-CN" w:bidi="ar-SA"/>
        </w:rPr>
        <w:t>汝南县2026年第二批农村道路与桥涵建设提升项目</w:t>
      </w:r>
      <w:r>
        <w:rPr>
          <w:rFonts w:hint="eastAsia" w:ascii="宋体" w:hAnsi="宋体" w:eastAsia="宋体" w:cs="宋体"/>
          <w:color w:val="auto"/>
          <w:kern w:val="2"/>
          <w:sz w:val="21"/>
          <w:szCs w:val="21"/>
          <w:highlight w:val="none"/>
          <w:lang w:val="en-US" w:eastAsia="zh-CN" w:bidi="ar-SA"/>
        </w:rPr>
        <w:t>已由汝发改交通[2026]6号文件、汝发改交通[2026]7号批准</w:t>
      </w:r>
      <w:r>
        <w:rPr>
          <w:rFonts w:hint="eastAsia" w:ascii="宋体" w:hAnsi="宋体" w:cs="宋体"/>
          <w:color w:val="auto"/>
          <w:kern w:val="2"/>
          <w:sz w:val="21"/>
          <w:szCs w:val="21"/>
          <w:highlight w:val="none"/>
          <w:lang w:val="en-US" w:eastAsia="zh-CN" w:bidi="ar-SA"/>
        </w:rPr>
        <w:t>实施</w:t>
      </w:r>
      <w:r>
        <w:rPr>
          <w:rFonts w:hint="eastAsia" w:ascii="宋体" w:hAnsi="宋体" w:eastAsia="宋体" w:cs="宋体"/>
          <w:color w:val="auto"/>
          <w:kern w:val="2"/>
          <w:sz w:val="21"/>
          <w:szCs w:val="21"/>
          <w:highlight w:val="none"/>
          <w:lang w:val="en-US" w:eastAsia="zh-CN" w:bidi="ar-SA"/>
        </w:rPr>
        <w:t>，项目代码：</w:t>
      </w:r>
      <w:r>
        <w:rPr>
          <w:rFonts w:hint="eastAsia" w:ascii="宋体" w:hAnsi="宋体" w:eastAsia="宋体" w:cs="宋体"/>
          <w:color w:val="auto"/>
          <w:kern w:val="2"/>
          <w:sz w:val="21"/>
          <w:szCs w:val="21"/>
          <w:highlight w:val="none"/>
          <w:u w:val="single"/>
          <w:lang w:val="en-US" w:eastAsia="zh-CN" w:bidi="ar-SA"/>
        </w:rPr>
        <w:t>2610-411727-04-01-681302</w:t>
      </w:r>
      <w:r>
        <w:rPr>
          <w:rFonts w:hint="eastAsia" w:ascii="宋体" w:hAnsi="宋体" w:eastAsia="宋体" w:cs="宋体"/>
          <w:color w:val="auto"/>
          <w:kern w:val="2"/>
          <w:sz w:val="21"/>
          <w:szCs w:val="21"/>
          <w:highlight w:val="none"/>
          <w:lang w:val="en-US" w:eastAsia="zh-CN" w:bidi="ar-SA"/>
        </w:rPr>
        <w:t>，建设资金来源为财政帮扶资金，招标人为</w:t>
      </w:r>
      <w:r>
        <w:rPr>
          <w:rFonts w:hint="eastAsia" w:ascii="宋体" w:hAnsi="宋体" w:cs="宋体"/>
          <w:color w:val="auto"/>
          <w:kern w:val="2"/>
          <w:sz w:val="21"/>
          <w:szCs w:val="21"/>
          <w:highlight w:val="none"/>
          <w:u w:val="single"/>
          <w:lang w:val="en-US" w:eastAsia="zh-CN" w:bidi="ar-SA"/>
        </w:rPr>
        <w:t>汝南县公路事业发展中心</w:t>
      </w:r>
      <w:r>
        <w:rPr>
          <w:rFonts w:hint="eastAsia" w:ascii="宋体" w:hAnsi="宋体" w:eastAsia="宋体" w:cs="宋体"/>
          <w:color w:val="auto"/>
          <w:kern w:val="2"/>
          <w:sz w:val="21"/>
          <w:szCs w:val="21"/>
          <w:highlight w:val="none"/>
          <w:lang w:val="en-US" w:eastAsia="zh-CN" w:bidi="ar-SA"/>
        </w:rPr>
        <w:t>。项目已具备招标条件，现对该项目的施工进行公开招标。</w:t>
      </w:r>
    </w:p>
    <w:p w14:paraId="1147EE00">
      <w:pPr>
        <w:keepNext w:val="0"/>
        <w:keepLines w:val="0"/>
        <w:pageBreakBefore w:val="0"/>
        <w:widowControl w:val="0"/>
        <w:kinsoku/>
        <w:wordWrap w:val="0"/>
        <w:overflowPunct/>
        <w:topLinePunct w:val="0"/>
        <w:autoSpaceDE/>
        <w:autoSpaceDN/>
        <w:bidi w:val="0"/>
        <w:adjustRightInd/>
        <w:snapToGrid/>
        <w:spacing w:line="360" w:lineRule="auto"/>
        <w:ind w:right="0"/>
        <w:textAlignment w:val="auto"/>
        <w:rPr>
          <w:rFonts w:hint="eastAsia" w:ascii="宋体" w:hAnsi="宋体" w:cs="Times New Roman"/>
          <w:b/>
          <w:color w:val="auto"/>
          <w:sz w:val="24"/>
          <w:szCs w:val="24"/>
          <w:highlight w:val="none"/>
        </w:rPr>
      </w:pPr>
      <w:bookmarkStart w:id="10" w:name="_Toc16778732"/>
      <w:bookmarkEnd w:id="10"/>
      <w:bookmarkStart w:id="11" w:name="_Toc288741554"/>
      <w:bookmarkEnd w:id="11"/>
      <w:bookmarkStart w:id="12" w:name="_Toc288741555"/>
      <w:bookmarkEnd w:id="12"/>
      <w:bookmarkStart w:id="13" w:name="_Toc16778733"/>
      <w:r>
        <w:rPr>
          <w:rFonts w:hint="eastAsia" w:ascii="宋体" w:hAnsi="宋体" w:cs="Times New Roman"/>
          <w:b/>
          <w:color w:val="auto"/>
          <w:sz w:val="24"/>
          <w:szCs w:val="24"/>
          <w:highlight w:val="none"/>
        </w:rPr>
        <w:t>2</w:t>
      </w:r>
      <w:bookmarkEnd w:id="13"/>
      <w:r>
        <w:rPr>
          <w:rFonts w:hint="eastAsia" w:ascii="宋体" w:hAnsi="宋体" w:cs="Times New Roman"/>
          <w:b/>
          <w:color w:val="auto"/>
          <w:sz w:val="24"/>
          <w:szCs w:val="24"/>
          <w:highlight w:val="none"/>
        </w:rPr>
        <w:t>.项目概况与招标范围</w:t>
      </w:r>
    </w:p>
    <w:p w14:paraId="29AB66C1">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2.1</w:t>
      </w:r>
      <w:r>
        <w:rPr>
          <w:rFonts w:hint="eastAsia" w:ascii="宋体" w:hAnsi="宋体" w:cs="宋体"/>
          <w:color w:val="auto"/>
          <w:kern w:val="2"/>
          <w:sz w:val="21"/>
          <w:szCs w:val="21"/>
          <w:highlight w:val="none"/>
          <w:lang w:val="en-US" w:eastAsia="zh-CN" w:bidi="ar-SA"/>
        </w:rPr>
        <w:t>项目名称：汝南县2026年第二批农村道路与桥涵建设提升项目</w:t>
      </w:r>
    </w:p>
    <w:p w14:paraId="5317FD8F">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2.2</w:t>
      </w:r>
      <w:r>
        <w:rPr>
          <w:rFonts w:hint="eastAsia" w:ascii="宋体" w:hAnsi="宋体" w:eastAsia="宋体" w:cs="宋体"/>
          <w:color w:val="auto"/>
          <w:kern w:val="2"/>
          <w:sz w:val="21"/>
          <w:szCs w:val="21"/>
          <w:highlight w:val="none"/>
          <w:lang w:val="en-US" w:eastAsia="zh-CN" w:bidi="ar-SA"/>
        </w:rPr>
        <w:t>项目建设地点：</w:t>
      </w:r>
      <w:r>
        <w:rPr>
          <w:rFonts w:hint="eastAsia" w:ascii="宋体" w:hAnsi="宋体" w:cs="宋体"/>
          <w:color w:val="auto"/>
          <w:kern w:val="2"/>
          <w:sz w:val="21"/>
          <w:szCs w:val="21"/>
          <w:highlight w:val="none"/>
          <w:lang w:val="en-US" w:eastAsia="zh-CN" w:bidi="ar-SA"/>
        </w:rPr>
        <w:t>汝南县</w:t>
      </w:r>
      <w:r>
        <w:rPr>
          <w:rFonts w:hint="eastAsia" w:ascii="宋体" w:hAnsi="宋体" w:eastAsia="宋体" w:cs="宋体"/>
          <w:color w:val="auto"/>
          <w:kern w:val="2"/>
          <w:sz w:val="21"/>
          <w:szCs w:val="21"/>
          <w:highlight w:val="none"/>
          <w:lang w:val="en-US" w:eastAsia="zh-CN" w:bidi="ar-SA"/>
        </w:rPr>
        <w:t>境内。</w:t>
      </w:r>
    </w:p>
    <w:p w14:paraId="32B671F8">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项目规模：汝南县2026年第二批农村道路与桥涵建设提升项目</w:t>
      </w:r>
      <w:r>
        <w:rPr>
          <w:rFonts w:hint="eastAsia" w:ascii="宋体" w:hAnsi="宋体" w:cs="宋体"/>
          <w:color w:val="auto"/>
          <w:kern w:val="2"/>
          <w:sz w:val="21"/>
          <w:szCs w:val="21"/>
          <w:highlight w:val="none"/>
          <w:lang w:val="en-US" w:eastAsia="zh-CN" w:bidi="ar-SA"/>
        </w:rPr>
        <w:t>包含两个子项目分别为（1）</w:t>
      </w:r>
      <w:r>
        <w:rPr>
          <w:rFonts w:hint="eastAsia" w:ascii="宋体" w:hAnsi="宋体" w:eastAsia="宋体" w:cs="宋体"/>
          <w:color w:val="auto"/>
          <w:kern w:val="2"/>
          <w:sz w:val="21"/>
          <w:szCs w:val="21"/>
          <w:highlight w:val="none"/>
          <w:lang w:val="en-US" w:eastAsia="zh-CN" w:bidi="ar-SA"/>
        </w:rPr>
        <w:t>2026年汝南县第二批农村道路与桥涵建设项目</w:t>
      </w:r>
      <w:r>
        <w:rPr>
          <w:rFonts w:hint="eastAsia" w:ascii="宋体" w:hAnsi="宋体" w:cs="宋体"/>
          <w:color w:val="auto"/>
          <w:kern w:val="2"/>
          <w:sz w:val="21"/>
          <w:szCs w:val="21"/>
          <w:highlight w:val="none"/>
          <w:lang w:val="en-US" w:eastAsia="zh-CN" w:bidi="ar-SA"/>
        </w:rPr>
        <w:t>，建设内容为</w:t>
      </w:r>
      <w:r>
        <w:rPr>
          <w:rFonts w:hint="eastAsia" w:ascii="宋体" w:hAnsi="宋体" w:eastAsia="宋体" w:cs="宋体"/>
          <w:color w:val="auto"/>
          <w:kern w:val="2"/>
          <w:sz w:val="21"/>
          <w:szCs w:val="21"/>
          <w:highlight w:val="none"/>
          <w:lang w:val="en-US" w:eastAsia="zh-CN" w:bidi="ar-SA"/>
        </w:rPr>
        <w:t>拟建项目水泥混凝土路面53847.4平方米；水泥石渣基层65871.6平方米。全线无桥梁，共设涵洞1道；全线平面交叉20处；标志牌5个；波形梁护栏532米。</w:t>
      </w:r>
      <w:r>
        <w:rPr>
          <w:rFonts w:hint="eastAsia" w:ascii="宋体" w:hAnsi="宋体" w:cs="宋体"/>
          <w:color w:val="auto"/>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2026年汝南县农村道路与桥涵建设提升项目</w:t>
      </w:r>
      <w:r>
        <w:rPr>
          <w:rFonts w:hint="eastAsia" w:ascii="宋体" w:hAnsi="宋体" w:cs="宋体"/>
          <w:color w:val="auto"/>
          <w:kern w:val="2"/>
          <w:sz w:val="21"/>
          <w:szCs w:val="21"/>
          <w:highlight w:val="none"/>
          <w:lang w:val="en-US" w:eastAsia="zh-CN" w:bidi="ar-SA"/>
        </w:rPr>
        <w:t>，建设内容为</w:t>
      </w:r>
      <w:r>
        <w:rPr>
          <w:rFonts w:hint="eastAsia" w:ascii="宋体" w:hAnsi="宋体" w:eastAsia="宋体" w:cs="宋体"/>
          <w:color w:val="auto"/>
          <w:kern w:val="2"/>
          <w:sz w:val="21"/>
          <w:szCs w:val="21"/>
          <w:highlight w:val="none"/>
          <w:lang w:val="en-US" w:eastAsia="zh-CN" w:bidi="ar-SA"/>
        </w:rPr>
        <w:t>拟建项目水泥混凝土路面46042.6平方米；水泥石渣基层51287.7平方米。全线拆旧建新1</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16米小桥1座，共设涵洞2道；全线平面交叉16处；波形梁护栏832米。</w:t>
      </w:r>
    </w:p>
    <w:p w14:paraId="6B751B25">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2.4本项目招标控制价18320462.00元（其中：</w:t>
      </w:r>
      <w:r>
        <w:rPr>
          <w:rFonts w:hint="eastAsia" w:ascii="宋体" w:hAnsi="宋体" w:eastAsia="宋体" w:cs="宋体"/>
          <w:color w:val="auto"/>
          <w:kern w:val="2"/>
          <w:sz w:val="21"/>
          <w:szCs w:val="21"/>
          <w:highlight w:val="none"/>
          <w:lang w:val="en-US" w:eastAsia="zh-CN" w:bidi="ar-SA"/>
        </w:rPr>
        <w:t>2026年汝南县第二批农村道路与桥涵建设项目</w:t>
      </w:r>
      <w:r>
        <w:rPr>
          <w:rFonts w:hint="eastAsia" w:ascii="宋体" w:hAnsi="宋体" w:cs="宋体"/>
          <w:color w:val="auto"/>
          <w:kern w:val="2"/>
          <w:sz w:val="21"/>
          <w:szCs w:val="21"/>
          <w:highlight w:val="none"/>
          <w:lang w:val="en-US" w:eastAsia="zh-CN" w:bidi="ar-SA"/>
        </w:rPr>
        <w:t>控制价9058118.00元，</w:t>
      </w:r>
      <w:r>
        <w:rPr>
          <w:rFonts w:hint="eastAsia" w:ascii="宋体" w:hAnsi="宋体" w:eastAsia="宋体" w:cs="宋体"/>
          <w:color w:val="auto"/>
          <w:kern w:val="2"/>
          <w:sz w:val="21"/>
          <w:szCs w:val="21"/>
          <w:highlight w:val="none"/>
          <w:lang w:val="en-US" w:eastAsia="zh-CN" w:bidi="ar-SA"/>
        </w:rPr>
        <w:t>2026年汝南县农村道路与桥涵建设提升</w:t>
      </w:r>
      <w:r>
        <w:rPr>
          <w:rFonts w:hint="eastAsia" w:ascii="宋体" w:hAnsi="宋体" w:cs="宋体"/>
          <w:color w:val="auto"/>
          <w:kern w:val="2"/>
          <w:sz w:val="21"/>
          <w:szCs w:val="21"/>
          <w:highlight w:val="none"/>
          <w:lang w:val="en-US" w:eastAsia="zh-CN" w:bidi="ar-SA"/>
        </w:rPr>
        <w:t>项目控制价9262344.00元）。</w:t>
      </w:r>
    </w:p>
    <w:p w14:paraId="66229286">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5</w:t>
      </w:r>
      <w:r>
        <w:rPr>
          <w:rFonts w:hint="eastAsia" w:ascii="宋体" w:hAnsi="宋体" w:eastAsia="宋体" w:cs="宋体"/>
          <w:color w:val="auto"/>
          <w:kern w:val="2"/>
          <w:sz w:val="21"/>
          <w:szCs w:val="21"/>
          <w:highlight w:val="none"/>
          <w:lang w:val="en-US" w:eastAsia="zh-CN" w:bidi="ar-SA"/>
        </w:rPr>
        <w:t>项目计划工期：</w:t>
      </w:r>
      <w:r>
        <w:rPr>
          <w:rFonts w:hint="eastAsia" w:ascii="宋体" w:hAnsi="宋体" w:cs="宋体"/>
          <w:color w:val="auto"/>
          <w:kern w:val="2"/>
          <w:sz w:val="21"/>
          <w:szCs w:val="21"/>
          <w:highlight w:val="none"/>
          <w:lang w:val="en-US" w:eastAsia="zh-CN" w:bidi="ar-SA"/>
        </w:rPr>
        <w:t>60日历天，</w:t>
      </w:r>
      <w:r>
        <w:rPr>
          <w:rFonts w:hint="eastAsia" w:ascii="宋体" w:hAnsi="宋体" w:eastAsia="宋体" w:cs="宋体"/>
          <w:color w:val="auto"/>
          <w:kern w:val="2"/>
          <w:sz w:val="21"/>
          <w:szCs w:val="21"/>
          <w:highlight w:val="none"/>
          <w:lang w:val="en-US" w:eastAsia="zh-CN" w:bidi="ar-SA"/>
        </w:rPr>
        <w:t>缺陷责任期</w:t>
      </w:r>
      <w:r>
        <w:rPr>
          <w:rFonts w:hint="eastAsia" w:ascii="宋体" w:hAnsi="宋体" w:cs="宋体"/>
          <w:color w:val="auto"/>
          <w:kern w:val="2"/>
          <w:sz w:val="21"/>
          <w:szCs w:val="21"/>
          <w:highlight w:val="none"/>
          <w:lang w:val="en-US" w:eastAsia="zh-CN" w:bidi="ar-SA"/>
        </w:rPr>
        <w:t>12</w:t>
      </w:r>
      <w:r>
        <w:rPr>
          <w:rFonts w:hint="eastAsia" w:ascii="宋体" w:hAnsi="宋体" w:eastAsia="宋体" w:cs="宋体"/>
          <w:color w:val="auto"/>
          <w:kern w:val="2"/>
          <w:sz w:val="21"/>
          <w:szCs w:val="21"/>
          <w:highlight w:val="none"/>
          <w:lang w:val="en-US" w:eastAsia="zh-CN" w:bidi="ar-SA"/>
        </w:rPr>
        <w:t>个月。</w:t>
      </w:r>
    </w:p>
    <w:p w14:paraId="63145631">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招标范围：施工图纸及工程量清单所含全部内容；</w:t>
      </w:r>
    </w:p>
    <w:p w14:paraId="67013413">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7</w:t>
      </w:r>
      <w:r>
        <w:rPr>
          <w:rFonts w:hint="eastAsia" w:ascii="宋体" w:hAnsi="宋体" w:eastAsia="宋体" w:cs="宋体"/>
          <w:color w:val="auto"/>
          <w:kern w:val="2"/>
          <w:sz w:val="21"/>
          <w:szCs w:val="21"/>
          <w:highlight w:val="none"/>
          <w:lang w:val="en-US" w:eastAsia="zh-CN" w:bidi="ar-SA"/>
        </w:rPr>
        <w:t>标段划分：本项目</w:t>
      </w:r>
      <w:r>
        <w:rPr>
          <w:rFonts w:hint="eastAsia" w:ascii="宋体" w:hAnsi="宋体" w:cs="宋体"/>
          <w:color w:val="auto"/>
          <w:kern w:val="2"/>
          <w:sz w:val="21"/>
          <w:szCs w:val="21"/>
          <w:highlight w:val="none"/>
          <w:lang w:val="en-US" w:eastAsia="zh-CN" w:bidi="ar-SA"/>
        </w:rPr>
        <w:t>划分一</w:t>
      </w:r>
      <w:r>
        <w:rPr>
          <w:rFonts w:hint="eastAsia" w:ascii="宋体" w:hAnsi="宋体" w:eastAsia="宋体" w:cs="宋体"/>
          <w:color w:val="auto"/>
          <w:kern w:val="2"/>
          <w:sz w:val="21"/>
          <w:szCs w:val="21"/>
          <w:highlight w:val="none"/>
          <w:lang w:val="en-US" w:eastAsia="zh-CN" w:bidi="ar-SA"/>
        </w:rPr>
        <w:t>个标段</w:t>
      </w:r>
    </w:p>
    <w:p w14:paraId="2780DFB4">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2.8</w:t>
      </w:r>
      <w:r>
        <w:rPr>
          <w:rFonts w:hint="eastAsia" w:ascii="宋体" w:hAnsi="宋体" w:eastAsia="宋体" w:cs="宋体"/>
          <w:color w:val="auto"/>
          <w:kern w:val="2"/>
          <w:sz w:val="21"/>
          <w:szCs w:val="21"/>
          <w:highlight w:val="none"/>
          <w:lang w:val="en-US" w:eastAsia="zh-CN" w:bidi="ar-SA"/>
        </w:rPr>
        <w:t>本项目采用评定分离方式确定中标人。</w:t>
      </w:r>
    </w:p>
    <w:p w14:paraId="4C5AF0BA">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3.投标人资格要求</w:t>
      </w:r>
    </w:p>
    <w:p w14:paraId="037B6A22">
      <w:pPr>
        <w:pStyle w:val="19"/>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leftChars="0" w:right="0" w:rightChars="0" w:firstLine="440" w:firstLineChars="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3.1</w:t>
      </w:r>
      <w:r>
        <w:rPr>
          <w:rFonts w:hint="eastAsia" w:ascii="宋体" w:hAnsi="宋体" w:eastAsia="宋体" w:cs="宋体"/>
          <w:color w:val="auto"/>
          <w:kern w:val="2"/>
          <w:sz w:val="21"/>
          <w:szCs w:val="21"/>
          <w:highlight w:val="none"/>
          <w:lang w:val="en-US" w:eastAsia="zh-CN" w:bidi="ar-SA"/>
        </w:rPr>
        <w:t>投标人须具有独立法人资格，具有有效的营业执照副本、税务登记证副本、组织机构代码证副本（或三证合一）；</w:t>
      </w:r>
    </w:p>
    <w:p w14:paraId="3406E849">
      <w:pPr>
        <w:pStyle w:val="19"/>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leftChars="0" w:right="0" w:rightChars="0" w:firstLine="440" w:firstLineChars="0"/>
        <w:jc w:val="left"/>
        <w:textAlignment w:val="auto"/>
        <w:outlineLvl w:val="9"/>
        <w:rPr>
          <w:rFonts w:hint="eastAsia"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3.2资质要求：</w:t>
      </w:r>
      <w:r>
        <w:rPr>
          <w:rFonts w:hint="eastAsia" w:ascii="宋体" w:hAnsi="宋体" w:eastAsia="宋体" w:cs="宋体"/>
          <w:color w:val="auto"/>
          <w:kern w:val="2"/>
          <w:sz w:val="21"/>
          <w:szCs w:val="21"/>
          <w:highlight w:val="none"/>
          <w:lang w:val="en-US" w:eastAsia="zh-CN" w:bidi="ar-SA"/>
        </w:rPr>
        <w:t>投标人须具备独立法人资</w:t>
      </w:r>
      <w:r>
        <w:rPr>
          <w:rFonts w:hint="eastAsia" w:ascii="宋体" w:hAnsi="宋体" w:cs="宋体"/>
          <w:color w:val="auto"/>
          <w:kern w:val="2"/>
          <w:sz w:val="21"/>
          <w:szCs w:val="21"/>
          <w:highlight w:val="none"/>
          <w:lang w:val="en-US" w:eastAsia="zh-CN" w:bidi="ar-SA"/>
        </w:rPr>
        <w:t>格，具有有效的营业执照、安全生产许可证，投标人须具备建设行政主管部门颁发的公路工程施工总承包二级及以上资质，并在人员、设备、资金等方面具备相应的施工能力。</w:t>
      </w:r>
    </w:p>
    <w:p w14:paraId="47E67FBC">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bookmarkStart w:id="14" w:name="OLE_LINK15"/>
      <w:r>
        <w:rPr>
          <w:rFonts w:hint="eastAsia" w:ascii="宋体" w:hAnsi="宋体" w:cs="宋体"/>
          <w:color w:val="auto"/>
          <w:kern w:val="2"/>
          <w:sz w:val="21"/>
          <w:szCs w:val="21"/>
          <w:highlight w:val="none"/>
          <w:lang w:val="en-US" w:eastAsia="zh-CN" w:bidi="ar-SA"/>
        </w:rPr>
        <w:t>3.3</w:t>
      </w:r>
      <w:r>
        <w:rPr>
          <w:rFonts w:hint="eastAsia" w:ascii="宋体" w:hAnsi="宋体" w:eastAsia="宋体" w:cs="宋体"/>
          <w:color w:val="auto"/>
          <w:kern w:val="2"/>
          <w:sz w:val="21"/>
          <w:szCs w:val="21"/>
          <w:highlight w:val="none"/>
          <w:lang w:val="en-US" w:eastAsia="zh-CN" w:bidi="ar-SA"/>
        </w:rPr>
        <w:t>拟派项目经理须具有建设行政主管部门颁发的公路工程专业</w:t>
      </w:r>
      <w:r>
        <w:rPr>
          <w:rFonts w:hint="eastAsia" w:ascii="宋体" w:hAnsi="宋体" w:cs="宋体"/>
          <w:color w:val="auto"/>
          <w:kern w:val="2"/>
          <w:sz w:val="21"/>
          <w:szCs w:val="21"/>
          <w:highlight w:val="none"/>
          <w:lang w:val="en-US" w:eastAsia="zh-CN" w:bidi="ar-SA"/>
        </w:rPr>
        <w:t>二</w:t>
      </w:r>
      <w:r>
        <w:rPr>
          <w:rFonts w:hint="eastAsia" w:ascii="宋体" w:hAnsi="宋体" w:eastAsia="宋体" w:cs="宋体"/>
          <w:color w:val="auto"/>
          <w:kern w:val="2"/>
          <w:sz w:val="21"/>
          <w:szCs w:val="21"/>
          <w:highlight w:val="none"/>
          <w:lang w:val="en-US" w:eastAsia="zh-CN" w:bidi="ar-SA"/>
        </w:rPr>
        <w:t>级</w:t>
      </w:r>
      <w:r>
        <w:rPr>
          <w:rFonts w:hint="eastAsia" w:ascii="宋体" w:hAnsi="宋体" w:cs="宋体"/>
          <w:color w:val="auto"/>
          <w:kern w:val="2"/>
          <w:sz w:val="21"/>
          <w:szCs w:val="21"/>
          <w:highlight w:val="none"/>
          <w:lang w:val="en-US" w:eastAsia="zh-CN" w:bidi="ar-SA"/>
        </w:rPr>
        <w:t>（含二级）以上</w:t>
      </w:r>
      <w:r>
        <w:rPr>
          <w:rFonts w:hint="eastAsia" w:ascii="宋体" w:hAnsi="宋体" w:eastAsia="宋体" w:cs="宋体"/>
          <w:color w:val="auto"/>
          <w:kern w:val="2"/>
          <w:sz w:val="21"/>
          <w:szCs w:val="21"/>
          <w:highlight w:val="none"/>
          <w:lang w:val="en-US" w:eastAsia="zh-CN" w:bidi="ar-SA"/>
        </w:rPr>
        <w:t>建造师注册证书</w:t>
      </w:r>
      <w:r>
        <w:rPr>
          <w:rFonts w:hint="eastAsia" w:ascii="宋体" w:hAnsi="宋体" w:cs="宋体"/>
          <w:color w:val="auto"/>
          <w:kern w:val="2"/>
          <w:sz w:val="21"/>
          <w:szCs w:val="21"/>
          <w:highlight w:val="none"/>
          <w:lang w:val="en-US" w:eastAsia="zh-CN" w:bidi="ar-SA"/>
        </w:rPr>
        <w:t>及有效的</w:t>
      </w:r>
      <w:r>
        <w:rPr>
          <w:rFonts w:hint="eastAsia" w:ascii="宋体" w:hAnsi="宋体" w:eastAsia="宋体" w:cs="宋体"/>
          <w:color w:val="auto"/>
          <w:kern w:val="2"/>
          <w:sz w:val="21"/>
          <w:szCs w:val="21"/>
          <w:highlight w:val="none"/>
          <w:lang w:val="en-US" w:eastAsia="zh-CN" w:bidi="ar-SA"/>
        </w:rPr>
        <w:t>安全生产考核合格证书</w:t>
      </w:r>
      <w:r>
        <w:rPr>
          <w:rFonts w:hint="eastAsia" w:ascii="宋体" w:hAnsi="宋体" w:cs="宋体"/>
          <w:color w:val="auto"/>
          <w:kern w:val="2"/>
          <w:sz w:val="21"/>
          <w:szCs w:val="21"/>
          <w:highlight w:val="none"/>
          <w:lang w:val="en-US" w:eastAsia="zh-CN" w:bidi="ar-SA"/>
        </w:rPr>
        <w:t>，并具有</w:t>
      </w:r>
      <w:r>
        <w:rPr>
          <w:rFonts w:hint="eastAsia" w:ascii="宋体" w:hAnsi="宋体" w:eastAsia="宋体" w:cs="宋体"/>
          <w:color w:val="auto"/>
          <w:kern w:val="2"/>
          <w:sz w:val="21"/>
          <w:szCs w:val="21"/>
          <w:highlight w:val="none"/>
          <w:lang w:val="en-US" w:eastAsia="zh-CN" w:bidi="ar-SA"/>
        </w:rPr>
        <w:t>公路</w:t>
      </w:r>
      <w:r>
        <w:rPr>
          <w:rFonts w:hint="eastAsia" w:ascii="宋体" w:hAnsi="宋体" w:cs="宋体"/>
          <w:color w:val="auto"/>
          <w:kern w:val="2"/>
          <w:sz w:val="21"/>
          <w:szCs w:val="21"/>
          <w:highlight w:val="none"/>
          <w:lang w:val="en-US" w:eastAsia="zh-CN" w:bidi="ar-SA"/>
        </w:rPr>
        <w:t>工程</w:t>
      </w:r>
      <w:r>
        <w:rPr>
          <w:rFonts w:hint="eastAsia" w:ascii="宋体" w:hAnsi="宋体" w:eastAsia="宋体" w:cs="宋体"/>
          <w:color w:val="auto"/>
          <w:kern w:val="2"/>
          <w:sz w:val="21"/>
          <w:szCs w:val="21"/>
          <w:highlight w:val="none"/>
          <w:lang w:val="en-US" w:eastAsia="zh-CN" w:bidi="ar-SA"/>
        </w:rPr>
        <w:t>相关专业中级及以上技术职称证书，投标人应出具拟派项目经理无在建承诺书（格式自拟）</w:t>
      </w:r>
      <w:r>
        <w:rPr>
          <w:rFonts w:hint="eastAsia" w:ascii="宋体" w:hAnsi="宋体" w:cs="宋体"/>
          <w:color w:val="auto"/>
          <w:kern w:val="2"/>
          <w:sz w:val="21"/>
          <w:szCs w:val="21"/>
          <w:highlight w:val="none"/>
          <w:lang w:val="en-US" w:eastAsia="zh-CN" w:bidi="ar-SA"/>
        </w:rPr>
        <w:t>，并提供有效的劳动合同及本年度连续三个月社保证明。</w:t>
      </w:r>
    </w:p>
    <w:p w14:paraId="0A550C9B">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3.4</w:t>
      </w:r>
      <w:r>
        <w:rPr>
          <w:rFonts w:hint="eastAsia" w:ascii="宋体" w:hAnsi="宋体" w:eastAsia="宋体" w:cs="宋体"/>
          <w:color w:val="auto"/>
          <w:kern w:val="2"/>
          <w:sz w:val="21"/>
          <w:szCs w:val="21"/>
          <w:highlight w:val="none"/>
          <w:lang w:val="en-US" w:eastAsia="zh-CN" w:bidi="ar-SA"/>
        </w:rPr>
        <w:t>拟派项目总工须具有公路</w:t>
      </w:r>
      <w:r>
        <w:rPr>
          <w:rFonts w:hint="eastAsia" w:ascii="宋体" w:hAnsi="宋体" w:cs="宋体"/>
          <w:color w:val="auto"/>
          <w:kern w:val="2"/>
          <w:sz w:val="21"/>
          <w:szCs w:val="21"/>
          <w:highlight w:val="none"/>
          <w:lang w:val="en-US" w:eastAsia="zh-CN" w:bidi="ar-SA"/>
        </w:rPr>
        <w:t>工程</w:t>
      </w:r>
      <w:r>
        <w:rPr>
          <w:rFonts w:hint="eastAsia" w:ascii="宋体" w:hAnsi="宋体" w:eastAsia="宋体" w:cs="宋体"/>
          <w:color w:val="auto"/>
          <w:kern w:val="2"/>
          <w:sz w:val="21"/>
          <w:szCs w:val="21"/>
          <w:highlight w:val="none"/>
          <w:lang w:val="en-US" w:eastAsia="zh-CN" w:bidi="ar-SA"/>
        </w:rPr>
        <w:t>相关专业</w:t>
      </w:r>
      <w:r>
        <w:rPr>
          <w:rFonts w:hint="eastAsia" w:ascii="宋体" w:hAnsi="宋体" w:cs="宋体"/>
          <w:color w:val="auto"/>
          <w:kern w:val="2"/>
          <w:sz w:val="21"/>
          <w:szCs w:val="21"/>
          <w:highlight w:val="none"/>
          <w:lang w:val="en-US" w:eastAsia="zh-CN" w:bidi="ar-SA"/>
        </w:rPr>
        <w:t>中级或</w:t>
      </w:r>
      <w:r>
        <w:rPr>
          <w:rFonts w:hint="eastAsia" w:ascii="宋体" w:hAnsi="宋体" w:eastAsia="宋体" w:cs="宋体"/>
          <w:color w:val="auto"/>
          <w:kern w:val="2"/>
          <w:sz w:val="21"/>
          <w:szCs w:val="21"/>
          <w:highlight w:val="none"/>
          <w:lang w:val="en-US" w:eastAsia="zh-CN" w:bidi="ar-SA"/>
        </w:rPr>
        <w:t>以上</w:t>
      </w:r>
      <w:r>
        <w:rPr>
          <w:rFonts w:hint="eastAsia" w:ascii="宋体" w:hAnsi="宋体" w:cs="宋体"/>
          <w:color w:val="auto"/>
          <w:kern w:val="2"/>
          <w:sz w:val="21"/>
          <w:szCs w:val="21"/>
          <w:highlight w:val="none"/>
          <w:lang w:val="en-US" w:eastAsia="zh-CN" w:bidi="ar-SA"/>
        </w:rPr>
        <w:t>技术</w:t>
      </w:r>
      <w:r>
        <w:rPr>
          <w:rFonts w:hint="eastAsia" w:ascii="宋体" w:hAnsi="宋体" w:eastAsia="宋体" w:cs="宋体"/>
          <w:color w:val="auto"/>
          <w:kern w:val="2"/>
          <w:sz w:val="21"/>
          <w:szCs w:val="21"/>
          <w:highlight w:val="none"/>
          <w:lang w:val="en-US" w:eastAsia="zh-CN" w:bidi="ar-SA"/>
        </w:rPr>
        <w:t>职称证书</w:t>
      </w:r>
      <w:bookmarkEnd w:id="14"/>
      <w:r>
        <w:rPr>
          <w:rFonts w:hint="eastAsia" w:ascii="宋体" w:hAnsi="宋体" w:cs="宋体"/>
          <w:color w:val="auto"/>
          <w:kern w:val="2"/>
          <w:sz w:val="21"/>
          <w:szCs w:val="21"/>
          <w:highlight w:val="none"/>
          <w:lang w:val="en-US" w:eastAsia="zh-CN" w:bidi="ar-SA"/>
        </w:rPr>
        <w:t>，出具无在建承诺书（格式自拟）,并提供有效的劳动合同及本年度连续三个月社保证明。</w:t>
      </w:r>
    </w:p>
    <w:p w14:paraId="1752ACD1">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3.5</w:t>
      </w:r>
      <w:r>
        <w:rPr>
          <w:rFonts w:hint="eastAsia" w:ascii="宋体" w:hAnsi="宋体" w:eastAsia="宋体" w:cs="宋体"/>
          <w:color w:val="auto"/>
          <w:kern w:val="2"/>
          <w:sz w:val="21"/>
          <w:szCs w:val="21"/>
          <w:highlight w:val="none"/>
          <w:lang w:val="en-US" w:eastAsia="zh-CN" w:bidi="ar-SA"/>
        </w:rPr>
        <w:t>业绩要求：20</w:t>
      </w:r>
      <w:r>
        <w:rPr>
          <w:rFonts w:hint="eastAsia" w:ascii="宋体" w:hAnsi="宋体" w:cs="宋体"/>
          <w:color w:val="auto"/>
          <w:kern w:val="2"/>
          <w:sz w:val="21"/>
          <w:szCs w:val="21"/>
          <w:highlight w:val="none"/>
          <w:lang w:val="en-US" w:eastAsia="zh-CN" w:bidi="ar-SA"/>
        </w:rPr>
        <w:t>23</w:t>
      </w:r>
      <w:r>
        <w:rPr>
          <w:rFonts w:hint="eastAsia" w:ascii="宋体" w:hAnsi="宋体" w:eastAsia="宋体" w:cs="宋体"/>
          <w:color w:val="auto"/>
          <w:kern w:val="2"/>
          <w:sz w:val="21"/>
          <w:szCs w:val="21"/>
          <w:highlight w:val="none"/>
          <w:lang w:val="en-US" w:eastAsia="zh-CN" w:bidi="ar-SA"/>
        </w:rPr>
        <w:t>年</w:t>
      </w:r>
      <w:r>
        <w:rPr>
          <w:rFonts w:hint="eastAsia" w:ascii="宋体" w:hAnsi="宋体" w:cs="宋体"/>
          <w:color w:val="auto"/>
          <w:kern w:val="2"/>
          <w:sz w:val="21"/>
          <w:szCs w:val="21"/>
          <w:highlight w:val="none"/>
          <w:lang w:val="en-US" w:eastAsia="zh-CN" w:bidi="ar-SA"/>
        </w:rPr>
        <w:t>1月1日</w:t>
      </w:r>
      <w:r>
        <w:rPr>
          <w:rFonts w:hint="eastAsia" w:ascii="宋体" w:hAnsi="宋体" w:eastAsia="宋体" w:cs="宋体"/>
          <w:color w:val="auto"/>
          <w:kern w:val="2"/>
          <w:sz w:val="21"/>
          <w:szCs w:val="21"/>
          <w:highlight w:val="none"/>
          <w:lang w:val="en-US" w:eastAsia="zh-CN" w:bidi="ar-SA"/>
        </w:rPr>
        <w:t>以来投标人至少完成过1项公路工程类似业绩(提供合同、中标通知书)。</w:t>
      </w:r>
    </w:p>
    <w:p w14:paraId="0EFAC508">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3.6</w:t>
      </w:r>
      <w:r>
        <w:rPr>
          <w:rFonts w:hint="eastAsia" w:ascii="宋体" w:hAnsi="宋体" w:eastAsia="宋体" w:cs="宋体"/>
          <w:color w:val="auto"/>
          <w:kern w:val="2"/>
          <w:sz w:val="21"/>
          <w:szCs w:val="21"/>
          <w:highlight w:val="none"/>
          <w:lang w:val="en-US" w:eastAsia="zh-CN" w:bidi="ar-SA"/>
        </w:rPr>
        <w:t>财务要求：企业近三年财务状况良好、没有被接管、冻结、破产状态（须提供202</w:t>
      </w: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年度、202</w:t>
      </w:r>
      <w:r>
        <w:rPr>
          <w:rFonts w:hint="eastAsia" w:ascii="宋体" w:hAnsi="宋体" w:cs="宋体"/>
          <w:color w:val="auto"/>
          <w:kern w:val="2"/>
          <w:sz w:val="21"/>
          <w:szCs w:val="21"/>
          <w:highlight w:val="none"/>
          <w:lang w:val="en-US" w:eastAsia="zh-CN" w:bidi="ar-SA"/>
        </w:rPr>
        <w:t>4</w:t>
      </w:r>
      <w:r>
        <w:rPr>
          <w:rFonts w:hint="eastAsia" w:ascii="宋体" w:hAnsi="宋体" w:eastAsia="宋体" w:cs="宋体"/>
          <w:color w:val="auto"/>
          <w:kern w:val="2"/>
          <w:sz w:val="21"/>
          <w:szCs w:val="21"/>
          <w:highlight w:val="none"/>
          <w:lang w:val="en-US" w:eastAsia="zh-CN" w:bidi="ar-SA"/>
        </w:rPr>
        <w:t>年度、202</w:t>
      </w:r>
      <w:r>
        <w:rPr>
          <w:rFonts w:hint="eastAsia" w:ascii="宋体" w:hAnsi="宋体" w:cs="宋体"/>
          <w:color w:val="auto"/>
          <w:kern w:val="2"/>
          <w:sz w:val="21"/>
          <w:szCs w:val="21"/>
          <w:highlight w:val="none"/>
          <w:lang w:val="en-US" w:eastAsia="zh-CN" w:bidi="ar-SA"/>
        </w:rPr>
        <w:t>5</w:t>
      </w:r>
      <w:r>
        <w:rPr>
          <w:rFonts w:hint="eastAsia" w:ascii="宋体" w:hAnsi="宋体" w:eastAsia="宋体" w:cs="宋体"/>
          <w:color w:val="auto"/>
          <w:kern w:val="2"/>
          <w:sz w:val="21"/>
          <w:szCs w:val="21"/>
          <w:highlight w:val="none"/>
          <w:lang w:val="en-US" w:eastAsia="zh-CN" w:bidi="ar-SA"/>
        </w:rPr>
        <w:t>年度经会计师事务所或审计机构审计的财务审计报告等相关证明材料，</w:t>
      </w:r>
      <w:r>
        <w:rPr>
          <w:rFonts w:hint="eastAsia" w:ascii="宋体" w:hAnsi="宋体" w:eastAsia="宋体"/>
          <w:b w:val="0"/>
          <w:bCs w:val="0"/>
          <w:color w:val="auto"/>
          <w:sz w:val="21"/>
          <w:szCs w:val="21"/>
          <w:highlight w:val="none"/>
        </w:rPr>
        <w:t>新成立的企业以成立之后的年份为准</w:t>
      </w:r>
      <w:r>
        <w:rPr>
          <w:rFonts w:hint="eastAsia" w:ascii="宋体" w:hAnsi="宋体" w:eastAsia="宋体"/>
          <w:b w:val="0"/>
          <w:bCs w:val="0"/>
          <w:color w:val="auto"/>
          <w:sz w:val="21"/>
          <w:szCs w:val="21"/>
          <w:highlight w:val="none"/>
          <w:lang w:val="en-US" w:eastAsia="zh-CN"/>
        </w:rPr>
        <w:t>或提供银行出具的资信证明</w:t>
      </w:r>
      <w:r>
        <w:rPr>
          <w:rFonts w:hint="eastAsia" w:ascii="宋体" w:hAnsi="宋体" w:eastAsia="宋体" w:cs="宋体"/>
          <w:color w:val="auto"/>
          <w:kern w:val="2"/>
          <w:sz w:val="21"/>
          <w:szCs w:val="21"/>
          <w:highlight w:val="none"/>
          <w:lang w:val="en-US" w:eastAsia="zh-CN" w:bidi="ar-SA"/>
        </w:rPr>
        <w:t>）。</w:t>
      </w:r>
    </w:p>
    <w:p w14:paraId="73B526B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3.7</w:t>
      </w:r>
      <w:r>
        <w:rPr>
          <w:rFonts w:hint="eastAsia" w:ascii="宋体" w:hAnsi="宋体" w:eastAsia="宋体" w:cs="宋体"/>
          <w:color w:val="auto"/>
          <w:kern w:val="2"/>
          <w:sz w:val="21"/>
          <w:szCs w:val="21"/>
          <w:highlight w:val="none"/>
          <w:lang w:val="en-US" w:eastAsia="zh-CN" w:bidi="ar-SA"/>
        </w:rPr>
        <w:t>信誉要求：对属于失信被执行人、被列入严重违法失信企业名单的投标人将被拒绝参与投标。通过“信用中国”跳转至“中国执行信息公开网”（http://zxgk.court.gov.cn/shixin/）查询投标人、法定代表人、项目经理是否为失信被执行人，在国家企业信用信息公示系统（http://www.gsxt.gov.cn/）中查询投标人是否被列入严重违法失信企业名单。(查询日期为招标公告发布日期之后，投标人出具网页截图加盖公章)。</w:t>
      </w:r>
    </w:p>
    <w:p w14:paraId="102F6C99">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3.8</w:t>
      </w:r>
      <w:r>
        <w:rPr>
          <w:rFonts w:hint="eastAsia" w:ascii="宋体" w:hAnsi="宋体" w:eastAsia="宋体" w:cs="宋体"/>
          <w:color w:val="auto"/>
          <w:kern w:val="2"/>
          <w:sz w:val="21"/>
          <w:szCs w:val="21"/>
          <w:highlight w:val="none"/>
          <w:lang w:val="en-US" w:eastAsia="zh-CN" w:bidi="ar-SA"/>
        </w:rPr>
        <w:t>本次招标</w:t>
      </w:r>
      <w:r>
        <w:rPr>
          <w:rFonts w:hint="eastAsia" w:ascii="宋体" w:hAnsi="宋体" w:eastAsia="宋体" w:cs="宋体"/>
          <w:color w:val="auto"/>
          <w:kern w:val="2"/>
          <w:sz w:val="21"/>
          <w:szCs w:val="21"/>
          <w:highlight w:val="none"/>
          <w:u w:val="single"/>
          <w:lang w:val="en-US" w:eastAsia="zh-CN" w:bidi="ar-SA"/>
        </w:rPr>
        <w:t xml:space="preserve"> 不接受 </w:t>
      </w:r>
      <w:r>
        <w:rPr>
          <w:rFonts w:hint="eastAsia" w:ascii="宋体" w:hAnsi="宋体" w:eastAsia="宋体" w:cs="宋体"/>
          <w:color w:val="auto"/>
          <w:kern w:val="2"/>
          <w:sz w:val="21"/>
          <w:szCs w:val="21"/>
          <w:highlight w:val="none"/>
          <w:lang w:val="en-US" w:eastAsia="zh-CN" w:bidi="ar-SA"/>
        </w:rPr>
        <w:t>联合体投标。</w:t>
      </w:r>
    </w:p>
    <w:p w14:paraId="3B39E9E7">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3.9</w:t>
      </w:r>
      <w:r>
        <w:rPr>
          <w:rFonts w:hint="eastAsia" w:ascii="宋体" w:hAnsi="宋体" w:eastAsia="宋体" w:cs="宋体"/>
          <w:color w:val="auto"/>
          <w:kern w:val="2"/>
          <w:sz w:val="21"/>
          <w:szCs w:val="21"/>
          <w:highlight w:val="none"/>
          <w:lang w:val="en-US" w:eastAsia="zh-CN" w:bidi="ar-SA"/>
        </w:rPr>
        <w:t>其他要求：与招标人存在利害关系可能影响招标公正性的单位</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不得参加投标。单位负责人为同一人或存在控股、管理关系的不同单位，不得参加同一标段投标，否则</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 xml:space="preserve">相关投标均无效。  </w:t>
      </w:r>
    </w:p>
    <w:p w14:paraId="0BFCB40B">
      <w:pPr>
        <w:keepNext w:val="0"/>
        <w:keepLines w:val="0"/>
        <w:pageBreakBefore w:val="0"/>
        <w:kinsoku/>
        <w:overflowPunct/>
        <w:topLinePunct w:val="0"/>
        <w:autoSpaceDE/>
        <w:autoSpaceDN/>
        <w:bidi w:val="0"/>
        <w:adjustRightInd/>
        <w:snapToGrid/>
        <w:spacing w:line="360" w:lineRule="auto"/>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4.企业注册</w:t>
      </w:r>
    </w:p>
    <w:p w14:paraId="3048FB8F">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4.1投标人首先通过驻马店市公共资源交易中心电子招投标交易平台网站(以下简称“交易平台网站”)（</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"https://ggzy.zhumadian.gov.cn/TPFront/"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https://ggzy.zhumadian.gov.cn/TPFront/</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）进行交易主体注册，然后按网站通知公告及下载中心有关要求填报企业信息和上传有关扫描件原件，提交并完善企业投标所需资料信息,由企业自行核验通过，最后自行选择办理“</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"https://www.bqpoint.com/epbzt/index.html"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标证通</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”手机证书或者实体CA数字证书。“标证通”办理见</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"https://www.bqpoint.com/epbzt/index.html"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https://www.bqpoint.com/epbzt/index.html</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。实体CA数字证书申请咨询电话(北京CA：4009197888、华测CA：4006202211、深圳</w:t>
      </w:r>
      <w:bookmarkStart w:id="540" w:name="_GoBack"/>
      <w:bookmarkEnd w:id="540"/>
      <w:r>
        <w:rPr>
          <w:rFonts w:hint="eastAsia" w:ascii="宋体" w:hAnsi="宋体" w:eastAsia="宋体" w:cs="宋体"/>
          <w:color w:val="auto"/>
          <w:kern w:val="2"/>
          <w:sz w:val="21"/>
          <w:szCs w:val="21"/>
          <w:highlight w:val="none"/>
          <w:lang w:val="en-US" w:eastAsia="zh-CN" w:bidi="ar-SA"/>
        </w:rPr>
        <w:t>CA：4001123838、信安CA：0371-96596 )。</w:t>
      </w:r>
    </w:p>
    <w:p w14:paraId="12F7F63A">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4.2请各投标人网上</w:t>
      </w:r>
      <w:r>
        <w:rPr>
          <w:rFonts w:hint="eastAsia" w:ascii="宋体" w:hAnsi="宋体" w:cs="宋体"/>
          <w:color w:val="auto"/>
          <w:kern w:val="2"/>
          <w:sz w:val="21"/>
          <w:szCs w:val="21"/>
          <w:highlight w:val="none"/>
          <w:lang w:val="en-US" w:eastAsia="zh-CN" w:bidi="ar-SA"/>
        </w:rPr>
        <w:t>投标</w:t>
      </w:r>
      <w:r>
        <w:rPr>
          <w:rFonts w:hint="eastAsia" w:ascii="宋体" w:hAnsi="宋体" w:eastAsia="宋体" w:cs="宋体"/>
          <w:color w:val="auto"/>
          <w:kern w:val="2"/>
          <w:sz w:val="21"/>
          <w:szCs w:val="21"/>
          <w:highlight w:val="none"/>
          <w:lang w:val="en-US" w:eastAsia="zh-CN" w:bidi="ar-SA"/>
        </w:rPr>
        <w:t>时注意完善主体信息（如开户银行及开户账号等），以免未填写或错误导致系统判定废标。</w:t>
      </w:r>
    </w:p>
    <w:p w14:paraId="2DEFC320">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bookmarkStart w:id="15" w:name="_Toc16778734"/>
      <w:r>
        <w:rPr>
          <w:rFonts w:hint="eastAsia" w:ascii="宋体" w:hAnsi="宋体" w:eastAsia="宋体" w:cs="宋体"/>
          <w:b/>
          <w:bCs/>
          <w:color w:val="auto"/>
          <w:kern w:val="2"/>
          <w:sz w:val="24"/>
          <w:szCs w:val="24"/>
          <w:highlight w:val="none"/>
          <w:lang w:val="en-US" w:eastAsia="zh-CN" w:bidi="ar-SA"/>
        </w:rPr>
        <w:t>5.招标文件的获取</w:t>
      </w:r>
      <w:bookmarkEnd w:id="15"/>
    </w:p>
    <w:p w14:paraId="25A4381B">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5.1 招标文件获取时间：请于</w:t>
      </w:r>
      <w:r>
        <w:rPr>
          <w:rFonts w:hint="eastAsia" w:ascii="宋体" w:hAnsi="宋体" w:eastAsia="宋体" w:cs="宋体"/>
          <w:color w:val="auto"/>
          <w:kern w:val="2"/>
          <w:sz w:val="21"/>
          <w:szCs w:val="21"/>
          <w:highlight w:val="none"/>
          <w:u w:val="single"/>
          <w:lang w:val="en-US" w:eastAsia="zh-CN" w:bidi="ar-SA"/>
        </w:rPr>
        <w:t>202</w:t>
      </w:r>
      <w:r>
        <w:rPr>
          <w:rFonts w:hint="eastAsia" w:ascii="宋体" w:hAnsi="宋体" w:cs="宋体"/>
          <w:color w:val="auto"/>
          <w:kern w:val="2"/>
          <w:sz w:val="21"/>
          <w:szCs w:val="21"/>
          <w:highlight w:val="none"/>
          <w:u w:val="single"/>
          <w:lang w:val="en-US" w:eastAsia="zh-CN" w:bidi="ar-SA"/>
        </w:rPr>
        <w:t>6</w:t>
      </w:r>
      <w:r>
        <w:rPr>
          <w:rFonts w:hint="eastAsia" w:ascii="宋体" w:hAnsi="宋体" w:eastAsia="宋体" w:cs="宋体"/>
          <w:color w:val="auto"/>
          <w:kern w:val="2"/>
          <w:sz w:val="21"/>
          <w:szCs w:val="21"/>
          <w:highlight w:val="none"/>
          <w:lang w:val="en-US" w:eastAsia="zh-CN" w:bidi="ar-SA"/>
        </w:rPr>
        <w:t>年</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cs="宋体"/>
          <w:color w:val="auto"/>
          <w:kern w:val="2"/>
          <w:sz w:val="21"/>
          <w:szCs w:val="21"/>
          <w:highlight w:val="none"/>
          <w:u w:val="single"/>
          <w:lang w:val="en-US" w:eastAsia="zh-CN" w:bidi="ar-SA"/>
        </w:rPr>
        <w:t xml:space="preserve">11 </w:t>
      </w:r>
      <w:r>
        <w:rPr>
          <w:rFonts w:hint="eastAsia" w:ascii="宋体" w:hAnsi="宋体" w:eastAsia="宋体" w:cs="宋体"/>
          <w:color w:val="auto"/>
          <w:kern w:val="2"/>
          <w:sz w:val="21"/>
          <w:szCs w:val="21"/>
          <w:highlight w:val="none"/>
          <w:lang w:val="en-US" w:eastAsia="zh-CN" w:bidi="ar-SA"/>
        </w:rPr>
        <w:t>月</w:t>
      </w:r>
      <w:r>
        <w:rPr>
          <w:rFonts w:hint="eastAsia" w:ascii="宋体" w:hAnsi="宋体" w:cs="宋体"/>
          <w:color w:val="auto"/>
          <w:kern w:val="2"/>
          <w:sz w:val="21"/>
          <w:szCs w:val="21"/>
          <w:highlight w:val="none"/>
          <w:u w:val="single"/>
          <w:lang w:val="en-US" w:eastAsia="zh-CN" w:bidi="ar-SA"/>
        </w:rPr>
        <w:t xml:space="preserve"> 3 </w:t>
      </w:r>
      <w:r>
        <w:rPr>
          <w:rFonts w:hint="eastAsia" w:ascii="宋体" w:hAnsi="宋体" w:eastAsia="宋体" w:cs="宋体"/>
          <w:color w:val="auto"/>
          <w:kern w:val="2"/>
          <w:sz w:val="21"/>
          <w:szCs w:val="21"/>
          <w:highlight w:val="none"/>
          <w:lang w:val="en-US" w:eastAsia="zh-CN" w:bidi="ar-SA"/>
        </w:rPr>
        <w:t>日</w:t>
      </w:r>
      <w:r>
        <w:rPr>
          <w:rFonts w:hint="eastAsia" w:ascii="宋体" w:hAnsi="宋体" w:eastAsia="宋体" w:cs="宋体"/>
          <w:color w:val="auto"/>
          <w:kern w:val="2"/>
          <w:sz w:val="21"/>
          <w:szCs w:val="21"/>
          <w:highlight w:val="none"/>
          <w:u w:val="single"/>
          <w:lang w:val="en-US" w:eastAsia="zh-CN" w:bidi="ar-SA"/>
        </w:rPr>
        <w:t>8:00</w:t>
      </w:r>
      <w:r>
        <w:rPr>
          <w:rFonts w:hint="eastAsia" w:ascii="宋体" w:hAnsi="宋体" w:eastAsia="宋体" w:cs="宋体"/>
          <w:color w:val="auto"/>
          <w:kern w:val="2"/>
          <w:sz w:val="21"/>
          <w:szCs w:val="21"/>
          <w:highlight w:val="none"/>
          <w:lang w:val="en-US" w:eastAsia="zh-CN" w:bidi="ar-SA"/>
        </w:rPr>
        <w:t>时至</w:t>
      </w:r>
      <w:r>
        <w:rPr>
          <w:rFonts w:hint="eastAsia" w:ascii="宋体" w:hAnsi="宋体" w:eastAsia="宋体" w:cs="宋体"/>
          <w:color w:val="auto"/>
          <w:kern w:val="2"/>
          <w:sz w:val="21"/>
          <w:szCs w:val="21"/>
          <w:highlight w:val="none"/>
          <w:u w:val="single"/>
          <w:lang w:val="en-US" w:eastAsia="zh-CN" w:bidi="ar-SA"/>
        </w:rPr>
        <w:t>202</w:t>
      </w:r>
      <w:r>
        <w:rPr>
          <w:rFonts w:hint="eastAsia" w:ascii="宋体" w:hAnsi="宋体" w:cs="宋体"/>
          <w:color w:val="auto"/>
          <w:kern w:val="2"/>
          <w:sz w:val="21"/>
          <w:szCs w:val="21"/>
          <w:highlight w:val="none"/>
          <w:u w:val="single"/>
          <w:lang w:val="en-US" w:eastAsia="zh-CN" w:bidi="ar-SA"/>
        </w:rPr>
        <w:t>6</w:t>
      </w:r>
      <w:r>
        <w:rPr>
          <w:rFonts w:hint="eastAsia" w:ascii="宋体" w:hAnsi="宋体" w:eastAsia="宋体" w:cs="宋体"/>
          <w:color w:val="auto"/>
          <w:kern w:val="2"/>
          <w:sz w:val="21"/>
          <w:szCs w:val="21"/>
          <w:highlight w:val="none"/>
          <w:lang w:val="en-US" w:eastAsia="zh-CN" w:bidi="ar-SA"/>
        </w:rPr>
        <w:t>年</w:t>
      </w:r>
      <w:r>
        <w:rPr>
          <w:rFonts w:hint="eastAsia" w:ascii="宋体" w:hAnsi="宋体" w:cs="宋体"/>
          <w:color w:val="auto"/>
          <w:kern w:val="2"/>
          <w:sz w:val="21"/>
          <w:szCs w:val="21"/>
          <w:highlight w:val="none"/>
          <w:u w:val="single"/>
          <w:lang w:val="en-US" w:eastAsia="zh-CN" w:bidi="ar-SA"/>
        </w:rPr>
        <w:t xml:space="preserve">11 </w:t>
      </w:r>
      <w:r>
        <w:rPr>
          <w:rFonts w:hint="eastAsia" w:ascii="宋体" w:hAnsi="宋体" w:eastAsia="宋体" w:cs="宋体"/>
          <w:color w:val="auto"/>
          <w:kern w:val="2"/>
          <w:sz w:val="21"/>
          <w:szCs w:val="21"/>
          <w:highlight w:val="none"/>
          <w:lang w:val="en-US" w:eastAsia="zh-CN" w:bidi="ar-SA"/>
        </w:rPr>
        <w:t>月</w:t>
      </w:r>
      <w:r>
        <w:rPr>
          <w:rFonts w:hint="eastAsia" w:ascii="宋体" w:hAnsi="宋体" w:cs="宋体"/>
          <w:color w:val="auto"/>
          <w:kern w:val="2"/>
          <w:sz w:val="21"/>
          <w:szCs w:val="21"/>
          <w:highlight w:val="none"/>
          <w:u w:val="single"/>
          <w:lang w:val="en-US" w:eastAsia="zh-CN" w:bidi="ar-SA"/>
        </w:rPr>
        <w:t xml:space="preserve"> 9 </w:t>
      </w:r>
      <w:r>
        <w:rPr>
          <w:rFonts w:hint="eastAsia" w:ascii="宋体" w:hAnsi="宋体" w:eastAsia="宋体" w:cs="宋体"/>
          <w:color w:val="auto"/>
          <w:kern w:val="2"/>
          <w:sz w:val="21"/>
          <w:szCs w:val="21"/>
          <w:highlight w:val="none"/>
          <w:lang w:val="en-US" w:eastAsia="zh-CN" w:bidi="ar-SA"/>
        </w:rPr>
        <w:t>日</w:t>
      </w:r>
      <w:r>
        <w:rPr>
          <w:rFonts w:hint="eastAsia" w:ascii="宋体" w:hAnsi="宋体" w:cs="宋体"/>
          <w:color w:val="auto"/>
          <w:kern w:val="2"/>
          <w:sz w:val="21"/>
          <w:szCs w:val="21"/>
          <w:highlight w:val="none"/>
          <w:u w:val="single"/>
          <w:lang w:val="en-US" w:eastAsia="zh-CN" w:bidi="ar-SA"/>
        </w:rPr>
        <w:t>17</w:t>
      </w:r>
      <w:r>
        <w:rPr>
          <w:rFonts w:hint="eastAsia" w:ascii="宋体" w:hAnsi="宋体" w:eastAsia="宋体" w:cs="宋体"/>
          <w:color w:val="auto"/>
          <w:kern w:val="2"/>
          <w:sz w:val="21"/>
          <w:szCs w:val="21"/>
          <w:highlight w:val="none"/>
          <w:u w:val="single"/>
          <w:lang w:val="en-US" w:eastAsia="zh-CN" w:bidi="ar-SA"/>
        </w:rPr>
        <w:t>:</w:t>
      </w:r>
      <w:r>
        <w:rPr>
          <w:rFonts w:hint="eastAsia" w:ascii="宋体" w:hAnsi="宋体" w:cs="宋体"/>
          <w:color w:val="auto"/>
          <w:kern w:val="2"/>
          <w:sz w:val="21"/>
          <w:szCs w:val="21"/>
          <w:highlight w:val="none"/>
          <w:u w:val="single"/>
          <w:lang w:val="en-US" w:eastAsia="zh-CN" w:bidi="ar-SA"/>
        </w:rPr>
        <w:t>30</w:t>
      </w:r>
      <w:r>
        <w:rPr>
          <w:rFonts w:hint="eastAsia" w:ascii="宋体" w:hAnsi="宋体" w:eastAsia="宋体" w:cs="宋体"/>
          <w:color w:val="auto"/>
          <w:kern w:val="2"/>
          <w:sz w:val="21"/>
          <w:szCs w:val="21"/>
          <w:highlight w:val="none"/>
          <w:lang w:val="en-US" w:eastAsia="zh-CN" w:bidi="ar-SA"/>
        </w:rPr>
        <w:t>时在“交易平台网站”（https://ggzy.zhumadian.gov.cn/TPFront/）免费下载招标文件。投标人未在网上下载招标文件的，其投标将被拒绝。</w:t>
      </w:r>
    </w:p>
    <w:p w14:paraId="0FBF61AF">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442"/>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5.2招标文件获取方式：凭CA密钥登陆会员系统并按网上提示下载招标文件及资料。（详见交易平台网站下载中心栏目里投标人操作手册）。</w:t>
      </w:r>
    </w:p>
    <w:p w14:paraId="5452E336">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442"/>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5.3获取招标文件后，投标人请到“交易平台网站”（https://ggzy.zhumadian.gov.cn/TPFront/）下载中心栏目下载最新版本的投标文件制作工具安装包，并使用安装后的最新版本投标文件制作工具以及CA密钥制作电子投标文件。</w:t>
      </w:r>
    </w:p>
    <w:p w14:paraId="331E5FFE">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6.资格审查方式 </w:t>
      </w:r>
    </w:p>
    <w:p w14:paraId="1B120BA1">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bookmarkStart w:id="16" w:name="_Toc16778735"/>
      <w:r>
        <w:rPr>
          <w:rFonts w:hint="eastAsia" w:ascii="宋体" w:hAnsi="宋体" w:eastAsia="宋体" w:cs="宋体"/>
          <w:color w:val="auto"/>
          <w:kern w:val="2"/>
          <w:sz w:val="21"/>
          <w:szCs w:val="21"/>
          <w:highlight w:val="none"/>
          <w:lang w:val="en-US" w:eastAsia="zh-CN" w:bidi="ar-SA"/>
        </w:rPr>
        <w:t>本招标项目对投标申请人的资格审查采用资格后审方式，主要资格审查标准和内容详见招标文件，只有资格审查合格的投标申请人才有可能被授予合同。</w:t>
      </w:r>
    </w:p>
    <w:p w14:paraId="7D43763E">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本项目采用不见面开标，投标人无需递交纸质投标文件及原件，投标企业应在项目开标前，将</w:t>
      </w:r>
      <w:r>
        <w:rPr>
          <w:rFonts w:hint="eastAsia" w:ascii="宋体" w:hAnsi="宋体" w:cs="宋体"/>
          <w:color w:val="auto"/>
          <w:kern w:val="2"/>
          <w:sz w:val="21"/>
          <w:szCs w:val="21"/>
          <w:highlight w:val="none"/>
          <w:lang w:val="en-US" w:eastAsia="zh-CN" w:bidi="ar-SA"/>
        </w:rPr>
        <w:t>相关的</w:t>
      </w:r>
      <w:r>
        <w:rPr>
          <w:rFonts w:hint="eastAsia" w:ascii="宋体" w:hAnsi="宋体" w:eastAsia="宋体" w:cs="宋体"/>
          <w:color w:val="auto"/>
          <w:kern w:val="2"/>
          <w:sz w:val="21"/>
          <w:szCs w:val="21"/>
          <w:highlight w:val="none"/>
          <w:lang w:val="en-US" w:eastAsia="zh-CN" w:bidi="ar-SA"/>
        </w:rPr>
        <w:t>资质、人员、业绩、荣誉、财务报告等投标所需材料扫描件，上传至驻马店市公共资源电子交易平台诚信库中，同时在“资格审查及评审材料”菜单下按标段挑选该标段投标所用资格审查材料，以供评标过程中评委查阅。评标时以电子投标文件及“资格审查及评审材料”菜单中选取的信息为准。</w:t>
      </w:r>
    </w:p>
    <w:p w14:paraId="3C0D4E18">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7.</w:t>
      </w:r>
      <w:bookmarkEnd w:id="16"/>
      <w:r>
        <w:rPr>
          <w:rFonts w:hint="eastAsia" w:ascii="宋体" w:hAnsi="宋体" w:eastAsia="宋体" w:cs="宋体"/>
          <w:b/>
          <w:bCs/>
          <w:color w:val="auto"/>
          <w:kern w:val="2"/>
          <w:sz w:val="24"/>
          <w:szCs w:val="24"/>
          <w:highlight w:val="none"/>
          <w:lang w:val="en-US" w:eastAsia="zh-CN" w:bidi="ar-SA"/>
        </w:rPr>
        <w:t>投标文件的上传/递交</w:t>
      </w:r>
    </w:p>
    <w:p w14:paraId="01E54CAC">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bookmarkStart w:id="17" w:name="_Toc16778736"/>
      <w:r>
        <w:rPr>
          <w:rFonts w:hint="eastAsia" w:ascii="宋体" w:hAnsi="宋体" w:eastAsia="宋体" w:cs="宋体"/>
          <w:color w:val="auto"/>
          <w:kern w:val="2"/>
          <w:sz w:val="21"/>
          <w:szCs w:val="21"/>
          <w:highlight w:val="none"/>
          <w:lang w:val="en-US" w:eastAsia="zh-CN" w:bidi="ar-SA"/>
        </w:rPr>
        <w:t>7.1本项目采用不见面开标、投标人需要递交电子投标文件，无需递交纸质文件。</w:t>
      </w:r>
    </w:p>
    <w:p w14:paraId="73896AFC">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7.2投标文件的上传/递交截止时间（投标截止时间</w:t>
      </w:r>
      <w:r>
        <w:rPr>
          <w:rFonts w:hint="eastAsia" w:ascii="宋体" w:hAnsi="宋体" w:cs="宋体"/>
          <w:color w:val="auto"/>
          <w:kern w:val="2"/>
          <w:sz w:val="21"/>
          <w:szCs w:val="21"/>
          <w:highlight w:val="none"/>
          <w:lang w:val="en-US" w:eastAsia="zh-CN" w:bidi="ar-SA"/>
        </w:rPr>
        <w:t>2026年11月23日上午9:00时</w:t>
      </w:r>
      <w:r>
        <w:rPr>
          <w:rFonts w:hint="eastAsia" w:ascii="宋体" w:hAnsi="宋体" w:eastAsia="宋体" w:cs="宋体"/>
          <w:color w:val="auto"/>
          <w:kern w:val="2"/>
          <w:sz w:val="21"/>
          <w:szCs w:val="21"/>
          <w:highlight w:val="none"/>
          <w:lang w:val="en-US" w:eastAsia="zh-CN" w:bidi="ar-SA"/>
        </w:rPr>
        <w:t>）和地点见招标文件。加密电子投标文件（*.ZMDTF格式）应在投标截止时间前通过驻马店市公共资源交易电子交易平台（http://ggzy.zhumadian.gov.cn:8820/TPbidder/login.aspx）上传完成。</w:t>
      </w:r>
    </w:p>
    <w:p w14:paraId="1D507C20">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7.3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49BCDD63">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7.4远程开标前，投标人务必在驻马店市公共资源交易电子交易平台（http://ggzy.zhumadian.gov.cn:8820/TPbidder/login.aspx）投标文件上传模块中使用“模拟解密”功能，验证本机远程自助解密环境。</w:t>
      </w:r>
    </w:p>
    <w:p w14:paraId="1EAAA8DE">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7.5逾期上传/送达的或者未上传/未送达指定地点的投标文件，招标人不予受理。</w:t>
      </w:r>
    </w:p>
    <w:p w14:paraId="0964E4F7">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4"/>
          <w:szCs w:val="24"/>
          <w:highlight w:val="none"/>
          <w:lang w:val="en-US" w:eastAsia="zh-CN" w:bidi="ar-SA"/>
        </w:rPr>
        <w:t>8.发布公告的媒介</w:t>
      </w:r>
      <w:bookmarkEnd w:id="17"/>
    </w:p>
    <w:p w14:paraId="3DFFF161">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本次招标公告同时在《驻马店市公共资源交易平台》</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《中国招标投标公共服务平台》、</w:t>
      </w:r>
      <w:r>
        <w:rPr>
          <w:rFonts w:hint="eastAsia" w:ascii="宋体" w:hAnsi="宋体" w:cs="宋体"/>
          <w:color w:val="auto"/>
          <w:kern w:val="2"/>
          <w:sz w:val="21"/>
          <w:szCs w:val="21"/>
          <w:highlight w:val="none"/>
          <w:lang w:val="en-US" w:eastAsia="zh-CN" w:bidi="ar-SA"/>
        </w:rPr>
        <w:t>《河南省电子招标投标公共服务平台》、</w:t>
      </w:r>
      <w:r>
        <w:rPr>
          <w:rFonts w:hint="eastAsia" w:ascii="宋体" w:hAnsi="宋体" w:eastAsia="宋体" w:cs="宋体"/>
          <w:color w:val="auto"/>
          <w:kern w:val="2"/>
          <w:sz w:val="21"/>
          <w:szCs w:val="21"/>
          <w:highlight w:val="none"/>
          <w:lang w:val="en-US" w:eastAsia="zh-CN" w:bidi="ar-SA"/>
        </w:rPr>
        <w:t>《河南省政府采购网》发布。</w:t>
      </w:r>
    </w:p>
    <w:p w14:paraId="1CFAD361">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9.特别提醒：</w:t>
      </w:r>
    </w:p>
    <w:p w14:paraId="35382DF8">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因驻马店不见面交易系统具备视频直播、语音通话等，对网络带宽及硬件要求相对较高的功能，故投标人在参与使用不见面交易系统开标的项目时，需确认是否满足如下要求：</w:t>
      </w:r>
    </w:p>
    <w:p w14:paraId="52EEDDDA">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1、网络要求：</w:t>
      </w:r>
    </w:p>
    <w:p w14:paraId="37C89AE0">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网络带宽4M以上。</w:t>
      </w:r>
    </w:p>
    <w:p w14:paraId="728F3123">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2、硬件要求</w:t>
      </w:r>
    </w:p>
    <w:p w14:paraId="2E1EAE14">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电脑要求内存4G及以上，且需配套网络摄像头、麦克风、音箱等，并确保其均能正常运转。操作系统要求Windows7及以上，IE浏览器IE11及以上。</w:t>
      </w:r>
    </w:p>
    <w:p w14:paraId="0772BAD9">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3、人员要求</w:t>
      </w:r>
    </w:p>
    <w:p w14:paraId="3E5C5A14">
      <w:pPr>
        <w:pStyle w:val="19"/>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对于参与驻马店不见面交易系统开标的投标人，要求能熟练掌握电脑基础操作。不见面开标操作手册下载地址：</w:t>
      </w:r>
    </w:p>
    <w:p w14:paraId="0DE9AAF2">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（http://ggzy.zhumadian.gov.cn:9190/BidOpening/bidopeninghallaction/hall/login）</w:t>
      </w:r>
    </w:p>
    <w:p w14:paraId="2C946DBE">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bookmarkStart w:id="18" w:name="_Toc16778737"/>
      <w:r>
        <w:rPr>
          <w:rFonts w:hint="eastAsia" w:ascii="宋体" w:hAnsi="宋体" w:eastAsia="宋体" w:cs="宋体"/>
          <w:b/>
          <w:bCs/>
          <w:color w:val="auto"/>
          <w:kern w:val="2"/>
          <w:sz w:val="24"/>
          <w:szCs w:val="24"/>
          <w:highlight w:val="none"/>
          <w:lang w:val="en-US" w:eastAsia="zh-CN" w:bidi="ar-SA"/>
        </w:rPr>
        <w:t>10.联系方式</w:t>
      </w:r>
      <w:bookmarkEnd w:id="18"/>
    </w:p>
    <w:p w14:paraId="24188518">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w:t>
      </w: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标</w:t>
      </w: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人：</w:t>
      </w:r>
      <w:r>
        <w:rPr>
          <w:rFonts w:hint="eastAsia" w:ascii="宋体" w:hAnsi="宋体" w:cs="宋体"/>
          <w:color w:val="auto"/>
          <w:kern w:val="2"/>
          <w:sz w:val="21"/>
          <w:szCs w:val="21"/>
          <w:highlight w:val="none"/>
          <w:lang w:val="en-US" w:eastAsia="zh-CN" w:bidi="ar-SA"/>
        </w:rPr>
        <w:t>汝南县公路事业发展中心</w:t>
      </w:r>
    </w:p>
    <w:p w14:paraId="1C321F4E">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地 </w:t>
      </w: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 址：汝南县梁祝大道</w:t>
      </w:r>
    </w:p>
    <w:p w14:paraId="73ADE214">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联</w:t>
      </w: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系</w:t>
      </w: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人：</w:t>
      </w:r>
      <w:r>
        <w:rPr>
          <w:rFonts w:hint="eastAsia" w:ascii="宋体" w:hAnsi="宋体" w:cs="宋体"/>
          <w:color w:val="auto"/>
          <w:kern w:val="2"/>
          <w:sz w:val="21"/>
          <w:szCs w:val="21"/>
          <w:highlight w:val="none"/>
          <w:lang w:val="en-US" w:eastAsia="zh-CN" w:bidi="ar-SA"/>
        </w:rPr>
        <w:t>陈先生</w:t>
      </w:r>
      <w:r>
        <w:rPr>
          <w:rFonts w:hint="eastAsia" w:ascii="宋体" w:hAnsi="宋体" w:eastAsia="宋体" w:cs="宋体"/>
          <w:color w:val="auto"/>
          <w:kern w:val="2"/>
          <w:sz w:val="21"/>
          <w:szCs w:val="21"/>
          <w:highlight w:val="none"/>
          <w:lang w:val="en-US" w:eastAsia="zh-CN" w:bidi="ar-SA"/>
        </w:rPr>
        <w:t xml:space="preserve"> </w:t>
      </w:r>
    </w:p>
    <w:p w14:paraId="27B92CBB">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联系电话：</w:t>
      </w:r>
      <w:r>
        <w:rPr>
          <w:rFonts w:hint="eastAsia" w:ascii="宋体" w:hAnsi="宋体" w:cs="宋体"/>
          <w:color w:val="auto"/>
          <w:kern w:val="2"/>
          <w:sz w:val="21"/>
          <w:szCs w:val="21"/>
          <w:highlight w:val="none"/>
          <w:lang w:val="en-US" w:eastAsia="zh-CN" w:bidi="ar-SA"/>
        </w:rPr>
        <w:t>0396-8188529</w:t>
      </w:r>
    </w:p>
    <w:p w14:paraId="17A32B98">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招标代理机构：</w:t>
      </w:r>
      <w:r>
        <w:rPr>
          <w:rFonts w:hint="eastAsia" w:ascii="宋体" w:hAnsi="宋体" w:cs="宋体"/>
          <w:color w:val="auto"/>
          <w:kern w:val="2"/>
          <w:sz w:val="21"/>
          <w:szCs w:val="21"/>
          <w:highlight w:val="none"/>
          <w:lang w:val="en-US" w:eastAsia="zh-CN" w:bidi="ar-SA"/>
        </w:rPr>
        <w:t>河南省盛鸿工程管理咨询有限公司</w:t>
      </w:r>
    </w:p>
    <w:p w14:paraId="161AAF3F">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地 </w:t>
      </w: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 xml:space="preserve"> 址：</w:t>
      </w:r>
      <w:r>
        <w:rPr>
          <w:rFonts w:hint="eastAsia" w:ascii="宋体" w:hAnsi="宋体" w:cs="宋体"/>
          <w:color w:val="auto"/>
          <w:kern w:val="2"/>
          <w:sz w:val="21"/>
          <w:szCs w:val="21"/>
          <w:highlight w:val="none"/>
          <w:lang w:val="en-US" w:eastAsia="zh-CN" w:bidi="ar-SA"/>
        </w:rPr>
        <w:t>驻马店市华尔大厦17层1717室</w:t>
      </w:r>
      <w:r>
        <w:rPr>
          <w:rFonts w:hint="eastAsia" w:ascii="宋体" w:hAnsi="宋体" w:eastAsia="宋体" w:cs="宋体"/>
          <w:color w:val="auto"/>
          <w:kern w:val="2"/>
          <w:sz w:val="21"/>
          <w:szCs w:val="21"/>
          <w:highlight w:val="none"/>
          <w:lang w:val="en-US" w:eastAsia="zh-CN" w:bidi="ar-SA"/>
        </w:rPr>
        <w:t xml:space="preserve"> </w:t>
      </w:r>
    </w:p>
    <w:p w14:paraId="681025D8">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联 系 人：</w:t>
      </w:r>
      <w:r>
        <w:rPr>
          <w:rFonts w:hint="eastAsia" w:ascii="宋体" w:hAnsi="宋体" w:cs="宋体"/>
          <w:color w:val="auto"/>
          <w:kern w:val="2"/>
          <w:sz w:val="21"/>
          <w:szCs w:val="21"/>
          <w:highlight w:val="none"/>
          <w:lang w:val="en-US" w:eastAsia="zh-CN" w:bidi="ar-SA"/>
        </w:rPr>
        <w:t>王先生</w:t>
      </w:r>
    </w:p>
    <w:p w14:paraId="2C5393C7">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联系电话：</w:t>
      </w:r>
      <w:r>
        <w:rPr>
          <w:rFonts w:hint="eastAsia" w:ascii="宋体" w:hAnsi="宋体" w:cs="宋体"/>
          <w:color w:val="auto"/>
          <w:kern w:val="2"/>
          <w:sz w:val="21"/>
          <w:szCs w:val="21"/>
          <w:highlight w:val="none"/>
          <w:lang w:val="en-US" w:eastAsia="zh-CN" w:bidi="ar-SA"/>
        </w:rPr>
        <w:t>17698773769</w:t>
      </w:r>
    </w:p>
    <w:p w14:paraId="59027781">
      <w:pPr>
        <w:pStyle w:val="19"/>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p>
    <w:p w14:paraId="26C707ED">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监督部门：汝南县交通运输局 </w:t>
      </w:r>
    </w:p>
    <w:p w14:paraId="73FE0FAA">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办公地址：汝南县行政新区3号楼</w:t>
      </w:r>
    </w:p>
    <w:p w14:paraId="1A338BA4">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联 系 人：赫女士</w:t>
      </w:r>
    </w:p>
    <w:p w14:paraId="2B7D8515">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    话：0396-8</w:t>
      </w:r>
      <w:r>
        <w:rPr>
          <w:rFonts w:hint="eastAsia" w:ascii="宋体" w:hAnsi="宋体" w:cs="宋体"/>
          <w:color w:val="auto"/>
          <w:kern w:val="2"/>
          <w:sz w:val="21"/>
          <w:szCs w:val="21"/>
          <w:highlight w:val="none"/>
          <w:lang w:val="en-US" w:eastAsia="zh-CN" w:bidi="ar-SA"/>
        </w:rPr>
        <w:t>123756</w:t>
      </w:r>
      <w:r>
        <w:rPr>
          <w:rFonts w:hint="eastAsia" w:ascii="宋体" w:hAnsi="宋体" w:eastAsia="宋体" w:cs="宋体"/>
          <w:color w:val="auto"/>
          <w:kern w:val="2"/>
          <w:sz w:val="21"/>
          <w:szCs w:val="21"/>
          <w:highlight w:val="none"/>
          <w:lang w:val="en-US" w:eastAsia="zh-CN" w:bidi="ar-SA"/>
        </w:rPr>
        <w:t xml:space="preserve"> </w:t>
      </w:r>
    </w:p>
    <w:p w14:paraId="5C456800">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p>
    <w:p w14:paraId="418E6C26">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p>
    <w:p w14:paraId="25EFC40B">
      <w:pPr>
        <w:keepNext w:val="0"/>
        <w:keepLines w:val="0"/>
        <w:pageBreakBefore w:val="0"/>
        <w:widowControl/>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p>
    <w:p w14:paraId="1AED4D52">
      <w:pPr>
        <w:pStyle w:val="19"/>
        <w:keepNext w:val="0"/>
        <w:keepLines w:val="0"/>
        <w:pageBreakBefore w:val="0"/>
        <w:widowControl/>
        <w:numPr>
          <w:ilvl w:val="0"/>
          <w:numId w:val="0"/>
        </w:numPr>
        <w:kinsoku/>
        <w:wordWrap/>
        <w:overflowPunct/>
        <w:topLinePunct w:val="0"/>
        <w:autoSpaceDE/>
        <w:autoSpaceDN/>
        <w:bidi w:val="0"/>
        <w:adjustRightInd/>
        <w:snapToGrid/>
        <w:spacing w:before="0" w:beforeLines="1700" w:line="240" w:lineRule="auto"/>
        <w:jc w:val="center"/>
        <w:textAlignment w:val="auto"/>
        <w:rPr>
          <w:rFonts w:hint="eastAsia" w:ascii="宋体" w:hAnsi="宋体"/>
          <w:b/>
          <w:color w:val="auto"/>
          <w:kern w:val="44"/>
          <w:sz w:val="40"/>
          <w:szCs w:val="40"/>
          <w:highlight w:val="none"/>
        </w:rPr>
      </w:pPr>
      <w:r>
        <w:rPr>
          <w:rFonts w:hint="eastAsia" w:ascii="宋体" w:hAnsi="宋体"/>
          <w:b/>
          <w:color w:val="auto"/>
          <w:kern w:val="44"/>
          <w:sz w:val="40"/>
          <w:szCs w:val="40"/>
          <w:highlight w:val="none"/>
          <w:lang w:eastAsia="zh-CN"/>
        </w:rPr>
        <w:t>第二章</w:t>
      </w:r>
      <w:r>
        <w:rPr>
          <w:rFonts w:hint="eastAsia" w:ascii="宋体" w:hAnsi="宋体"/>
          <w:b/>
          <w:color w:val="auto"/>
          <w:kern w:val="44"/>
          <w:sz w:val="40"/>
          <w:szCs w:val="40"/>
          <w:highlight w:val="none"/>
        </w:rPr>
        <w:t xml:space="preserve"> 投标人须知</w:t>
      </w:r>
    </w:p>
    <w:p w14:paraId="2B6D975A">
      <w:pPr>
        <w:keepNext w:val="0"/>
        <w:keepLines w:val="0"/>
        <w:pageBreakBefore w:val="0"/>
        <w:widowControl w:val="0"/>
        <w:kinsoku/>
        <w:wordWrap/>
        <w:overflowPunct/>
        <w:topLinePunct w:val="0"/>
        <w:autoSpaceDE/>
        <w:autoSpaceDN/>
        <w:bidi w:val="0"/>
        <w:adjustRightInd w:val="0"/>
        <w:snapToGrid w:val="0"/>
        <w:spacing w:before="0" w:beforeLines="100" w:after="0" w:afterLines="50" w:line="240" w:lineRule="auto"/>
        <w:jc w:val="center"/>
        <w:textAlignment w:val="auto"/>
        <w:outlineLvl w:val="1"/>
        <w:rPr>
          <w:rFonts w:ascii="宋体" w:hAnsi="宋体"/>
          <w:b/>
          <w:bCs/>
          <w:color w:val="auto"/>
          <w:sz w:val="28"/>
          <w:szCs w:val="28"/>
          <w:highlight w:val="none"/>
        </w:rPr>
      </w:pPr>
      <w:bookmarkStart w:id="19" w:name="_Toc3854"/>
      <w:bookmarkEnd w:id="19"/>
      <w:r>
        <w:rPr>
          <w:rFonts w:hint="eastAsia" w:ascii="宋体" w:hAnsi="宋体"/>
          <w:b/>
          <w:bCs/>
          <w:color w:val="auto"/>
          <w:sz w:val="28"/>
          <w:szCs w:val="28"/>
          <w:highlight w:val="none"/>
        </w:rPr>
        <w:t>投标人须知前附表</w:t>
      </w:r>
      <w:bookmarkStart w:id="20" w:name="_Hlt111980600"/>
      <w:bookmarkEnd w:id="20"/>
    </w:p>
    <w:tbl>
      <w:tblPr>
        <w:tblStyle w:val="23"/>
        <w:tblW w:w="9708"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556"/>
        <w:gridCol w:w="6196"/>
      </w:tblGrid>
      <w:tr w14:paraId="523AB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4DC3D2EA">
            <w:pPr>
              <w:keepNext w:val="0"/>
              <w:keepLines w:val="0"/>
              <w:pageBreakBefore w:val="0"/>
              <w:kinsoku/>
              <w:wordWrap w:val="0"/>
              <w:overflowPunct/>
              <w:topLinePunct w:val="0"/>
              <w:autoSpaceDN/>
              <w:bidi w:val="0"/>
              <w:spacing w:line="360" w:lineRule="atLeas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2556" w:type="dxa"/>
            <w:tcBorders>
              <w:top w:val="single" w:color="auto" w:sz="4" w:space="0"/>
              <w:left w:val="single" w:color="auto" w:sz="4" w:space="0"/>
              <w:bottom w:val="single" w:color="auto" w:sz="4" w:space="0"/>
              <w:right w:val="single" w:color="auto" w:sz="4" w:space="0"/>
            </w:tcBorders>
            <w:noWrap/>
            <w:vAlign w:val="center"/>
          </w:tcPr>
          <w:p w14:paraId="0920FE47">
            <w:pPr>
              <w:keepNext w:val="0"/>
              <w:keepLines w:val="0"/>
              <w:pageBreakBefore w:val="0"/>
              <w:kinsoku/>
              <w:wordWrap w:val="0"/>
              <w:overflowPunct/>
              <w:topLinePunct w:val="0"/>
              <w:autoSpaceDN/>
              <w:bidi w:val="0"/>
              <w:spacing w:line="360" w:lineRule="atLeas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 款 名 称</w:t>
            </w:r>
          </w:p>
        </w:tc>
        <w:tc>
          <w:tcPr>
            <w:tcW w:w="6196" w:type="dxa"/>
            <w:tcBorders>
              <w:top w:val="single" w:color="auto" w:sz="4" w:space="0"/>
              <w:left w:val="single" w:color="auto" w:sz="4" w:space="0"/>
              <w:bottom w:val="single" w:color="auto" w:sz="4" w:space="0"/>
              <w:right w:val="single" w:color="auto" w:sz="4" w:space="0"/>
            </w:tcBorders>
            <w:noWrap/>
            <w:vAlign w:val="center"/>
          </w:tcPr>
          <w:p w14:paraId="7CA80426">
            <w:pPr>
              <w:keepNext w:val="0"/>
              <w:keepLines w:val="0"/>
              <w:pageBreakBefore w:val="0"/>
              <w:kinsoku/>
              <w:wordWrap w:val="0"/>
              <w:overflowPunct/>
              <w:topLinePunct w:val="0"/>
              <w:autoSpaceDN/>
              <w:bidi w:val="0"/>
              <w:spacing w:line="360" w:lineRule="atLeas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 列 内 容</w:t>
            </w:r>
          </w:p>
        </w:tc>
      </w:tr>
      <w:tr w14:paraId="5F837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09F9FE99">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2556" w:type="dxa"/>
            <w:tcBorders>
              <w:top w:val="single" w:color="auto" w:sz="4" w:space="0"/>
              <w:left w:val="single" w:color="auto" w:sz="4" w:space="0"/>
              <w:bottom w:val="single" w:color="auto" w:sz="4" w:space="0"/>
              <w:right w:val="single" w:color="auto" w:sz="4" w:space="0"/>
            </w:tcBorders>
            <w:noWrap/>
            <w:vAlign w:val="center"/>
          </w:tcPr>
          <w:p w14:paraId="1F273CEC">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p>
        </w:tc>
        <w:tc>
          <w:tcPr>
            <w:tcW w:w="6196" w:type="dxa"/>
            <w:tcBorders>
              <w:top w:val="single" w:color="auto" w:sz="4" w:space="0"/>
              <w:left w:val="single" w:color="auto" w:sz="4" w:space="0"/>
              <w:bottom w:val="single" w:color="auto" w:sz="4" w:space="0"/>
              <w:right w:val="single" w:color="auto" w:sz="4" w:space="0"/>
            </w:tcBorders>
            <w:noWrap/>
            <w:vAlign w:val="center"/>
          </w:tcPr>
          <w:p w14:paraId="14CC12D9">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招标人：汝南县公路事业发展中心</w:t>
            </w:r>
          </w:p>
          <w:p w14:paraId="51F4B780">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址：汝南县梁祝大道</w:t>
            </w:r>
          </w:p>
          <w:p w14:paraId="728F958B">
            <w:pPr>
              <w:keepNext w:val="0"/>
              <w:keepLines w:val="0"/>
              <w:pageBreakBefore w:val="0"/>
              <w:kinsoku/>
              <w:wordWrap w:val="0"/>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w:t>
            </w:r>
            <w:r>
              <w:rPr>
                <w:rFonts w:hint="eastAsia" w:ascii="宋体" w:hAnsi="宋体" w:cs="宋体"/>
                <w:color w:val="auto"/>
                <w:sz w:val="21"/>
                <w:szCs w:val="21"/>
                <w:highlight w:val="none"/>
                <w:lang w:val="en-US" w:eastAsia="zh-CN"/>
              </w:rPr>
              <w:t>陈先生</w:t>
            </w:r>
          </w:p>
          <w:p w14:paraId="08F41327">
            <w:pPr>
              <w:keepNext w:val="0"/>
              <w:keepLines w:val="0"/>
              <w:pageBreakBefore w:val="0"/>
              <w:kinsoku/>
              <w:wordWrap w:val="0"/>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联系电话：0396-8188529</w:t>
            </w:r>
          </w:p>
        </w:tc>
      </w:tr>
      <w:tr w14:paraId="3409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AB6C8F4">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2556" w:type="dxa"/>
            <w:tcBorders>
              <w:top w:val="single" w:color="auto" w:sz="4" w:space="0"/>
              <w:left w:val="single" w:color="auto" w:sz="4" w:space="0"/>
              <w:bottom w:val="single" w:color="auto" w:sz="4" w:space="0"/>
              <w:right w:val="single" w:color="auto" w:sz="4" w:space="0"/>
            </w:tcBorders>
            <w:noWrap/>
            <w:vAlign w:val="center"/>
          </w:tcPr>
          <w:p w14:paraId="5CA4BFAF">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招标代理机构</w:t>
            </w:r>
          </w:p>
        </w:tc>
        <w:tc>
          <w:tcPr>
            <w:tcW w:w="6196" w:type="dxa"/>
            <w:tcBorders>
              <w:top w:val="single" w:color="auto" w:sz="4" w:space="0"/>
              <w:left w:val="single" w:color="auto" w:sz="4" w:space="0"/>
              <w:bottom w:val="single" w:color="auto" w:sz="4" w:space="0"/>
              <w:right w:val="single" w:color="auto" w:sz="4" w:space="0"/>
            </w:tcBorders>
            <w:noWrap/>
            <w:vAlign w:val="center"/>
          </w:tcPr>
          <w:p w14:paraId="62647EB6">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招标代理机构：</w:t>
            </w:r>
            <w:r>
              <w:rPr>
                <w:rFonts w:hint="eastAsia" w:ascii="宋体" w:hAnsi="宋体" w:cs="宋体"/>
                <w:color w:val="auto"/>
                <w:sz w:val="21"/>
                <w:szCs w:val="21"/>
                <w:highlight w:val="none"/>
                <w:lang w:val="en-US" w:eastAsia="zh-CN"/>
              </w:rPr>
              <w:t>河南省盛鸿工程管理咨询有限公司</w:t>
            </w:r>
          </w:p>
          <w:p w14:paraId="3244A848">
            <w:pPr>
              <w:keepNext w:val="0"/>
              <w:keepLines w:val="0"/>
              <w:pageBreakBefore w:val="0"/>
              <w:kinsoku/>
              <w:wordWrap w:val="0"/>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w:t>
            </w:r>
            <w:r>
              <w:rPr>
                <w:rFonts w:hint="eastAsia" w:ascii="宋体" w:hAnsi="宋体" w:cs="宋体"/>
                <w:color w:val="auto"/>
                <w:sz w:val="21"/>
                <w:szCs w:val="21"/>
                <w:highlight w:val="none"/>
                <w:lang w:val="en-US" w:eastAsia="zh-CN"/>
              </w:rPr>
              <w:t>驻马店市华尔大厦17层1717室</w:t>
            </w:r>
          </w:p>
          <w:p w14:paraId="7BC5E09B">
            <w:pPr>
              <w:keepNext w:val="0"/>
              <w:keepLines w:val="0"/>
              <w:pageBreakBefore w:val="0"/>
              <w:kinsoku/>
              <w:wordWrap w:val="0"/>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w:t>
            </w:r>
            <w:r>
              <w:rPr>
                <w:rFonts w:hint="eastAsia" w:ascii="宋体" w:hAnsi="宋体" w:cs="宋体"/>
                <w:color w:val="auto"/>
                <w:sz w:val="21"/>
                <w:szCs w:val="21"/>
                <w:highlight w:val="none"/>
                <w:lang w:val="en-US" w:eastAsia="zh-CN"/>
              </w:rPr>
              <w:t>王先生</w:t>
            </w:r>
          </w:p>
          <w:p w14:paraId="2009E302">
            <w:pPr>
              <w:keepNext w:val="0"/>
              <w:keepLines w:val="0"/>
              <w:pageBreakBefore w:val="0"/>
              <w:kinsoku/>
              <w:wordWrap w:val="0"/>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联系电话</w:t>
            </w:r>
            <w:r>
              <w:rPr>
                <w:rFonts w:hint="eastAsia" w:ascii="宋体" w:hAnsi="宋体" w:cs="宋体"/>
                <w:color w:val="auto"/>
                <w:sz w:val="21"/>
                <w:szCs w:val="21"/>
                <w:highlight w:val="none"/>
                <w:lang w:val="en-US" w:eastAsia="zh-CN"/>
              </w:rPr>
              <w:t>：17698773769</w:t>
            </w:r>
          </w:p>
        </w:tc>
      </w:tr>
      <w:tr w14:paraId="3F13F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08EC7BA1">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2556" w:type="dxa"/>
            <w:tcBorders>
              <w:top w:val="single" w:color="auto" w:sz="4" w:space="0"/>
              <w:left w:val="single" w:color="auto" w:sz="4" w:space="0"/>
              <w:bottom w:val="single" w:color="auto" w:sz="4" w:space="0"/>
              <w:right w:val="single" w:color="auto" w:sz="4" w:space="0"/>
            </w:tcBorders>
            <w:noWrap/>
            <w:vAlign w:val="center"/>
          </w:tcPr>
          <w:p w14:paraId="4B688C09">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招标项目名称</w:t>
            </w:r>
          </w:p>
        </w:tc>
        <w:tc>
          <w:tcPr>
            <w:tcW w:w="6196" w:type="dxa"/>
            <w:tcBorders>
              <w:top w:val="single" w:color="auto" w:sz="4" w:space="0"/>
              <w:left w:val="single" w:color="auto" w:sz="4" w:space="0"/>
              <w:bottom w:val="single" w:color="auto" w:sz="4" w:space="0"/>
              <w:right w:val="single" w:color="auto" w:sz="4" w:space="0"/>
            </w:tcBorders>
            <w:noWrap/>
            <w:vAlign w:val="center"/>
          </w:tcPr>
          <w:p w14:paraId="5F02215F">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汝南县2026年第二批农村道路与桥涵建设提升项目</w:t>
            </w:r>
          </w:p>
        </w:tc>
      </w:tr>
      <w:tr w14:paraId="0D5EE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02C5B59E">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2556" w:type="dxa"/>
            <w:tcBorders>
              <w:top w:val="single" w:color="auto" w:sz="4" w:space="0"/>
              <w:left w:val="single" w:color="auto" w:sz="4" w:space="0"/>
              <w:bottom w:val="single" w:color="auto" w:sz="4" w:space="0"/>
              <w:right w:val="single" w:color="auto" w:sz="4" w:space="0"/>
            </w:tcBorders>
            <w:noWrap/>
            <w:vAlign w:val="center"/>
          </w:tcPr>
          <w:p w14:paraId="4B30086D">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标段建设地点</w:t>
            </w:r>
          </w:p>
        </w:tc>
        <w:tc>
          <w:tcPr>
            <w:tcW w:w="6196" w:type="dxa"/>
            <w:tcBorders>
              <w:top w:val="single" w:color="auto" w:sz="4" w:space="0"/>
              <w:left w:val="single" w:color="auto" w:sz="4" w:space="0"/>
              <w:bottom w:val="single" w:color="auto" w:sz="4" w:space="0"/>
              <w:right w:val="single" w:color="auto" w:sz="4" w:space="0"/>
            </w:tcBorders>
            <w:noWrap/>
            <w:vAlign w:val="center"/>
          </w:tcPr>
          <w:p w14:paraId="13D82BD6">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cs="宋体"/>
                <w:color w:val="auto"/>
                <w:kern w:val="2"/>
                <w:sz w:val="21"/>
                <w:szCs w:val="21"/>
                <w:highlight w:val="none"/>
                <w:lang w:val="en-US" w:eastAsia="zh-CN" w:bidi="ar-SA"/>
              </w:rPr>
              <w:t>汝南县</w:t>
            </w:r>
            <w:r>
              <w:rPr>
                <w:rFonts w:hint="eastAsia" w:ascii="宋体" w:hAnsi="宋体" w:eastAsia="宋体" w:cs="宋体"/>
                <w:color w:val="auto"/>
                <w:kern w:val="2"/>
                <w:sz w:val="21"/>
                <w:szCs w:val="21"/>
                <w:highlight w:val="none"/>
                <w:lang w:val="en-US" w:eastAsia="zh-CN" w:bidi="ar-SA"/>
              </w:rPr>
              <w:t>境内</w:t>
            </w:r>
          </w:p>
        </w:tc>
      </w:tr>
      <w:tr w14:paraId="3AC6A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6F450C3">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2556" w:type="dxa"/>
            <w:tcBorders>
              <w:top w:val="single" w:color="auto" w:sz="4" w:space="0"/>
              <w:left w:val="single" w:color="auto" w:sz="4" w:space="0"/>
              <w:bottom w:val="single" w:color="auto" w:sz="4" w:space="0"/>
              <w:right w:val="single" w:color="auto" w:sz="4" w:space="0"/>
            </w:tcBorders>
            <w:noWrap/>
            <w:vAlign w:val="center"/>
          </w:tcPr>
          <w:p w14:paraId="4341C67B">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资金来源及比例</w:t>
            </w:r>
          </w:p>
        </w:tc>
        <w:tc>
          <w:tcPr>
            <w:tcW w:w="6196" w:type="dxa"/>
            <w:tcBorders>
              <w:top w:val="single" w:color="auto" w:sz="4" w:space="0"/>
              <w:left w:val="single" w:color="auto" w:sz="4" w:space="0"/>
              <w:bottom w:val="single" w:color="auto" w:sz="4" w:space="0"/>
              <w:right w:val="single" w:color="auto" w:sz="4" w:space="0"/>
            </w:tcBorders>
            <w:noWrap/>
            <w:vAlign w:val="center"/>
          </w:tcPr>
          <w:p w14:paraId="4D11EADC">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财政帮扶资金</w:t>
            </w:r>
          </w:p>
        </w:tc>
      </w:tr>
      <w:tr w14:paraId="1BB95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52B16A70">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w:t>
            </w:r>
          </w:p>
        </w:tc>
        <w:tc>
          <w:tcPr>
            <w:tcW w:w="2556" w:type="dxa"/>
            <w:tcBorders>
              <w:top w:val="single" w:color="auto" w:sz="4" w:space="0"/>
              <w:left w:val="single" w:color="auto" w:sz="4" w:space="0"/>
              <w:bottom w:val="single" w:color="auto" w:sz="4" w:space="0"/>
              <w:right w:val="single" w:color="auto" w:sz="4" w:space="0"/>
            </w:tcBorders>
            <w:noWrap/>
            <w:vAlign w:val="center"/>
          </w:tcPr>
          <w:p w14:paraId="1069C57B">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6196" w:type="dxa"/>
            <w:tcBorders>
              <w:top w:val="single" w:color="auto" w:sz="4" w:space="0"/>
              <w:left w:val="single" w:color="auto" w:sz="4" w:space="0"/>
              <w:bottom w:val="single" w:color="auto" w:sz="4" w:space="0"/>
              <w:right w:val="single" w:color="auto" w:sz="4" w:space="0"/>
            </w:tcBorders>
            <w:noWrap/>
            <w:vAlign w:val="center"/>
          </w:tcPr>
          <w:p w14:paraId="18101E2F">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042FF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3D715CCB">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2556" w:type="dxa"/>
            <w:tcBorders>
              <w:top w:val="single" w:color="auto" w:sz="4" w:space="0"/>
              <w:left w:val="single" w:color="auto" w:sz="4" w:space="0"/>
              <w:bottom w:val="single" w:color="auto" w:sz="4" w:space="0"/>
              <w:right w:val="single" w:color="auto" w:sz="4" w:space="0"/>
            </w:tcBorders>
            <w:noWrap/>
            <w:vAlign w:val="center"/>
          </w:tcPr>
          <w:p w14:paraId="54DF043A">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招标范围</w:t>
            </w:r>
          </w:p>
        </w:tc>
        <w:tc>
          <w:tcPr>
            <w:tcW w:w="6196" w:type="dxa"/>
            <w:tcBorders>
              <w:top w:val="single" w:color="auto" w:sz="4" w:space="0"/>
              <w:left w:val="single" w:color="auto" w:sz="4" w:space="0"/>
              <w:bottom w:val="single" w:color="auto" w:sz="4" w:space="0"/>
              <w:right w:val="single" w:color="auto" w:sz="4" w:space="0"/>
            </w:tcBorders>
            <w:noWrap/>
            <w:vAlign w:val="center"/>
          </w:tcPr>
          <w:p w14:paraId="437B4644">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施工图纸及工程量清单所含全部内容</w:t>
            </w:r>
          </w:p>
        </w:tc>
      </w:tr>
      <w:tr w14:paraId="03C7A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004390F3">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2556" w:type="dxa"/>
            <w:tcBorders>
              <w:top w:val="single" w:color="auto" w:sz="4" w:space="0"/>
              <w:left w:val="single" w:color="auto" w:sz="4" w:space="0"/>
              <w:bottom w:val="single" w:color="auto" w:sz="4" w:space="0"/>
              <w:right w:val="single" w:color="auto" w:sz="4" w:space="0"/>
            </w:tcBorders>
            <w:noWrap/>
            <w:vAlign w:val="center"/>
          </w:tcPr>
          <w:p w14:paraId="618CC30C">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计划工期</w:t>
            </w:r>
          </w:p>
        </w:tc>
        <w:tc>
          <w:tcPr>
            <w:tcW w:w="6196" w:type="dxa"/>
            <w:tcBorders>
              <w:top w:val="single" w:color="auto" w:sz="4" w:space="0"/>
              <w:left w:val="single" w:color="auto" w:sz="4" w:space="0"/>
              <w:bottom w:val="single" w:color="auto" w:sz="4" w:space="0"/>
              <w:right w:val="single" w:color="auto" w:sz="4" w:space="0"/>
            </w:tcBorders>
            <w:noWrap/>
            <w:vAlign w:val="center"/>
          </w:tcPr>
          <w:p w14:paraId="24717563">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60日历天，缺陷责任期12个月。</w:t>
            </w:r>
          </w:p>
          <w:p w14:paraId="5E9DCBAD">
            <w:pPr>
              <w:keepNext w:val="0"/>
              <w:keepLines w:val="0"/>
              <w:pageBreakBefore w:val="0"/>
              <w:kinsoku/>
              <w:wordWrap w:val="0"/>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计划开工日期：以合同约定时间为准</w:t>
            </w:r>
            <w:r>
              <w:rPr>
                <w:rFonts w:hint="eastAsia" w:ascii="宋体" w:hAnsi="宋体" w:cs="宋体"/>
                <w:color w:val="auto"/>
                <w:sz w:val="21"/>
                <w:szCs w:val="21"/>
                <w:highlight w:val="none"/>
                <w:lang w:eastAsia="zh-CN"/>
              </w:rPr>
              <w:t>；</w:t>
            </w:r>
          </w:p>
          <w:p w14:paraId="625A007D">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计划交工日期：以合同约定时间为</w:t>
            </w:r>
            <w:r>
              <w:rPr>
                <w:rFonts w:hint="eastAsia" w:ascii="宋体" w:hAnsi="宋体" w:cs="宋体"/>
                <w:color w:val="auto"/>
                <w:sz w:val="21"/>
                <w:szCs w:val="21"/>
                <w:highlight w:val="none"/>
                <w:lang w:eastAsia="zh-CN"/>
              </w:rPr>
              <w:t>准。</w:t>
            </w:r>
          </w:p>
        </w:tc>
      </w:tr>
      <w:tr w14:paraId="589AA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0C72AE43">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2556" w:type="dxa"/>
            <w:tcBorders>
              <w:top w:val="single" w:color="auto" w:sz="4" w:space="0"/>
              <w:left w:val="single" w:color="auto" w:sz="4" w:space="0"/>
              <w:bottom w:val="single" w:color="auto" w:sz="4" w:space="0"/>
              <w:right w:val="single" w:color="auto" w:sz="4" w:space="0"/>
            </w:tcBorders>
            <w:noWrap/>
            <w:vAlign w:val="center"/>
          </w:tcPr>
          <w:p w14:paraId="158CE177">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质量要求</w:t>
            </w:r>
          </w:p>
        </w:tc>
        <w:tc>
          <w:tcPr>
            <w:tcW w:w="6196" w:type="dxa"/>
            <w:tcBorders>
              <w:top w:val="single" w:color="auto" w:sz="4" w:space="0"/>
              <w:left w:val="single" w:color="auto" w:sz="4" w:space="0"/>
              <w:bottom w:val="single" w:color="auto" w:sz="4" w:space="0"/>
              <w:right w:val="single" w:color="auto" w:sz="4" w:space="0"/>
            </w:tcBorders>
            <w:noWrap/>
            <w:vAlign w:val="center"/>
          </w:tcPr>
          <w:p w14:paraId="3F169422">
            <w:pPr>
              <w:keepNext w:val="0"/>
              <w:keepLines w:val="0"/>
              <w:pageBreakBefore w:val="0"/>
              <w:kinsoku/>
              <w:wordWrap w:val="0"/>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标段工程交工验收的质量评定：合格</w:t>
            </w:r>
          </w:p>
          <w:p w14:paraId="15D71471">
            <w:pPr>
              <w:keepNext w:val="0"/>
              <w:keepLines w:val="0"/>
              <w:pageBreakBefore w:val="0"/>
              <w:kinsoku/>
              <w:wordWrap w:val="0"/>
              <w:overflowPunct/>
              <w:topLinePunct w:val="0"/>
              <w:autoSpaceDE w:val="0"/>
              <w:autoSpaceDN/>
              <w:bidi w:val="0"/>
              <w:adjustRightInd w:val="0"/>
              <w:snapToGrid w:val="0"/>
              <w:spacing w:line="360" w:lineRule="atLeast"/>
              <w:textAlignment w:val="auto"/>
              <w:rPr>
                <w:rFonts w:hint="eastAsia" w:ascii="宋体" w:hAnsi="宋体" w:eastAsia="宋体" w:cs="宋体"/>
                <w:color w:val="auto"/>
                <w:spacing w:val="-18"/>
                <w:sz w:val="21"/>
                <w:szCs w:val="21"/>
                <w:highlight w:val="none"/>
              </w:rPr>
            </w:pPr>
            <w:r>
              <w:rPr>
                <w:rFonts w:hint="eastAsia" w:ascii="宋体" w:hAnsi="宋体" w:eastAsia="宋体" w:cs="宋体"/>
                <w:color w:val="auto"/>
                <w:sz w:val="21"/>
                <w:szCs w:val="21"/>
                <w:highlight w:val="none"/>
              </w:rPr>
              <w:t>竣工验收的质量评定：合格</w:t>
            </w:r>
          </w:p>
        </w:tc>
      </w:tr>
      <w:tr w14:paraId="484EC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7826394">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w:t>
            </w:r>
          </w:p>
        </w:tc>
        <w:tc>
          <w:tcPr>
            <w:tcW w:w="2556" w:type="dxa"/>
            <w:tcBorders>
              <w:top w:val="single" w:color="auto" w:sz="4" w:space="0"/>
              <w:left w:val="single" w:color="auto" w:sz="4" w:space="0"/>
              <w:bottom w:val="single" w:color="auto" w:sz="4" w:space="0"/>
              <w:right w:val="single" w:color="auto" w:sz="4" w:space="0"/>
            </w:tcBorders>
            <w:noWrap/>
            <w:vAlign w:val="center"/>
          </w:tcPr>
          <w:p w14:paraId="2864C99C">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安全目标</w:t>
            </w:r>
          </w:p>
        </w:tc>
        <w:tc>
          <w:tcPr>
            <w:tcW w:w="6196" w:type="dxa"/>
            <w:tcBorders>
              <w:top w:val="single" w:color="auto" w:sz="4" w:space="0"/>
              <w:left w:val="single" w:color="auto" w:sz="4" w:space="0"/>
              <w:bottom w:val="single" w:color="auto" w:sz="4" w:space="0"/>
              <w:right w:val="single" w:color="auto" w:sz="4" w:space="0"/>
            </w:tcBorders>
            <w:noWrap/>
            <w:vAlign w:val="center"/>
          </w:tcPr>
          <w:p w14:paraId="53B3B6FD">
            <w:pPr>
              <w:keepNext w:val="0"/>
              <w:keepLines w:val="0"/>
              <w:pageBreakBefore w:val="0"/>
              <w:kinsoku/>
              <w:wordWrap w:val="0"/>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无安全事故</w:t>
            </w:r>
          </w:p>
        </w:tc>
      </w:tr>
      <w:tr w14:paraId="04FF2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3E04E397">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2556" w:type="dxa"/>
            <w:tcBorders>
              <w:top w:val="single" w:color="auto" w:sz="4" w:space="0"/>
              <w:left w:val="single" w:color="auto" w:sz="4" w:space="0"/>
              <w:bottom w:val="single" w:color="auto" w:sz="4" w:space="0"/>
              <w:right w:val="single" w:color="auto" w:sz="4" w:space="0"/>
            </w:tcBorders>
            <w:noWrap/>
            <w:vAlign w:val="center"/>
          </w:tcPr>
          <w:p w14:paraId="0249B047">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投标人资质条件、能力和信誉 </w:t>
            </w:r>
          </w:p>
        </w:tc>
        <w:tc>
          <w:tcPr>
            <w:tcW w:w="6196" w:type="dxa"/>
            <w:tcBorders>
              <w:top w:val="single" w:color="auto" w:sz="4" w:space="0"/>
              <w:left w:val="single" w:color="auto" w:sz="4" w:space="0"/>
              <w:bottom w:val="single" w:color="auto" w:sz="4" w:space="0"/>
              <w:right w:val="single" w:color="auto" w:sz="4" w:space="0"/>
            </w:tcBorders>
            <w:noWrap/>
            <w:vAlign w:val="center"/>
          </w:tcPr>
          <w:p w14:paraId="7C909A07">
            <w:pPr>
              <w:keepNext w:val="0"/>
              <w:keepLines w:val="0"/>
              <w:pageBreakBefore w:val="0"/>
              <w:kinsoku/>
              <w:wordWrap w:val="0"/>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资质要求：见附录1</w:t>
            </w:r>
          </w:p>
          <w:p w14:paraId="555E1295">
            <w:pPr>
              <w:keepNext w:val="0"/>
              <w:keepLines w:val="0"/>
              <w:pageBreakBefore w:val="0"/>
              <w:kinsoku/>
              <w:wordWrap w:val="0"/>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财务要求：见附录2</w:t>
            </w:r>
          </w:p>
          <w:p w14:paraId="0A879FFD">
            <w:pPr>
              <w:keepNext w:val="0"/>
              <w:keepLines w:val="0"/>
              <w:pageBreakBefore w:val="0"/>
              <w:kinsoku/>
              <w:wordWrap w:val="0"/>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业绩要求：见附录3</w:t>
            </w:r>
          </w:p>
          <w:p w14:paraId="1CEAE53E">
            <w:pPr>
              <w:keepNext w:val="0"/>
              <w:keepLines w:val="0"/>
              <w:pageBreakBefore w:val="0"/>
              <w:kinsoku/>
              <w:wordWrap w:val="0"/>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信誉要求：见附录4</w:t>
            </w:r>
          </w:p>
          <w:p w14:paraId="52210032">
            <w:pPr>
              <w:keepNext w:val="0"/>
              <w:keepLines w:val="0"/>
              <w:pageBreakBefore w:val="0"/>
              <w:kinsoku/>
              <w:wordWrap w:val="0"/>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项目经理和项目总工资格：见附录5</w:t>
            </w:r>
          </w:p>
        </w:tc>
      </w:tr>
      <w:tr w14:paraId="01A91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3B6CE740">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2556" w:type="dxa"/>
            <w:tcBorders>
              <w:top w:val="single" w:color="auto" w:sz="4" w:space="0"/>
              <w:left w:val="single" w:color="auto" w:sz="4" w:space="0"/>
              <w:bottom w:val="single" w:color="auto" w:sz="4" w:space="0"/>
              <w:right w:val="single" w:color="auto" w:sz="4" w:space="0"/>
            </w:tcBorders>
            <w:noWrap/>
            <w:vAlign w:val="center"/>
          </w:tcPr>
          <w:p w14:paraId="6433D7C6">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是否接受联合体投标</w:t>
            </w:r>
          </w:p>
        </w:tc>
        <w:tc>
          <w:tcPr>
            <w:tcW w:w="6196" w:type="dxa"/>
            <w:tcBorders>
              <w:top w:val="single" w:color="auto" w:sz="4" w:space="0"/>
              <w:left w:val="single" w:color="auto" w:sz="4" w:space="0"/>
              <w:bottom w:val="single" w:color="auto" w:sz="4" w:space="0"/>
              <w:right w:val="single" w:color="auto" w:sz="4" w:space="0"/>
            </w:tcBorders>
            <w:noWrap/>
            <w:vAlign w:val="center"/>
          </w:tcPr>
          <w:p w14:paraId="48F15E84">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不接受</w:t>
            </w:r>
          </w:p>
          <w:p w14:paraId="6A58CC0F">
            <w:pPr>
              <w:pStyle w:val="41"/>
              <w:keepNext w:val="0"/>
              <w:keepLines w:val="0"/>
              <w:pageBreakBefore w:val="0"/>
              <w:kinsoku/>
              <w:wordWrap w:val="0"/>
              <w:overflowPunct/>
              <w:topLinePunct w:val="0"/>
              <w:autoSpaceDE w:val="0"/>
              <w:autoSpaceDN/>
              <w:bidi w:val="0"/>
              <w:spacing w:line="360" w:lineRule="atLeast"/>
              <w:ind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接受，应满足下列要求：</w:t>
            </w:r>
          </w:p>
          <w:p w14:paraId="12F57C07">
            <w:pPr>
              <w:pStyle w:val="41"/>
              <w:keepNext w:val="0"/>
              <w:keepLines w:val="0"/>
              <w:pageBreakBefore w:val="0"/>
              <w:kinsoku/>
              <w:wordWrap w:val="0"/>
              <w:overflowPunct/>
              <w:topLinePunct w:val="0"/>
              <w:autoSpaceDE w:val="0"/>
              <w:autoSpaceDN/>
              <w:bidi w:val="0"/>
              <w:spacing w:line="360" w:lineRule="atLeast"/>
              <w:ind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（1）联合体所有成员数量不得超过 / 家；</w:t>
            </w:r>
          </w:p>
          <w:p w14:paraId="30CF7855">
            <w:pPr>
              <w:pStyle w:val="41"/>
              <w:keepNext w:val="0"/>
              <w:keepLines w:val="0"/>
              <w:pageBreakBefore w:val="0"/>
              <w:kinsoku/>
              <w:wordWrap w:val="0"/>
              <w:overflowPunct/>
              <w:topLinePunct w:val="0"/>
              <w:autoSpaceDE w:val="0"/>
              <w:autoSpaceDN/>
              <w:bidi w:val="0"/>
              <w:spacing w:line="360" w:lineRule="atLeast"/>
              <w:ind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（2）联合体牵头人应具有 / 资质；</w:t>
            </w:r>
          </w:p>
          <w:p w14:paraId="5A2AAFC2">
            <w:pPr>
              <w:pStyle w:val="41"/>
              <w:keepNext w:val="0"/>
              <w:keepLines w:val="0"/>
              <w:pageBreakBefore w:val="0"/>
              <w:kinsoku/>
              <w:wordWrap w:val="0"/>
              <w:overflowPunct/>
              <w:topLinePunct w:val="0"/>
              <w:autoSpaceDE w:val="0"/>
              <w:autoSpaceDN/>
              <w:bidi w:val="0"/>
              <w:spacing w:line="360" w:lineRule="atLeast"/>
              <w:ind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r>
      <w:tr w14:paraId="7DE72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0DAF05C7">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w:t>
            </w:r>
          </w:p>
        </w:tc>
        <w:tc>
          <w:tcPr>
            <w:tcW w:w="2556" w:type="dxa"/>
            <w:tcBorders>
              <w:top w:val="single" w:color="auto" w:sz="4" w:space="0"/>
              <w:left w:val="single" w:color="auto" w:sz="4" w:space="0"/>
              <w:bottom w:val="single" w:color="auto" w:sz="4" w:space="0"/>
              <w:right w:val="single" w:color="auto" w:sz="4" w:space="0"/>
            </w:tcBorders>
            <w:noWrap/>
            <w:vAlign w:val="center"/>
          </w:tcPr>
          <w:p w14:paraId="2B0CCDAB">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投标人不得存在的其他关联情形</w:t>
            </w:r>
          </w:p>
        </w:tc>
        <w:tc>
          <w:tcPr>
            <w:tcW w:w="6196" w:type="dxa"/>
            <w:tcBorders>
              <w:top w:val="single" w:color="auto" w:sz="4" w:space="0"/>
              <w:left w:val="single" w:color="auto" w:sz="4" w:space="0"/>
              <w:bottom w:val="single" w:color="auto" w:sz="4" w:space="0"/>
              <w:right w:val="single" w:color="auto" w:sz="4" w:space="0"/>
            </w:tcBorders>
            <w:noWrap/>
            <w:vAlign w:val="center"/>
          </w:tcPr>
          <w:p w14:paraId="3AEDEC40">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见须知正文</w:t>
            </w:r>
          </w:p>
        </w:tc>
      </w:tr>
      <w:tr w14:paraId="7B71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6E4A4D91">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w:t>
            </w:r>
          </w:p>
        </w:tc>
        <w:tc>
          <w:tcPr>
            <w:tcW w:w="2556" w:type="dxa"/>
            <w:tcBorders>
              <w:top w:val="single" w:color="auto" w:sz="4" w:space="0"/>
              <w:left w:val="single" w:color="auto" w:sz="4" w:space="0"/>
              <w:bottom w:val="single" w:color="auto" w:sz="4" w:space="0"/>
              <w:right w:val="single" w:color="auto" w:sz="4" w:space="0"/>
            </w:tcBorders>
            <w:noWrap/>
            <w:vAlign w:val="center"/>
          </w:tcPr>
          <w:p w14:paraId="73C05DFB">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投标人不得存在的其他不良状况或不良信用记录</w:t>
            </w:r>
          </w:p>
        </w:tc>
        <w:tc>
          <w:tcPr>
            <w:tcW w:w="6196" w:type="dxa"/>
            <w:tcBorders>
              <w:top w:val="single" w:color="auto" w:sz="4" w:space="0"/>
              <w:left w:val="single" w:color="auto" w:sz="4" w:space="0"/>
              <w:bottom w:val="single" w:color="auto" w:sz="4" w:space="0"/>
              <w:right w:val="single" w:color="auto" w:sz="4" w:space="0"/>
            </w:tcBorders>
            <w:noWrap/>
            <w:vAlign w:val="center"/>
          </w:tcPr>
          <w:p w14:paraId="1F4FF6D4">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见须知正文</w:t>
            </w:r>
          </w:p>
        </w:tc>
      </w:tr>
      <w:tr w14:paraId="3C59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2C52E710">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w:t>
            </w:r>
          </w:p>
        </w:tc>
        <w:tc>
          <w:tcPr>
            <w:tcW w:w="2556" w:type="dxa"/>
            <w:tcBorders>
              <w:top w:val="single" w:color="auto" w:sz="4" w:space="0"/>
              <w:left w:val="single" w:color="auto" w:sz="4" w:space="0"/>
              <w:bottom w:val="single" w:color="auto" w:sz="4" w:space="0"/>
              <w:right w:val="single" w:color="auto" w:sz="4" w:space="0"/>
            </w:tcBorders>
            <w:noWrap/>
            <w:vAlign w:val="center"/>
          </w:tcPr>
          <w:p w14:paraId="15194A3D">
            <w:pPr>
              <w:keepNext w:val="0"/>
              <w:keepLines w:val="0"/>
              <w:pageBreakBefore w:val="0"/>
              <w:kinsoku/>
              <w:wordWrap w:val="0"/>
              <w:overflowPunct/>
              <w:topLinePunct w:val="0"/>
              <w:autoSpaceDE w:val="0"/>
              <w:autoSpaceDN/>
              <w:bidi w:val="0"/>
              <w:spacing w:line="360" w:lineRule="atLeast"/>
              <w:ind w:left="-106" w:leftChars="-51" w:right="-107" w:rightChars="-51" w:hanging="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投标人在投标预备会前提出问题</w:t>
            </w:r>
          </w:p>
        </w:tc>
        <w:tc>
          <w:tcPr>
            <w:tcW w:w="6196" w:type="dxa"/>
            <w:tcBorders>
              <w:top w:val="single" w:color="auto" w:sz="4" w:space="0"/>
              <w:left w:val="single" w:color="auto" w:sz="4" w:space="0"/>
              <w:bottom w:val="single" w:color="auto" w:sz="4" w:space="0"/>
              <w:right w:val="single" w:color="auto" w:sz="4" w:space="0"/>
            </w:tcBorders>
            <w:noWrap/>
            <w:vAlign w:val="center"/>
          </w:tcPr>
          <w:p w14:paraId="03A4DCC6">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不召开预备会，如有疑问见条款2</w:t>
            </w:r>
          </w:p>
        </w:tc>
      </w:tr>
      <w:tr w14:paraId="4A86A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1E1A3C30">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w:t>
            </w:r>
          </w:p>
        </w:tc>
        <w:tc>
          <w:tcPr>
            <w:tcW w:w="2556" w:type="dxa"/>
            <w:tcBorders>
              <w:top w:val="single" w:color="auto" w:sz="4" w:space="0"/>
              <w:left w:val="single" w:color="auto" w:sz="4" w:space="0"/>
              <w:bottom w:val="single" w:color="auto" w:sz="4" w:space="0"/>
              <w:right w:val="single" w:color="auto" w:sz="4" w:space="0"/>
            </w:tcBorders>
            <w:noWrap/>
            <w:vAlign w:val="center"/>
          </w:tcPr>
          <w:p w14:paraId="177DB737">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6196" w:type="dxa"/>
            <w:tcBorders>
              <w:top w:val="single" w:color="auto" w:sz="4" w:space="0"/>
              <w:left w:val="single" w:color="auto" w:sz="4" w:space="0"/>
              <w:bottom w:val="single" w:color="auto" w:sz="4" w:space="0"/>
              <w:right w:val="single" w:color="auto" w:sz="4" w:space="0"/>
            </w:tcBorders>
            <w:noWrap/>
            <w:vAlign w:val="center"/>
          </w:tcPr>
          <w:p w14:paraId="1C85BE37">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6AAB475F">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□允许，允许分包的专项工程（或不允许分包的专项工程）：</w:t>
            </w:r>
          </w:p>
          <w:p w14:paraId="21F11A37">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对分包人的资格要求：</w:t>
            </w:r>
            <w:r>
              <w:rPr>
                <w:rFonts w:hint="eastAsia" w:ascii="宋体" w:hAnsi="宋体" w:eastAsia="宋体" w:cs="宋体"/>
                <w:color w:val="auto"/>
                <w:sz w:val="21"/>
                <w:szCs w:val="21"/>
                <w:highlight w:val="none"/>
              </w:rPr>
              <w:tab/>
            </w:r>
          </w:p>
        </w:tc>
      </w:tr>
      <w:tr w14:paraId="2CFD3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52C6EA5B">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2556" w:type="dxa"/>
            <w:tcBorders>
              <w:top w:val="single" w:color="auto" w:sz="4" w:space="0"/>
              <w:left w:val="single" w:color="auto" w:sz="4" w:space="0"/>
              <w:bottom w:val="single" w:color="auto" w:sz="4" w:space="0"/>
              <w:right w:val="single" w:color="auto" w:sz="4" w:space="0"/>
            </w:tcBorders>
            <w:noWrap/>
            <w:vAlign w:val="center"/>
          </w:tcPr>
          <w:p w14:paraId="52AD780D">
            <w:pPr>
              <w:keepNext w:val="0"/>
              <w:keepLines w:val="0"/>
              <w:pageBreakBefore w:val="0"/>
              <w:kinsoku/>
              <w:wordWrap w:val="0"/>
              <w:overflowPunct/>
              <w:topLinePunct w:val="0"/>
              <w:autoSpaceDE w:val="0"/>
              <w:autoSpaceDN/>
              <w:bidi w:val="0"/>
              <w:spacing w:line="360" w:lineRule="atLeast"/>
              <w:ind w:left="-107" w:leftChars="-51" w:right="-107" w:rightChars="-5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构成招标文件的其他材料</w:t>
            </w:r>
          </w:p>
        </w:tc>
        <w:tc>
          <w:tcPr>
            <w:tcW w:w="6196" w:type="dxa"/>
            <w:tcBorders>
              <w:top w:val="single" w:color="auto" w:sz="4" w:space="0"/>
              <w:left w:val="single" w:color="auto" w:sz="4" w:space="0"/>
              <w:bottom w:val="single" w:color="auto" w:sz="4" w:space="0"/>
              <w:right w:val="single" w:color="auto" w:sz="4" w:space="0"/>
            </w:tcBorders>
            <w:noWrap/>
            <w:vAlign w:val="center"/>
          </w:tcPr>
          <w:p w14:paraId="217D7E44">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1.招标人发布的最高投标限价、招标补遗书、澄清、修改等招标文件的补充文件（如有）；</w:t>
            </w:r>
          </w:p>
          <w:p w14:paraId="1DDC4B78">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2.其他相关规范、要求等。</w:t>
            </w:r>
          </w:p>
        </w:tc>
      </w:tr>
      <w:tr w14:paraId="38FFE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956" w:type="dxa"/>
            <w:vMerge w:val="restart"/>
            <w:tcBorders>
              <w:top w:val="nil"/>
              <w:left w:val="single" w:color="auto" w:sz="4" w:space="0"/>
              <w:bottom w:val="single" w:color="auto" w:sz="4" w:space="0"/>
              <w:right w:val="single" w:color="auto" w:sz="4" w:space="0"/>
            </w:tcBorders>
            <w:noWrap/>
            <w:vAlign w:val="center"/>
          </w:tcPr>
          <w:p w14:paraId="58FEACC4">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2556" w:type="dxa"/>
            <w:vMerge w:val="restart"/>
            <w:tcBorders>
              <w:top w:val="nil"/>
              <w:left w:val="single" w:color="auto" w:sz="4" w:space="0"/>
              <w:bottom w:val="single" w:color="auto" w:sz="4" w:space="0"/>
              <w:right w:val="single" w:color="auto" w:sz="4" w:space="0"/>
            </w:tcBorders>
            <w:noWrap/>
            <w:vAlign w:val="center"/>
          </w:tcPr>
          <w:p w14:paraId="760699B8">
            <w:pPr>
              <w:keepNext w:val="0"/>
              <w:keepLines w:val="0"/>
              <w:pageBreakBefore w:val="0"/>
              <w:kinsoku/>
              <w:wordWrap w:val="0"/>
              <w:overflowPunct/>
              <w:topLinePunct w:val="0"/>
              <w:autoSpaceDE w:val="0"/>
              <w:autoSpaceDN/>
              <w:bidi w:val="0"/>
              <w:spacing w:line="360" w:lineRule="atLeast"/>
              <w:ind w:left="-107" w:leftChars="-51" w:right="-107" w:rightChars="-5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投标人要求澄清招标文件</w:t>
            </w:r>
          </w:p>
        </w:tc>
        <w:tc>
          <w:tcPr>
            <w:tcW w:w="6196" w:type="dxa"/>
            <w:tcBorders>
              <w:top w:val="single" w:color="auto" w:sz="4" w:space="0"/>
              <w:left w:val="single" w:color="auto" w:sz="4" w:space="0"/>
              <w:bottom w:val="single" w:color="auto" w:sz="4" w:space="0"/>
              <w:right w:val="single" w:color="auto" w:sz="4" w:space="0"/>
            </w:tcBorders>
            <w:noWrap/>
            <w:vAlign w:val="center"/>
          </w:tcPr>
          <w:p w14:paraId="012EB28A">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时间：投标截止时间15日前</w:t>
            </w:r>
          </w:p>
        </w:tc>
      </w:tr>
      <w:tr w14:paraId="6F8D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56" w:type="dxa"/>
            <w:vMerge w:val="continue"/>
            <w:tcBorders>
              <w:top w:val="nil"/>
              <w:left w:val="single" w:color="auto" w:sz="4" w:space="0"/>
              <w:bottom w:val="single" w:color="auto" w:sz="4" w:space="0"/>
              <w:right w:val="single" w:color="auto" w:sz="4" w:space="0"/>
            </w:tcBorders>
            <w:vAlign w:val="center"/>
          </w:tcPr>
          <w:p w14:paraId="2AF46098">
            <w:pPr>
              <w:keepNext w:val="0"/>
              <w:keepLines w:val="0"/>
              <w:pageBreakBefore w:val="0"/>
              <w:widowControl/>
              <w:kinsoku/>
              <w:wordWrap w:val="0"/>
              <w:overflowPunct/>
              <w:topLinePunct w:val="0"/>
              <w:autoSpaceDN/>
              <w:bidi w:val="0"/>
              <w:spacing w:line="360" w:lineRule="atLeast"/>
              <w:jc w:val="left"/>
              <w:textAlignment w:val="auto"/>
              <w:rPr>
                <w:rFonts w:hint="eastAsia" w:ascii="宋体" w:hAnsi="宋体" w:eastAsia="宋体" w:cs="宋体"/>
                <w:color w:val="auto"/>
                <w:sz w:val="21"/>
                <w:szCs w:val="21"/>
                <w:highlight w:val="none"/>
              </w:rPr>
            </w:pPr>
          </w:p>
        </w:tc>
        <w:tc>
          <w:tcPr>
            <w:tcW w:w="2556" w:type="dxa"/>
            <w:vMerge w:val="continue"/>
            <w:tcBorders>
              <w:top w:val="nil"/>
              <w:left w:val="single" w:color="auto" w:sz="4" w:space="0"/>
              <w:bottom w:val="single" w:color="auto" w:sz="4" w:space="0"/>
              <w:right w:val="single" w:color="auto" w:sz="4" w:space="0"/>
            </w:tcBorders>
            <w:vAlign w:val="center"/>
          </w:tcPr>
          <w:p w14:paraId="06C2CB01">
            <w:pPr>
              <w:keepNext w:val="0"/>
              <w:keepLines w:val="0"/>
              <w:pageBreakBefore w:val="0"/>
              <w:widowControl/>
              <w:kinsoku/>
              <w:wordWrap w:val="0"/>
              <w:overflowPunct/>
              <w:topLinePunct w:val="0"/>
              <w:autoSpaceDN/>
              <w:bidi w:val="0"/>
              <w:spacing w:line="360" w:lineRule="atLeast"/>
              <w:jc w:val="left"/>
              <w:textAlignment w:val="auto"/>
              <w:rPr>
                <w:rFonts w:hint="eastAsia" w:ascii="宋体" w:hAnsi="宋体" w:eastAsia="宋体" w:cs="宋体"/>
                <w:color w:val="auto"/>
                <w:sz w:val="21"/>
                <w:szCs w:val="21"/>
                <w:highlight w:val="none"/>
              </w:rPr>
            </w:pPr>
          </w:p>
        </w:tc>
        <w:tc>
          <w:tcPr>
            <w:tcW w:w="6196" w:type="dxa"/>
            <w:tcBorders>
              <w:top w:val="single" w:color="auto" w:sz="4" w:space="0"/>
              <w:left w:val="single" w:color="auto" w:sz="4" w:space="0"/>
              <w:bottom w:val="single" w:color="auto" w:sz="4" w:space="0"/>
              <w:right w:val="single" w:color="auto" w:sz="4" w:space="0"/>
            </w:tcBorders>
            <w:noWrap/>
            <w:vAlign w:val="center"/>
          </w:tcPr>
          <w:p w14:paraId="55B971C1">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形式：通过“驻马店市公共资源交易平台”要求澄清招标文件。</w:t>
            </w:r>
          </w:p>
        </w:tc>
      </w:tr>
      <w:tr w14:paraId="762AC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51D01185">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2556" w:type="dxa"/>
            <w:tcBorders>
              <w:top w:val="single" w:color="auto" w:sz="4" w:space="0"/>
              <w:left w:val="single" w:color="auto" w:sz="4" w:space="0"/>
              <w:bottom w:val="single" w:color="auto" w:sz="4" w:space="0"/>
              <w:right w:val="single" w:color="auto" w:sz="4" w:space="0"/>
            </w:tcBorders>
            <w:noWrap/>
            <w:vAlign w:val="center"/>
          </w:tcPr>
          <w:p w14:paraId="0E1CC8F0">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招标文件澄清发出的形式</w:t>
            </w:r>
          </w:p>
        </w:tc>
        <w:tc>
          <w:tcPr>
            <w:tcW w:w="6196" w:type="dxa"/>
            <w:tcBorders>
              <w:top w:val="single" w:color="auto" w:sz="4" w:space="0"/>
              <w:left w:val="single" w:color="auto" w:sz="4" w:space="0"/>
              <w:bottom w:val="single" w:color="auto" w:sz="4" w:space="0"/>
              <w:right w:val="single" w:color="auto" w:sz="4" w:space="0"/>
            </w:tcBorders>
            <w:noWrap/>
            <w:vAlign w:val="center"/>
          </w:tcPr>
          <w:p w14:paraId="1D033022">
            <w:pPr>
              <w:keepNext w:val="0"/>
              <w:keepLines w:val="0"/>
              <w:pageBreakBefore w:val="0"/>
              <w:widowControl w:val="0"/>
              <w:kinsoku/>
              <w:wordWrap w:val="0"/>
              <w:overflowPunct/>
              <w:topLinePunct w:val="0"/>
              <w:autoSpaceDE w:val="0"/>
              <w:autoSpaceDN/>
              <w:bidi w:val="0"/>
              <w:adjustRightInd/>
              <w:snapToGrid/>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通过“驻马店市公共资源交易平台(https://ggzy.zhumadian.gov.cn/TPFront/)”进行公布，不再另行通知，请各投标人及时关注交易平台，因投标人未看到或其他原因造成的损失，由投标人自行承担。</w:t>
            </w:r>
          </w:p>
        </w:tc>
      </w:tr>
      <w:tr w14:paraId="591EF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01CB31E5">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2556" w:type="dxa"/>
            <w:tcBorders>
              <w:top w:val="single" w:color="auto" w:sz="4" w:space="0"/>
              <w:left w:val="single" w:color="auto" w:sz="4" w:space="0"/>
              <w:bottom w:val="single" w:color="auto" w:sz="4" w:space="0"/>
              <w:right w:val="single" w:color="auto" w:sz="4" w:space="0"/>
            </w:tcBorders>
            <w:noWrap/>
            <w:vAlign w:val="center"/>
          </w:tcPr>
          <w:p w14:paraId="335009DE">
            <w:pPr>
              <w:keepNext w:val="0"/>
              <w:keepLines w:val="0"/>
              <w:pageBreakBefore w:val="0"/>
              <w:kinsoku/>
              <w:wordWrap w:val="0"/>
              <w:overflowPunct/>
              <w:topLinePunct w:val="0"/>
              <w:autoSpaceDE w:val="0"/>
              <w:autoSpaceDN/>
              <w:bidi w:val="0"/>
              <w:spacing w:line="360" w:lineRule="atLeast"/>
              <w:ind w:left="-141" w:leftChars="-67" w:right="-107" w:rightChars="-51" w:firstLine="27" w:firstLineChars="13"/>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w:t>
            </w:r>
          </w:p>
          <w:p w14:paraId="33354B8B">
            <w:pPr>
              <w:keepNext w:val="0"/>
              <w:keepLines w:val="0"/>
              <w:pageBreakBefore w:val="0"/>
              <w:kinsoku/>
              <w:wordWrap w:val="0"/>
              <w:overflowPunct/>
              <w:topLinePunct w:val="0"/>
              <w:autoSpaceDE w:val="0"/>
              <w:autoSpaceDN/>
              <w:bidi w:val="0"/>
              <w:spacing w:line="360" w:lineRule="atLeast"/>
              <w:ind w:left="-141" w:leftChars="-67" w:right="-107" w:rightChars="-51" w:firstLine="27" w:firstLineChars="13"/>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招标文件澄清</w:t>
            </w:r>
          </w:p>
        </w:tc>
        <w:tc>
          <w:tcPr>
            <w:tcW w:w="6196" w:type="dxa"/>
            <w:tcBorders>
              <w:top w:val="single" w:color="auto" w:sz="4" w:space="0"/>
              <w:left w:val="single" w:color="auto" w:sz="4" w:space="0"/>
              <w:bottom w:val="single" w:color="auto" w:sz="4" w:space="0"/>
              <w:right w:val="single" w:color="auto" w:sz="4" w:space="0"/>
            </w:tcBorders>
            <w:noWrap/>
            <w:vAlign w:val="center"/>
          </w:tcPr>
          <w:p w14:paraId="30F194CA">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所有澄清均通过“驻马店市公共资源交易平台”发布，一经发布即视为投标人已收到，请各投标人关注系统通知，如有遗漏自行负责。投标人无需书面回复确认收到。</w:t>
            </w:r>
          </w:p>
        </w:tc>
      </w:tr>
      <w:tr w14:paraId="0A1FA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3062D992">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w:t>
            </w:r>
          </w:p>
        </w:tc>
        <w:tc>
          <w:tcPr>
            <w:tcW w:w="2556" w:type="dxa"/>
            <w:tcBorders>
              <w:top w:val="single" w:color="auto" w:sz="4" w:space="0"/>
              <w:left w:val="single" w:color="auto" w:sz="4" w:space="0"/>
              <w:bottom w:val="single" w:color="auto" w:sz="4" w:space="0"/>
              <w:right w:val="single" w:color="auto" w:sz="4" w:space="0"/>
            </w:tcBorders>
            <w:noWrap/>
            <w:vAlign w:val="center"/>
          </w:tcPr>
          <w:p w14:paraId="6BB9D8D3">
            <w:pPr>
              <w:keepNext w:val="0"/>
              <w:keepLines w:val="0"/>
              <w:pageBreakBefore w:val="0"/>
              <w:kinsoku/>
              <w:wordWrap w:val="0"/>
              <w:overflowPunct/>
              <w:topLinePunct w:val="0"/>
              <w:autoSpaceDE w:val="0"/>
              <w:autoSpaceDN/>
              <w:bidi w:val="0"/>
              <w:spacing w:line="360" w:lineRule="atLeast"/>
              <w:ind w:left="-141" w:leftChars="-67" w:right="-107" w:rightChars="-51" w:firstLine="27" w:firstLineChars="13"/>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招标文件修改发出的形式</w:t>
            </w:r>
          </w:p>
        </w:tc>
        <w:tc>
          <w:tcPr>
            <w:tcW w:w="6196" w:type="dxa"/>
            <w:tcBorders>
              <w:top w:val="single" w:color="auto" w:sz="4" w:space="0"/>
              <w:left w:val="single" w:color="auto" w:sz="4" w:space="0"/>
              <w:bottom w:val="single" w:color="auto" w:sz="4" w:space="0"/>
              <w:right w:val="single" w:color="auto" w:sz="4" w:space="0"/>
            </w:tcBorders>
            <w:noWrap/>
            <w:vAlign w:val="center"/>
          </w:tcPr>
          <w:p w14:paraId="4AA857CC">
            <w:pPr>
              <w:keepNext w:val="0"/>
              <w:keepLines w:val="0"/>
              <w:pageBreakBefore w:val="0"/>
              <w:widowControl w:val="0"/>
              <w:kinsoku/>
              <w:wordWrap w:val="0"/>
              <w:overflowPunct/>
              <w:topLinePunct w:val="0"/>
              <w:autoSpaceDE w:val="0"/>
              <w:autoSpaceDN/>
              <w:bidi w:val="0"/>
              <w:adjustRightInd/>
              <w:snapToGrid/>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通过“驻马店市公共资源交易平台(https://ggzy.zhumadian.gov.cn/TPFront/)”进行公布，不再另行通知，请各投标人及时关注交易平台，因投标人未看到或其他原因造成的损失，由投标人自行承担。</w:t>
            </w:r>
          </w:p>
        </w:tc>
      </w:tr>
      <w:tr w14:paraId="5D7B2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2597B7FE">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w:t>
            </w:r>
          </w:p>
        </w:tc>
        <w:tc>
          <w:tcPr>
            <w:tcW w:w="2556" w:type="dxa"/>
            <w:tcBorders>
              <w:top w:val="single" w:color="auto" w:sz="4" w:space="0"/>
              <w:left w:val="single" w:color="auto" w:sz="4" w:space="0"/>
              <w:bottom w:val="single" w:color="auto" w:sz="4" w:space="0"/>
              <w:right w:val="single" w:color="auto" w:sz="4" w:space="0"/>
            </w:tcBorders>
            <w:noWrap/>
            <w:vAlign w:val="center"/>
          </w:tcPr>
          <w:p w14:paraId="5E4D0490">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投标人确认收到招标文件修改</w:t>
            </w:r>
          </w:p>
        </w:tc>
        <w:tc>
          <w:tcPr>
            <w:tcW w:w="6196" w:type="dxa"/>
            <w:tcBorders>
              <w:top w:val="single" w:color="auto" w:sz="4" w:space="0"/>
              <w:left w:val="single" w:color="auto" w:sz="4" w:space="0"/>
              <w:bottom w:val="single" w:color="auto" w:sz="4" w:space="0"/>
              <w:right w:val="single" w:color="auto" w:sz="4" w:space="0"/>
            </w:tcBorders>
            <w:noWrap/>
            <w:vAlign w:val="center"/>
          </w:tcPr>
          <w:p w14:paraId="76D053E9">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所有招标文件修改均通过“驻马店市公共资源交易平台”发布，一经发布即视为投标人已收到，请各投标人关注系统通知，如有遗漏自行负责。投标人无需书面回复确认收到。</w:t>
            </w:r>
          </w:p>
        </w:tc>
      </w:tr>
      <w:tr w14:paraId="19791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19953783">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w:t>
            </w:r>
          </w:p>
        </w:tc>
        <w:tc>
          <w:tcPr>
            <w:tcW w:w="2556" w:type="dxa"/>
            <w:tcBorders>
              <w:top w:val="single" w:color="auto" w:sz="4" w:space="0"/>
              <w:left w:val="single" w:color="auto" w:sz="4" w:space="0"/>
              <w:bottom w:val="single" w:color="auto" w:sz="4" w:space="0"/>
              <w:right w:val="single" w:color="auto" w:sz="4" w:space="0"/>
            </w:tcBorders>
            <w:noWrap/>
            <w:vAlign w:val="center"/>
          </w:tcPr>
          <w:p w14:paraId="1DDDCA1A">
            <w:pPr>
              <w:keepNext w:val="0"/>
              <w:keepLines w:val="0"/>
              <w:pageBreakBefore w:val="0"/>
              <w:kinsoku/>
              <w:wordWrap w:val="0"/>
              <w:overflowPunct/>
              <w:topLinePunct w:val="0"/>
              <w:autoSpaceDE w:val="0"/>
              <w:autoSpaceDN/>
              <w:bidi w:val="0"/>
              <w:spacing w:line="360" w:lineRule="atLeast"/>
              <w:ind w:left="-107" w:leftChars="-51" w:right="-107" w:rightChars="-5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投标文件密封形式</w:t>
            </w:r>
          </w:p>
        </w:tc>
        <w:tc>
          <w:tcPr>
            <w:tcW w:w="6196" w:type="dxa"/>
            <w:tcBorders>
              <w:top w:val="single" w:color="auto" w:sz="4" w:space="0"/>
              <w:left w:val="single" w:color="auto" w:sz="4" w:space="0"/>
              <w:bottom w:val="single" w:color="auto" w:sz="4" w:space="0"/>
              <w:right w:val="single" w:color="auto" w:sz="4" w:space="0"/>
            </w:tcBorders>
            <w:noWrap/>
            <w:vAlign w:val="center"/>
          </w:tcPr>
          <w:p w14:paraId="31F0B9A8">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双信封</w:t>
            </w:r>
          </w:p>
          <w:p w14:paraId="42D48898">
            <w:pPr>
              <w:keepNext w:val="0"/>
              <w:keepLines w:val="0"/>
              <w:pageBreakBefore w:val="0"/>
              <w:tabs>
                <w:tab w:val="left" w:pos="2278"/>
              </w:tabs>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□单信封</w:t>
            </w:r>
          </w:p>
        </w:tc>
      </w:tr>
      <w:tr w14:paraId="308FE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3D2528F">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w:t>
            </w:r>
          </w:p>
        </w:tc>
        <w:tc>
          <w:tcPr>
            <w:tcW w:w="2556" w:type="dxa"/>
            <w:tcBorders>
              <w:top w:val="single" w:color="auto" w:sz="4" w:space="0"/>
              <w:left w:val="single" w:color="auto" w:sz="4" w:space="0"/>
              <w:bottom w:val="single" w:color="auto" w:sz="4" w:space="0"/>
              <w:right w:val="single" w:color="auto" w:sz="4" w:space="0"/>
            </w:tcBorders>
            <w:noWrap/>
            <w:vAlign w:val="center"/>
          </w:tcPr>
          <w:p w14:paraId="322BDB9B">
            <w:pPr>
              <w:keepNext w:val="0"/>
              <w:keepLines w:val="0"/>
              <w:pageBreakBefore w:val="0"/>
              <w:kinsoku/>
              <w:wordWrap w:val="0"/>
              <w:overflowPunct/>
              <w:topLinePunct w:val="0"/>
              <w:autoSpaceDE w:val="0"/>
              <w:autoSpaceDN/>
              <w:bidi w:val="0"/>
              <w:spacing w:line="360" w:lineRule="atLeast"/>
              <w:ind w:left="-107" w:leftChars="-51" w:right="-107" w:rightChars="-5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构成投标文件的其他资料</w:t>
            </w:r>
          </w:p>
        </w:tc>
        <w:tc>
          <w:tcPr>
            <w:tcW w:w="6196" w:type="dxa"/>
            <w:tcBorders>
              <w:top w:val="single" w:color="auto" w:sz="4" w:space="0"/>
              <w:left w:val="single" w:color="auto" w:sz="4" w:space="0"/>
              <w:bottom w:val="single" w:color="auto" w:sz="4" w:space="0"/>
              <w:right w:val="single" w:color="auto" w:sz="4" w:space="0"/>
            </w:tcBorders>
            <w:noWrap/>
            <w:vAlign w:val="center"/>
          </w:tcPr>
          <w:p w14:paraId="26039F74">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13578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57B2F4F8">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w:t>
            </w:r>
          </w:p>
        </w:tc>
        <w:tc>
          <w:tcPr>
            <w:tcW w:w="2556" w:type="dxa"/>
            <w:tcBorders>
              <w:top w:val="single" w:color="auto" w:sz="4" w:space="0"/>
              <w:left w:val="single" w:color="auto" w:sz="4" w:space="0"/>
              <w:bottom w:val="single" w:color="auto" w:sz="4" w:space="0"/>
              <w:right w:val="single" w:color="auto" w:sz="4" w:space="0"/>
            </w:tcBorders>
            <w:noWrap/>
            <w:vAlign w:val="center"/>
          </w:tcPr>
          <w:p w14:paraId="4D916920">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增值税税金的计算方法</w:t>
            </w:r>
          </w:p>
        </w:tc>
        <w:tc>
          <w:tcPr>
            <w:tcW w:w="6196" w:type="dxa"/>
            <w:tcBorders>
              <w:top w:val="single" w:color="auto" w:sz="4" w:space="0"/>
              <w:left w:val="single" w:color="auto" w:sz="4" w:space="0"/>
              <w:bottom w:val="single" w:color="auto" w:sz="4" w:space="0"/>
              <w:right w:val="single" w:color="auto" w:sz="4" w:space="0"/>
            </w:tcBorders>
            <w:noWrap/>
            <w:vAlign w:val="center"/>
          </w:tcPr>
          <w:p w14:paraId="65955E37">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按国家最新规定</w:t>
            </w:r>
          </w:p>
        </w:tc>
      </w:tr>
      <w:tr w14:paraId="09774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3F584E98">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w:t>
            </w:r>
          </w:p>
        </w:tc>
        <w:tc>
          <w:tcPr>
            <w:tcW w:w="2556" w:type="dxa"/>
            <w:tcBorders>
              <w:top w:val="single" w:color="auto" w:sz="4" w:space="0"/>
              <w:left w:val="single" w:color="auto" w:sz="4" w:space="0"/>
              <w:bottom w:val="single" w:color="auto" w:sz="4" w:space="0"/>
              <w:right w:val="single" w:color="auto" w:sz="4" w:space="0"/>
            </w:tcBorders>
            <w:noWrap/>
            <w:vAlign w:val="center"/>
          </w:tcPr>
          <w:p w14:paraId="3C37A6F1">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工程量清单的填写方式</w:t>
            </w:r>
          </w:p>
        </w:tc>
        <w:tc>
          <w:tcPr>
            <w:tcW w:w="6196" w:type="dxa"/>
            <w:tcBorders>
              <w:top w:val="single" w:color="auto" w:sz="4" w:space="0"/>
              <w:left w:val="single" w:color="auto" w:sz="4" w:space="0"/>
              <w:bottom w:val="single" w:color="auto" w:sz="4" w:space="0"/>
              <w:right w:val="single" w:color="auto" w:sz="4" w:space="0"/>
            </w:tcBorders>
            <w:noWrap/>
            <w:vAlign w:val="center"/>
          </w:tcPr>
          <w:p w14:paraId="50FC5642">
            <w:pPr>
              <w:keepNext w:val="0"/>
              <w:keepLines w:val="0"/>
              <w:pageBreakBefore w:val="0"/>
              <w:widowControl w:val="0"/>
              <w:kinsoku/>
              <w:wordWrap w:val="0"/>
              <w:overflowPunct/>
              <w:topLinePunct w:val="0"/>
              <w:autoSpaceDE w:val="0"/>
              <w:autoSpaceDN/>
              <w:bidi w:val="0"/>
              <w:adjustRightInd/>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投标人按照招标人提供的工程量固化清单电子文件填写工程量清单，下载网站：驻马店市公共资源交易平台https://ggzy.zhumadian.gov.cn/TPFront/</w:t>
            </w:r>
          </w:p>
          <w:p w14:paraId="13A4B8A7">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□投标人按照招标人提供的书面工程量清单填写工程量清单</w:t>
            </w:r>
          </w:p>
        </w:tc>
      </w:tr>
      <w:tr w14:paraId="2EA5C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7D685B4">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w:t>
            </w:r>
          </w:p>
        </w:tc>
        <w:tc>
          <w:tcPr>
            <w:tcW w:w="2556" w:type="dxa"/>
            <w:tcBorders>
              <w:top w:val="single" w:color="auto" w:sz="4" w:space="0"/>
              <w:left w:val="single" w:color="auto" w:sz="4" w:space="0"/>
              <w:bottom w:val="single" w:color="auto" w:sz="4" w:space="0"/>
              <w:right w:val="single" w:color="auto" w:sz="4" w:space="0"/>
            </w:tcBorders>
            <w:noWrap/>
            <w:vAlign w:val="center"/>
          </w:tcPr>
          <w:p w14:paraId="0F4E6B4E">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报价方式</w:t>
            </w:r>
          </w:p>
        </w:tc>
        <w:tc>
          <w:tcPr>
            <w:tcW w:w="6196" w:type="dxa"/>
            <w:tcBorders>
              <w:top w:val="single" w:color="auto" w:sz="4" w:space="0"/>
              <w:left w:val="single" w:color="auto" w:sz="4" w:space="0"/>
              <w:bottom w:val="single" w:color="auto" w:sz="4" w:space="0"/>
              <w:right w:val="single" w:color="auto" w:sz="4" w:space="0"/>
            </w:tcBorders>
            <w:noWrap/>
            <w:vAlign w:val="center"/>
          </w:tcPr>
          <w:p w14:paraId="3EEDB0D9">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单价</w:t>
            </w:r>
          </w:p>
          <w:p w14:paraId="3CF19EA0">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总价</w:t>
            </w:r>
          </w:p>
        </w:tc>
      </w:tr>
      <w:tr w14:paraId="559E3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43135D40">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3.2.6</w:t>
            </w:r>
          </w:p>
        </w:tc>
        <w:tc>
          <w:tcPr>
            <w:tcW w:w="2556" w:type="dxa"/>
            <w:tcBorders>
              <w:top w:val="single" w:color="auto" w:sz="4" w:space="0"/>
              <w:left w:val="single" w:color="auto" w:sz="4" w:space="0"/>
              <w:bottom w:val="single" w:color="auto" w:sz="4" w:space="0"/>
              <w:right w:val="single" w:color="auto" w:sz="4" w:space="0"/>
            </w:tcBorders>
            <w:noWrap/>
            <w:vAlign w:val="center"/>
          </w:tcPr>
          <w:p w14:paraId="1C91087F">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是否接受调价函</w:t>
            </w:r>
          </w:p>
        </w:tc>
        <w:tc>
          <w:tcPr>
            <w:tcW w:w="6196" w:type="dxa"/>
            <w:tcBorders>
              <w:top w:val="single" w:color="auto" w:sz="4" w:space="0"/>
              <w:left w:val="single" w:color="auto" w:sz="4" w:space="0"/>
              <w:bottom w:val="single" w:color="auto" w:sz="4" w:space="0"/>
              <w:right w:val="single" w:color="auto" w:sz="4" w:space="0"/>
            </w:tcBorders>
            <w:noWrap/>
            <w:vAlign w:val="center"/>
          </w:tcPr>
          <w:p w14:paraId="7F50AA2E">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p w14:paraId="4C8A9086">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19845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05A331B">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3.2.8</w:t>
            </w:r>
          </w:p>
        </w:tc>
        <w:tc>
          <w:tcPr>
            <w:tcW w:w="2556" w:type="dxa"/>
            <w:tcBorders>
              <w:top w:val="single" w:color="auto" w:sz="4" w:space="0"/>
              <w:left w:val="single" w:color="auto" w:sz="4" w:space="0"/>
              <w:bottom w:val="single" w:color="auto" w:sz="4" w:space="0"/>
              <w:right w:val="single" w:color="auto" w:sz="4" w:space="0"/>
            </w:tcBorders>
            <w:noWrap/>
            <w:vAlign w:val="center"/>
          </w:tcPr>
          <w:p w14:paraId="3E9076EE">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p>
        </w:tc>
        <w:tc>
          <w:tcPr>
            <w:tcW w:w="6196" w:type="dxa"/>
            <w:tcBorders>
              <w:top w:val="single" w:color="auto" w:sz="4" w:space="0"/>
              <w:left w:val="single" w:color="auto" w:sz="4" w:space="0"/>
              <w:bottom w:val="single" w:color="auto" w:sz="4" w:space="0"/>
              <w:right w:val="single" w:color="auto" w:sz="4" w:space="0"/>
            </w:tcBorders>
            <w:noWrap/>
            <w:vAlign w:val="center"/>
          </w:tcPr>
          <w:p w14:paraId="47BB3855">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p w14:paraId="030F4CCE">
            <w:pPr>
              <w:keepNext w:val="0"/>
              <w:keepLines w:val="0"/>
              <w:pageBreakBefore w:val="0"/>
              <w:kinsoku/>
              <w:wordWrap w:val="0"/>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有，最高投标限价：本项目招标控制价18320462.00元（其中：2026年汝南县第二批农村道路与桥涵建设项目控制价9058118.00元，2026年汝南县农村道路与桥涵建设提升项目控制价9262344.00元）。</w:t>
            </w:r>
          </w:p>
        </w:tc>
      </w:tr>
      <w:tr w14:paraId="5FACF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424E17A">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3.2.9</w:t>
            </w:r>
          </w:p>
        </w:tc>
        <w:tc>
          <w:tcPr>
            <w:tcW w:w="2556" w:type="dxa"/>
            <w:tcBorders>
              <w:top w:val="single" w:color="auto" w:sz="4" w:space="0"/>
              <w:left w:val="single" w:color="auto" w:sz="4" w:space="0"/>
              <w:bottom w:val="single" w:color="auto" w:sz="4" w:space="0"/>
              <w:right w:val="single" w:color="auto" w:sz="4" w:space="0"/>
            </w:tcBorders>
            <w:noWrap/>
            <w:vAlign w:val="center"/>
          </w:tcPr>
          <w:p w14:paraId="785EDBDB">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投标报价的其他要求</w:t>
            </w:r>
          </w:p>
        </w:tc>
        <w:tc>
          <w:tcPr>
            <w:tcW w:w="6196" w:type="dxa"/>
            <w:tcBorders>
              <w:top w:val="single" w:color="auto" w:sz="4" w:space="0"/>
              <w:left w:val="single" w:color="auto" w:sz="4" w:space="0"/>
              <w:bottom w:val="single" w:color="auto" w:sz="4" w:space="0"/>
              <w:right w:val="single" w:color="auto" w:sz="4" w:space="0"/>
            </w:tcBorders>
            <w:noWrap/>
            <w:vAlign w:val="center"/>
          </w:tcPr>
          <w:p w14:paraId="14DA96D6">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7E3F8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A448830">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2556" w:type="dxa"/>
            <w:tcBorders>
              <w:top w:val="single" w:color="auto" w:sz="4" w:space="0"/>
              <w:left w:val="nil"/>
              <w:bottom w:val="single" w:color="auto" w:sz="4" w:space="0"/>
              <w:right w:val="single" w:color="auto" w:sz="4" w:space="0"/>
            </w:tcBorders>
            <w:noWrap/>
            <w:vAlign w:val="center"/>
          </w:tcPr>
          <w:p w14:paraId="6A5B8CD7">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196" w:type="dxa"/>
            <w:tcBorders>
              <w:top w:val="single" w:color="auto" w:sz="4" w:space="0"/>
              <w:left w:val="nil"/>
              <w:bottom w:val="single" w:color="auto" w:sz="4" w:space="0"/>
              <w:right w:val="single" w:color="auto" w:sz="4" w:space="0"/>
            </w:tcBorders>
            <w:noWrap/>
            <w:vAlign w:val="center"/>
          </w:tcPr>
          <w:p w14:paraId="12B73641">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自投标人提交投标文件截止之日起计算</w:t>
            </w:r>
            <w:r>
              <w:rPr>
                <w:rFonts w:hint="eastAsia" w:ascii="宋体" w:hAnsi="宋体" w:cs="宋体"/>
                <w:color w:val="auto"/>
                <w:sz w:val="21"/>
                <w:szCs w:val="21"/>
                <w:highlight w:val="none"/>
                <w:lang w:val="en-US" w:eastAsia="zh-CN"/>
              </w:rPr>
              <w:t>90</w:t>
            </w:r>
            <w:r>
              <w:rPr>
                <w:rFonts w:hint="eastAsia" w:ascii="宋体" w:hAnsi="宋体" w:eastAsia="宋体" w:cs="宋体"/>
                <w:color w:val="auto"/>
                <w:sz w:val="21"/>
                <w:szCs w:val="21"/>
                <w:highlight w:val="none"/>
              </w:rPr>
              <w:t>日</w:t>
            </w:r>
          </w:p>
        </w:tc>
      </w:tr>
      <w:tr w14:paraId="59E7A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4BE6D2BB">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w:t>
            </w:r>
          </w:p>
        </w:tc>
        <w:tc>
          <w:tcPr>
            <w:tcW w:w="2556" w:type="dxa"/>
            <w:tcBorders>
              <w:top w:val="single" w:color="auto" w:sz="4" w:space="0"/>
              <w:left w:val="single" w:color="auto" w:sz="4" w:space="0"/>
              <w:bottom w:val="single" w:color="auto" w:sz="4" w:space="0"/>
              <w:right w:val="single" w:color="auto" w:sz="4" w:space="0"/>
            </w:tcBorders>
            <w:noWrap/>
            <w:vAlign w:val="center"/>
          </w:tcPr>
          <w:p w14:paraId="0944FCF0">
            <w:pPr>
              <w:keepNext w:val="0"/>
              <w:keepLines w:val="0"/>
              <w:pageBreakBefore w:val="0"/>
              <w:kinsoku/>
              <w:wordWrap w:val="0"/>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投标保证金</w:t>
            </w:r>
          </w:p>
        </w:tc>
        <w:tc>
          <w:tcPr>
            <w:tcW w:w="6196" w:type="dxa"/>
            <w:tcBorders>
              <w:top w:val="single" w:color="auto" w:sz="4" w:space="0"/>
              <w:left w:val="single" w:color="auto" w:sz="4" w:space="0"/>
              <w:bottom w:val="single" w:color="auto" w:sz="4" w:space="0"/>
              <w:right w:val="single" w:color="auto" w:sz="4" w:space="0"/>
            </w:tcBorders>
            <w:noWrap/>
            <w:vAlign w:val="center"/>
          </w:tcPr>
          <w:p w14:paraId="300C1369">
            <w:pPr>
              <w:pStyle w:val="42"/>
              <w:keepNext w:val="0"/>
              <w:keepLines w:val="0"/>
              <w:pageBreakBefore w:val="0"/>
              <w:widowControl w:val="0"/>
              <w:kinsoku/>
              <w:wordWrap w:val="0"/>
              <w:overflowPunct/>
              <w:topLinePunct w:val="0"/>
              <w:autoSpaceDE w:val="0"/>
              <w:autoSpaceDN/>
              <w:bidi w:val="0"/>
              <w:snapToGrid w:val="0"/>
              <w:spacing w:line="360" w:lineRule="atLeast"/>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是否要求投标人递交投标保证金：</w:t>
            </w:r>
          </w:p>
          <w:p w14:paraId="4DB0ED2A">
            <w:pPr>
              <w:keepNext w:val="0"/>
              <w:keepLines w:val="0"/>
              <w:pageBreakBefore w:val="0"/>
              <w:kinsoku/>
              <w:wordWrap w:val="0"/>
              <w:overflowPunct/>
              <w:topLinePunct w:val="0"/>
              <w:autoSpaceDE w:val="0"/>
              <w:autoSpaceDN/>
              <w:bidi w:val="0"/>
              <w:spacing w:line="360" w:lineRule="atLeast"/>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☑要求，投标保证金金额：</w:t>
            </w:r>
            <w:r>
              <w:rPr>
                <w:rFonts w:hint="eastAsia" w:ascii="宋体" w:hAnsi="宋体" w:cs="宋体"/>
                <w:color w:val="auto"/>
                <w:sz w:val="21"/>
                <w:szCs w:val="21"/>
                <w:highlight w:val="none"/>
                <w:lang w:val="en-US" w:eastAsia="zh-CN"/>
              </w:rPr>
              <w:t>贰拾万元整。</w:t>
            </w:r>
          </w:p>
          <w:p w14:paraId="43C5060C">
            <w:pPr>
              <w:keepNext w:val="0"/>
              <w:keepLines w:val="0"/>
              <w:pageBreakBefore w:val="0"/>
              <w:kinsoku/>
              <w:wordWrap w:val="0"/>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投标保证金递交形式：银行转账或电子保函</w:t>
            </w:r>
          </w:p>
          <w:p w14:paraId="7595AC35">
            <w:pPr>
              <w:keepNext w:val="0"/>
              <w:keepLines w:val="0"/>
              <w:pageBreakBefore w:val="0"/>
              <w:kinsoku/>
              <w:wordWrap w:val="0"/>
              <w:overflowPunct/>
              <w:topLinePunct w:val="0"/>
              <w:autoSpaceDE w:val="0"/>
              <w:autoSpaceDN w:val="0"/>
              <w:bidi w:val="0"/>
              <w:adjustRightInd w:val="0"/>
              <w:spacing w:line="380" w:lineRule="exact"/>
              <w:ind w:right="-34" w:rightChars="-16"/>
              <w:textAlignment w:val="auto"/>
              <w:rPr>
                <w:color w:val="auto"/>
                <w:highlight w:val="none"/>
              </w:rPr>
            </w:pPr>
            <w:r>
              <w:rPr>
                <w:rFonts w:hint="eastAsia"/>
                <w:color w:val="auto"/>
                <w:highlight w:val="none"/>
                <w:lang w:val="en-US" w:eastAsia="zh-CN"/>
              </w:rPr>
              <w:t xml:space="preserve">开 </w:t>
            </w:r>
            <w:r>
              <w:rPr>
                <w:rFonts w:hint="eastAsia"/>
                <w:color w:val="auto"/>
                <w:highlight w:val="none"/>
              </w:rPr>
              <w:t>户 行：河南汝南县农村商业银行股份有限公司营业部</w:t>
            </w:r>
          </w:p>
          <w:p w14:paraId="4286AA51">
            <w:pPr>
              <w:keepNext w:val="0"/>
              <w:keepLines w:val="0"/>
              <w:pageBreakBefore w:val="0"/>
              <w:kinsoku/>
              <w:wordWrap w:val="0"/>
              <w:overflowPunct/>
              <w:topLinePunct w:val="0"/>
              <w:autoSpaceDE w:val="0"/>
              <w:autoSpaceDN w:val="0"/>
              <w:bidi w:val="0"/>
              <w:adjustRightInd w:val="0"/>
              <w:spacing w:line="380" w:lineRule="exact"/>
              <w:ind w:right="-34" w:rightChars="-16"/>
              <w:textAlignment w:val="auto"/>
              <w:rPr>
                <w:color w:val="auto"/>
                <w:highlight w:val="none"/>
              </w:rPr>
            </w:pPr>
            <w:r>
              <w:rPr>
                <w:rFonts w:hint="eastAsia"/>
                <w:color w:val="auto"/>
                <w:highlight w:val="none"/>
              </w:rPr>
              <w:t>账    户：汝南县公共资源交易中心</w:t>
            </w:r>
          </w:p>
          <w:p w14:paraId="1DABBFC2">
            <w:pPr>
              <w:keepNext w:val="0"/>
              <w:keepLines w:val="0"/>
              <w:pageBreakBefore w:val="0"/>
              <w:kinsoku/>
              <w:wordWrap w:val="0"/>
              <w:overflowPunct/>
              <w:topLinePunct w:val="0"/>
              <w:autoSpaceDE w:val="0"/>
              <w:autoSpaceDN w:val="0"/>
              <w:bidi w:val="0"/>
              <w:adjustRightInd w:val="0"/>
              <w:spacing w:line="380" w:lineRule="exact"/>
              <w:ind w:right="-34" w:rightChars="-16"/>
              <w:textAlignment w:val="auto"/>
              <w:rPr>
                <w:color w:val="auto"/>
                <w:highlight w:val="none"/>
              </w:rPr>
            </w:pPr>
            <w:r>
              <w:rPr>
                <w:rFonts w:hint="eastAsia"/>
                <w:color w:val="auto"/>
                <w:highlight w:val="none"/>
              </w:rPr>
              <w:t>投标保证金银行汇单上应注明本项目招标编号</w:t>
            </w:r>
          </w:p>
          <w:p w14:paraId="56FAC617">
            <w:pPr>
              <w:pStyle w:val="14"/>
              <w:keepNext w:val="0"/>
              <w:keepLines w:val="0"/>
              <w:pageBreakBefore w:val="0"/>
              <w:kinsoku/>
              <w:wordWrap w:val="0"/>
              <w:overflowPunct/>
              <w:topLinePunct w:val="0"/>
              <w:bidi w:val="0"/>
              <w:spacing w:line="380" w:lineRule="exact"/>
              <w:ind w:left="0" w:leftChars="0"/>
              <w:textAlignment w:val="auto"/>
              <w:rPr>
                <w:color w:val="auto"/>
                <w:highlight w:val="none"/>
              </w:rPr>
            </w:pPr>
            <w:r>
              <w:rPr>
                <w:rFonts w:hint="eastAsia"/>
                <w:color w:val="auto"/>
                <w:highlight w:val="none"/>
              </w:rPr>
              <w:t>转账形式：投标人须登录交易系统，在【业务管理】里面的【保证金交纳查询】菜单里，查找该项目的投标保证金收款账户，投标人可挑选该项目对应的任一个账户按要求递交投标保证金，交纳完成后，在【保证金交纳查询】菜单里下载打印投标保证金交纳回执单，投标人必须将投标保证金交纳回执单的复印件装订到投标文件中并加盖公章。</w:t>
            </w:r>
          </w:p>
          <w:p w14:paraId="52D770D6">
            <w:pPr>
              <w:keepNext w:val="0"/>
              <w:keepLines w:val="0"/>
              <w:pageBreakBefore w:val="0"/>
              <w:kinsoku/>
              <w:wordWrap w:val="0"/>
              <w:overflowPunct/>
              <w:topLinePunct w:val="0"/>
              <w:bidi w:val="0"/>
              <w:adjustRightInd w:val="0"/>
              <w:snapToGrid w:val="0"/>
              <w:spacing w:line="380" w:lineRule="exact"/>
              <w:ind w:firstLine="315" w:firstLineChars="150"/>
              <w:textAlignment w:val="auto"/>
              <w:rPr>
                <w:rFonts w:ascii="宋体" w:hAnsi="宋体"/>
                <w:color w:val="auto"/>
                <w:kern w:val="0"/>
                <w:szCs w:val="21"/>
                <w:highlight w:val="none"/>
              </w:rPr>
            </w:pPr>
            <w:r>
              <w:rPr>
                <w:rFonts w:hint="eastAsia" w:ascii="宋体" w:hAnsi="宋体"/>
                <w:color w:val="auto"/>
                <w:kern w:val="0"/>
                <w:szCs w:val="21"/>
                <w:highlight w:val="none"/>
              </w:rPr>
              <w:t>保函形式：采用保函形式缴纳的，投标人在投标截止时间前须由专业担保机构出具投标保证金保函，并将保函证明按规定附于投标文件内并上传至项目资格审查资料内。</w:t>
            </w:r>
          </w:p>
          <w:p w14:paraId="53A49F7D">
            <w:pPr>
              <w:keepNext w:val="0"/>
              <w:keepLines w:val="0"/>
              <w:pageBreakBefore w:val="0"/>
              <w:kinsoku/>
              <w:wordWrap w:val="0"/>
              <w:overflowPunct/>
              <w:topLinePunct w:val="0"/>
              <w:bidi w:val="0"/>
              <w:adjustRightInd w:val="0"/>
              <w:snapToGrid w:val="0"/>
              <w:spacing w:line="380" w:lineRule="exact"/>
              <w:ind w:firstLine="315" w:firstLineChars="150"/>
              <w:textAlignment w:val="auto"/>
              <w:rPr>
                <w:rFonts w:ascii="宋体" w:hAnsi="宋体"/>
                <w:color w:val="auto"/>
                <w:kern w:val="0"/>
                <w:szCs w:val="21"/>
                <w:highlight w:val="none"/>
              </w:rPr>
            </w:pPr>
            <w:r>
              <w:rPr>
                <w:rFonts w:hint="eastAsia" w:ascii="宋体" w:hAnsi="宋体"/>
                <w:color w:val="auto"/>
                <w:kern w:val="0"/>
                <w:szCs w:val="21"/>
                <w:highlight w:val="none"/>
              </w:rPr>
              <w:t>项目开标前，投标人在交易系统“电子保函申请”页面进行电子保函申请，出具保函的相关机构审批通过后，将以密文形式出具电子保函的申请、使用、查看及应用过程中遇到的问题可以咨询以下部门：</w:t>
            </w:r>
          </w:p>
          <w:p w14:paraId="17DAB466">
            <w:pPr>
              <w:keepNext w:val="0"/>
              <w:keepLines w:val="0"/>
              <w:pageBreakBefore w:val="0"/>
              <w:kinsoku/>
              <w:wordWrap w:val="0"/>
              <w:overflowPunct/>
              <w:topLinePunct w:val="0"/>
              <w:bidi w:val="0"/>
              <w:adjustRightInd w:val="0"/>
              <w:snapToGrid w:val="0"/>
              <w:spacing w:line="380" w:lineRule="exact"/>
              <w:ind w:firstLine="315" w:firstLineChars="150"/>
              <w:textAlignment w:val="auto"/>
              <w:rPr>
                <w:rFonts w:ascii="宋体" w:hAnsi="宋体"/>
                <w:color w:val="auto"/>
                <w:kern w:val="0"/>
                <w:szCs w:val="21"/>
                <w:highlight w:val="none"/>
              </w:rPr>
            </w:pPr>
            <w:r>
              <w:rPr>
                <w:rFonts w:hint="eastAsia" w:ascii="宋体" w:hAnsi="宋体"/>
                <w:color w:val="auto"/>
                <w:kern w:val="0"/>
                <w:szCs w:val="21"/>
                <w:highlight w:val="none"/>
              </w:rPr>
              <w:t>交易平台技术咨询：0396-2613088</w:t>
            </w:r>
          </w:p>
          <w:p w14:paraId="48DF441C">
            <w:pPr>
              <w:keepNext w:val="0"/>
              <w:keepLines w:val="0"/>
              <w:pageBreakBefore w:val="0"/>
              <w:kinsoku/>
              <w:wordWrap w:val="0"/>
              <w:overflowPunct/>
              <w:topLinePunct w:val="0"/>
              <w:bidi w:val="0"/>
              <w:adjustRightInd w:val="0"/>
              <w:snapToGrid w:val="0"/>
              <w:spacing w:line="380" w:lineRule="exact"/>
              <w:ind w:firstLine="315" w:firstLineChars="150"/>
              <w:textAlignment w:val="auto"/>
              <w:rPr>
                <w:rFonts w:ascii="宋体" w:hAnsi="宋体"/>
                <w:color w:val="auto"/>
                <w:kern w:val="0"/>
                <w:szCs w:val="21"/>
                <w:highlight w:val="none"/>
              </w:rPr>
            </w:pPr>
            <w:r>
              <w:rPr>
                <w:rFonts w:hint="eastAsia" w:ascii="宋体" w:hAnsi="宋体"/>
                <w:color w:val="auto"/>
                <w:kern w:val="0"/>
                <w:szCs w:val="21"/>
                <w:highlight w:val="none"/>
              </w:rPr>
              <w:t>银行保函技术支持：0571-85817300-884</w:t>
            </w:r>
          </w:p>
          <w:p w14:paraId="665FD033">
            <w:pPr>
              <w:keepNext w:val="0"/>
              <w:keepLines w:val="0"/>
              <w:pageBreakBefore w:val="0"/>
              <w:kinsoku/>
              <w:wordWrap w:val="0"/>
              <w:overflowPunct/>
              <w:topLinePunct w:val="0"/>
              <w:bidi w:val="0"/>
              <w:adjustRightInd w:val="0"/>
              <w:snapToGrid w:val="0"/>
              <w:spacing w:line="380" w:lineRule="exact"/>
              <w:ind w:firstLine="315" w:firstLineChars="150"/>
              <w:textAlignment w:val="auto"/>
              <w:rPr>
                <w:rFonts w:ascii="宋体" w:hAnsi="宋体"/>
                <w:color w:val="auto"/>
                <w:kern w:val="0"/>
                <w:szCs w:val="21"/>
                <w:highlight w:val="none"/>
              </w:rPr>
            </w:pPr>
            <w:r>
              <w:rPr>
                <w:rFonts w:hint="eastAsia" w:ascii="宋体" w:hAnsi="宋体"/>
                <w:color w:val="auto"/>
                <w:kern w:val="0"/>
                <w:szCs w:val="21"/>
                <w:highlight w:val="none"/>
              </w:rPr>
              <w:t>保险保函技术支持：0371-69158801、17319726812</w:t>
            </w:r>
          </w:p>
          <w:p w14:paraId="2FC82783">
            <w:pPr>
              <w:keepNext w:val="0"/>
              <w:keepLines w:val="0"/>
              <w:pageBreakBefore w:val="0"/>
              <w:kinsoku/>
              <w:wordWrap w:val="0"/>
              <w:overflowPunct/>
              <w:topLinePunct w:val="0"/>
              <w:bidi w:val="0"/>
              <w:adjustRightInd w:val="0"/>
              <w:snapToGrid w:val="0"/>
              <w:spacing w:line="380" w:lineRule="exact"/>
              <w:ind w:firstLine="315" w:firstLineChars="150"/>
              <w:textAlignment w:val="auto"/>
              <w:rPr>
                <w:rFonts w:ascii="宋体" w:hAnsi="宋体"/>
                <w:color w:val="auto"/>
                <w:kern w:val="0"/>
                <w:szCs w:val="21"/>
                <w:highlight w:val="none"/>
              </w:rPr>
            </w:pPr>
            <w:r>
              <w:rPr>
                <w:rFonts w:hint="eastAsia" w:ascii="宋体" w:hAnsi="宋体"/>
                <w:color w:val="auto"/>
                <w:kern w:val="0"/>
                <w:szCs w:val="21"/>
                <w:highlight w:val="none"/>
              </w:rPr>
              <w:t>担保保函技术支持：0371-58670003</w:t>
            </w:r>
          </w:p>
          <w:p w14:paraId="483C88BF">
            <w:pPr>
              <w:keepNext w:val="0"/>
              <w:keepLines w:val="0"/>
              <w:pageBreakBefore w:val="0"/>
              <w:kinsoku/>
              <w:wordWrap w:val="0"/>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b/>
                <w:bCs/>
                <w:color w:val="auto"/>
                <w:kern w:val="0"/>
                <w:szCs w:val="21"/>
                <w:highlight w:val="none"/>
              </w:rPr>
              <w:t>注：使用保函形式递交投标保证金，请按驻公管办[2020]10号文件执行</w:t>
            </w:r>
          </w:p>
        </w:tc>
      </w:tr>
      <w:tr w14:paraId="4654A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32EF5A3">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w:t>
            </w:r>
          </w:p>
        </w:tc>
        <w:tc>
          <w:tcPr>
            <w:tcW w:w="2556" w:type="dxa"/>
            <w:tcBorders>
              <w:top w:val="single" w:color="auto" w:sz="4" w:space="0"/>
              <w:left w:val="single" w:color="auto" w:sz="4" w:space="0"/>
              <w:bottom w:val="single" w:color="auto" w:sz="4" w:space="0"/>
              <w:right w:val="single" w:color="auto" w:sz="4" w:space="0"/>
            </w:tcBorders>
            <w:noWrap/>
            <w:vAlign w:val="center"/>
          </w:tcPr>
          <w:p w14:paraId="6FA5C4DE">
            <w:pPr>
              <w:keepNext w:val="0"/>
              <w:keepLines w:val="0"/>
              <w:pageBreakBefore w:val="0"/>
              <w:kinsoku/>
              <w:wordWrap w:val="0"/>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投标保证金的利息计算原则</w:t>
            </w:r>
          </w:p>
        </w:tc>
        <w:tc>
          <w:tcPr>
            <w:tcW w:w="6196" w:type="dxa"/>
            <w:tcBorders>
              <w:top w:val="single" w:color="auto" w:sz="4" w:space="0"/>
              <w:left w:val="single" w:color="auto" w:sz="4" w:space="0"/>
              <w:bottom w:val="single" w:color="auto" w:sz="4" w:space="0"/>
              <w:right w:val="single" w:color="auto" w:sz="4" w:space="0"/>
            </w:tcBorders>
            <w:noWrap/>
            <w:vAlign w:val="center"/>
          </w:tcPr>
          <w:p w14:paraId="2E49C806">
            <w:pPr>
              <w:keepNext w:val="0"/>
              <w:keepLines w:val="0"/>
              <w:pageBreakBefore w:val="0"/>
              <w:kinsoku/>
              <w:wordWrap w:val="0"/>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按照驻马店市公共资源交易中心相关规定执行</w:t>
            </w:r>
          </w:p>
        </w:tc>
      </w:tr>
      <w:tr w14:paraId="3E1B5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EEBCEA1">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w:t>
            </w:r>
          </w:p>
        </w:tc>
        <w:tc>
          <w:tcPr>
            <w:tcW w:w="2556" w:type="dxa"/>
            <w:tcBorders>
              <w:top w:val="single" w:color="auto" w:sz="4" w:space="0"/>
              <w:left w:val="single" w:color="auto" w:sz="4" w:space="0"/>
              <w:bottom w:val="single" w:color="auto" w:sz="4" w:space="0"/>
              <w:right w:val="single" w:color="auto" w:sz="4" w:space="0"/>
            </w:tcBorders>
            <w:noWrap/>
            <w:vAlign w:val="center"/>
          </w:tcPr>
          <w:p w14:paraId="58F55E49">
            <w:pPr>
              <w:keepNext w:val="0"/>
              <w:keepLines w:val="0"/>
              <w:pageBreakBefore w:val="0"/>
              <w:kinsoku/>
              <w:wordWrap w:val="0"/>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其他可以不予退还保证金的情形</w:t>
            </w:r>
          </w:p>
        </w:tc>
        <w:tc>
          <w:tcPr>
            <w:tcW w:w="6196" w:type="dxa"/>
            <w:tcBorders>
              <w:top w:val="single" w:color="auto" w:sz="4" w:space="0"/>
              <w:left w:val="single" w:color="auto" w:sz="4" w:space="0"/>
              <w:bottom w:val="single" w:color="auto" w:sz="4" w:space="0"/>
              <w:right w:val="single" w:color="auto" w:sz="4" w:space="0"/>
            </w:tcBorders>
            <w:noWrap/>
            <w:vAlign w:val="center"/>
          </w:tcPr>
          <w:p w14:paraId="6ECD838D">
            <w:pPr>
              <w:keepNext w:val="0"/>
              <w:keepLines w:val="0"/>
              <w:pageBreakBefore w:val="0"/>
              <w:kinsoku/>
              <w:wordWrap w:val="0"/>
              <w:overflowPunct/>
              <w:topLinePunct w:val="0"/>
              <w:autoSpaceDE w:val="0"/>
              <w:autoSpaceDN/>
              <w:bidi w:val="0"/>
              <w:spacing w:line="360" w:lineRule="atLeast"/>
              <w:jc w:val="left"/>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z w:val="21"/>
                <w:szCs w:val="21"/>
                <w:highlight w:val="none"/>
              </w:rPr>
              <w:t>法律、法规规定的其他情形</w:t>
            </w:r>
          </w:p>
        </w:tc>
      </w:tr>
      <w:tr w14:paraId="6E1F6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76F26094">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w:t>
            </w:r>
          </w:p>
        </w:tc>
        <w:tc>
          <w:tcPr>
            <w:tcW w:w="2556" w:type="dxa"/>
            <w:tcBorders>
              <w:top w:val="single" w:color="auto" w:sz="4" w:space="0"/>
              <w:left w:val="single" w:color="auto" w:sz="4" w:space="0"/>
              <w:bottom w:val="single" w:color="auto" w:sz="4" w:space="0"/>
              <w:right w:val="single" w:color="auto" w:sz="4" w:space="0"/>
            </w:tcBorders>
            <w:noWrap/>
            <w:vAlign w:val="center"/>
          </w:tcPr>
          <w:p w14:paraId="7E00DCB5">
            <w:pPr>
              <w:keepNext w:val="0"/>
              <w:keepLines w:val="0"/>
              <w:pageBreakBefore w:val="0"/>
              <w:kinsoku/>
              <w:wordWrap w:val="0"/>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资格审查资料的特殊要求</w:t>
            </w:r>
          </w:p>
        </w:tc>
        <w:tc>
          <w:tcPr>
            <w:tcW w:w="6196" w:type="dxa"/>
            <w:tcBorders>
              <w:top w:val="single" w:color="auto" w:sz="4" w:space="0"/>
              <w:left w:val="single" w:color="auto" w:sz="4" w:space="0"/>
              <w:bottom w:val="single" w:color="auto" w:sz="4" w:space="0"/>
              <w:right w:val="single" w:color="auto" w:sz="4" w:space="0"/>
            </w:tcBorders>
            <w:noWrap/>
            <w:vAlign w:val="center"/>
          </w:tcPr>
          <w:p w14:paraId="48B4AC05">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10"/>
                <w:sz w:val="21"/>
                <w:szCs w:val="21"/>
                <w:highlight w:val="none"/>
              </w:rPr>
              <w:t>无</w:t>
            </w:r>
          </w:p>
          <w:p w14:paraId="0CBB113A">
            <w:pPr>
              <w:keepNext w:val="0"/>
              <w:keepLines w:val="0"/>
              <w:pageBreakBefore w:val="0"/>
              <w:kinsoku/>
              <w:wordWrap w:val="0"/>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□有，具体要求：</w:t>
            </w:r>
          </w:p>
        </w:tc>
      </w:tr>
      <w:tr w14:paraId="4F9C5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CB39F43">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3.5.2</w:t>
            </w:r>
          </w:p>
        </w:tc>
        <w:tc>
          <w:tcPr>
            <w:tcW w:w="2556" w:type="dxa"/>
            <w:tcBorders>
              <w:top w:val="single" w:color="auto" w:sz="4" w:space="0"/>
              <w:left w:val="single" w:color="auto" w:sz="4" w:space="0"/>
              <w:bottom w:val="single" w:color="auto" w:sz="4" w:space="0"/>
              <w:right w:val="single" w:color="auto" w:sz="4" w:space="0"/>
            </w:tcBorders>
            <w:noWrap/>
            <w:vAlign w:val="center"/>
          </w:tcPr>
          <w:p w14:paraId="059ED6A4">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近三年财务状况的年份要求</w:t>
            </w:r>
          </w:p>
        </w:tc>
        <w:tc>
          <w:tcPr>
            <w:tcW w:w="6196" w:type="dxa"/>
            <w:tcBorders>
              <w:top w:val="single" w:color="auto" w:sz="4" w:space="0"/>
              <w:left w:val="single" w:color="auto" w:sz="4" w:space="0"/>
              <w:bottom w:val="single" w:color="auto" w:sz="4" w:space="0"/>
              <w:right w:val="single" w:color="auto" w:sz="4" w:space="0"/>
            </w:tcBorders>
            <w:noWrap/>
            <w:vAlign w:val="center"/>
          </w:tcPr>
          <w:p w14:paraId="7435A7F1">
            <w:pPr>
              <w:keepNext w:val="0"/>
              <w:keepLines w:val="0"/>
              <w:pageBreakBefore w:val="0"/>
              <w:kinsoku/>
              <w:wordWrap w:val="0"/>
              <w:overflowPunct/>
              <w:topLinePunct w:val="0"/>
              <w:autoSpaceDE w:val="0"/>
              <w:autoSpaceDN/>
              <w:bidi w:val="0"/>
              <w:spacing w:line="360" w:lineRule="atLeast"/>
              <w:jc w:val="left"/>
              <w:textAlignment w:val="auto"/>
              <w:rPr>
                <w:rFonts w:hint="eastAsia" w:ascii="宋体" w:hAnsi="宋体" w:eastAsia="宋体" w:cs="宋体"/>
                <w:color w:val="auto"/>
                <w:spacing w:val="-10"/>
                <w:sz w:val="21"/>
                <w:szCs w:val="21"/>
                <w:highlight w:val="none"/>
                <w:lang w:val="en-US" w:eastAsia="zh-CN"/>
              </w:rPr>
            </w:pPr>
            <w:r>
              <w:rPr>
                <w:rFonts w:hint="eastAsia" w:ascii="宋体" w:hAnsi="宋体" w:eastAsia="宋体" w:cs="宋体"/>
                <w:color w:val="auto"/>
                <w:spacing w:val="-10"/>
                <w:sz w:val="21"/>
                <w:szCs w:val="21"/>
                <w:highlight w:val="none"/>
              </w:rPr>
              <w:t>202</w:t>
            </w:r>
            <w:r>
              <w:rPr>
                <w:rFonts w:hint="eastAsia" w:ascii="宋体" w:hAnsi="宋体" w:cs="宋体"/>
                <w:color w:val="auto"/>
                <w:spacing w:val="-10"/>
                <w:sz w:val="21"/>
                <w:szCs w:val="21"/>
                <w:highlight w:val="none"/>
                <w:lang w:val="en-US" w:eastAsia="zh-CN"/>
              </w:rPr>
              <w:t>3</w:t>
            </w:r>
            <w:r>
              <w:rPr>
                <w:rFonts w:hint="eastAsia" w:ascii="宋体" w:hAnsi="宋体" w:eastAsia="宋体" w:cs="宋体"/>
                <w:color w:val="auto"/>
                <w:spacing w:val="-10"/>
                <w:sz w:val="21"/>
                <w:szCs w:val="21"/>
                <w:highlight w:val="none"/>
              </w:rPr>
              <w:t>年至202</w:t>
            </w:r>
            <w:r>
              <w:rPr>
                <w:rFonts w:hint="eastAsia" w:ascii="宋体" w:hAnsi="宋体" w:cs="宋体"/>
                <w:color w:val="auto"/>
                <w:spacing w:val="-10"/>
                <w:sz w:val="21"/>
                <w:szCs w:val="21"/>
                <w:highlight w:val="none"/>
                <w:lang w:val="en-US" w:eastAsia="zh-CN"/>
              </w:rPr>
              <w:t>5</w:t>
            </w:r>
            <w:r>
              <w:rPr>
                <w:rFonts w:hint="eastAsia" w:ascii="宋体" w:hAnsi="宋体" w:eastAsia="宋体" w:cs="宋体"/>
                <w:color w:val="auto"/>
                <w:spacing w:val="-10"/>
                <w:sz w:val="21"/>
                <w:szCs w:val="21"/>
                <w:highlight w:val="none"/>
              </w:rPr>
              <w:t>年</w:t>
            </w:r>
            <w:r>
              <w:rPr>
                <w:rFonts w:hint="eastAsia" w:ascii="宋体" w:hAnsi="宋体" w:cs="宋体"/>
                <w:color w:val="auto"/>
                <w:spacing w:val="-10"/>
                <w:sz w:val="21"/>
                <w:szCs w:val="21"/>
                <w:highlight w:val="none"/>
                <w:lang w:val="en-US" w:eastAsia="zh-CN"/>
              </w:rPr>
              <w:t>度</w:t>
            </w:r>
          </w:p>
        </w:tc>
      </w:tr>
      <w:tr w14:paraId="1518E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07378C76">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3.5.3</w:t>
            </w:r>
          </w:p>
        </w:tc>
        <w:tc>
          <w:tcPr>
            <w:tcW w:w="2556" w:type="dxa"/>
            <w:tcBorders>
              <w:top w:val="single" w:color="auto" w:sz="4" w:space="0"/>
              <w:left w:val="single" w:color="auto" w:sz="4" w:space="0"/>
              <w:bottom w:val="single" w:color="auto" w:sz="4" w:space="0"/>
              <w:right w:val="single" w:color="auto" w:sz="4" w:space="0"/>
            </w:tcBorders>
            <w:noWrap/>
            <w:vAlign w:val="center"/>
          </w:tcPr>
          <w:p w14:paraId="1CBBCCF5">
            <w:pPr>
              <w:keepNext w:val="0"/>
              <w:keepLines w:val="0"/>
              <w:pageBreakBefore w:val="0"/>
              <w:kinsoku/>
              <w:wordWrap w:val="0"/>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近年完成的类似项目情况的时间要求</w:t>
            </w:r>
          </w:p>
        </w:tc>
        <w:tc>
          <w:tcPr>
            <w:tcW w:w="6196" w:type="dxa"/>
            <w:tcBorders>
              <w:top w:val="single" w:color="auto" w:sz="4" w:space="0"/>
              <w:left w:val="single" w:color="auto" w:sz="4" w:space="0"/>
              <w:bottom w:val="single" w:color="auto" w:sz="4" w:space="0"/>
              <w:right w:val="single" w:color="auto" w:sz="4" w:space="0"/>
            </w:tcBorders>
            <w:noWrap/>
            <w:vAlign w:val="center"/>
          </w:tcPr>
          <w:p w14:paraId="1260D629">
            <w:pPr>
              <w:keepNext w:val="0"/>
              <w:keepLines w:val="0"/>
              <w:pageBreakBefore w:val="0"/>
              <w:kinsoku/>
              <w:wordWrap w:val="0"/>
              <w:overflowPunct/>
              <w:topLinePunct w:val="0"/>
              <w:autoSpaceDE w:val="0"/>
              <w:autoSpaceDN/>
              <w:bidi w:val="0"/>
              <w:spacing w:line="360" w:lineRule="atLeast"/>
              <w:jc w:val="left"/>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202</w:t>
            </w:r>
            <w:r>
              <w:rPr>
                <w:rFonts w:hint="eastAsia" w:ascii="宋体" w:hAnsi="宋体" w:cs="宋体"/>
                <w:color w:val="auto"/>
                <w:spacing w:val="-10"/>
                <w:sz w:val="21"/>
                <w:szCs w:val="21"/>
                <w:highlight w:val="none"/>
                <w:lang w:val="en-US" w:eastAsia="zh-CN"/>
              </w:rPr>
              <w:t>1</w:t>
            </w:r>
            <w:r>
              <w:rPr>
                <w:rFonts w:hint="eastAsia" w:ascii="宋体" w:hAnsi="宋体" w:eastAsia="宋体" w:cs="宋体"/>
                <w:color w:val="auto"/>
                <w:spacing w:val="-10"/>
                <w:sz w:val="21"/>
                <w:szCs w:val="21"/>
                <w:highlight w:val="none"/>
              </w:rPr>
              <w:t>年1月1日至今</w:t>
            </w:r>
          </w:p>
        </w:tc>
      </w:tr>
      <w:tr w14:paraId="133F4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4B5847BA">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w:t>
            </w:r>
          </w:p>
        </w:tc>
        <w:tc>
          <w:tcPr>
            <w:tcW w:w="2556" w:type="dxa"/>
            <w:tcBorders>
              <w:top w:val="single" w:color="auto" w:sz="4" w:space="0"/>
              <w:left w:val="single" w:color="auto" w:sz="4" w:space="0"/>
              <w:bottom w:val="single" w:color="auto" w:sz="4" w:space="0"/>
              <w:right w:val="single" w:color="auto" w:sz="4" w:space="0"/>
            </w:tcBorders>
            <w:noWrap/>
            <w:vAlign w:val="center"/>
          </w:tcPr>
          <w:p w14:paraId="138D3D33">
            <w:pPr>
              <w:keepNext w:val="0"/>
              <w:keepLines w:val="0"/>
              <w:pageBreakBefore w:val="0"/>
              <w:kinsoku/>
              <w:wordWrap w:val="0"/>
              <w:overflowPunct/>
              <w:topLinePunct w:val="0"/>
              <w:autoSpaceDE w:val="0"/>
              <w:autoSpaceDN/>
              <w:bidi w:val="0"/>
              <w:spacing w:line="360" w:lineRule="atLeast"/>
              <w:ind w:left="-13" w:leftChars="-67" w:right="-107" w:rightChars="-51" w:hanging="128" w:hangingChars="6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是否允许递交备选投标方案</w:t>
            </w:r>
          </w:p>
        </w:tc>
        <w:tc>
          <w:tcPr>
            <w:tcW w:w="6196" w:type="dxa"/>
            <w:tcBorders>
              <w:top w:val="single" w:color="auto" w:sz="4" w:space="0"/>
              <w:left w:val="single" w:color="auto" w:sz="4" w:space="0"/>
              <w:bottom w:val="single" w:color="auto" w:sz="4" w:space="0"/>
              <w:right w:val="single" w:color="auto" w:sz="4" w:space="0"/>
            </w:tcBorders>
            <w:noWrap/>
            <w:vAlign w:val="center"/>
          </w:tcPr>
          <w:p w14:paraId="4DCBDE88">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400593F7">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w:t>
            </w:r>
          </w:p>
        </w:tc>
      </w:tr>
      <w:tr w14:paraId="52DCA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1096FB58">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w:t>
            </w:r>
          </w:p>
        </w:tc>
        <w:tc>
          <w:tcPr>
            <w:tcW w:w="2556" w:type="dxa"/>
            <w:tcBorders>
              <w:top w:val="single" w:color="auto" w:sz="4" w:space="0"/>
              <w:left w:val="single" w:color="auto" w:sz="4" w:space="0"/>
              <w:bottom w:val="single" w:color="auto" w:sz="4" w:space="0"/>
              <w:right w:val="single" w:color="auto" w:sz="4" w:space="0"/>
            </w:tcBorders>
            <w:noWrap/>
            <w:vAlign w:val="center"/>
          </w:tcPr>
          <w:p w14:paraId="50AF50F1">
            <w:pPr>
              <w:keepNext w:val="0"/>
              <w:keepLines w:val="0"/>
              <w:pageBreakBefore w:val="0"/>
              <w:kinsoku/>
              <w:wordWrap w:val="0"/>
              <w:overflowPunct/>
              <w:topLinePunct w:val="0"/>
              <w:autoSpaceDE w:val="0"/>
              <w:autoSpaceDN/>
              <w:bidi w:val="0"/>
              <w:spacing w:line="360" w:lineRule="atLeast"/>
              <w:ind w:left="-13" w:leftChars="-67" w:right="-107" w:rightChars="-51" w:hanging="128" w:hangingChars="6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签字或盖章要求</w:t>
            </w:r>
          </w:p>
        </w:tc>
        <w:tc>
          <w:tcPr>
            <w:tcW w:w="6196" w:type="dxa"/>
            <w:tcBorders>
              <w:top w:val="single" w:color="auto" w:sz="4" w:space="0"/>
              <w:left w:val="single" w:color="auto" w:sz="4" w:space="0"/>
              <w:bottom w:val="single" w:color="auto" w:sz="4" w:space="0"/>
              <w:right w:val="single" w:color="auto" w:sz="4" w:space="0"/>
            </w:tcBorders>
            <w:noWrap/>
            <w:vAlign w:val="center"/>
          </w:tcPr>
          <w:p w14:paraId="1C3E9BD3">
            <w:pPr>
              <w:keepNext w:val="0"/>
              <w:keepLines w:val="0"/>
              <w:pageBreakBefore w:val="0"/>
              <w:kinsoku/>
              <w:wordWrap w:val="0"/>
              <w:overflowPunct/>
              <w:topLinePunct w:val="0"/>
              <w:autoSpaceDE w:val="0"/>
              <w:autoSpaceDN/>
              <w:bidi w:val="0"/>
              <w:adjustRightInd w:val="0"/>
              <w:snapToGrid w:val="0"/>
              <w:spacing w:line="360" w:lineRule="atLeast"/>
              <w:ind w:left="-21"/>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电子投标文件</w:t>
            </w:r>
          </w:p>
          <w:p w14:paraId="1DFB0251">
            <w:pPr>
              <w:keepNext w:val="0"/>
              <w:keepLines w:val="0"/>
              <w:pageBreakBefore w:val="0"/>
              <w:kinsoku/>
              <w:wordWrap w:val="0"/>
              <w:overflowPunct/>
              <w:topLinePunct w:val="0"/>
              <w:autoSpaceDE w:val="0"/>
              <w:autoSpaceDN/>
              <w:bidi w:val="0"/>
              <w:adjustRightInd w:val="0"/>
              <w:snapToGrid w:val="0"/>
              <w:spacing w:line="360" w:lineRule="atLeast"/>
              <w:ind w:left="-21"/>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（1）经过加密的电子投标文件上传件为正本。</w:t>
            </w:r>
          </w:p>
          <w:p w14:paraId="5A950752">
            <w:pPr>
              <w:keepNext w:val="0"/>
              <w:keepLines w:val="0"/>
              <w:pageBreakBefore w:val="0"/>
              <w:kinsoku/>
              <w:wordWrap w:val="0"/>
              <w:overflowPunct/>
              <w:topLinePunct w:val="0"/>
              <w:autoSpaceDE w:val="0"/>
              <w:autoSpaceDN/>
              <w:bidi w:val="0"/>
              <w:adjustRightInd w:val="0"/>
              <w:snapToGrid w:val="0"/>
              <w:spacing w:line="360" w:lineRule="atLeast"/>
              <w:ind w:left="-126" w:leftChars="-60" w:firstLine="105" w:firstLineChars="5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（2）所有要求投标人加盖公章的地方都须加盖投标人单位的CA印章。</w:t>
            </w:r>
          </w:p>
          <w:p w14:paraId="2180354B">
            <w:pPr>
              <w:keepNext w:val="0"/>
              <w:keepLines w:val="0"/>
              <w:pageBreakBefore w:val="0"/>
              <w:kinsoku/>
              <w:wordWrap w:val="0"/>
              <w:overflowPunct/>
              <w:topLinePunct w:val="0"/>
              <w:autoSpaceDE w:val="0"/>
              <w:autoSpaceDN/>
              <w:bidi w:val="0"/>
              <w:adjustRightInd w:val="0"/>
              <w:snapToGrid w:val="0"/>
              <w:spacing w:line="360" w:lineRule="atLeast"/>
              <w:ind w:left="-126" w:leftChars="-60" w:firstLine="105" w:firstLineChars="5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（3）所有要求法定代表人签字的地方都须加盖法定代表人CA印章, 需要委托代理人签字的地方，可由委托代理人签字后以图片的形式扫描上传。</w:t>
            </w:r>
          </w:p>
        </w:tc>
      </w:tr>
      <w:tr w14:paraId="627CC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620C6BCE">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3.7.4</w:t>
            </w:r>
          </w:p>
        </w:tc>
        <w:tc>
          <w:tcPr>
            <w:tcW w:w="2556" w:type="dxa"/>
            <w:tcBorders>
              <w:top w:val="single" w:color="auto" w:sz="4" w:space="0"/>
              <w:left w:val="single" w:color="auto" w:sz="4" w:space="0"/>
              <w:bottom w:val="single" w:color="auto" w:sz="4" w:space="0"/>
              <w:right w:val="single" w:color="auto" w:sz="4" w:space="0"/>
            </w:tcBorders>
            <w:noWrap/>
            <w:vAlign w:val="center"/>
          </w:tcPr>
          <w:p w14:paraId="2948B481">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投标文件副本份数及其他要求</w:t>
            </w:r>
          </w:p>
        </w:tc>
        <w:tc>
          <w:tcPr>
            <w:tcW w:w="6196" w:type="dxa"/>
            <w:tcBorders>
              <w:top w:val="single" w:color="auto" w:sz="4" w:space="0"/>
              <w:left w:val="single" w:color="auto" w:sz="4" w:space="0"/>
              <w:bottom w:val="single" w:color="auto" w:sz="4" w:space="0"/>
              <w:right w:val="single" w:color="auto" w:sz="4" w:space="0"/>
            </w:tcBorders>
            <w:noWrap/>
            <w:vAlign w:val="center"/>
          </w:tcPr>
          <w:p w14:paraId="7753777C">
            <w:pPr>
              <w:keepNext w:val="0"/>
              <w:keepLines w:val="0"/>
              <w:pageBreakBefore w:val="0"/>
              <w:widowControl w:val="0"/>
              <w:kinsoku/>
              <w:wordWrap w:val="0"/>
              <w:overflowPunct/>
              <w:topLinePunct w:val="0"/>
              <w:autoSpaceDE w:val="0"/>
              <w:autoSpaceDN/>
              <w:bidi w:val="0"/>
              <w:adjustRightInd/>
              <w:snapToGrid/>
              <w:spacing w:line="360" w:lineRule="atLeas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投标文件副本份数：开标时不需提交纸质投标文件。</w:t>
            </w:r>
          </w:p>
          <w:p w14:paraId="1775F083">
            <w:pPr>
              <w:keepNext w:val="0"/>
              <w:keepLines w:val="0"/>
              <w:pageBreakBefore w:val="0"/>
              <w:widowControl w:val="0"/>
              <w:kinsoku/>
              <w:wordWrap w:val="0"/>
              <w:overflowPunct/>
              <w:topLinePunct w:val="0"/>
              <w:autoSpaceDE w:val="0"/>
              <w:autoSpaceDN/>
              <w:bidi w:val="0"/>
              <w:adjustRightInd/>
              <w:snapToGrid/>
              <w:spacing w:line="360" w:lineRule="atLeas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是否要求提交电子版文件：是，加密的电子投标文件壹份（*.zmdtf 格式，在会员系统指定位置上传）工程量固化清单电子文件同时上传至电子招标投标系统。</w:t>
            </w:r>
          </w:p>
          <w:p w14:paraId="47F327B1">
            <w:pPr>
              <w:pStyle w:val="21"/>
              <w:keepNext w:val="0"/>
              <w:keepLines w:val="0"/>
              <w:pageBreakBefore w:val="0"/>
              <w:widowControl w:val="0"/>
              <w:kinsoku/>
              <w:wordWrap w:val="0"/>
              <w:overflowPunct/>
              <w:topLinePunct w:val="0"/>
              <w:autoSpaceDN/>
              <w:bidi w:val="0"/>
              <w:adjustRightInd/>
              <w:snapToGrid/>
              <w:spacing w:line="360" w:lineRule="atLeast"/>
              <w:ind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其他要求：</w:t>
            </w:r>
            <w:r>
              <w:rPr>
                <w:rFonts w:hint="eastAsia" w:ascii="宋体" w:hAnsi="宋体" w:eastAsia="宋体" w:cs="宋体"/>
                <w:color w:val="auto"/>
                <w:sz w:val="21"/>
                <w:szCs w:val="21"/>
                <w:highlight w:val="none"/>
              </w:rPr>
              <w:t>中标候选人须在中标候选人公示期满后向招标人或招标代理机构提供与上传电子投标文件一致的纸质投标文件正本壹份、副本</w:t>
            </w:r>
            <w:r>
              <w:rPr>
                <w:rFonts w:hint="eastAsia" w:ascii="宋体" w:hAnsi="宋体" w:eastAsia="宋体" w:cs="宋体"/>
                <w:color w:val="auto"/>
                <w:sz w:val="21"/>
                <w:szCs w:val="21"/>
                <w:highlight w:val="none"/>
                <w:lang w:val="en-US" w:eastAsia="zh-CN"/>
              </w:rPr>
              <w:t>壹</w:t>
            </w:r>
            <w:r>
              <w:rPr>
                <w:rFonts w:hint="eastAsia" w:ascii="宋体" w:hAnsi="宋体" w:eastAsia="宋体" w:cs="宋体"/>
                <w:color w:val="auto"/>
                <w:sz w:val="21"/>
                <w:szCs w:val="21"/>
                <w:highlight w:val="none"/>
              </w:rPr>
              <w:t>份，供定标委员会核查定标。</w:t>
            </w:r>
          </w:p>
        </w:tc>
      </w:tr>
      <w:tr w14:paraId="42C2C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5FB6404B">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3.7.5</w:t>
            </w:r>
          </w:p>
        </w:tc>
        <w:tc>
          <w:tcPr>
            <w:tcW w:w="2556" w:type="dxa"/>
            <w:tcBorders>
              <w:top w:val="single" w:color="auto" w:sz="4" w:space="0"/>
              <w:left w:val="single" w:color="auto" w:sz="4" w:space="0"/>
              <w:bottom w:val="single" w:color="auto" w:sz="4" w:space="0"/>
              <w:right w:val="single" w:color="auto" w:sz="4" w:space="0"/>
            </w:tcBorders>
            <w:noWrap/>
            <w:vAlign w:val="center"/>
          </w:tcPr>
          <w:p w14:paraId="57BE512E">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装订的其他要求</w:t>
            </w:r>
          </w:p>
        </w:tc>
        <w:tc>
          <w:tcPr>
            <w:tcW w:w="6196" w:type="dxa"/>
            <w:tcBorders>
              <w:top w:val="single" w:color="auto" w:sz="4" w:space="0"/>
              <w:left w:val="single" w:color="auto" w:sz="4" w:space="0"/>
              <w:bottom w:val="single" w:color="auto" w:sz="4" w:space="0"/>
              <w:right w:val="single" w:color="auto" w:sz="4" w:space="0"/>
            </w:tcBorders>
            <w:noWrap/>
            <w:vAlign w:val="center"/>
          </w:tcPr>
          <w:p w14:paraId="0C0A8E0A">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纸质投标文件装订成册（可双面），不得采用活页夹等可随时拆换的方式装订。</w:t>
            </w:r>
          </w:p>
        </w:tc>
      </w:tr>
      <w:tr w14:paraId="3DFD1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30CA766D">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w:t>
            </w:r>
          </w:p>
        </w:tc>
        <w:tc>
          <w:tcPr>
            <w:tcW w:w="2556" w:type="dxa"/>
            <w:tcBorders>
              <w:top w:val="single" w:color="auto" w:sz="4" w:space="0"/>
              <w:left w:val="single" w:color="auto" w:sz="4" w:space="0"/>
              <w:bottom w:val="single" w:color="auto" w:sz="4" w:space="0"/>
              <w:right w:val="single" w:color="auto" w:sz="4" w:space="0"/>
            </w:tcBorders>
            <w:noWrap/>
            <w:vAlign w:val="center"/>
          </w:tcPr>
          <w:p w14:paraId="65E44815">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资格审查文件及业绩信誉资料原件的递交</w:t>
            </w:r>
          </w:p>
        </w:tc>
        <w:tc>
          <w:tcPr>
            <w:tcW w:w="6196" w:type="dxa"/>
            <w:tcBorders>
              <w:top w:val="single" w:color="auto" w:sz="4" w:space="0"/>
              <w:left w:val="single" w:color="auto" w:sz="4" w:space="0"/>
              <w:bottom w:val="single" w:color="auto" w:sz="4" w:space="0"/>
              <w:right w:val="single" w:color="auto" w:sz="4" w:space="0"/>
            </w:tcBorders>
            <w:noWrap/>
            <w:vAlign w:val="center"/>
          </w:tcPr>
          <w:p w14:paraId="41D89A13">
            <w:pPr>
              <w:keepNext w:val="0"/>
              <w:keepLines w:val="0"/>
              <w:pageBreakBefore w:val="0"/>
              <w:widowControl w:val="0"/>
              <w:kinsoku/>
              <w:wordWrap w:val="0"/>
              <w:overflowPunct/>
              <w:topLinePunct w:val="0"/>
              <w:autoSpaceDE w:val="0"/>
              <w:autoSpaceDN/>
              <w:bidi w:val="0"/>
              <w:adjustRightInd/>
              <w:snapToGrid/>
              <w:spacing w:line="360" w:lineRule="atLeas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投标人无需递交纸质投标文件及原件，投标人应在项目开标前，将涉及的资格审查、业绩、荣誉、财务</w:t>
            </w:r>
            <w:r>
              <w:rPr>
                <w:rFonts w:hint="eastAsia" w:ascii="宋体" w:hAnsi="宋体" w:cs="宋体"/>
                <w:bCs/>
                <w:color w:val="auto"/>
                <w:sz w:val="21"/>
                <w:szCs w:val="21"/>
                <w:highlight w:val="none"/>
                <w:lang w:val="en-US" w:eastAsia="zh-CN"/>
              </w:rPr>
              <w:t>报告</w:t>
            </w:r>
            <w:r>
              <w:rPr>
                <w:rFonts w:hint="eastAsia" w:ascii="宋体" w:hAnsi="宋体" w:eastAsia="宋体" w:cs="宋体"/>
                <w:bCs/>
                <w:color w:val="auto"/>
                <w:sz w:val="21"/>
                <w:szCs w:val="21"/>
                <w:highlight w:val="none"/>
              </w:rPr>
              <w:t>、项目经理等投标所需材料扫描件，上传至驻马店市公共资源交易平台诚信库中，并且在“资格审查材料（不见面开标）”菜单下按标段挑选该标段投标所用资格审查材料，以供评标过程中评委查阅。评标时以电子投标文件及“资格审查材料（不见面开标）”菜单中选取的信息为准。</w:t>
            </w:r>
          </w:p>
          <w:p w14:paraId="6AA54594">
            <w:pPr>
              <w:keepNext w:val="0"/>
              <w:keepLines w:val="0"/>
              <w:pageBreakBefore w:val="0"/>
              <w:widowControl w:val="0"/>
              <w:kinsoku/>
              <w:wordWrap w:val="0"/>
              <w:overflowPunct/>
              <w:topLinePunct w:val="0"/>
              <w:autoSpaceDE w:val="0"/>
              <w:autoSpaceDN/>
              <w:bidi w:val="0"/>
              <w:adjustRightInd/>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（注：各投标企业应如实填报诚信库信息，因交易主体自行填报信息的错误、缺项、虚假而造成的后果由交易主体自行承担。）</w:t>
            </w:r>
          </w:p>
        </w:tc>
      </w:tr>
      <w:tr w14:paraId="6DF1E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3900600C">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w:t>
            </w:r>
          </w:p>
        </w:tc>
        <w:tc>
          <w:tcPr>
            <w:tcW w:w="2556" w:type="dxa"/>
            <w:tcBorders>
              <w:top w:val="single" w:color="auto" w:sz="4" w:space="0"/>
              <w:left w:val="single" w:color="auto" w:sz="4" w:space="0"/>
              <w:bottom w:val="single" w:color="auto" w:sz="4" w:space="0"/>
              <w:right w:val="single" w:color="auto" w:sz="4" w:space="0"/>
            </w:tcBorders>
            <w:noWrap/>
            <w:vAlign w:val="center"/>
          </w:tcPr>
          <w:p w14:paraId="0528876F">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是否退还投标文件</w:t>
            </w:r>
          </w:p>
        </w:tc>
        <w:tc>
          <w:tcPr>
            <w:tcW w:w="6196" w:type="dxa"/>
            <w:tcBorders>
              <w:top w:val="single" w:color="auto" w:sz="4" w:space="0"/>
              <w:left w:val="single" w:color="auto" w:sz="4" w:space="0"/>
              <w:bottom w:val="single" w:color="auto" w:sz="4" w:space="0"/>
              <w:right w:val="single" w:color="auto" w:sz="4" w:space="0"/>
            </w:tcBorders>
            <w:noWrap/>
            <w:vAlign w:val="center"/>
          </w:tcPr>
          <w:p w14:paraId="22BE453D">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p w14:paraId="4FB7787D">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□是，退还时间：</w:t>
            </w:r>
          </w:p>
        </w:tc>
      </w:tr>
      <w:tr w14:paraId="32AA0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28715F1F">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2556" w:type="dxa"/>
            <w:tcBorders>
              <w:top w:val="single" w:color="auto" w:sz="4" w:space="0"/>
              <w:left w:val="single" w:color="auto" w:sz="4" w:space="0"/>
              <w:bottom w:val="single" w:color="auto" w:sz="4" w:space="0"/>
              <w:right w:val="single" w:color="auto" w:sz="4" w:space="0"/>
            </w:tcBorders>
            <w:noWrap/>
            <w:vAlign w:val="center"/>
          </w:tcPr>
          <w:p w14:paraId="02DEDC55">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开标时间和地点</w:t>
            </w:r>
          </w:p>
        </w:tc>
        <w:tc>
          <w:tcPr>
            <w:tcW w:w="6196" w:type="dxa"/>
            <w:tcBorders>
              <w:top w:val="single" w:color="auto" w:sz="4" w:space="0"/>
              <w:left w:val="single" w:color="auto" w:sz="4" w:space="0"/>
              <w:bottom w:val="single" w:color="auto" w:sz="4" w:space="0"/>
              <w:right w:val="single" w:color="auto" w:sz="4" w:space="0"/>
            </w:tcBorders>
            <w:noWrap/>
            <w:vAlign w:val="center"/>
          </w:tcPr>
          <w:p w14:paraId="4F7C0ED7">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投标文件第一个信封（商务及技术文件）</w:t>
            </w:r>
          </w:p>
          <w:p w14:paraId="4850E6F6">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w:t>
            </w:r>
            <w:r>
              <w:rPr>
                <w:rFonts w:hint="eastAsia" w:ascii="宋体" w:hAnsi="宋体" w:eastAsia="宋体" w:cs="宋体"/>
                <w:color w:val="auto"/>
                <w:szCs w:val="21"/>
                <w:highlight w:val="none"/>
                <w:lang w:val="en-US" w:eastAsia="zh-CN"/>
              </w:rPr>
              <w:t>202</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年</w:t>
            </w:r>
            <w:r>
              <w:rPr>
                <w:rFonts w:hint="eastAsia" w:ascii="宋体" w:hAnsi="宋体" w:cs="宋体"/>
                <w:color w:val="auto"/>
                <w:szCs w:val="21"/>
                <w:highlight w:val="none"/>
                <w:lang w:val="en-US" w:eastAsia="zh-CN"/>
              </w:rPr>
              <w:t>11</w:t>
            </w:r>
            <w:r>
              <w:rPr>
                <w:rFonts w:hint="eastAsia" w:ascii="宋体" w:hAnsi="宋体" w:eastAsia="宋体" w:cs="宋体"/>
                <w:color w:val="auto"/>
                <w:szCs w:val="21"/>
                <w:highlight w:val="none"/>
                <w:lang w:val="en-US" w:eastAsia="zh-CN"/>
              </w:rPr>
              <w:t>月</w:t>
            </w:r>
            <w:r>
              <w:rPr>
                <w:rFonts w:hint="eastAsia" w:ascii="宋体" w:hAnsi="宋体" w:cs="宋体"/>
                <w:color w:val="auto"/>
                <w:szCs w:val="21"/>
                <w:highlight w:val="none"/>
                <w:lang w:val="en-US" w:eastAsia="zh-CN"/>
              </w:rPr>
              <w:t>23</w:t>
            </w:r>
            <w:r>
              <w:rPr>
                <w:rFonts w:hint="eastAsia" w:ascii="宋体" w:hAnsi="宋体" w:eastAsia="宋体" w:cs="宋体"/>
                <w:color w:val="auto"/>
                <w:szCs w:val="21"/>
                <w:highlight w:val="none"/>
                <w:lang w:val="en-US" w:eastAsia="zh-CN"/>
              </w:rPr>
              <w:t>日9时00分（北京时间）</w:t>
            </w:r>
          </w:p>
          <w:p w14:paraId="408C2521">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投标文件第一个信封（商务及技术文件）</w:t>
            </w:r>
          </w:p>
          <w:p w14:paraId="00AA3513">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开标地点：</w:t>
            </w:r>
            <w:r>
              <w:rPr>
                <w:rFonts w:hint="eastAsia" w:ascii="宋体" w:hAnsi="宋体" w:cs="宋体"/>
                <w:color w:val="auto"/>
                <w:sz w:val="21"/>
                <w:szCs w:val="21"/>
                <w:highlight w:val="none"/>
                <w:lang w:val="en-US" w:eastAsia="zh-CN"/>
              </w:rPr>
              <w:t>汝南县</w:t>
            </w:r>
            <w:r>
              <w:rPr>
                <w:rFonts w:hint="eastAsia" w:ascii="宋体" w:hAnsi="宋体" w:eastAsia="宋体" w:cs="宋体"/>
                <w:color w:val="auto"/>
                <w:sz w:val="21"/>
                <w:szCs w:val="21"/>
                <w:highlight w:val="none"/>
                <w:lang w:val="en-US" w:eastAsia="zh-CN"/>
              </w:rPr>
              <w:t>公共资源交易中心不见面开标一厅</w:t>
            </w:r>
          </w:p>
          <w:p w14:paraId="37204017">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投标文件第二个信封（报价文件）</w:t>
            </w:r>
          </w:p>
          <w:p w14:paraId="6962F3AD">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开标时间：第一个信封（商务及技术文件）完成评审后</w:t>
            </w:r>
          </w:p>
          <w:p w14:paraId="17117EAE">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投标文件第二个信封（报价文件）</w:t>
            </w:r>
          </w:p>
          <w:p w14:paraId="363FF4EA">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开标地点：</w:t>
            </w:r>
            <w:r>
              <w:rPr>
                <w:rFonts w:hint="eastAsia" w:ascii="宋体" w:hAnsi="宋体" w:eastAsia="宋体" w:cs="宋体"/>
                <w:color w:val="auto"/>
                <w:szCs w:val="21"/>
                <w:highlight w:val="none"/>
                <w:lang w:val="en-US" w:eastAsia="zh-CN"/>
              </w:rPr>
              <w:t>同第一个信封开标地点</w:t>
            </w:r>
          </w:p>
          <w:p w14:paraId="0602784D">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（电子投标文件必须凭制作投标文件所用的 CA 密匙在10分钟内完成解密）。</w:t>
            </w:r>
          </w:p>
        </w:tc>
      </w:tr>
      <w:tr w14:paraId="5E727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36915192">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w:t>
            </w:r>
          </w:p>
        </w:tc>
        <w:tc>
          <w:tcPr>
            <w:tcW w:w="2556" w:type="dxa"/>
            <w:tcBorders>
              <w:top w:val="single" w:color="auto" w:sz="4" w:space="0"/>
              <w:left w:val="single" w:color="auto" w:sz="4" w:space="0"/>
              <w:bottom w:val="single" w:color="auto" w:sz="4" w:space="0"/>
              <w:right w:val="single" w:color="auto" w:sz="4" w:space="0"/>
            </w:tcBorders>
            <w:noWrap/>
            <w:vAlign w:val="center"/>
          </w:tcPr>
          <w:p w14:paraId="192823B1">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第一个信封（商务及技术文件）开标程序</w:t>
            </w:r>
          </w:p>
        </w:tc>
        <w:tc>
          <w:tcPr>
            <w:tcW w:w="6196" w:type="dxa"/>
            <w:tcBorders>
              <w:top w:val="single" w:color="auto" w:sz="4" w:space="0"/>
              <w:left w:val="single" w:color="auto" w:sz="4" w:space="0"/>
              <w:bottom w:val="single" w:color="auto" w:sz="4" w:space="0"/>
              <w:right w:val="single" w:color="auto" w:sz="4" w:space="0"/>
            </w:tcBorders>
            <w:noWrap/>
            <w:vAlign w:val="center"/>
          </w:tcPr>
          <w:p w14:paraId="7641F31D">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开标顺序：按电子版投标文件上传顺序开标。</w:t>
            </w:r>
          </w:p>
          <w:p w14:paraId="540FD16F">
            <w:pPr>
              <w:pStyle w:val="21"/>
              <w:keepNext w:val="0"/>
              <w:keepLines w:val="0"/>
              <w:pageBreakBefore w:val="0"/>
              <w:kinsoku/>
              <w:wordWrap w:val="0"/>
              <w:overflowPunct/>
              <w:topLinePunct w:val="0"/>
              <w:autoSpaceDE w:val="0"/>
              <w:autoSpaceDN/>
              <w:bidi w:val="0"/>
              <w:spacing w:line="360" w:lineRule="atLeas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对商务文件和技术文件进行开标，对报价文件不予开标。</w:t>
            </w:r>
          </w:p>
        </w:tc>
      </w:tr>
      <w:tr w14:paraId="49186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2C25BE3B">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w:t>
            </w:r>
          </w:p>
        </w:tc>
        <w:tc>
          <w:tcPr>
            <w:tcW w:w="2556" w:type="dxa"/>
            <w:tcBorders>
              <w:top w:val="single" w:color="auto" w:sz="4" w:space="0"/>
              <w:left w:val="single" w:color="auto" w:sz="4" w:space="0"/>
              <w:bottom w:val="single" w:color="auto" w:sz="4" w:space="0"/>
              <w:right w:val="single" w:color="auto" w:sz="4" w:space="0"/>
            </w:tcBorders>
            <w:noWrap/>
            <w:vAlign w:val="center"/>
          </w:tcPr>
          <w:p w14:paraId="75A1B26E">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第二个信封（报价文件）开标程序</w:t>
            </w:r>
          </w:p>
        </w:tc>
        <w:tc>
          <w:tcPr>
            <w:tcW w:w="6196" w:type="dxa"/>
            <w:tcBorders>
              <w:top w:val="single" w:color="auto" w:sz="4" w:space="0"/>
              <w:left w:val="single" w:color="auto" w:sz="4" w:space="0"/>
              <w:bottom w:val="single" w:color="auto" w:sz="4" w:space="0"/>
              <w:right w:val="single" w:color="auto" w:sz="4" w:space="0"/>
            </w:tcBorders>
            <w:noWrap/>
            <w:vAlign w:val="center"/>
          </w:tcPr>
          <w:p w14:paraId="134EB51C">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公布入围第二信封开标人名单；公布唱标信息；开标结束。</w:t>
            </w:r>
          </w:p>
        </w:tc>
      </w:tr>
      <w:tr w14:paraId="4C23F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4A6905EC">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6.1</w:t>
            </w:r>
            <w:r>
              <w:rPr>
                <w:rFonts w:hint="eastAsia" w:ascii="宋体" w:hAnsi="宋体" w:eastAsia="宋体" w:cs="宋体"/>
                <w:color w:val="auto"/>
                <w:sz w:val="21"/>
                <w:szCs w:val="21"/>
                <w:highlight w:val="none"/>
                <w:lang w:val="en-US" w:eastAsia="zh-CN"/>
              </w:rPr>
              <w:t>.1</w:t>
            </w:r>
          </w:p>
        </w:tc>
        <w:tc>
          <w:tcPr>
            <w:tcW w:w="2556" w:type="dxa"/>
            <w:tcBorders>
              <w:top w:val="single" w:color="auto" w:sz="4" w:space="0"/>
              <w:left w:val="single" w:color="auto" w:sz="4" w:space="0"/>
              <w:bottom w:val="single" w:color="auto" w:sz="4" w:space="0"/>
              <w:right w:val="single" w:color="auto" w:sz="4" w:space="0"/>
            </w:tcBorders>
            <w:noWrap/>
            <w:vAlign w:val="center"/>
          </w:tcPr>
          <w:p w14:paraId="715ADB92">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评标委员会的组建</w:t>
            </w:r>
          </w:p>
        </w:tc>
        <w:tc>
          <w:tcPr>
            <w:tcW w:w="6196" w:type="dxa"/>
            <w:tcBorders>
              <w:top w:val="single" w:color="auto" w:sz="4" w:space="0"/>
              <w:left w:val="single" w:color="auto" w:sz="4" w:space="0"/>
              <w:bottom w:val="single" w:color="auto" w:sz="4" w:space="0"/>
              <w:right w:val="single" w:color="auto" w:sz="4" w:space="0"/>
            </w:tcBorders>
            <w:noWrap/>
            <w:vAlign w:val="center"/>
          </w:tcPr>
          <w:p w14:paraId="7E3B7852">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评标委员会构成：5人,其中招标人代表1人，专家4人；</w:t>
            </w:r>
          </w:p>
          <w:p w14:paraId="527E9FFD">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评标专家确定方式：依法从河南省综合评标专家库中随机抽取。</w:t>
            </w:r>
          </w:p>
        </w:tc>
      </w:tr>
      <w:tr w14:paraId="0EACF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8636376">
            <w:pPr>
              <w:keepNext w:val="0"/>
              <w:keepLines w:val="0"/>
              <w:pageBreakBefore w:val="0"/>
              <w:kinsoku/>
              <w:wordWrap w:val="0"/>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2.1</w:t>
            </w:r>
          </w:p>
        </w:tc>
        <w:tc>
          <w:tcPr>
            <w:tcW w:w="2556" w:type="dxa"/>
            <w:tcBorders>
              <w:top w:val="single" w:color="auto" w:sz="4" w:space="0"/>
              <w:left w:val="single" w:color="auto" w:sz="4" w:space="0"/>
              <w:bottom w:val="single" w:color="auto" w:sz="4" w:space="0"/>
              <w:right w:val="single" w:color="auto" w:sz="4" w:space="0"/>
            </w:tcBorders>
            <w:noWrap/>
            <w:vAlign w:val="center"/>
          </w:tcPr>
          <w:p w14:paraId="48AE14B8">
            <w:pPr>
              <w:keepNext w:val="0"/>
              <w:keepLines w:val="0"/>
              <w:pageBreakBefore w:val="0"/>
              <w:kinsoku/>
              <w:wordWrap w:val="0"/>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评标方式</w:t>
            </w:r>
          </w:p>
        </w:tc>
        <w:tc>
          <w:tcPr>
            <w:tcW w:w="6196" w:type="dxa"/>
            <w:tcBorders>
              <w:top w:val="single" w:color="auto" w:sz="4" w:space="0"/>
              <w:left w:val="single" w:color="auto" w:sz="4" w:space="0"/>
              <w:bottom w:val="single" w:color="auto" w:sz="4" w:space="0"/>
              <w:right w:val="single" w:color="auto" w:sz="4" w:space="0"/>
            </w:tcBorders>
            <w:noWrap/>
            <w:vAlign w:val="center"/>
          </w:tcPr>
          <w:p w14:paraId="597B192E">
            <w:pPr>
              <w:keepNext w:val="0"/>
              <w:keepLines w:val="0"/>
              <w:pageBreakBefore w:val="0"/>
              <w:kinsoku/>
              <w:wordWrap w:val="0"/>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网络电子评标（电子评标过程中当出现突发情况，导致系统无法正常运行且短时间内无法修复时，经监督部门同意，延迟评标。）</w:t>
            </w:r>
          </w:p>
          <w:p w14:paraId="5A677CBD">
            <w:pPr>
              <w:keepNext w:val="0"/>
              <w:keepLines w:val="0"/>
              <w:pageBreakBefore w:val="0"/>
              <w:kinsoku/>
              <w:wordWrap w:val="0"/>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□纸质评标</w:t>
            </w:r>
          </w:p>
          <w:p w14:paraId="555AE2DD">
            <w:pPr>
              <w:keepNext w:val="0"/>
              <w:keepLines w:val="0"/>
              <w:pageBreakBefore w:val="0"/>
              <w:kinsoku/>
              <w:wordWrap w:val="0"/>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远程网络电子评标</w:t>
            </w:r>
          </w:p>
        </w:tc>
      </w:tr>
      <w:tr w14:paraId="0D98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58BA84B9">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6.3.</w:t>
            </w:r>
            <w:r>
              <w:rPr>
                <w:rFonts w:hint="eastAsia" w:ascii="宋体" w:hAnsi="宋体" w:eastAsia="宋体" w:cs="宋体"/>
                <w:color w:val="auto"/>
                <w:sz w:val="21"/>
                <w:szCs w:val="21"/>
                <w:highlight w:val="none"/>
                <w:lang w:val="en-US" w:eastAsia="zh-CN"/>
              </w:rPr>
              <w:t>2</w:t>
            </w:r>
          </w:p>
        </w:tc>
        <w:tc>
          <w:tcPr>
            <w:tcW w:w="2556" w:type="dxa"/>
            <w:tcBorders>
              <w:top w:val="single" w:color="auto" w:sz="4" w:space="0"/>
              <w:left w:val="single" w:color="auto" w:sz="4" w:space="0"/>
              <w:bottom w:val="single" w:color="auto" w:sz="4" w:space="0"/>
              <w:right w:val="single" w:color="auto" w:sz="4" w:space="0"/>
            </w:tcBorders>
            <w:noWrap/>
            <w:vAlign w:val="center"/>
          </w:tcPr>
          <w:p w14:paraId="30B0DA8B">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采用评定分离，</w:t>
            </w:r>
            <w:r>
              <w:rPr>
                <w:rFonts w:hint="eastAsia" w:ascii="宋体" w:hAnsi="宋体" w:eastAsia="宋体" w:cs="宋体"/>
                <w:color w:val="auto"/>
                <w:sz w:val="21"/>
                <w:szCs w:val="21"/>
                <w:highlight w:val="none"/>
              </w:rPr>
              <w:t>评标委员会推荐中标候选人的人数</w:t>
            </w:r>
          </w:p>
        </w:tc>
        <w:tc>
          <w:tcPr>
            <w:tcW w:w="6196" w:type="dxa"/>
            <w:tcBorders>
              <w:top w:val="single" w:color="auto" w:sz="4" w:space="0"/>
              <w:left w:val="single" w:color="auto" w:sz="4" w:space="0"/>
              <w:bottom w:val="single" w:color="auto" w:sz="4" w:space="0"/>
              <w:right w:val="single" w:color="auto" w:sz="4" w:space="0"/>
            </w:tcBorders>
            <w:noWrap/>
            <w:vAlign w:val="center"/>
          </w:tcPr>
          <w:p w14:paraId="52725F6A">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有效投标人数量为3家至10家(含10家)时，全部推荐</w:t>
            </w:r>
            <w:r>
              <w:rPr>
                <w:rFonts w:hint="eastAsia" w:ascii="宋体" w:hAnsi="宋体" w:cs="宋体"/>
                <w:color w:val="auto"/>
                <w:sz w:val="21"/>
                <w:szCs w:val="21"/>
                <w:highlight w:val="none"/>
                <w:lang w:eastAsia="zh-CN"/>
              </w:rPr>
              <w:t>为</w:t>
            </w:r>
            <w:r>
              <w:rPr>
                <w:rFonts w:hint="eastAsia" w:ascii="宋体" w:hAnsi="宋体" w:eastAsia="宋体" w:cs="宋体"/>
                <w:color w:val="auto"/>
                <w:sz w:val="21"/>
                <w:szCs w:val="21"/>
                <w:highlight w:val="none"/>
              </w:rPr>
              <w:t>中标候选人；有效投标人数量为10家以上时，按照择优原则</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推荐原则详见评标办法评审标准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进行评标，</w:t>
            </w:r>
            <w:r>
              <w:rPr>
                <w:rFonts w:hint="eastAsia" w:ascii="宋体" w:hAnsi="宋体" w:eastAsia="宋体" w:cs="宋体"/>
                <w:color w:val="auto"/>
                <w:szCs w:val="21"/>
                <w:highlight w:val="none"/>
                <w:lang w:val="en-US" w:eastAsia="zh-CN"/>
              </w:rPr>
              <w:t>差额推荐合格的投标人的投标报价得分由高到底推荐10家中标候选人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评标报告应当载明每个中标候选人的特点、优势、缺点、风险等评审情况和推荐理由，并对技术、质量、安全、工期的控制能力等提供技术咨询建议。</w:t>
            </w:r>
          </w:p>
        </w:tc>
      </w:tr>
      <w:tr w14:paraId="2663C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0265582">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2556" w:type="dxa"/>
            <w:tcBorders>
              <w:top w:val="single" w:color="auto" w:sz="4" w:space="0"/>
              <w:left w:val="single" w:color="auto" w:sz="4" w:space="0"/>
              <w:bottom w:val="single" w:color="auto" w:sz="4" w:space="0"/>
              <w:right w:val="single" w:color="auto" w:sz="4" w:space="0"/>
            </w:tcBorders>
            <w:noWrap/>
            <w:vAlign w:val="center"/>
          </w:tcPr>
          <w:p w14:paraId="00DBB413">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中标候选人公示媒介及期限</w:t>
            </w:r>
          </w:p>
        </w:tc>
        <w:tc>
          <w:tcPr>
            <w:tcW w:w="6196" w:type="dxa"/>
            <w:tcBorders>
              <w:top w:val="single" w:color="auto" w:sz="4" w:space="0"/>
              <w:left w:val="single" w:color="auto" w:sz="4" w:space="0"/>
              <w:bottom w:val="single" w:color="auto" w:sz="4" w:space="0"/>
              <w:right w:val="single" w:color="auto" w:sz="4" w:space="0"/>
            </w:tcBorders>
            <w:noWrap/>
            <w:vAlign w:val="center"/>
          </w:tcPr>
          <w:p w14:paraId="63C35928">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公示媒介：招标公告发布同一媒介</w:t>
            </w:r>
          </w:p>
          <w:p w14:paraId="722F7FB2">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公示期限：不少于3日</w:t>
            </w:r>
          </w:p>
        </w:tc>
      </w:tr>
      <w:tr w14:paraId="1A2DE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29BAA46">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w:t>
            </w:r>
          </w:p>
        </w:tc>
        <w:tc>
          <w:tcPr>
            <w:tcW w:w="2556" w:type="dxa"/>
            <w:tcBorders>
              <w:top w:val="single" w:color="auto" w:sz="4" w:space="0"/>
              <w:left w:val="single" w:color="auto" w:sz="4" w:space="0"/>
              <w:bottom w:val="single" w:color="auto" w:sz="4" w:space="0"/>
              <w:right w:val="single" w:color="auto" w:sz="4" w:space="0"/>
            </w:tcBorders>
            <w:noWrap/>
            <w:vAlign w:val="center"/>
          </w:tcPr>
          <w:p w14:paraId="6C92B3E5">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是否授权评标委员会确定中标人</w:t>
            </w:r>
          </w:p>
        </w:tc>
        <w:tc>
          <w:tcPr>
            <w:tcW w:w="6196" w:type="dxa"/>
            <w:tcBorders>
              <w:top w:val="single" w:color="auto" w:sz="4" w:space="0"/>
              <w:left w:val="single" w:color="auto" w:sz="4" w:space="0"/>
              <w:bottom w:val="single" w:color="auto" w:sz="4" w:space="0"/>
              <w:right w:val="single" w:color="auto" w:sz="4" w:space="0"/>
            </w:tcBorders>
            <w:noWrap/>
            <w:vAlign w:val="center"/>
          </w:tcPr>
          <w:p w14:paraId="76A653CA">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p w14:paraId="48C5AE6F">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tc>
      </w:tr>
      <w:tr w14:paraId="61A8C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4FC45BB">
            <w:pPr>
              <w:keepNext w:val="0"/>
              <w:keepLines w:val="0"/>
              <w:pageBreakBefore w:val="0"/>
              <w:kinsoku/>
              <w:wordWrap w:val="0"/>
              <w:overflowPunct/>
              <w:topLinePunct w:val="0"/>
              <w:autoSpaceDE w:val="0"/>
              <w:autoSpaceDN/>
              <w:bidi w:val="0"/>
              <w:spacing w:line="360" w:lineRule="atLeas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7.4.2</w:t>
            </w:r>
          </w:p>
        </w:tc>
        <w:tc>
          <w:tcPr>
            <w:tcW w:w="2556" w:type="dxa"/>
            <w:tcBorders>
              <w:top w:val="single" w:color="auto" w:sz="4" w:space="0"/>
              <w:left w:val="single" w:color="auto" w:sz="4" w:space="0"/>
              <w:bottom w:val="single" w:color="auto" w:sz="4" w:space="0"/>
              <w:right w:val="single" w:color="auto" w:sz="4" w:space="0"/>
            </w:tcBorders>
            <w:noWrap/>
            <w:vAlign w:val="center"/>
          </w:tcPr>
          <w:p w14:paraId="75B5717D">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定标方法</w:t>
            </w:r>
          </w:p>
        </w:tc>
        <w:tc>
          <w:tcPr>
            <w:tcW w:w="6196" w:type="dxa"/>
            <w:tcBorders>
              <w:top w:val="single" w:color="auto" w:sz="4" w:space="0"/>
              <w:left w:val="single" w:color="auto" w:sz="4" w:space="0"/>
              <w:bottom w:val="single" w:color="auto" w:sz="4" w:space="0"/>
              <w:right w:val="single" w:color="auto" w:sz="4" w:space="0"/>
            </w:tcBorders>
            <w:noWrap/>
            <w:vAlign w:val="center"/>
          </w:tcPr>
          <w:p w14:paraId="5FC87992">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核查随机法</w:t>
            </w:r>
          </w:p>
          <w:p w14:paraId="41C38662">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票决法</w:t>
            </w:r>
          </w:p>
          <w:p w14:paraId="2BD0358B">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□集体议事法</w:t>
            </w:r>
          </w:p>
          <w:p w14:paraId="5D1EA79D">
            <w:pPr>
              <w:keepNext w:val="0"/>
              <w:keepLines w:val="0"/>
              <w:pageBreakBefore w:val="0"/>
              <w:kinsoku/>
              <w:wordWrap w:val="0"/>
              <w:overflowPunct/>
              <w:topLinePunct w:val="0"/>
              <w:autoSpaceDE w:val="0"/>
              <w:autoSpaceDN/>
              <w:bidi w:val="0"/>
              <w:spacing w:line="360" w:lineRule="atLeast"/>
              <w:textAlignment w:val="auto"/>
              <w:rPr>
                <w:rFonts w:hint="eastAsia"/>
                <w:color w:val="auto"/>
                <w:highlight w:val="none"/>
              </w:rPr>
            </w:pPr>
            <w:r>
              <w:rPr>
                <w:rFonts w:hint="eastAsia" w:ascii="宋体" w:hAnsi="宋体" w:eastAsia="宋体" w:cs="宋体"/>
                <w:color w:val="auto"/>
                <w:sz w:val="21"/>
                <w:szCs w:val="21"/>
                <w:highlight w:val="none"/>
                <w:lang w:eastAsia="zh-CN"/>
              </w:rPr>
              <w:t>□其他方法</w:t>
            </w:r>
          </w:p>
        </w:tc>
      </w:tr>
      <w:tr w14:paraId="60937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F2DDC7F">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w:t>
            </w:r>
          </w:p>
        </w:tc>
        <w:tc>
          <w:tcPr>
            <w:tcW w:w="2556" w:type="dxa"/>
            <w:tcBorders>
              <w:top w:val="single" w:color="auto" w:sz="4" w:space="0"/>
              <w:left w:val="single" w:color="auto" w:sz="4" w:space="0"/>
              <w:bottom w:val="single" w:color="auto" w:sz="4" w:space="0"/>
              <w:right w:val="single" w:color="auto" w:sz="4" w:space="0"/>
            </w:tcBorders>
            <w:noWrap/>
            <w:vAlign w:val="center"/>
          </w:tcPr>
          <w:p w14:paraId="0ADB8161">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中标通知书和中标结果通知发出的形式</w:t>
            </w:r>
          </w:p>
        </w:tc>
        <w:tc>
          <w:tcPr>
            <w:tcW w:w="6196" w:type="dxa"/>
            <w:tcBorders>
              <w:top w:val="single" w:color="auto" w:sz="4" w:space="0"/>
              <w:left w:val="single" w:color="auto" w:sz="4" w:space="0"/>
              <w:bottom w:val="single" w:color="auto" w:sz="4" w:space="0"/>
              <w:right w:val="single" w:color="auto" w:sz="4" w:space="0"/>
            </w:tcBorders>
            <w:noWrap/>
            <w:vAlign w:val="center"/>
          </w:tcPr>
          <w:p w14:paraId="3F423477">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中标通知书：书面形式</w:t>
            </w:r>
          </w:p>
          <w:p w14:paraId="65C7B16B">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中标结果通知：电子形式（网上发布）</w:t>
            </w:r>
          </w:p>
        </w:tc>
      </w:tr>
      <w:tr w14:paraId="26662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C93A767">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w:t>
            </w:r>
          </w:p>
        </w:tc>
        <w:tc>
          <w:tcPr>
            <w:tcW w:w="2556" w:type="dxa"/>
            <w:tcBorders>
              <w:top w:val="single" w:color="auto" w:sz="4" w:space="0"/>
              <w:left w:val="single" w:color="auto" w:sz="4" w:space="0"/>
              <w:bottom w:val="single" w:color="auto" w:sz="4" w:space="0"/>
              <w:right w:val="single" w:color="auto" w:sz="4" w:space="0"/>
            </w:tcBorders>
            <w:noWrap/>
            <w:vAlign w:val="center"/>
          </w:tcPr>
          <w:p w14:paraId="73FAB1E8">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中标结果公告媒介及期限</w:t>
            </w:r>
          </w:p>
        </w:tc>
        <w:tc>
          <w:tcPr>
            <w:tcW w:w="6196" w:type="dxa"/>
            <w:tcBorders>
              <w:top w:val="single" w:color="auto" w:sz="4" w:space="0"/>
              <w:left w:val="single" w:color="auto" w:sz="4" w:space="0"/>
              <w:bottom w:val="single" w:color="auto" w:sz="4" w:space="0"/>
              <w:right w:val="single" w:color="auto" w:sz="4" w:space="0"/>
            </w:tcBorders>
            <w:noWrap/>
            <w:vAlign w:val="center"/>
          </w:tcPr>
          <w:p w14:paraId="1A3285F8">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公告媒介：招标公告发布同一媒介</w:t>
            </w:r>
          </w:p>
          <w:p w14:paraId="77A60399">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公告期限：不少于3日</w:t>
            </w:r>
          </w:p>
        </w:tc>
      </w:tr>
      <w:tr w14:paraId="12D11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8"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FF1D18A">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7.7.1</w:t>
            </w:r>
          </w:p>
        </w:tc>
        <w:tc>
          <w:tcPr>
            <w:tcW w:w="2556" w:type="dxa"/>
            <w:tcBorders>
              <w:top w:val="single" w:color="auto" w:sz="4" w:space="0"/>
              <w:left w:val="single" w:color="auto" w:sz="4" w:space="0"/>
              <w:bottom w:val="single" w:color="auto" w:sz="4" w:space="0"/>
              <w:right w:val="single" w:color="auto" w:sz="4" w:space="0"/>
            </w:tcBorders>
            <w:noWrap/>
            <w:vAlign w:val="center"/>
          </w:tcPr>
          <w:p w14:paraId="608E760D">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6196" w:type="dxa"/>
            <w:tcBorders>
              <w:top w:val="single" w:color="auto" w:sz="4" w:space="0"/>
              <w:left w:val="single" w:color="auto" w:sz="4" w:space="0"/>
              <w:bottom w:val="single" w:color="auto" w:sz="4" w:space="0"/>
              <w:right w:val="single" w:color="auto" w:sz="4" w:space="0"/>
            </w:tcBorders>
            <w:noWrap/>
            <w:vAlign w:val="center"/>
          </w:tcPr>
          <w:p w14:paraId="196569FF">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是否要求中标人提交履约保证金：</w:t>
            </w:r>
          </w:p>
          <w:p w14:paraId="6559278F">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要求</w:t>
            </w:r>
          </w:p>
          <w:p w14:paraId="189F4BD0">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履约担保的形式：银行转账或保函</w:t>
            </w:r>
          </w:p>
          <w:p w14:paraId="60331282">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履约担保的金额：</w:t>
            </w:r>
            <w:r>
              <w:rPr>
                <w:rFonts w:hint="eastAsia" w:ascii="宋体" w:hAnsi="宋体" w:eastAsia="宋体" w:cs="宋体"/>
                <w:color w:val="auto"/>
                <w:sz w:val="21"/>
                <w:szCs w:val="21"/>
                <w:highlight w:val="none"/>
                <w:u w:val="single"/>
                <w:lang w:val="en-US" w:eastAsia="zh-CN"/>
              </w:rPr>
              <w:t xml:space="preserve"> 3</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签约合同价</w:t>
            </w:r>
          </w:p>
          <w:p w14:paraId="3D5C2EB3">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□不要求</w:t>
            </w:r>
          </w:p>
        </w:tc>
      </w:tr>
      <w:tr w14:paraId="25E19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8FE7710">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8.5.1</w:t>
            </w:r>
          </w:p>
        </w:tc>
        <w:tc>
          <w:tcPr>
            <w:tcW w:w="2556" w:type="dxa"/>
            <w:tcBorders>
              <w:top w:val="single" w:color="auto" w:sz="4" w:space="0"/>
              <w:left w:val="single" w:color="auto" w:sz="4" w:space="0"/>
              <w:bottom w:val="single" w:color="auto" w:sz="4" w:space="0"/>
              <w:right w:val="single" w:color="auto" w:sz="4" w:space="0"/>
            </w:tcBorders>
            <w:noWrap/>
            <w:vAlign w:val="center"/>
          </w:tcPr>
          <w:p w14:paraId="2E2F8B92">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监督部门</w:t>
            </w:r>
          </w:p>
        </w:tc>
        <w:tc>
          <w:tcPr>
            <w:tcW w:w="6196" w:type="dxa"/>
            <w:tcBorders>
              <w:top w:val="single" w:color="auto" w:sz="4" w:space="0"/>
              <w:left w:val="single" w:color="auto" w:sz="4" w:space="0"/>
              <w:bottom w:val="single" w:color="auto" w:sz="4" w:space="0"/>
              <w:right w:val="single" w:color="auto" w:sz="4" w:space="0"/>
            </w:tcBorders>
            <w:noWrap/>
            <w:vAlign w:val="center"/>
          </w:tcPr>
          <w:p w14:paraId="2D5BF6EE">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监督部门：汝南县交通运输局 </w:t>
            </w:r>
          </w:p>
          <w:p w14:paraId="7D15A2B3">
            <w:pPr>
              <w:keepNext w:val="0"/>
              <w:keepLines w:val="0"/>
              <w:pageBreakBefore w:val="0"/>
              <w:kinsoku/>
              <w:wordWrap w:val="0"/>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办公地址：汝南县行政新区3号楼</w:t>
            </w:r>
          </w:p>
          <w:p w14:paraId="3397E417">
            <w:pPr>
              <w:keepNext w:val="0"/>
              <w:keepLines w:val="0"/>
              <w:pageBreakBefore w:val="0"/>
              <w:kinsoku/>
              <w:wordWrap w:val="0"/>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    话：0396-</w:t>
            </w:r>
            <w:r>
              <w:rPr>
                <w:rFonts w:hint="eastAsia" w:ascii="宋体" w:hAnsi="宋体" w:cs="宋体"/>
                <w:color w:val="auto"/>
                <w:sz w:val="21"/>
                <w:szCs w:val="21"/>
                <w:highlight w:val="none"/>
                <w:lang w:val="en-US" w:eastAsia="zh-CN"/>
              </w:rPr>
              <w:t>8123756</w:t>
            </w:r>
          </w:p>
        </w:tc>
      </w:tr>
      <w:tr w14:paraId="5B778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006C4A9A">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556" w:type="dxa"/>
            <w:tcBorders>
              <w:top w:val="single" w:color="auto" w:sz="4" w:space="0"/>
              <w:left w:val="single" w:color="auto" w:sz="4" w:space="0"/>
              <w:bottom w:val="single" w:color="auto" w:sz="4" w:space="0"/>
              <w:right w:val="single" w:color="auto" w:sz="4" w:space="0"/>
            </w:tcBorders>
            <w:noWrap/>
            <w:vAlign w:val="center"/>
          </w:tcPr>
          <w:p w14:paraId="7B8F169D">
            <w:pPr>
              <w:keepNext w:val="0"/>
              <w:keepLines w:val="0"/>
              <w:pageBreakBefore w:val="0"/>
              <w:kinsoku/>
              <w:wordWrap w:val="0"/>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是否采用电子招标投标</w:t>
            </w:r>
          </w:p>
        </w:tc>
        <w:tc>
          <w:tcPr>
            <w:tcW w:w="6196" w:type="dxa"/>
            <w:tcBorders>
              <w:top w:val="single" w:color="auto" w:sz="4" w:space="0"/>
              <w:left w:val="single" w:color="auto" w:sz="4" w:space="0"/>
              <w:bottom w:val="single" w:color="auto" w:sz="4" w:space="0"/>
              <w:right w:val="single" w:color="auto" w:sz="4" w:space="0"/>
            </w:tcBorders>
            <w:noWrap/>
            <w:vAlign w:val="center"/>
          </w:tcPr>
          <w:p w14:paraId="7281944F">
            <w:pPr>
              <w:keepNext w:val="0"/>
              <w:keepLines w:val="0"/>
              <w:pageBreakBefore w:val="0"/>
              <w:kinsoku/>
              <w:wordWrap w:val="0"/>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p w14:paraId="2A8FB435">
            <w:pPr>
              <w:keepNext w:val="0"/>
              <w:keepLines w:val="0"/>
              <w:pageBreakBefore w:val="0"/>
              <w:kinsoku/>
              <w:wordWrap w:val="0"/>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具体要求：本工程采用远程不见面交易的模式。开标当日，投标人无需到达开标现场，仅需在任意地点通过驻马店不见面开标系统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tc>
      </w:tr>
      <w:tr w14:paraId="7EA0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8" w:type="dxa"/>
            <w:gridSpan w:val="3"/>
            <w:tcBorders>
              <w:top w:val="single" w:color="auto" w:sz="4" w:space="0"/>
              <w:left w:val="single" w:color="auto" w:sz="4" w:space="0"/>
              <w:bottom w:val="single" w:color="auto" w:sz="4" w:space="0"/>
              <w:right w:val="single" w:color="auto" w:sz="4" w:space="0"/>
            </w:tcBorders>
            <w:noWrap/>
            <w:vAlign w:val="center"/>
          </w:tcPr>
          <w:p w14:paraId="20AC8657">
            <w:pPr>
              <w:keepNext w:val="0"/>
              <w:keepLines w:val="0"/>
              <w:pageBreakBefore w:val="0"/>
              <w:kinsoku/>
              <w:wordWrap w:val="0"/>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需要补充的其他内容</w:t>
            </w:r>
          </w:p>
        </w:tc>
      </w:tr>
      <w:tr w14:paraId="7FBB3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4A6E8C">
            <w:pPr>
              <w:keepNext w:val="0"/>
              <w:pageBreakBefore w:val="0"/>
              <w:kinsoku/>
              <w:wordWrap w:val="0"/>
              <w:overflowPunct/>
              <w:bidi w:val="0"/>
              <w:spacing w:line="4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.1</w:t>
            </w:r>
          </w:p>
        </w:tc>
        <w:tc>
          <w:tcPr>
            <w:tcW w:w="25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BA2AF2">
            <w:pPr>
              <w:keepNext w:val="0"/>
              <w:pageBreakBefore w:val="0"/>
              <w:kinsoku/>
              <w:wordWrap w:val="0"/>
              <w:overflowPunct/>
              <w:bidi w:val="0"/>
              <w:spacing w:line="4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农民工工资保证金</w:t>
            </w:r>
          </w:p>
        </w:tc>
        <w:tc>
          <w:tcPr>
            <w:tcW w:w="6196" w:type="dxa"/>
            <w:tcBorders>
              <w:top w:val="single" w:color="auto" w:sz="4" w:space="0"/>
              <w:left w:val="single" w:color="auto" w:sz="4" w:space="0"/>
              <w:bottom w:val="single" w:color="auto" w:sz="4" w:space="0"/>
              <w:right w:val="single" w:color="auto" w:sz="4" w:space="0"/>
            </w:tcBorders>
            <w:shd w:val="clear" w:color="auto" w:fill="auto"/>
            <w:noWrap/>
            <w:vAlign w:val="top"/>
          </w:tcPr>
          <w:p w14:paraId="1341F6B3">
            <w:pPr>
              <w:keepNext w:val="0"/>
              <w:pageBreakBefore w:val="0"/>
              <w:kinsoku/>
              <w:wordWrap w:val="0"/>
              <w:overflowPunct/>
              <w:bidi w:val="0"/>
              <w:spacing w:line="40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bidi="ar"/>
              </w:rPr>
              <w:t>中标后，农民工工资按相关规定执行</w:t>
            </w:r>
          </w:p>
        </w:tc>
      </w:tr>
      <w:tr w14:paraId="18F99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C165D1">
            <w:pPr>
              <w:keepNext w:val="0"/>
              <w:pageBreakBefore w:val="0"/>
              <w:kinsoku/>
              <w:wordWrap w:val="0"/>
              <w:overflowPunct/>
              <w:bidi w:val="0"/>
              <w:spacing w:line="4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10.2</w:t>
            </w:r>
          </w:p>
        </w:tc>
        <w:tc>
          <w:tcPr>
            <w:tcW w:w="25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809C59">
            <w:pPr>
              <w:keepNext w:val="0"/>
              <w:pageBreakBefore w:val="0"/>
              <w:kinsoku/>
              <w:wordWrap w:val="0"/>
              <w:overflowPunct/>
              <w:bidi w:val="0"/>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重新招标和不再</w:t>
            </w:r>
          </w:p>
          <w:p w14:paraId="036FFC84">
            <w:pPr>
              <w:keepNext w:val="0"/>
              <w:pageBreakBefore w:val="0"/>
              <w:kinsoku/>
              <w:wordWrap w:val="0"/>
              <w:overflowPunct/>
              <w:bidi w:val="0"/>
              <w:spacing w:line="4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招标</w:t>
            </w:r>
          </w:p>
        </w:tc>
        <w:tc>
          <w:tcPr>
            <w:tcW w:w="6196" w:type="dxa"/>
            <w:tcBorders>
              <w:top w:val="single" w:color="auto" w:sz="4" w:space="0"/>
              <w:left w:val="single" w:color="auto" w:sz="4" w:space="0"/>
              <w:bottom w:val="single" w:color="auto" w:sz="4" w:space="0"/>
              <w:right w:val="single" w:color="auto" w:sz="4" w:space="0"/>
            </w:tcBorders>
            <w:shd w:val="clear" w:color="auto" w:fill="auto"/>
            <w:noWrap/>
            <w:vAlign w:val="top"/>
          </w:tcPr>
          <w:p w14:paraId="612806D9">
            <w:pPr>
              <w:keepNext w:val="0"/>
              <w:pageBreakBefore w:val="0"/>
              <w:kinsoku/>
              <w:wordWrap w:val="0"/>
              <w:overflowPunct/>
              <w:bidi w:val="0"/>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1、重新招标</w:t>
            </w:r>
          </w:p>
          <w:p w14:paraId="0C0D0E25">
            <w:pPr>
              <w:keepNext w:val="0"/>
              <w:pageBreakBefore w:val="0"/>
              <w:kinsoku/>
              <w:wordWrap w:val="0"/>
              <w:overflowPunct/>
              <w:bidi w:val="0"/>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有下列情形之一的，招标人将重新招标：</w:t>
            </w:r>
          </w:p>
          <w:p w14:paraId="397283C3">
            <w:pPr>
              <w:keepNext w:val="0"/>
              <w:pageBreakBefore w:val="0"/>
              <w:kinsoku/>
              <w:wordWrap w:val="0"/>
              <w:overflowPunct/>
              <w:bidi w:val="0"/>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（1）投标截止时间止，投标人少于3个的；</w:t>
            </w:r>
          </w:p>
          <w:p w14:paraId="0BC6EFBE">
            <w:pPr>
              <w:keepNext w:val="0"/>
              <w:pageBreakBefore w:val="0"/>
              <w:kinsoku/>
              <w:wordWrap w:val="0"/>
              <w:overflowPunct/>
              <w:bidi w:val="0"/>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（2）经评标委员会评审后否决所有投标的。</w:t>
            </w:r>
          </w:p>
          <w:p w14:paraId="2BDE85B0">
            <w:pPr>
              <w:keepNext w:val="0"/>
              <w:pageBreakBefore w:val="0"/>
              <w:kinsoku/>
              <w:wordWrap w:val="0"/>
              <w:overflowPunct/>
              <w:bidi w:val="0"/>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2、不再招标</w:t>
            </w:r>
          </w:p>
          <w:p w14:paraId="13D595CD">
            <w:pPr>
              <w:keepNext w:val="0"/>
              <w:pageBreakBefore w:val="0"/>
              <w:kinsoku/>
              <w:wordWrap w:val="0"/>
              <w:overflowPunct/>
              <w:bidi w:val="0"/>
              <w:spacing w:line="40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p>
        </w:tc>
      </w:tr>
      <w:tr w14:paraId="0681C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F53D7E">
            <w:pPr>
              <w:keepNext w:val="0"/>
              <w:pageBreakBefore w:val="0"/>
              <w:kinsoku/>
              <w:wordWrap w:val="0"/>
              <w:overflowPunct/>
              <w:bidi w:val="0"/>
              <w:spacing w:line="4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10.3</w:t>
            </w:r>
          </w:p>
        </w:tc>
        <w:tc>
          <w:tcPr>
            <w:tcW w:w="25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F00668">
            <w:pPr>
              <w:keepNext w:val="0"/>
              <w:pageBreakBefore w:val="0"/>
              <w:kinsoku/>
              <w:wordWrap w:val="0"/>
              <w:overflowPunct/>
              <w:bidi w:val="0"/>
              <w:spacing w:line="4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解释权</w:t>
            </w:r>
          </w:p>
        </w:tc>
        <w:tc>
          <w:tcPr>
            <w:tcW w:w="6196" w:type="dxa"/>
            <w:tcBorders>
              <w:top w:val="single" w:color="auto" w:sz="4" w:space="0"/>
              <w:left w:val="single" w:color="auto" w:sz="4" w:space="0"/>
              <w:bottom w:val="single" w:color="auto" w:sz="4" w:space="0"/>
              <w:right w:val="single" w:color="auto" w:sz="4" w:space="0"/>
            </w:tcBorders>
            <w:shd w:val="clear" w:color="auto" w:fill="auto"/>
            <w:noWrap/>
            <w:vAlign w:val="top"/>
          </w:tcPr>
          <w:p w14:paraId="3FB1E37B">
            <w:pPr>
              <w:keepNext w:val="0"/>
              <w:pageBreakBefore w:val="0"/>
              <w:kinsoku/>
              <w:wordWrap w:val="0"/>
              <w:overflowPunct/>
              <w:bidi w:val="0"/>
              <w:spacing w:line="40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5047E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279009">
            <w:pPr>
              <w:keepNext w:val="0"/>
              <w:pageBreakBefore w:val="0"/>
              <w:kinsoku/>
              <w:wordWrap w:val="0"/>
              <w:overflowPunct/>
              <w:bidi w:val="0"/>
              <w:spacing w:line="4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10.4</w:t>
            </w:r>
          </w:p>
        </w:tc>
        <w:tc>
          <w:tcPr>
            <w:tcW w:w="25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B05E47">
            <w:pPr>
              <w:keepNext w:val="0"/>
              <w:pageBreakBefore w:val="0"/>
              <w:kinsoku/>
              <w:wordWrap w:val="0"/>
              <w:overflowPunct/>
              <w:bidi w:val="0"/>
              <w:spacing w:line="4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其他要求</w:t>
            </w:r>
          </w:p>
        </w:tc>
        <w:tc>
          <w:tcPr>
            <w:tcW w:w="61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FF07A2">
            <w:pPr>
              <w:keepNext w:val="0"/>
              <w:pageBreakBefore w:val="0"/>
              <w:kinsoku/>
              <w:wordWrap w:val="0"/>
              <w:overflowPunct/>
              <w:bidi w:val="0"/>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lang w:eastAsia="zh-CN"/>
              </w:rPr>
              <w:t>须</w:t>
            </w:r>
            <w:r>
              <w:rPr>
                <w:rFonts w:hint="eastAsia" w:ascii="宋体" w:hAnsi="宋体" w:eastAsia="宋体" w:cs="宋体"/>
                <w:color w:val="auto"/>
                <w:szCs w:val="21"/>
                <w:highlight w:val="none"/>
              </w:rPr>
              <w:t>承诺，在合同履行期间将投入充足、稳定的</w:t>
            </w:r>
            <w:r>
              <w:rPr>
                <w:rFonts w:hint="eastAsia" w:ascii="宋体" w:hAnsi="宋体" w:eastAsia="宋体" w:cs="宋体"/>
                <w:color w:val="auto"/>
                <w:szCs w:val="21"/>
                <w:highlight w:val="none"/>
                <w:lang w:eastAsia="zh-CN"/>
              </w:rPr>
              <w:t>资金</w:t>
            </w:r>
            <w:r>
              <w:rPr>
                <w:rFonts w:hint="eastAsia" w:ascii="宋体" w:hAnsi="宋体" w:eastAsia="宋体" w:cs="宋体"/>
                <w:color w:val="auto"/>
                <w:szCs w:val="21"/>
                <w:highlight w:val="none"/>
              </w:rPr>
              <w:t>以确保工程进度。非因以下原因，不得停工：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 遭遇合同定义的不可抗力事件；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 经招标人书面同意的合理暂停。任何未经许可的停工均视为违约行为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发包人可按合同约定追究其违约责任</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包括但不限于扣除履约保证金、要求赔偿损失，直至解除合同。</w:t>
            </w:r>
          </w:p>
          <w:p w14:paraId="1151986E">
            <w:pPr>
              <w:keepNext w:val="0"/>
              <w:pageBreakBefore w:val="0"/>
              <w:kinsoku/>
              <w:wordWrap w:val="0"/>
              <w:overflowPunct/>
              <w:bidi w:val="0"/>
              <w:spacing w:line="40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、本次招标项目中标人须在领取中标通知书前向招标代理机构支付招标代理服务费。本项目招标代理服务费</w:t>
            </w:r>
            <w:r>
              <w:rPr>
                <w:rFonts w:hint="eastAsia" w:ascii="宋体" w:hAnsi="宋体" w:eastAsia="宋体" w:cs="宋体"/>
                <w:color w:val="auto"/>
                <w:szCs w:val="21"/>
                <w:highlight w:val="none"/>
                <w:lang w:eastAsia="zh-CN"/>
              </w:rPr>
              <w:t>参</w:t>
            </w:r>
            <w:r>
              <w:rPr>
                <w:rFonts w:hint="eastAsia" w:ascii="宋体" w:hAnsi="宋体" w:eastAsia="宋体" w:cs="宋体"/>
                <w:color w:val="auto"/>
                <w:szCs w:val="21"/>
                <w:highlight w:val="none"/>
              </w:rPr>
              <w:t>照豫招协【2023】002号文件规定的标准收取，差额累计计算。</w:t>
            </w:r>
          </w:p>
        </w:tc>
      </w:tr>
    </w:tbl>
    <w:p w14:paraId="2D504CE5">
      <w:pPr>
        <w:jc w:val="center"/>
        <w:rPr>
          <w:rFonts w:ascii="宋体" w:hAnsi="宋体"/>
          <w:b/>
          <w:color w:val="auto"/>
          <w:sz w:val="28"/>
          <w:szCs w:val="28"/>
          <w:highlight w:val="none"/>
        </w:rPr>
      </w:pPr>
      <w:bookmarkStart w:id="21" w:name="_Toc152042305"/>
      <w:bookmarkEnd w:id="21"/>
      <w:bookmarkStart w:id="22" w:name="_Toc144974497"/>
      <w:bookmarkEnd w:id="22"/>
      <w:bookmarkStart w:id="23" w:name="_Toc132601551"/>
      <w:bookmarkEnd w:id="23"/>
      <w:bookmarkStart w:id="24" w:name="_Toc179632546"/>
      <w:bookmarkEnd w:id="24"/>
      <w:bookmarkStart w:id="25" w:name="_Toc152045529"/>
      <w:bookmarkEnd w:id="25"/>
      <w:bookmarkStart w:id="26" w:name="_Hlt111980141"/>
      <w:bookmarkEnd w:id="26"/>
      <w:bookmarkStart w:id="27" w:name="_Hlt125377922"/>
      <w:r>
        <w:rPr>
          <w:rFonts w:hint="eastAsia" w:ascii="宋体" w:hAnsi="宋体"/>
          <w:b/>
          <w:color w:val="auto"/>
          <w:sz w:val="28"/>
          <w:szCs w:val="28"/>
          <w:highlight w:val="none"/>
        </w:rPr>
        <w:t xml:space="preserve"> </w:t>
      </w:r>
      <w:bookmarkEnd w:id="27"/>
    </w:p>
    <w:p w14:paraId="3A867311">
      <w:pPr>
        <w:jc w:val="center"/>
        <w:rPr>
          <w:rFonts w:ascii="宋体" w:hAnsi="宋体"/>
          <w:b/>
          <w:color w:val="auto"/>
          <w:sz w:val="28"/>
          <w:szCs w:val="28"/>
          <w:highlight w:val="none"/>
        </w:rPr>
      </w:pPr>
    </w:p>
    <w:p w14:paraId="389F6FEE">
      <w:pPr>
        <w:jc w:val="center"/>
        <w:rPr>
          <w:rFonts w:ascii="宋体" w:hAnsi="宋体"/>
          <w:b/>
          <w:color w:val="auto"/>
          <w:sz w:val="28"/>
          <w:szCs w:val="28"/>
          <w:highlight w:val="none"/>
        </w:rPr>
      </w:pPr>
      <w:r>
        <w:rPr>
          <w:rFonts w:hint="eastAsia" w:ascii="宋体" w:hAnsi="宋体"/>
          <w:b/>
          <w:color w:val="auto"/>
          <w:sz w:val="28"/>
          <w:szCs w:val="28"/>
          <w:highlight w:val="none"/>
        </w:rPr>
        <w:t xml:space="preserve"> </w:t>
      </w:r>
    </w:p>
    <w:p w14:paraId="05593252">
      <w:pPr>
        <w:jc w:val="center"/>
        <w:rPr>
          <w:rFonts w:ascii="宋体" w:hAnsi="宋体"/>
          <w:b/>
          <w:color w:val="auto"/>
          <w:sz w:val="28"/>
          <w:szCs w:val="28"/>
          <w:highlight w:val="none"/>
        </w:rPr>
      </w:pPr>
      <w:r>
        <w:rPr>
          <w:rFonts w:hint="eastAsia" w:ascii="宋体" w:hAnsi="宋体"/>
          <w:b/>
          <w:color w:val="auto"/>
          <w:sz w:val="28"/>
          <w:szCs w:val="28"/>
          <w:highlight w:val="none"/>
        </w:rPr>
        <w:t xml:space="preserve"> </w:t>
      </w:r>
    </w:p>
    <w:p w14:paraId="5192E007">
      <w:pPr>
        <w:jc w:val="center"/>
        <w:rPr>
          <w:rFonts w:ascii="宋体" w:hAnsi="宋体"/>
          <w:b/>
          <w:color w:val="auto"/>
          <w:sz w:val="28"/>
          <w:szCs w:val="28"/>
          <w:highlight w:val="none"/>
        </w:rPr>
      </w:pPr>
      <w:r>
        <w:rPr>
          <w:rFonts w:hint="eastAsia" w:ascii="宋体" w:hAnsi="宋体"/>
          <w:b/>
          <w:color w:val="auto"/>
          <w:sz w:val="28"/>
          <w:szCs w:val="28"/>
          <w:highlight w:val="none"/>
        </w:rPr>
        <w:t xml:space="preserve"> </w:t>
      </w:r>
    </w:p>
    <w:p w14:paraId="289164D0">
      <w:pPr>
        <w:jc w:val="center"/>
        <w:rPr>
          <w:rFonts w:ascii="宋体" w:hAnsi="宋体"/>
          <w:b/>
          <w:color w:val="auto"/>
          <w:sz w:val="28"/>
          <w:szCs w:val="28"/>
          <w:highlight w:val="none"/>
        </w:rPr>
      </w:pPr>
      <w:r>
        <w:rPr>
          <w:rFonts w:hint="eastAsia" w:ascii="宋体" w:hAnsi="宋体"/>
          <w:b/>
          <w:color w:val="auto"/>
          <w:sz w:val="28"/>
          <w:szCs w:val="28"/>
          <w:highlight w:val="none"/>
        </w:rPr>
        <w:t xml:space="preserve"> </w:t>
      </w:r>
    </w:p>
    <w:p w14:paraId="04443FDC">
      <w:pPr>
        <w:keepNext w:val="0"/>
        <w:keepLines w:val="0"/>
        <w:pageBreakBefore w:val="0"/>
        <w:widowControl w:val="0"/>
        <w:kinsoku/>
        <w:wordWrap/>
        <w:overflowPunct/>
        <w:topLinePunct w:val="0"/>
        <w:autoSpaceDE/>
        <w:autoSpaceDN/>
        <w:bidi w:val="0"/>
        <w:adjustRightInd/>
        <w:snapToGrid/>
        <w:spacing w:after="0" w:afterLines="50"/>
        <w:jc w:val="center"/>
        <w:textAlignment w:val="auto"/>
        <w:outlineLvl w:val="2"/>
        <w:rPr>
          <w:rFonts w:ascii="宋体" w:hAnsi="宋体"/>
          <w:b/>
          <w:color w:val="auto"/>
          <w:sz w:val="28"/>
          <w:szCs w:val="28"/>
          <w:highlight w:val="none"/>
        </w:rPr>
      </w:pPr>
      <w:r>
        <w:rPr>
          <w:rFonts w:hint="eastAsia" w:ascii="宋体" w:hAnsi="宋体"/>
          <w:b/>
          <w:color w:val="auto"/>
          <w:sz w:val="28"/>
          <w:szCs w:val="28"/>
          <w:highlight w:val="none"/>
        </w:rPr>
        <w:br w:type="page"/>
      </w:r>
      <w:bookmarkStart w:id="28" w:name="_Toc19443"/>
      <w:bookmarkEnd w:id="28"/>
      <w:r>
        <w:rPr>
          <w:rFonts w:hint="eastAsia" w:ascii="宋体" w:hAnsi="宋体"/>
          <w:b/>
          <w:color w:val="auto"/>
          <w:sz w:val="28"/>
          <w:szCs w:val="28"/>
          <w:highlight w:val="none"/>
        </w:rPr>
        <w:t>附录1 资格审查条件（资质最低要求）</w:t>
      </w:r>
    </w:p>
    <w:tbl>
      <w:tblPr>
        <w:tblStyle w:val="23"/>
        <w:tblW w:w="8580" w:type="dxa"/>
        <w:jc w:val="center"/>
        <w:tblLayout w:type="fixed"/>
        <w:tblCellMar>
          <w:top w:w="0" w:type="dxa"/>
          <w:left w:w="108" w:type="dxa"/>
          <w:bottom w:w="0" w:type="dxa"/>
          <w:right w:w="108" w:type="dxa"/>
        </w:tblCellMar>
      </w:tblPr>
      <w:tblGrid>
        <w:gridCol w:w="8580"/>
      </w:tblGrid>
      <w:tr w14:paraId="456EC8D0">
        <w:tblPrEx>
          <w:tblCellMar>
            <w:top w:w="0" w:type="dxa"/>
            <w:left w:w="108" w:type="dxa"/>
            <w:bottom w:w="0" w:type="dxa"/>
            <w:right w:w="108" w:type="dxa"/>
          </w:tblCellMar>
        </w:tblPrEx>
        <w:trPr>
          <w:trHeight w:val="938" w:hRule="atLeast"/>
          <w:jc w:val="center"/>
        </w:trPr>
        <w:tc>
          <w:tcPr>
            <w:tcW w:w="8580" w:type="dxa"/>
            <w:tcBorders>
              <w:top w:val="single" w:color="auto" w:sz="6" w:space="0"/>
              <w:left w:val="single" w:color="auto" w:sz="6" w:space="0"/>
              <w:bottom w:val="single" w:color="auto" w:sz="6" w:space="0"/>
              <w:right w:val="single" w:color="auto" w:sz="6" w:space="0"/>
            </w:tcBorders>
            <w:noWrap/>
            <w:vAlign w:val="center"/>
          </w:tcPr>
          <w:p w14:paraId="3DFC448C">
            <w:pPr>
              <w:pStyle w:val="43"/>
              <w:jc w:val="center"/>
              <w:rPr>
                <w:rFonts w:hAnsi="宋体" w:cs="Times New Roman"/>
                <w:color w:val="auto"/>
                <w:sz w:val="21"/>
                <w:szCs w:val="21"/>
                <w:highlight w:val="none"/>
              </w:rPr>
            </w:pPr>
            <w:r>
              <w:rPr>
                <w:rFonts w:hint="eastAsia" w:hAnsi="宋体" w:cs="Times New Roman"/>
                <w:color w:val="auto"/>
                <w:sz w:val="21"/>
                <w:szCs w:val="21"/>
                <w:highlight w:val="none"/>
              </w:rPr>
              <w:t>施工企业资质等级</w:t>
            </w:r>
            <w:r>
              <w:rPr>
                <w:rFonts w:hint="eastAsia" w:hAnsi="宋体" w:cs="Times New Roman"/>
                <w:bCs/>
                <w:caps/>
                <w:color w:val="auto"/>
                <w:sz w:val="21"/>
                <w:szCs w:val="21"/>
                <w:highlight w:val="none"/>
              </w:rPr>
              <w:t>要求</w:t>
            </w:r>
          </w:p>
        </w:tc>
      </w:tr>
      <w:tr w14:paraId="37E41D23">
        <w:tblPrEx>
          <w:tblCellMar>
            <w:top w:w="0" w:type="dxa"/>
            <w:left w:w="108" w:type="dxa"/>
            <w:bottom w:w="0" w:type="dxa"/>
            <w:right w:w="108" w:type="dxa"/>
          </w:tblCellMar>
        </w:tblPrEx>
        <w:trPr>
          <w:cantSplit/>
          <w:trHeight w:val="3857" w:hRule="atLeast"/>
          <w:jc w:val="center"/>
        </w:trPr>
        <w:tc>
          <w:tcPr>
            <w:tcW w:w="8580" w:type="dxa"/>
            <w:tcBorders>
              <w:top w:val="single" w:color="auto" w:sz="6" w:space="0"/>
              <w:left w:val="single" w:color="auto" w:sz="6" w:space="0"/>
              <w:bottom w:val="single" w:color="auto" w:sz="6" w:space="0"/>
              <w:right w:val="single" w:color="auto" w:sz="6" w:space="0"/>
            </w:tcBorders>
            <w:noWrap/>
            <w:vAlign w:val="center"/>
          </w:tcPr>
          <w:p w14:paraId="4AF5CC12">
            <w:pPr>
              <w:numPr>
                <w:ilvl w:val="0"/>
                <w:numId w:val="0"/>
              </w:numPr>
              <w:wordWrap w:val="0"/>
              <w:autoSpaceDE w:val="0"/>
              <w:spacing w:line="360" w:lineRule="auto"/>
              <w:jc w:val="left"/>
              <w:rPr>
                <w:rFonts w:hint="eastAsia" w:ascii="宋体" w:hAnsi="宋体"/>
                <w:bCs/>
                <w:caps/>
                <w:color w:val="auto"/>
                <w:highlight w:val="none"/>
              </w:rPr>
            </w:pPr>
            <w:r>
              <w:rPr>
                <w:rFonts w:hint="eastAsia" w:ascii="宋体" w:hAnsi="宋体"/>
                <w:bCs/>
                <w:caps/>
                <w:color w:val="auto"/>
                <w:highlight w:val="none"/>
                <w:lang w:val="en-US" w:eastAsia="zh-CN"/>
              </w:rPr>
              <w:t>1.投标人须具备独立法人资格，具有有效的营业执照、安全生产许可证，投标人须具备建设行政主管部门颁发的公路工程施工总承包二级及以上资质，并在人员、设备、资金等方面具备相应的施工能力。</w:t>
            </w:r>
          </w:p>
          <w:p w14:paraId="6DBDE86D">
            <w:pPr>
              <w:wordWrap w:val="0"/>
              <w:autoSpaceDE w:val="0"/>
              <w:spacing w:line="360" w:lineRule="auto"/>
              <w:jc w:val="left"/>
              <w:rPr>
                <w:rFonts w:ascii="宋体" w:hAnsi="宋体"/>
                <w:bCs/>
                <w:caps/>
                <w:color w:val="auto"/>
                <w:highlight w:val="none"/>
              </w:rPr>
            </w:pPr>
          </w:p>
        </w:tc>
      </w:tr>
    </w:tbl>
    <w:p w14:paraId="0E1EFB3F">
      <w:pPr>
        <w:pStyle w:val="21"/>
        <w:ind w:firstLine="0" w:firstLineChars="0"/>
        <w:rPr>
          <w:rFonts w:ascii="宋体"/>
          <w:color w:val="auto"/>
          <w:highlight w:val="none"/>
        </w:rPr>
      </w:pPr>
      <w:r>
        <w:rPr>
          <w:rFonts w:hint="eastAsia" w:ascii="宋体"/>
          <w:color w:val="auto"/>
          <w:highlight w:val="none"/>
        </w:rPr>
        <w:t xml:space="preserve"> </w:t>
      </w:r>
    </w:p>
    <w:p w14:paraId="2834E5B7">
      <w:pPr>
        <w:keepNext w:val="0"/>
        <w:keepLines w:val="0"/>
        <w:pageBreakBefore w:val="0"/>
        <w:widowControl w:val="0"/>
        <w:kinsoku/>
        <w:wordWrap/>
        <w:overflowPunct/>
        <w:topLinePunct w:val="0"/>
        <w:autoSpaceDE/>
        <w:autoSpaceDN/>
        <w:bidi w:val="0"/>
        <w:adjustRightInd/>
        <w:snapToGrid/>
        <w:spacing w:after="0" w:afterLines="50"/>
        <w:jc w:val="center"/>
        <w:textAlignment w:val="auto"/>
        <w:outlineLvl w:val="2"/>
        <w:rPr>
          <w:rFonts w:ascii="宋体" w:hAnsi="宋体"/>
          <w:b/>
          <w:color w:val="auto"/>
          <w:sz w:val="28"/>
          <w:szCs w:val="28"/>
          <w:highlight w:val="none"/>
        </w:rPr>
      </w:pPr>
      <w:bookmarkStart w:id="29" w:name="_Toc24322"/>
      <w:bookmarkEnd w:id="29"/>
      <w:r>
        <w:rPr>
          <w:rFonts w:hint="eastAsia" w:ascii="宋体" w:hAnsi="宋体"/>
          <w:b/>
          <w:color w:val="auto"/>
          <w:sz w:val="28"/>
          <w:szCs w:val="28"/>
          <w:highlight w:val="none"/>
        </w:rPr>
        <w:t>附录2 资格审查条件（财务最低要求）</w:t>
      </w:r>
    </w:p>
    <w:tbl>
      <w:tblPr>
        <w:tblStyle w:val="23"/>
        <w:tblW w:w="8540" w:type="dxa"/>
        <w:jc w:val="center"/>
        <w:tblLayout w:type="fixed"/>
        <w:tblCellMar>
          <w:top w:w="0" w:type="dxa"/>
          <w:left w:w="108" w:type="dxa"/>
          <w:bottom w:w="0" w:type="dxa"/>
          <w:right w:w="108" w:type="dxa"/>
        </w:tblCellMar>
      </w:tblPr>
      <w:tblGrid>
        <w:gridCol w:w="8540"/>
      </w:tblGrid>
      <w:tr w14:paraId="5C64D711">
        <w:tblPrEx>
          <w:tblCellMar>
            <w:top w:w="0" w:type="dxa"/>
            <w:left w:w="108" w:type="dxa"/>
            <w:bottom w:w="0" w:type="dxa"/>
            <w:right w:w="108" w:type="dxa"/>
          </w:tblCellMar>
        </w:tblPrEx>
        <w:trPr>
          <w:trHeight w:val="790" w:hRule="atLeast"/>
          <w:jc w:val="center"/>
        </w:trPr>
        <w:tc>
          <w:tcPr>
            <w:tcW w:w="8540" w:type="dxa"/>
            <w:tcBorders>
              <w:top w:val="single" w:color="auto" w:sz="6" w:space="0"/>
              <w:left w:val="single" w:color="auto" w:sz="6" w:space="0"/>
              <w:bottom w:val="single" w:color="auto" w:sz="6" w:space="0"/>
              <w:right w:val="single" w:color="auto" w:sz="6" w:space="0"/>
            </w:tcBorders>
            <w:noWrap/>
            <w:vAlign w:val="center"/>
          </w:tcPr>
          <w:p w14:paraId="56D23700">
            <w:pPr>
              <w:pStyle w:val="17"/>
              <w:tabs>
                <w:tab w:val="right" w:leader="dot" w:pos="8495"/>
              </w:tabs>
              <w:spacing w:line="240" w:lineRule="auto"/>
              <w:jc w:val="center"/>
              <w:rPr>
                <w:rFonts w:ascii="宋体" w:hAnsi="宋体" w:eastAsia="宋体"/>
                <w:b w:val="0"/>
                <w:bCs w:val="0"/>
                <w:caps/>
                <w:color w:val="auto"/>
                <w:sz w:val="21"/>
                <w:szCs w:val="21"/>
                <w:highlight w:val="none"/>
              </w:rPr>
            </w:pPr>
            <w:r>
              <w:rPr>
                <w:rFonts w:hint="eastAsia" w:ascii="宋体" w:hAnsi="宋体" w:eastAsia="宋体" w:cs="宋体"/>
                <w:b w:val="0"/>
                <w:bCs w:val="0"/>
                <w:caps/>
                <w:color w:val="auto"/>
                <w:sz w:val="21"/>
                <w:szCs w:val="21"/>
                <w:highlight w:val="none"/>
              </w:rPr>
              <w:t>财 务 要 求</w:t>
            </w:r>
          </w:p>
        </w:tc>
      </w:tr>
      <w:tr w14:paraId="6CE63D6B">
        <w:tblPrEx>
          <w:tblCellMar>
            <w:top w:w="0" w:type="dxa"/>
            <w:left w:w="108" w:type="dxa"/>
            <w:bottom w:w="0" w:type="dxa"/>
            <w:right w:w="108" w:type="dxa"/>
          </w:tblCellMar>
        </w:tblPrEx>
        <w:trPr>
          <w:cantSplit/>
          <w:trHeight w:val="3772" w:hRule="atLeast"/>
          <w:jc w:val="center"/>
        </w:trPr>
        <w:tc>
          <w:tcPr>
            <w:tcW w:w="8540" w:type="dxa"/>
            <w:tcBorders>
              <w:top w:val="single" w:color="auto" w:sz="6" w:space="0"/>
              <w:left w:val="single" w:color="auto" w:sz="6" w:space="0"/>
              <w:bottom w:val="single" w:color="auto" w:sz="6" w:space="0"/>
              <w:right w:val="single" w:color="auto" w:sz="6" w:space="0"/>
            </w:tcBorders>
            <w:noWrap/>
            <w:vAlign w:val="center"/>
          </w:tcPr>
          <w:p w14:paraId="3CFCC419">
            <w:pPr>
              <w:pStyle w:val="17"/>
              <w:jc w:val="left"/>
              <w:rPr>
                <w:rFonts w:ascii="宋体" w:hAnsi="宋体" w:eastAsia="宋体"/>
                <w:color w:val="auto"/>
                <w:sz w:val="21"/>
                <w:szCs w:val="21"/>
                <w:highlight w:val="none"/>
              </w:rPr>
            </w:pPr>
            <w:r>
              <w:rPr>
                <w:rFonts w:hint="eastAsia" w:ascii="宋体" w:hAnsi="宋体" w:eastAsia="宋体"/>
                <w:b w:val="0"/>
                <w:bCs w:val="0"/>
                <w:color w:val="auto"/>
                <w:sz w:val="21"/>
                <w:szCs w:val="21"/>
                <w:highlight w:val="none"/>
              </w:rPr>
              <w:t>企业近三年财务状况良好、没有被接管、冻结、破产状态（须提供202</w:t>
            </w:r>
            <w:r>
              <w:rPr>
                <w:rFonts w:hint="eastAsia" w:ascii="宋体" w:hAnsi="宋体" w:eastAsia="宋体"/>
                <w:b w:val="0"/>
                <w:bCs w:val="0"/>
                <w:color w:val="auto"/>
                <w:sz w:val="21"/>
                <w:szCs w:val="21"/>
                <w:highlight w:val="none"/>
                <w:lang w:val="en-US" w:eastAsia="zh-CN"/>
              </w:rPr>
              <w:t>3</w:t>
            </w:r>
            <w:r>
              <w:rPr>
                <w:rFonts w:hint="eastAsia" w:ascii="宋体" w:hAnsi="宋体" w:eastAsia="宋体"/>
                <w:b w:val="0"/>
                <w:bCs w:val="0"/>
                <w:color w:val="auto"/>
                <w:sz w:val="21"/>
                <w:szCs w:val="21"/>
                <w:highlight w:val="none"/>
              </w:rPr>
              <w:t>年度、202</w:t>
            </w:r>
            <w:r>
              <w:rPr>
                <w:rFonts w:hint="eastAsia" w:ascii="宋体" w:hAnsi="宋体" w:eastAsia="宋体"/>
                <w:b w:val="0"/>
                <w:bCs w:val="0"/>
                <w:color w:val="auto"/>
                <w:sz w:val="21"/>
                <w:szCs w:val="21"/>
                <w:highlight w:val="none"/>
                <w:lang w:val="en-US" w:eastAsia="zh-CN"/>
              </w:rPr>
              <w:t>4</w:t>
            </w:r>
            <w:r>
              <w:rPr>
                <w:rFonts w:hint="eastAsia" w:ascii="宋体" w:hAnsi="宋体" w:eastAsia="宋体"/>
                <w:b w:val="0"/>
                <w:bCs w:val="0"/>
                <w:color w:val="auto"/>
                <w:sz w:val="21"/>
                <w:szCs w:val="21"/>
                <w:highlight w:val="none"/>
              </w:rPr>
              <w:t>年度、202</w:t>
            </w:r>
            <w:r>
              <w:rPr>
                <w:rFonts w:hint="eastAsia" w:ascii="宋体" w:hAnsi="宋体" w:eastAsia="宋体"/>
                <w:b w:val="0"/>
                <w:bCs w:val="0"/>
                <w:color w:val="auto"/>
                <w:sz w:val="21"/>
                <w:szCs w:val="21"/>
                <w:highlight w:val="none"/>
                <w:lang w:val="en-US" w:eastAsia="zh-CN"/>
              </w:rPr>
              <w:t>5</w:t>
            </w:r>
            <w:r>
              <w:rPr>
                <w:rFonts w:hint="eastAsia" w:ascii="宋体" w:hAnsi="宋体" w:eastAsia="宋体"/>
                <w:b w:val="0"/>
                <w:bCs w:val="0"/>
                <w:color w:val="auto"/>
                <w:sz w:val="21"/>
                <w:szCs w:val="21"/>
                <w:highlight w:val="none"/>
              </w:rPr>
              <w:t>年度经会计师事务所或审计机构审计的财务审计报告等相关证明材料，新成立的企业以成立之后的年份为准</w:t>
            </w:r>
            <w:r>
              <w:rPr>
                <w:rFonts w:hint="eastAsia" w:ascii="宋体" w:hAnsi="宋体" w:eastAsia="宋体"/>
                <w:b w:val="0"/>
                <w:bCs w:val="0"/>
                <w:color w:val="auto"/>
                <w:sz w:val="21"/>
                <w:szCs w:val="21"/>
                <w:highlight w:val="none"/>
                <w:lang w:val="en-US" w:eastAsia="zh-CN"/>
              </w:rPr>
              <w:t>或提供银行出具的资信证明</w:t>
            </w:r>
            <w:r>
              <w:rPr>
                <w:rFonts w:hint="eastAsia" w:ascii="宋体" w:hAnsi="宋体" w:eastAsia="宋体"/>
                <w:b w:val="0"/>
                <w:bCs w:val="0"/>
                <w:color w:val="auto"/>
                <w:sz w:val="21"/>
                <w:szCs w:val="21"/>
                <w:highlight w:val="none"/>
              </w:rPr>
              <w:t>）。</w:t>
            </w:r>
          </w:p>
        </w:tc>
      </w:tr>
    </w:tbl>
    <w:p w14:paraId="0C4787A6">
      <w:pPr>
        <w:jc w:val="center"/>
        <w:rPr>
          <w:rFonts w:ascii="宋体" w:hAnsi="宋体"/>
          <w:b/>
          <w:color w:val="auto"/>
          <w:sz w:val="28"/>
          <w:szCs w:val="28"/>
          <w:highlight w:val="none"/>
        </w:rPr>
      </w:pPr>
      <w:r>
        <w:rPr>
          <w:rFonts w:hint="eastAsia" w:ascii="宋体" w:hAnsi="宋体"/>
          <w:b/>
          <w:color w:val="auto"/>
          <w:sz w:val="28"/>
          <w:szCs w:val="28"/>
          <w:highlight w:val="none"/>
        </w:rPr>
        <w:t xml:space="preserve"> </w:t>
      </w:r>
    </w:p>
    <w:p w14:paraId="1085F778">
      <w:pPr>
        <w:keepNext w:val="0"/>
        <w:keepLines w:val="0"/>
        <w:pageBreakBefore w:val="0"/>
        <w:widowControl w:val="0"/>
        <w:kinsoku/>
        <w:wordWrap/>
        <w:overflowPunct/>
        <w:topLinePunct w:val="0"/>
        <w:autoSpaceDE/>
        <w:autoSpaceDN/>
        <w:bidi w:val="0"/>
        <w:adjustRightInd/>
        <w:snapToGrid/>
        <w:spacing w:after="0" w:afterLines="50"/>
        <w:jc w:val="center"/>
        <w:textAlignment w:val="auto"/>
        <w:outlineLvl w:val="2"/>
        <w:rPr>
          <w:rFonts w:ascii="宋体" w:hAnsi="宋体"/>
          <w:b/>
          <w:color w:val="auto"/>
          <w:sz w:val="30"/>
          <w:szCs w:val="30"/>
          <w:highlight w:val="none"/>
        </w:rPr>
      </w:pPr>
      <w:r>
        <w:rPr>
          <w:rFonts w:hint="eastAsia" w:ascii="宋体" w:hAnsi="宋体"/>
          <w:b/>
          <w:color w:val="auto"/>
          <w:sz w:val="28"/>
          <w:szCs w:val="28"/>
          <w:highlight w:val="none"/>
        </w:rPr>
        <w:br w:type="page"/>
      </w:r>
      <w:bookmarkStart w:id="30" w:name="_Toc13840"/>
      <w:bookmarkEnd w:id="30"/>
      <w:r>
        <w:rPr>
          <w:rFonts w:hint="eastAsia" w:ascii="宋体" w:hAnsi="宋体"/>
          <w:b/>
          <w:color w:val="auto"/>
          <w:sz w:val="28"/>
          <w:szCs w:val="28"/>
          <w:highlight w:val="none"/>
        </w:rPr>
        <w:t>附录3 资格审查条件（业绩最低要求）</w:t>
      </w:r>
    </w:p>
    <w:tbl>
      <w:tblPr>
        <w:tblStyle w:val="23"/>
        <w:tblW w:w="8417" w:type="dxa"/>
        <w:jc w:val="center"/>
        <w:tblLayout w:type="fixed"/>
        <w:tblCellMar>
          <w:top w:w="0" w:type="dxa"/>
          <w:left w:w="108" w:type="dxa"/>
          <w:bottom w:w="0" w:type="dxa"/>
          <w:right w:w="108" w:type="dxa"/>
        </w:tblCellMar>
      </w:tblPr>
      <w:tblGrid>
        <w:gridCol w:w="8417"/>
      </w:tblGrid>
      <w:tr w14:paraId="3CBD121B">
        <w:tblPrEx>
          <w:tblCellMar>
            <w:top w:w="0" w:type="dxa"/>
            <w:left w:w="108" w:type="dxa"/>
            <w:bottom w:w="0" w:type="dxa"/>
            <w:right w:w="108" w:type="dxa"/>
          </w:tblCellMar>
        </w:tblPrEx>
        <w:trPr>
          <w:trHeight w:val="788" w:hRule="atLeast"/>
          <w:jc w:val="center"/>
        </w:trPr>
        <w:tc>
          <w:tcPr>
            <w:tcW w:w="8417" w:type="dxa"/>
            <w:tcBorders>
              <w:top w:val="single" w:color="auto" w:sz="6" w:space="0"/>
              <w:left w:val="single" w:color="auto" w:sz="6" w:space="0"/>
              <w:bottom w:val="single" w:color="auto" w:sz="6" w:space="0"/>
              <w:right w:val="single" w:color="auto" w:sz="6" w:space="0"/>
            </w:tcBorders>
            <w:noWrap/>
            <w:vAlign w:val="center"/>
          </w:tcPr>
          <w:p w14:paraId="7FB457BA">
            <w:pPr>
              <w:pStyle w:val="17"/>
              <w:spacing w:line="240" w:lineRule="auto"/>
              <w:jc w:val="center"/>
              <w:rPr>
                <w:rFonts w:ascii="宋体" w:hAnsi="宋体" w:eastAsia="宋体"/>
                <w:caps/>
                <w:color w:val="auto"/>
                <w:sz w:val="21"/>
                <w:szCs w:val="21"/>
                <w:highlight w:val="none"/>
              </w:rPr>
            </w:pPr>
            <w:r>
              <w:rPr>
                <w:rFonts w:hint="eastAsia" w:ascii="宋体" w:hAnsi="宋体" w:eastAsia="宋体"/>
                <w:b w:val="0"/>
                <w:bCs w:val="0"/>
                <w:caps/>
                <w:color w:val="auto"/>
                <w:sz w:val="21"/>
                <w:szCs w:val="21"/>
                <w:highlight w:val="none"/>
              </w:rPr>
              <w:t>业 绩 要 求</w:t>
            </w:r>
          </w:p>
        </w:tc>
      </w:tr>
      <w:tr w14:paraId="04500065">
        <w:tblPrEx>
          <w:tblCellMar>
            <w:top w:w="0" w:type="dxa"/>
            <w:left w:w="108" w:type="dxa"/>
            <w:bottom w:w="0" w:type="dxa"/>
            <w:right w:w="108" w:type="dxa"/>
          </w:tblCellMar>
        </w:tblPrEx>
        <w:trPr>
          <w:cantSplit/>
          <w:trHeight w:val="3705" w:hRule="atLeast"/>
          <w:jc w:val="center"/>
        </w:trPr>
        <w:tc>
          <w:tcPr>
            <w:tcW w:w="8417" w:type="dxa"/>
            <w:tcBorders>
              <w:top w:val="single" w:color="auto" w:sz="6" w:space="0"/>
              <w:left w:val="single" w:color="auto" w:sz="6" w:space="0"/>
              <w:bottom w:val="single" w:color="auto" w:sz="6" w:space="0"/>
              <w:right w:val="single" w:color="auto" w:sz="6" w:space="0"/>
            </w:tcBorders>
            <w:noWrap/>
            <w:vAlign w:val="center"/>
          </w:tcPr>
          <w:p w14:paraId="7DA06A23">
            <w:pPr>
              <w:spacing w:line="460" w:lineRule="exact"/>
              <w:jc w:val="left"/>
              <w:rPr>
                <w:rFonts w:ascii="宋体" w:hAnsi="宋体" w:eastAsia="宋体"/>
                <w:color w:val="auto"/>
                <w:highlight w:val="none"/>
              </w:rPr>
            </w:pPr>
            <w:r>
              <w:rPr>
                <w:rFonts w:hint="eastAsia" w:ascii="宋体" w:hAnsi="宋体" w:eastAsia="宋体" w:cs="宋体"/>
                <w:color w:val="auto"/>
                <w:kern w:val="2"/>
                <w:sz w:val="21"/>
                <w:szCs w:val="21"/>
                <w:highlight w:val="none"/>
                <w:lang w:val="en-US" w:eastAsia="zh-CN" w:bidi="ar-SA"/>
              </w:rPr>
              <w:t>提供202</w:t>
            </w:r>
            <w:r>
              <w:rPr>
                <w:rFonts w:hint="eastAsia" w:ascii="宋体" w:hAnsi="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年</w:t>
            </w:r>
            <w:r>
              <w:rPr>
                <w:rFonts w:hint="eastAsia" w:ascii="宋体" w:hAnsi="宋体" w:cs="宋体"/>
                <w:color w:val="auto"/>
                <w:kern w:val="2"/>
                <w:sz w:val="21"/>
                <w:szCs w:val="21"/>
                <w:highlight w:val="none"/>
                <w:lang w:val="en-US" w:eastAsia="zh-CN" w:bidi="ar-SA"/>
              </w:rPr>
              <w:t>1月1日</w:t>
            </w:r>
            <w:r>
              <w:rPr>
                <w:rFonts w:hint="eastAsia" w:ascii="宋体" w:hAnsi="宋体" w:eastAsia="宋体" w:cs="宋体"/>
                <w:color w:val="auto"/>
                <w:kern w:val="2"/>
                <w:sz w:val="21"/>
                <w:szCs w:val="21"/>
                <w:highlight w:val="none"/>
                <w:lang w:val="en-US" w:eastAsia="zh-CN" w:bidi="ar-SA"/>
              </w:rPr>
              <w:t>以来投标人至少完成过1项公路工程类似业绩(提供合同、中标通知书)。</w:t>
            </w:r>
          </w:p>
        </w:tc>
      </w:tr>
    </w:tbl>
    <w:p w14:paraId="1B5E2DD8">
      <w:pPr>
        <w:ind w:firstLine="420" w:firstLineChars="200"/>
        <w:rPr>
          <w:rFonts w:hint="eastAsia" w:ascii="宋体" w:hAnsi="宋体"/>
          <w:color w:val="auto"/>
          <w:highlight w:val="none"/>
        </w:rPr>
      </w:pPr>
      <w:r>
        <w:rPr>
          <w:rFonts w:hint="eastAsia" w:ascii="宋体" w:hAnsi="宋体"/>
          <w:color w:val="auto"/>
          <w:highlight w:val="none"/>
        </w:rPr>
        <w:t xml:space="preserve"> </w:t>
      </w:r>
      <w:bookmarkStart w:id="31" w:name="_Toc30694"/>
      <w:bookmarkEnd w:id="31"/>
    </w:p>
    <w:p w14:paraId="7AC432C6">
      <w:pPr>
        <w:ind w:firstLine="420" w:firstLineChars="200"/>
        <w:rPr>
          <w:rFonts w:hint="eastAsia" w:ascii="宋体" w:hAnsi="宋体"/>
          <w:color w:val="auto"/>
          <w:highlight w:val="none"/>
        </w:rPr>
      </w:pPr>
    </w:p>
    <w:p w14:paraId="6981C624">
      <w:pPr>
        <w:keepNext w:val="0"/>
        <w:keepLines w:val="0"/>
        <w:pageBreakBefore w:val="0"/>
        <w:widowControl w:val="0"/>
        <w:kinsoku/>
        <w:wordWrap/>
        <w:overflowPunct/>
        <w:topLinePunct w:val="0"/>
        <w:autoSpaceDE/>
        <w:autoSpaceDN/>
        <w:bidi w:val="0"/>
        <w:adjustRightInd/>
        <w:snapToGrid/>
        <w:spacing w:after="0" w:afterLines="50"/>
        <w:ind w:firstLine="562" w:firstLineChars="200"/>
        <w:jc w:val="center"/>
        <w:textAlignment w:val="auto"/>
        <w:rPr>
          <w:rFonts w:ascii="宋体" w:hAnsi="宋体"/>
          <w:b/>
          <w:color w:val="auto"/>
          <w:sz w:val="28"/>
          <w:szCs w:val="28"/>
          <w:highlight w:val="none"/>
        </w:rPr>
      </w:pPr>
      <w:r>
        <w:rPr>
          <w:rFonts w:hint="eastAsia" w:ascii="宋体" w:hAnsi="宋体"/>
          <w:b/>
          <w:color w:val="auto"/>
          <w:sz w:val="28"/>
          <w:szCs w:val="28"/>
          <w:highlight w:val="none"/>
        </w:rPr>
        <w:t>附录4 资格审查条件（信誉最低要求）</w:t>
      </w:r>
    </w:p>
    <w:tbl>
      <w:tblPr>
        <w:tblStyle w:val="23"/>
        <w:tblW w:w="8485" w:type="dxa"/>
        <w:jc w:val="center"/>
        <w:tblLayout w:type="fixed"/>
        <w:tblCellMar>
          <w:top w:w="0" w:type="dxa"/>
          <w:left w:w="108" w:type="dxa"/>
          <w:bottom w:w="0" w:type="dxa"/>
          <w:right w:w="108" w:type="dxa"/>
        </w:tblCellMar>
      </w:tblPr>
      <w:tblGrid>
        <w:gridCol w:w="8485"/>
      </w:tblGrid>
      <w:tr w14:paraId="6A038DF1">
        <w:tblPrEx>
          <w:tblCellMar>
            <w:top w:w="0" w:type="dxa"/>
            <w:left w:w="108" w:type="dxa"/>
            <w:bottom w:w="0" w:type="dxa"/>
            <w:right w:w="108" w:type="dxa"/>
          </w:tblCellMar>
        </w:tblPrEx>
        <w:trPr>
          <w:trHeight w:val="929" w:hRule="atLeast"/>
          <w:jc w:val="center"/>
        </w:trPr>
        <w:tc>
          <w:tcPr>
            <w:tcW w:w="8485" w:type="dxa"/>
            <w:tcBorders>
              <w:top w:val="single" w:color="auto" w:sz="6" w:space="0"/>
              <w:left w:val="single" w:color="auto" w:sz="6" w:space="0"/>
              <w:bottom w:val="single" w:color="auto" w:sz="6" w:space="0"/>
              <w:right w:val="single" w:color="auto" w:sz="6" w:space="0"/>
            </w:tcBorders>
            <w:noWrap/>
            <w:vAlign w:val="center"/>
          </w:tcPr>
          <w:p w14:paraId="4556D7D8">
            <w:pPr>
              <w:pStyle w:val="17"/>
              <w:spacing w:line="240" w:lineRule="auto"/>
              <w:jc w:val="center"/>
              <w:rPr>
                <w:rFonts w:ascii="宋体" w:hAnsi="宋体" w:eastAsia="宋体"/>
                <w:b w:val="0"/>
                <w:bCs w:val="0"/>
                <w:caps/>
                <w:color w:val="auto"/>
                <w:sz w:val="21"/>
                <w:szCs w:val="21"/>
                <w:highlight w:val="none"/>
              </w:rPr>
            </w:pPr>
            <w:r>
              <w:rPr>
                <w:rFonts w:hint="eastAsia" w:ascii="宋体" w:hAnsi="宋体" w:eastAsia="宋体"/>
                <w:b w:val="0"/>
                <w:bCs w:val="0"/>
                <w:caps/>
                <w:color w:val="auto"/>
                <w:sz w:val="21"/>
                <w:szCs w:val="21"/>
                <w:highlight w:val="none"/>
              </w:rPr>
              <w:t>信 誉 要 求</w:t>
            </w:r>
          </w:p>
        </w:tc>
      </w:tr>
      <w:tr w14:paraId="3060B704">
        <w:tblPrEx>
          <w:tblCellMar>
            <w:top w:w="0" w:type="dxa"/>
            <w:left w:w="108" w:type="dxa"/>
            <w:bottom w:w="0" w:type="dxa"/>
            <w:right w:w="108" w:type="dxa"/>
          </w:tblCellMar>
        </w:tblPrEx>
        <w:trPr>
          <w:cantSplit/>
          <w:trHeight w:val="3656" w:hRule="atLeast"/>
          <w:jc w:val="center"/>
        </w:trPr>
        <w:tc>
          <w:tcPr>
            <w:tcW w:w="8485" w:type="dxa"/>
            <w:tcBorders>
              <w:top w:val="single" w:color="auto" w:sz="6" w:space="0"/>
              <w:left w:val="single" w:color="auto" w:sz="6" w:space="0"/>
              <w:bottom w:val="single" w:color="auto" w:sz="6" w:space="0"/>
              <w:right w:val="single" w:color="auto" w:sz="6" w:space="0"/>
            </w:tcBorders>
            <w:noWrap/>
            <w:vAlign w:val="center"/>
          </w:tcPr>
          <w:p w14:paraId="4F51DE8A">
            <w:pPr>
              <w:pStyle w:val="17"/>
              <w:jc w:val="left"/>
              <w:rPr>
                <w:rFonts w:ascii="宋体" w:hAnsi="宋体" w:eastAsia="宋体"/>
                <w:b w:val="0"/>
                <w:caps/>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通过“信用中国”跳转至“中国执行信息公开网”（http://zxgk.court.gov.cn/shixin/）查询投标人、法定代表人、项目经理是否为失信被执行人，在国家企业信用信息公示系统（http://www.gsxt.gov.cn/）中查询投标人是否被列入严重违法失信企业名单。(查询日期为招标公告发布日期之后，投标人出具网页截图加盖公章)。对属于失信被执行人、被列入严重违法失信企业名单的投标人将被拒绝参与投标。</w:t>
            </w:r>
          </w:p>
        </w:tc>
      </w:tr>
    </w:tbl>
    <w:p w14:paraId="5A34895E">
      <w:pPr>
        <w:keepNext w:val="0"/>
        <w:keepLines w:val="0"/>
        <w:pageBreakBefore w:val="0"/>
        <w:widowControl w:val="0"/>
        <w:kinsoku/>
        <w:wordWrap/>
        <w:overflowPunct/>
        <w:topLinePunct w:val="0"/>
        <w:autoSpaceDE/>
        <w:autoSpaceDN/>
        <w:bidi w:val="0"/>
        <w:adjustRightInd/>
        <w:snapToGrid/>
        <w:spacing w:after="0" w:afterLines="50"/>
        <w:jc w:val="center"/>
        <w:textAlignment w:val="auto"/>
        <w:outlineLvl w:val="2"/>
        <w:rPr>
          <w:rFonts w:ascii="宋体" w:hAnsi="宋体"/>
          <w:b/>
          <w:color w:val="auto"/>
          <w:sz w:val="28"/>
          <w:szCs w:val="28"/>
          <w:highlight w:val="none"/>
        </w:rPr>
      </w:pPr>
      <w:r>
        <w:rPr>
          <w:rFonts w:hint="eastAsia" w:ascii="宋体" w:hAnsi="宋体"/>
          <w:b/>
          <w:color w:val="auto"/>
          <w:sz w:val="28"/>
          <w:szCs w:val="28"/>
          <w:highlight w:val="none"/>
        </w:rPr>
        <w:br w:type="page"/>
      </w:r>
      <w:bookmarkStart w:id="32" w:name="_Toc13904"/>
      <w:bookmarkEnd w:id="32"/>
      <w:r>
        <w:rPr>
          <w:rFonts w:hint="eastAsia" w:ascii="宋体" w:hAnsi="宋体"/>
          <w:b/>
          <w:color w:val="auto"/>
          <w:sz w:val="28"/>
          <w:szCs w:val="28"/>
          <w:highlight w:val="none"/>
        </w:rPr>
        <w:t>附录5 资格审查条件（项目经理和项目总工最低要求）</w:t>
      </w:r>
    </w:p>
    <w:tbl>
      <w:tblPr>
        <w:tblStyle w:val="23"/>
        <w:tblW w:w="9720" w:type="dxa"/>
        <w:jc w:val="center"/>
        <w:tblLayout w:type="fixed"/>
        <w:tblCellMar>
          <w:top w:w="0" w:type="dxa"/>
          <w:left w:w="108" w:type="dxa"/>
          <w:bottom w:w="0" w:type="dxa"/>
          <w:right w:w="108" w:type="dxa"/>
        </w:tblCellMar>
      </w:tblPr>
      <w:tblGrid>
        <w:gridCol w:w="1435"/>
        <w:gridCol w:w="709"/>
        <w:gridCol w:w="4961"/>
        <w:gridCol w:w="2615"/>
      </w:tblGrid>
      <w:tr w14:paraId="67E1AF0D">
        <w:tblPrEx>
          <w:tblCellMar>
            <w:top w:w="0" w:type="dxa"/>
            <w:left w:w="108" w:type="dxa"/>
            <w:bottom w:w="0" w:type="dxa"/>
            <w:right w:w="108" w:type="dxa"/>
          </w:tblCellMar>
        </w:tblPrEx>
        <w:trPr>
          <w:trHeight w:val="1042" w:hRule="atLeast"/>
          <w:jc w:val="center"/>
        </w:trPr>
        <w:tc>
          <w:tcPr>
            <w:tcW w:w="1435" w:type="dxa"/>
            <w:tcBorders>
              <w:top w:val="single" w:color="auto" w:sz="6" w:space="0"/>
              <w:left w:val="single" w:color="auto" w:sz="6" w:space="0"/>
              <w:bottom w:val="single" w:color="auto" w:sz="6" w:space="0"/>
              <w:right w:val="single" w:color="auto" w:sz="6" w:space="0"/>
            </w:tcBorders>
            <w:noWrap/>
            <w:vAlign w:val="center"/>
          </w:tcPr>
          <w:p w14:paraId="34FBF274">
            <w:pPr>
              <w:jc w:val="center"/>
              <w:rPr>
                <w:rFonts w:ascii="宋体" w:hAnsi="宋体"/>
                <w:color w:val="auto"/>
                <w:spacing w:val="-1"/>
                <w:kern w:val="0"/>
                <w:highlight w:val="none"/>
              </w:rPr>
            </w:pPr>
            <w:r>
              <w:rPr>
                <w:rFonts w:hint="eastAsia" w:ascii="宋体" w:hAnsi="宋体"/>
                <w:color w:val="auto"/>
                <w:spacing w:val="-1"/>
                <w:kern w:val="0"/>
                <w:highlight w:val="none"/>
              </w:rPr>
              <w:t>人  员</w:t>
            </w:r>
          </w:p>
        </w:tc>
        <w:tc>
          <w:tcPr>
            <w:tcW w:w="709" w:type="dxa"/>
            <w:tcBorders>
              <w:top w:val="single" w:color="auto" w:sz="6" w:space="0"/>
              <w:left w:val="nil"/>
              <w:bottom w:val="single" w:color="auto" w:sz="6" w:space="0"/>
              <w:right w:val="single" w:color="auto" w:sz="6" w:space="0"/>
            </w:tcBorders>
            <w:noWrap/>
            <w:vAlign w:val="center"/>
          </w:tcPr>
          <w:p w14:paraId="6916DBB8">
            <w:pPr>
              <w:jc w:val="center"/>
              <w:rPr>
                <w:rFonts w:ascii="宋体" w:hAnsi="宋体"/>
                <w:color w:val="auto"/>
                <w:highlight w:val="none"/>
              </w:rPr>
            </w:pPr>
            <w:r>
              <w:rPr>
                <w:rFonts w:hint="eastAsia" w:ascii="宋体" w:hAnsi="宋体"/>
                <w:color w:val="auto"/>
                <w:spacing w:val="-1"/>
                <w:kern w:val="0"/>
                <w:highlight w:val="none"/>
              </w:rPr>
              <w:t>数</w:t>
            </w:r>
            <w:r>
              <w:rPr>
                <w:rFonts w:hint="eastAsia" w:ascii="宋体" w:hAnsi="宋体"/>
                <w:color w:val="auto"/>
                <w:highlight w:val="none"/>
              </w:rPr>
              <w:t>量</w:t>
            </w:r>
          </w:p>
        </w:tc>
        <w:tc>
          <w:tcPr>
            <w:tcW w:w="4961" w:type="dxa"/>
            <w:tcBorders>
              <w:top w:val="single" w:color="auto" w:sz="6" w:space="0"/>
              <w:left w:val="nil"/>
              <w:bottom w:val="single" w:color="auto" w:sz="6" w:space="0"/>
              <w:right w:val="single" w:color="auto" w:sz="6" w:space="0"/>
            </w:tcBorders>
            <w:noWrap/>
            <w:vAlign w:val="center"/>
          </w:tcPr>
          <w:p w14:paraId="5DFEAD68">
            <w:pPr>
              <w:ind w:left="-90"/>
              <w:jc w:val="center"/>
              <w:rPr>
                <w:rFonts w:ascii="宋体" w:hAnsi="宋体"/>
                <w:color w:val="auto"/>
                <w:spacing w:val="-1"/>
                <w:kern w:val="0"/>
                <w:highlight w:val="none"/>
              </w:rPr>
            </w:pPr>
            <w:r>
              <w:rPr>
                <w:rFonts w:hint="eastAsia" w:ascii="宋体" w:hAnsi="宋体"/>
                <w:color w:val="auto"/>
                <w:spacing w:val="-1"/>
                <w:kern w:val="0"/>
                <w:highlight w:val="none"/>
              </w:rPr>
              <w:t>资 格 要 求</w:t>
            </w:r>
          </w:p>
        </w:tc>
        <w:tc>
          <w:tcPr>
            <w:tcW w:w="2615" w:type="dxa"/>
            <w:tcBorders>
              <w:top w:val="single" w:color="auto" w:sz="6" w:space="0"/>
              <w:left w:val="nil"/>
              <w:bottom w:val="single" w:color="auto" w:sz="6" w:space="0"/>
              <w:right w:val="single" w:color="auto" w:sz="6" w:space="0"/>
            </w:tcBorders>
            <w:noWrap/>
            <w:vAlign w:val="center"/>
          </w:tcPr>
          <w:p w14:paraId="18020661">
            <w:pPr>
              <w:ind w:left="-90"/>
              <w:jc w:val="center"/>
              <w:rPr>
                <w:rFonts w:ascii="宋体" w:hAnsi="宋体"/>
                <w:color w:val="auto"/>
                <w:spacing w:val="-1"/>
                <w:kern w:val="0"/>
                <w:highlight w:val="none"/>
              </w:rPr>
            </w:pPr>
            <w:r>
              <w:rPr>
                <w:rFonts w:hint="eastAsia" w:ascii="宋体" w:hAnsi="宋体"/>
                <w:color w:val="auto"/>
                <w:spacing w:val="-1"/>
                <w:kern w:val="0"/>
                <w:highlight w:val="none"/>
              </w:rPr>
              <w:t>在岗要求</w:t>
            </w:r>
          </w:p>
        </w:tc>
      </w:tr>
      <w:tr w14:paraId="5FF004AB">
        <w:tblPrEx>
          <w:tblCellMar>
            <w:top w:w="0" w:type="dxa"/>
            <w:left w:w="108" w:type="dxa"/>
            <w:bottom w:w="0" w:type="dxa"/>
            <w:right w:w="108" w:type="dxa"/>
          </w:tblCellMar>
        </w:tblPrEx>
        <w:trPr>
          <w:trHeight w:val="2522" w:hRule="atLeast"/>
          <w:jc w:val="center"/>
        </w:trPr>
        <w:tc>
          <w:tcPr>
            <w:tcW w:w="1435" w:type="dxa"/>
            <w:tcBorders>
              <w:top w:val="single" w:color="auto" w:sz="6" w:space="0"/>
              <w:left w:val="single" w:color="auto" w:sz="6" w:space="0"/>
              <w:bottom w:val="single" w:color="auto" w:sz="6" w:space="0"/>
              <w:right w:val="single" w:color="auto" w:sz="6" w:space="0"/>
            </w:tcBorders>
            <w:noWrap/>
            <w:vAlign w:val="center"/>
          </w:tcPr>
          <w:p w14:paraId="21764F3E">
            <w:pPr>
              <w:spacing w:line="320" w:lineRule="exact"/>
              <w:jc w:val="center"/>
              <w:rPr>
                <w:rFonts w:ascii="宋体" w:hAnsi="宋体"/>
                <w:color w:val="auto"/>
                <w:highlight w:val="none"/>
              </w:rPr>
            </w:pPr>
            <w:r>
              <w:rPr>
                <w:rFonts w:hint="eastAsia" w:ascii="宋体" w:hAnsi="宋体"/>
                <w:color w:val="auto"/>
                <w:highlight w:val="none"/>
              </w:rPr>
              <w:t>项目经理</w:t>
            </w:r>
          </w:p>
        </w:tc>
        <w:tc>
          <w:tcPr>
            <w:tcW w:w="709" w:type="dxa"/>
            <w:tcBorders>
              <w:top w:val="single" w:color="auto" w:sz="6" w:space="0"/>
              <w:left w:val="nil"/>
              <w:bottom w:val="single" w:color="auto" w:sz="6" w:space="0"/>
              <w:right w:val="single" w:color="auto" w:sz="6" w:space="0"/>
            </w:tcBorders>
            <w:noWrap/>
            <w:vAlign w:val="center"/>
          </w:tcPr>
          <w:p w14:paraId="07FED588">
            <w:pPr>
              <w:spacing w:line="320" w:lineRule="exact"/>
              <w:jc w:val="center"/>
              <w:rPr>
                <w:rFonts w:ascii="宋体" w:hAnsi="宋体"/>
                <w:color w:val="auto"/>
                <w:highlight w:val="none"/>
              </w:rPr>
            </w:pPr>
            <w:r>
              <w:rPr>
                <w:rFonts w:hint="eastAsia" w:ascii="宋体" w:hAnsi="宋体"/>
                <w:color w:val="auto"/>
                <w:highlight w:val="none"/>
              </w:rPr>
              <w:t>1</w:t>
            </w:r>
          </w:p>
        </w:tc>
        <w:tc>
          <w:tcPr>
            <w:tcW w:w="4961" w:type="dxa"/>
            <w:tcBorders>
              <w:top w:val="single" w:color="auto" w:sz="6" w:space="0"/>
              <w:left w:val="nil"/>
              <w:bottom w:val="nil"/>
              <w:right w:val="single" w:color="auto" w:sz="6" w:space="0"/>
            </w:tcBorders>
            <w:noWrap/>
            <w:vAlign w:val="center"/>
          </w:tcPr>
          <w:p w14:paraId="37F36182">
            <w:pPr>
              <w:spacing w:line="320" w:lineRule="exact"/>
              <w:rPr>
                <w:rFonts w:hint="eastAsia" w:ascii="宋体" w:hAnsi="宋体"/>
                <w:color w:val="auto"/>
                <w:highlight w:val="none"/>
              </w:rPr>
            </w:pPr>
            <w:r>
              <w:rPr>
                <w:rFonts w:hint="eastAsia" w:ascii="宋体" w:hAnsi="宋体"/>
                <w:color w:val="auto"/>
                <w:highlight w:val="none"/>
              </w:rPr>
              <w:t>拟派项目经理须具有建设行政主管部门颁发的公路工程专业二级（含二级）以上建造师注册证书及有效的安全生产考核合格证书，并具有公路工程相关专业中级及以上技术职称证书，投标人应出具拟派项目经理无在建承诺书（格式自拟），</w:t>
            </w:r>
            <w:r>
              <w:rPr>
                <w:rFonts w:hint="eastAsia" w:ascii="宋体" w:hAnsi="宋体"/>
                <w:color w:val="auto"/>
                <w:highlight w:val="none"/>
                <w:lang w:val="en-US" w:eastAsia="zh-CN"/>
              </w:rPr>
              <w:t>并</w:t>
            </w:r>
            <w:r>
              <w:rPr>
                <w:rFonts w:hint="eastAsia" w:ascii="宋体" w:hAnsi="宋体"/>
                <w:color w:val="auto"/>
                <w:highlight w:val="none"/>
              </w:rPr>
              <w:t>提供有效的劳动合同及本年度连续三个月社保证明。</w:t>
            </w:r>
          </w:p>
          <w:p w14:paraId="48EA06AD">
            <w:pPr>
              <w:spacing w:line="320" w:lineRule="exact"/>
              <w:rPr>
                <w:rFonts w:ascii="宋体" w:hAnsi="宋体"/>
                <w:color w:val="auto"/>
                <w:highlight w:val="none"/>
              </w:rPr>
            </w:pPr>
          </w:p>
        </w:tc>
        <w:tc>
          <w:tcPr>
            <w:tcW w:w="2615" w:type="dxa"/>
            <w:vMerge w:val="restart"/>
            <w:tcBorders>
              <w:top w:val="nil"/>
              <w:left w:val="nil"/>
              <w:bottom w:val="nil"/>
              <w:right w:val="single" w:color="auto" w:sz="6" w:space="0"/>
            </w:tcBorders>
            <w:noWrap/>
            <w:vAlign w:val="center"/>
          </w:tcPr>
          <w:p w14:paraId="7E4CA180">
            <w:pPr>
              <w:spacing w:line="320" w:lineRule="exact"/>
              <w:rPr>
                <w:rFonts w:ascii="宋体" w:hAnsi="宋体"/>
                <w:color w:val="auto"/>
                <w:highlight w:val="none"/>
              </w:rPr>
            </w:pPr>
            <w:r>
              <w:rPr>
                <w:rFonts w:hint="eastAsia" w:ascii="宋体" w:hAnsi="宋体"/>
                <w:color w:val="auto"/>
                <w:highlight w:val="none"/>
              </w:rPr>
              <w:t>无在岗项目（指目前未在其他项目上任职，或虽在其他项目上任职但本项目中标后能够从该项目撤离）</w:t>
            </w:r>
          </w:p>
        </w:tc>
      </w:tr>
      <w:tr w14:paraId="7BEA832F">
        <w:tblPrEx>
          <w:tblCellMar>
            <w:top w:w="0" w:type="dxa"/>
            <w:left w:w="108" w:type="dxa"/>
            <w:bottom w:w="0" w:type="dxa"/>
            <w:right w:w="108" w:type="dxa"/>
          </w:tblCellMar>
        </w:tblPrEx>
        <w:trPr>
          <w:trHeight w:val="1816" w:hRule="atLeast"/>
          <w:jc w:val="center"/>
        </w:trPr>
        <w:tc>
          <w:tcPr>
            <w:tcW w:w="1435" w:type="dxa"/>
            <w:tcBorders>
              <w:top w:val="single" w:color="auto" w:sz="6" w:space="0"/>
              <w:left w:val="single" w:color="auto" w:sz="6" w:space="0"/>
              <w:bottom w:val="single" w:color="auto" w:sz="4" w:space="0"/>
              <w:right w:val="single" w:color="auto" w:sz="6" w:space="0"/>
            </w:tcBorders>
            <w:noWrap/>
            <w:vAlign w:val="center"/>
          </w:tcPr>
          <w:p w14:paraId="1289B572">
            <w:pPr>
              <w:spacing w:line="320" w:lineRule="exact"/>
              <w:jc w:val="center"/>
              <w:rPr>
                <w:rFonts w:ascii="宋体" w:hAnsi="宋体"/>
                <w:color w:val="auto"/>
                <w:highlight w:val="none"/>
              </w:rPr>
            </w:pPr>
            <w:r>
              <w:rPr>
                <w:rFonts w:hint="eastAsia" w:ascii="宋体" w:hAnsi="宋体"/>
                <w:color w:val="auto"/>
                <w:highlight w:val="none"/>
              </w:rPr>
              <w:t>项目总工</w:t>
            </w:r>
          </w:p>
        </w:tc>
        <w:tc>
          <w:tcPr>
            <w:tcW w:w="709" w:type="dxa"/>
            <w:tcBorders>
              <w:top w:val="single" w:color="auto" w:sz="6" w:space="0"/>
              <w:left w:val="nil"/>
              <w:bottom w:val="single" w:color="auto" w:sz="4" w:space="0"/>
              <w:right w:val="single" w:color="auto" w:sz="6" w:space="0"/>
            </w:tcBorders>
            <w:noWrap/>
            <w:vAlign w:val="center"/>
          </w:tcPr>
          <w:p w14:paraId="2E354B69">
            <w:pPr>
              <w:spacing w:line="320" w:lineRule="exact"/>
              <w:jc w:val="center"/>
              <w:rPr>
                <w:rFonts w:ascii="宋体" w:hAnsi="宋体"/>
                <w:color w:val="auto"/>
                <w:highlight w:val="none"/>
              </w:rPr>
            </w:pPr>
            <w:r>
              <w:rPr>
                <w:rFonts w:hint="eastAsia" w:ascii="宋体" w:hAnsi="宋体"/>
                <w:color w:val="auto"/>
                <w:highlight w:val="none"/>
              </w:rPr>
              <w:t>1</w:t>
            </w:r>
          </w:p>
        </w:tc>
        <w:tc>
          <w:tcPr>
            <w:tcW w:w="4961" w:type="dxa"/>
            <w:tcBorders>
              <w:top w:val="single" w:color="auto" w:sz="6" w:space="0"/>
              <w:left w:val="nil"/>
              <w:bottom w:val="single" w:color="auto" w:sz="4" w:space="0"/>
              <w:right w:val="single" w:color="auto" w:sz="6" w:space="0"/>
            </w:tcBorders>
            <w:noWrap/>
            <w:vAlign w:val="center"/>
          </w:tcPr>
          <w:p w14:paraId="570AE0AE">
            <w:pPr>
              <w:spacing w:line="320" w:lineRule="exact"/>
              <w:rPr>
                <w:rFonts w:ascii="宋体" w:hAnsi="宋体"/>
                <w:color w:val="auto"/>
                <w:highlight w:val="none"/>
              </w:rPr>
            </w:pPr>
            <w:r>
              <w:rPr>
                <w:rFonts w:hint="eastAsia" w:ascii="宋体" w:hAnsi="宋体"/>
                <w:color w:val="auto"/>
                <w:highlight w:val="none"/>
              </w:rPr>
              <w:t>拟派项目总工须具有公路工程相关专业中级或以上技术职称证书，出具无在建承诺书（格式自拟）</w:t>
            </w:r>
            <w:r>
              <w:rPr>
                <w:rFonts w:hint="eastAsia" w:ascii="宋体" w:hAnsi="宋体"/>
                <w:color w:val="auto"/>
                <w:highlight w:val="none"/>
                <w:lang w:eastAsia="zh-CN"/>
              </w:rPr>
              <w:t>，</w:t>
            </w:r>
            <w:r>
              <w:rPr>
                <w:rFonts w:hint="eastAsia" w:ascii="宋体" w:hAnsi="宋体"/>
                <w:color w:val="auto"/>
                <w:highlight w:val="none"/>
                <w:lang w:val="en-US" w:eastAsia="zh-CN"/>
              </w:rPr>
              <w:t>并</w:t>
            </w:r>
            <w:r>
              <w:rPr>
                <w:rFonts w:hint="eastAsia" w:ascii="宋体" w:hAnsi="宋体"/>
                <w:color w:val="auto"/>
                <w:highlight w:val="none"/>
              </w:rPr>
              <w:t>提供有效的劳动合同及本年度连续三个月社保证明。</w:t>
            </w:r>
          </w:p>
        </w:tc>
        <w:tc>
          <w:tcPr>
            <w:tcW w:w="2615" w:type="dxa"/>
            <w:vMerge w:val="continue"/>
            <w:tcBorders>
              <w:top w:val="nil"/>
              <w:left w:val="nil"/>
              <w:bottom w:val="single" w:color="auto" w:sz="4" w:space="0"/>
              <w:right w:val="single" w:color="auto" w:sz="6" w:space="0"/>
            </w:tcBorders>
            <w:vAlign w:val="center"/>
          </w:tcPr>
          <w:p w14:paraId="4B7319A8">
            <w:pPr>
              <w:widowControl/>
              <w:jc w:val="left"/>
              <w:rPr>
                <w:rFonts w:ascii="宋体" w:hAnsi="宋体"/>
                <w:color w:val="auto"/>
                <w:highlight w:val="none"/>
              </w:rPr>
            </w:pPr>
          </w:p>
        </w:tc>
      </w:tr>
    </w:tbl>
    <w:p w14:paraId="4C2F9911">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5AEE7FD0">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3694F2B5">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7279921A">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0C606A24">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26938F92">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010ABA7C">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72B53E1D">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362E058C">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764C8D53">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4F0CEF1B">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185AA697">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4C7C43EA">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542D3E5C">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4E48F0C3">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57D867E6">
      <w:pPr>
        <w:pStyle w:val="44"/>
        <w:spacing w:line="360" w:lineRule="auto"/>
        <w:rPr>
          <w:rFonts w:ascii="宋体" w:hAnsi="宋体" w:eastAsia="宋体"/>
          <w:b/>
          <w:color w:val="auto"/>
          <w:highlight w:val="none"/>
        </w:rPr>
      </w:pPr>
      <w:r>
        <w:rPr>
          <w:rFonts w:hint="eastAsia" w:ascii="宋体" w:hAnsi="宋体"/>
          <w:b/>
          <w:color w:val="auto"/>
          <w:sz w:val="28"/>
          <w:szCs w:val="28"/>
          <w:highlight w:val="none"/>
        </w:rPr>
        <w:br w:type="page"/>
      </w:r>
      <w:bookmarkStart w:id="33" w:name="_Toc16778738"/>
      <w:bookmarkEnd w:id="33"/>
      <w:bookmarkStart w:id="34" w:name="_Toc25488"/>
      <w:bookmarkEnd w:id="34"/>
      <w:bookmarkStart w:id="35" w:name="_Toc9345"/>
      <w:bookmarkEnd w:id="35"/>
      <w:bookmarkStart w:id="36" w:name="_Toc11700"/>
      <w:r>
        <w:rPr>
          <w:rFonts w:hint="eastAsia" w:ascii="宋体" w:hAnsi="宋体" w:eastAsia="宋体"/>
          <w:b/>
          <w:color w:val="auto"/>
          <w:highlight w:val="none"/>
        </w:rPr>
        <w:t>1. 总则</w:t>
      </w:r>
      <w:bookmarkEnd w:id="36"/>
    </w:p>
    <w:p w14:paraId="21336AE8">
      <w:pPr>
        <w:pStyle w:val="45"/>
        <w:spacing w:line="360" w:lineRule="auto"/>
        <w:rPr>
          <w:rFonts w:ascii="宋体" w:hAnsi="宋体" w:eastAsia="宋体"/>
          <w:b/>
          <w:color w:val="auto"/>
          <w:highlight w:val="none"/>
        </w:rPr>
      </w:pPr>
      <w:bookmarkStart w:id="37" w:name="_Toc16778739"/>
      <w:bookmarkEnd w:id="37"/>
      <w:bookmarkStart w:id="38" w:name="_Toc152045530"/>
      <w:bookmarkEnd w:id="38"/>
      <w:bookmarkStart w:id="39" w:name="_Toc152042306"/>
      <w:bookmarkEnd w:id="39"/>
      <w:bookmarkStart w:id="40" w:name="_Toc179632547"/>
      <w:bookmarkEnd w:id="40"/>
      <w:bookmarkStart w:id="41" w:name="_Toc144974498"/>
      <w:bookmarkEnd w:id="41"/>
      <w:bookmarkStart w:id="42" w:name="_Toc102"/>
      <w:bookmarkEnd w:id="42"/>
      <w:bookmarkStart w:id="43" w:name="_Toc2254"/>
      <w:r>
        <w:rPr>
          <w:rFonts w:hint="eastAsia" w:ascii="宋体" w:hAnsi="宋体" w:eastAsia="宋体"/>
          <w:b/>
          <w:color w:val="auto"/>
          <w:highlight w:val="none"/>
        </w:rPr>
        <w:t xml:space="preserve">1.1 </w:t>
      </w:r>
      <w:bookmarkEnd w:id="43"/>
      <w:r>
        <w:rPr>
          <w:rFonts w:hint="eastAsia" w:ascii="宋体" w:hAnsi="宋体" w:eastAsia="宋体"/>
          <w:b/>
          <w:color w:val="auto"/>
          <w:highlight w:val="none"/>
        </w:rPr>
        <w:t>项目概况</w:t>
      </w:r>
    </w:p>
    <w:p w14:paraId="449052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1.1.1 根据《中华人民共和国招标投标法》《中华人民共和国招标投标法实施条例》《公路工程建设项目招标投标管理办法》等有关法律、法规和规章的规定，本招标项目己具备招标条件，现对本标段施工进行招标。</w:t>
      </w:r>
    </w:p>
    <w:p w14:paraId="310A85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1.1.2 本招标项目招标人：见投标人须知前附表。</w:t>
      </w:r>
    </w:p>
    <w:p w14:paraId="379446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1.1.3 本标段招标代理机构：见投标人须知前附表。</w:t>
      </w:r>
    </w:p>
    <w:p w14:paraId="646F6F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1.1.4 本招标项目名称：见投标人须知前附表。</w:t>
      </w:r>
    </w:p>
    <w:p w14:paraId="52218BF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1.1.5 本标段建设地点：见投标人须知前附表。</w:t>
      </w:r>
    </w:p>
    <w:p w14:paraId="46AAD8FF">
      <w:pPr>
        <w:pStyle w:val="45"/>
        <w:spacing w:line="360" w:lineRule="auto"/>
        <w:rPr>
          <w:rFonts w:ascii="宋体" w:hAnsi="宋体" w:eastAsia="宋体"/>
          <w:b/>
          <w:color w:val="auto"/>
          <w:highlight w:val="none"/>
        </w:rPr>
      </w:pPr>
      <w:bookmarkStart w:id="44" w:name="_Toc152042307"/>
      <w:bookmarkEnd w:id="44"/>
      <w:bookmarkStart w:id="45" w:name="_Toc144974499"/>
      <w:bookmarkEnd w:id="45"/>
      <w:bookmarkStart w:id="46" w:name="_Toc16778740"/>
      <w:bookmarkEnd w:id="46"/>
      <w:bookmarkStart w:id="47" w:name="_Toc16302"/>
      <w:bookmarkEnd w:id="47"/>
      <w:bookmarkStart w:id="48" w:name="_Toc5695"/>
      <w:bookmarkEnd w:id="48"/>
      <w:bookmarkStart w:id="49" w:name="_Toc152045531"/>
      <w:bookmarkEnd w:id="49"/>
      <w:bookmarkStart w:id="50" w:name="_Toc179632548"/>
      <w:r>
        <w:rPr>
          <w:rFonts w:hint="eastAsia" w:ascii="宋体" w:hAnsi="宋体" w:eastAsia="宋体"/>
          <w:b/>
          <w:color w:val="auto"/>
          <w:highlight w:val="none"/>
        </w:rPr>
        <w:t>1.2 招标项目的资金来源和落实情况</w:t>
      </w:r>
      <w:bookmarkEnd w:id="50"/>
    </w:p>
    <w:p w14:paraId="1752309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1.2.1资金来源及比例：见投标人须知前附表。</w:t>
      </w:r>
    </w:p>
    <w:p w14:paraId="6181945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1.2.2资金落实情况：见投标人须知前附表。</w:t>
      </w:r>
    </w:p>
    <w:p w14:paraId="0B0EC26E">
      <w:pPr>
        <w:pStyle w:val="45"/>
        <w:spacing w:line="360" w:lineRule="auto"/>
        <w:rPr>
          <w:rFonts w:ascii="宋体" w:hAnsi="宋体" w:eastAsia="宋体"/>
          <w:b/>
          <w:color w:val="auto"/>
          <w:highlight w:val="none"/>
        </w:rPr>
      </w:pPr>
      <w:bookmarkStart w:id="51" w:name="_Toc179632549"/>
      <w:bookmarkEnd w:id="51"/>
      <w:bookmarkStart w:id="52" w:name="_Toc10616"/>
      <w:bookmarkEnd w:id="52"/>
      <w:bookmarkStart w:id="53" w:name="_Toc152045532"/>
      <w:bookmarkEnd w:id="53"/>
      <w:bookmarkStart w:id="54" w:name="_Toc21270"/>
      <w:bookmarkEnd w:id="54"/>
      <w:bookmarkStart w:id="55" w:name="_Toc144974500"/>
      <w:bookmarkEnd w:id="55"/>
      <w:bookmarkStart w:id="56" w:name="_Toc152042308"/>
      <w:bookmarkEnd w:id="56"/>
      <w:bookmarkStart w:id="57" w:name="_Toc16778741"/>
      <w:r>
        <w:rPr>
          <w:rFonts w:hint="eastAsia" w:ascii="宋体" w:hAnsi="宋体" w:eastAsia="宋体"/>
          <w:b/>
          <w:color w:val="auto"/>
          <w:highlight w:val="none"/>
        </w:rPr>
        <w:t>1.3 招标范围、计划工期和质量要求</w:t>
      </w:r>
      <w:bookmarkEnd w:id="57"/>
      <w:r>
        <w:rPr>
          <w:rFonts w:hint="eastAsia" w:ascii="宋体" w:hAnsi="宋体" w:eastAsia="宋体"/>
          <w:b/>
          <w:color w:val="auto"/>
          <w:highlight w:val="none"/>
        </w:rPr>
        <w:t>和安全目标</w:t>
      </w:r>
    </w:p>
    <w:p w14:paraId="23427C4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1.3.1招标范围：见投标人须知前附表。</w:t>
      </w:r>
    </w:p>
    <w:p w14:paraId="0039145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1.3.2 本标段的计划工期：见投标人须知前附表。</w:t>
      </w:r>
    </w:p>
    <w:p w14:paraId="174BCC8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1.3.3 本标段的质量要求：见投标人须知前附表。</w:t>
      </w:r>
    </w:p>
    <w:p w14:paraId="7B1E55D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1.3.4 本标段的安全目标：见投标人须知前附表。</w:t>
      </w:r>
    </w:p>
    <w:p w14:paraId="79733CB3">
      <w:pPr>
        <w:pStyle w:val="45"/>
        <w:spacing w:line="360" w:lineRule="auto"/>
        <w:rPr>
          <w:rFonts w:ascii="宋体" w:hAnsi="宋体" w:eastAsia="宋体"/>
          <w:b/>
          <w:color w:val="auto"/>
          <w:highlight w:val="none"/>
        </w:rPr>
      </w:pPr>
      <w:bookmarkStart w:id="58" w:name="_Toc16778742"/>
      <w:bookmarkEnd w:id="58"/>
      <w:bookmarkStart w:id="59" w:name="_Toc179632550"/>
      <w:bookmarkEnd w:id="59"/>
      <w:bookmarkStart w:id="60" w:name="_Toc5916"/>
      <w:bookmarkEnd w:id="60"/>
      <w:bookmarkStart w:id="61" w:name="_Toc152045533"/>
      <w:bookmarkEnd w:id="61"/>
      <w:bookmarkStart w:id="62" w:name="_Toc144974501"/>
      <w:bookmarkEnd w:id="62"/>
      <w:bookmarkStart w:id="63" w:name="_Toc19470"/>
      <w:bookmarkEnd w:id="63"/>
      <w:bookmarkStart w:id="64" w:name="_Toc152042309"/>
      <w:r>
        <w:rPr>
          <w:rFonts w:hint="eastAsia" w:ascii="宋体" w:hAnsi="宋体" w:eastAsia="宋体"/>
          <w:b/>
          <w:color w:val="auto"/>
          <w:highlight w:val="none"/>
        </w:rPr>
        <w:t>1.4 投标人资格要求</w:t>
      </w:r>
      <w:bookmarkEnd w:id="64"/>
    </w:p>
    <w:p w14:paraId="335884C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1.4.1 投标人应具备承担本标段施工的资质条件、能力和信誉。</w:t>
      </w:r>
    </w:p>
    <w:p w14:paraId="2378090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（1）资质要求：见投标人须知前附表；</w:t>
      </w:r>
    </w:p>
    <w:p w14:paraId="0149AC7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（2）财务要求：见投标人须知前附表；</w:t>
      </w:r>
    </w:p>
    <w:p w14:paraId="7A39296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（3）业绩要求：见投标人须知前附表；</w:t>
      </w:r>
    </w:p>
    <w:p w14:paraId="1CCD19C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（4）信誉要求：见投标人须知前附表；</w:t>
      </w:r>
    </w:p>
    <w:p w14:paraId="1A0BE91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（5）项目经理和项目总工资格：见投标人须知前附表；</w:t>
      </w:r>
    </w:p>
    <w:p w14:paraId="46A352B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（6）其他要求：见投标人须知前附表。</w:t>
      </w:r>
    </w:p>
    <w:p w14:paraId="37D6BE9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需要提交的相关证明材料见本章第3.5款的规定。</w:t>
      </w:r>
    </w:p>
    <w:p w14:paraId="5D1DB11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1.4.2（不适用）</w:t>
      </w:r>
    </w:p>
    <w:p w14:paraId="0061608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1.4.3 投标人不得与本标段相关单位存在下列关联关系：</w:t>
      </w:r>
    </w:p>
    <w:p w14:paraId="0D40AEA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（1）为招标人不具有独立法人资格的附属机构（单位）；</w:t>
      </w:r>
    </w:p>
    <w:p w14:paraId="7B2AD5C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（2）与招标人存在利害关系且可能影响招标公正性；</w:t>
      </w:r>
    </w:p>
    <w:p w14:paraId="3BFA34D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（3）与本标段的其他投标人同为一个单位负责人；</w:t>
      </w:r>
    </w:p>
    <w:p w14:paraId="29373E8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（4）与本标段的其他投标人存在控股、管理关系；</w:t>
      </w:r>
    </w:p>
    <w:p w14:paraId="471C869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（5）为本标段前期准备提供设计或咨询服务的法人或其任何附属机构（单位）；</w:t>
      </w:r>
    </w:p>
    <w:p w14:paraId="5E0A1FC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（6）为本标段的监理人；</w:t>
      </w:r>
    </w:p>
    <w:p w14:paraId="68E5422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（7）为本标段的代建人；</w:t>
      </w:r>
    </w:p>
    <w:p w14:paraId="55AB570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（8）为本标段的招标代理机构；</w:t>
      </w:r>
    </w:p>
    <w:p w14:paraId="30D5567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（9）与本标段的监理人或代建人或招标代理机构同为一个法定代表人；</w:t>
      </w:r>
    </w:p>
    <w:p w14:paraId="423F495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（10）与本标段的监理人或代建人或招标代理机构存在控股或参股关系；</w:t>
      </w:r>
    </w:p>
    <w:p w14:paraId="750F406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（11）法律法规或投标人须知前附表规定的其他情形。</w:t>
      </w:r>
    </w:p>
    <w:p w14:paraId="581C531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1.4.4 投标人不得存在下列不良状况或不良信用记录：</w:t>
      </w:r>
    </w:p>
    <w:p w14:paraId="4BC5995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（1）被省级及以上交通运输主管部门取消招标项目所在地的投标资格且处于有效期内；</w:t>
      </w:r>
    </w:p>
    <w:p w14:paraId="1AEE2FF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（2）被责令停业，暂扣或吊销执照，或吊销资质证书；</w:t>
      </w:r>
    </w:p>
    <w:p w14:paraId="610E5BF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（3）进入清算程序，或被宣告破产，或其他丧失履约能力的情形；</w:t>
      </w:r>
    </w:p>
    <w:p w14:paraId="3853039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（4）在国家企业信用信息公示系统（http://www.gsxt.gov.cn/）中被列入严重违法失信企业名单；</w:t>
      </w:r>
    </w:p>
    <w:p w14:paraId="01D319B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（5）在“信用中国”网站（http://www.creditchina.gov.cn/）中</w:t>
      </w:r>
      <w:r>
        <w:rPr>
          <w:rFonts w:hint="eastAsia" w:ascii="宋体" w:hAnsi="宋体"/>
          <w:color w:val="auto"/>
          <w:sz w:val="24"/>
          <w:szCs w:val="24"/>
          <w:highlight w:val="none"/>
          <w:lang w:eastAsia="zh-CN"/>
        </w:rPr>
        <w:t>被列入</w:t>
      </w:r>
      <w:r>
        <w:rPr>
          <w:rFonts w:hint="eastAsia" w:ascii="宋体" w:hAnsi="宋体"/>
          <w:color w:val="auto"/>
          <w:sz w:val="24"/>
          <w:szCs w:val="24"/>
          <w:highlight w:val="none"/>
        </w:rPr>
        <w:t>失信被执行人</w:t>
      </w:r>
      <w:r>
        <w:rPr>
          <w:rFonts w:hint="eastAsia" w:ascii="宋体" w:hAnsi="宋体"/>
          <w:color w:val="auto"/>
          <w:sz w:val="24"/>
          <w:szCs w:val="24"/>
          <w:highlight w:val="none"/>
          <w:lang w:eastAsia="zh-CN"/>
        </w:rPr>
        <w:t>名单；</w:t>
      </w:r>
    </w:p>
    <w:p w14:paraId="3586738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（6）法律法规或投标人须知前附表规定的其他情形。</w:t>
      </w:r>
    </w:p>
    <w:p w14:paraId="64AC1214">
      <w:pPr>
        <w:pStyle w:val="45"/>
        <w:spacing w:line="360" w:lineRule="auto"/>
        <w:rPr>
          <w:rFonts w:ascii="宋体" w:hAnsi="宋体" w:eastAsia="宋体"/>
          <w:b/>
          <w:color w:val="auto"/>
          <w:highlight w:val="none"/>
        </w:rPr>
      </w:pPr>
      <w:bookmarkStart w:id="65" w:name="_Toc25310"/>
      <w:bookmarkEnd w:id="65"/>
      <w:bookmarkStart w:id="66" w:name="_Toc152045535"/>
      <w:bookmarkEnd w:id="66"/>
      <w:bookmarkStart w:id="67" w:name="_Toc152042311"/>
      <w:bookmarkEnd w:id="67"/>
      <w:bookmarkStart w:id="68" w:name="_Toc16778743"/>
      <w:bookmarkEnd w:id="68"/>
      <w:bookmarkStart w:id="69" w:name="_Toc179632552"/>
      <w:bookmarkEnd w:id="69"/>
      <w:bookmarkStart w:id="70" w:name="_Toc14936"/>
      <w:bookmarkEnd w:id="70"/>
      <w:bookmarkStart w:id="71" w:name="_Toc144974503"/>
      <w:r>
        <w:rPr>
          <w:rFonts w:hint="eastAsia" w:ascii="宋体" w:hAnsi="宋体" w:eastAsia="宋体"/>
          <w:b/>
          <w:color w:val="auto"/>
          <w:highlight w:val="none"/>
        </w:rPr>
        <w:t>1.5 费用承担</w:t>
      </w:r>
      <w:bookmarkEnd w:id="71"/>
    </w:p>
    <w:p w14:paraId="26FDA86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投标人准备和参加投标活动发生的费用自理。</w:t>
      </w:r>
    </w:p>
    <w:p w14:paraId="224DFB28">
      <w:pPr>
        <w:pStyle w:val="45"/>
        <w:spacing w:line="360" w:lineRule="auto"/>
        <w:rPr>
          <w:rFonts w:ascii="宋体" w:hAnsi="宋体" w:eastAsia="宋体"/>
          <w:b/>
          <w:color w:val="auto"/>
          <w:highlight w:val="none"/>
        </w:rPr>
      </w:pPr>
      <w:bookmarkStart w:id="72" w:name="_Toc9705"/>
      <w:bookmarkEnd w:id="72"/>
      <w:bookmarkStart w:id="73" w:name="_Toc179632553"/>
      <w:bookmarkEnd w:id="73"/>
      <w:bookmarkStart w:id="74" w:name="_Toc152042312"/>
      <w:bookmarkEnd w:id="74"/>
      <w:bookmarkStart w:id="75" w:name="_Toc152045536"/>
      <w:bookmarkEnd w:id="75"/>
      <w:bookmarkStart w:id="76" w:name="_Toc144974504"/>
      <w:bookmarkEnd w:id="76"/>
      <w:bookmarkStart w:id="77" w:name="_Toc1897"/>
      <w:bookmarkEnd w:id="77"/>
      <w:bookmarkStart w:id="78" w:name="_Toc16778744"/>
      <w:r>
        <w:rPr>
          <w:rFonts w:hint="eastAsia" w:ascii="宋体" w:hAnsi="宋体" w:eastAsia="宋体"/>
          <w:b/>
          <w:color w:val="auto"/>
          <w:highlight w:val="none"/>
        </w:rPr>
        <w:t>1.6 保密</w:t>
      </w:r>
      <w:bookmarkEnd w:id="78"/>
    </w:p>
    <w:p w14:paraId="3BF473C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参与招标投标活动的各方应对招标文件和投标文件中的商业和技术等秘密保密，否则应承担相应的法律责任。</w:t>
      </w:r>
    </w:p>
    <w:p w14:paraId="653B5E7C">
      <w:pPr>
        <w:pStyle w:val="45"/>
        <w:spacing w:line="360" w:lineRule="auto"/>
        <w:rPr>
          <w:rFonts w:ascii="宋体" w:hAnsi="宋体" w:eastAsia="宋体"/>
          <w:b/>
          <w:color w:val="auto"/>
          <w:highlight w:val="none"/>
        </w:rPr>
      </w:pPr>
      <w:bookmarkStart w:id="79" w:name="_Toc16778745"/>
      <w:bookmarkEnd w:id="79"/>
      <w:bookmarkStart w:id="80" w:name="_Toc28868"/>
      <w:bookmarkEnd w:id="80"/>
      <w:bookmarkStart w:id="81" w:name="_Toc152042313"/>
      <w:bookmarkEnd w:id="81"/>
      <w:bookmarkStart w:id="82" w:name="_Toc179632554"/>
      <w:bookmarkEnd w:id="82"/>
      <w:bookmarkStart w:id="83" w:name="_Toc14814"/>
      <w:bookmarkEnd w:id="83"/>
      <w:bookmarkStart w:id="84" w:name="_Toc152045537"/>
      <w:bookmarkEnd w:id="84"/>
      <w:bookmarkStart w:id="85" w:name="_Toc144974505"/>
      <w:r>
        <w:rPr>
          <w:rFonts w:hint="eastAsia" w:ascii="宋体" w:hAnsi="宋体" w:eastAsia="宋体"/>
          <w:b/>
          <w:color w:val="auto"/>
          <w:highlight w:val="none"/>
        </w:rPr>
        <w:t>1.7 语言</w:t>
      </w:r>
      <w:bookmarkEnd w:id="85"/>
      <w:r>
        <w:rPr>
          <w:rFonts w:hint="eastAsia" w:ascii="宋体" w:hAnsi="宋体" w:eastAsia="宋体"/>
          <w:b/>
          <w:color w:val="auto"/>
          <w:highlight w:val="none"/>
        </w:rPr>
        <w:t>文字</w:t>
      </w:r>
    </w:p>
    <w:p w14:paraId="0C15E89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招标投标文件使用的语言文字为中文。专用术语使用外文的，应附有中文注释。</w:t>
      </w:r>
    </w:p>
    <w:p w14:paraId="5A565B75">
      <w:pPr>
        <w:pStyle w:val="45"/>
        <w:spacing w:line="360" w:lineRule="auto"/>
        <w:rPr>
          <w:rFonts w:ascii="宋体" w:hAnsi="宋体" w:eastAsia="宋体"/>
          <w:b/>
          <w:color w:val="auto"/>
          <w:highlight w:val="none"/>
        </w:rPr>
      </w:pPr>
      <w:bookmarkStart w:id="86" w:name="_Toc14008"/>
      <w:bookmarkEnd w:id="86"/>
      <w:bookmarkStart w:id="87" w:name="_Toc16778746"/>
      <w:bookmarkEnd w:id="87"/>
      <w:bookmarkStart w:id="88" w:name="_Toc152045538"/>
      <w:bookmarkEnd w:id="88"/>
      <w:bookmarkStart w:id="89" w:name="_Toc14828"/>
      <w:bookmarkEnd w:id="89"/>
      <w:bookmarkStart w:id="90" w:name="_Toc152042314"/>
      <w:bookmarkEnd w:id="90"/>
      <w:bookmarkStart w:id="91" w:name="_Toc144974506"/>
      <w:bookmarkEnd w:id="91"/>
      <w:bookmarkStart w:id="92" w:name="_Toc179632555"/>
      <w:r>
        <w:rPr>
          <w:rFonts w:hint="eastAsia" w:ascii="宋体" w:hAnsi="宋体" w:eastAsia="宋体"/>
          <w:b/>
          <w:color w:val="auto"/>
          <w:highlight w:val="none"/>
        </w:rPr>
        <w:t>1.8 计量单位</w:t>
      </w:r>
      <w:bookmarkEnd w:id="92"/>
    </w:p>
    <w:p w14:paraId="1B63FF7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所有计量均采用中华人民共和国法定计量单位。</w:t>
      </w:r>
    </w:p>
    <w:p w14:paraId="527663CA">
      <w:pPr>
        <w:pStyle w:val="45"/>
        <w:spacing w:line="360" w:lineRule="auto"/>
        <w:rPr>
          <w:rFonts w:ascii="宋体" w:hAnsi="宋体" w:eastAsia="宋体"/>
          <w:b/>
          <w:color w:val="auto"/>
          <w:highlight w:val="none"/>
        </w:rPr>
      </w:pPr>
      <w:bookmarkStart w:id="93" w:name="_Toc152045539"/>
      <w:bookmarkEnd w:id="93"/>
      <w:bookmarkStart w:id="94" w:name="_Toc179632556"/>
      <w:bookmarkEnd w:id="94"/>
      <w:bookmarkStart w:id="95" w:name="_Toc152042315"/>
      <w:bookmarkEnd w:id="95"/>
      <w:bookmarkStart w:id="96" w:name="_Toc28729"/>
      <w:bookmarkEnd w:id="96"/>
      <w:bookmarkStart w:id="97" w:name="_Toc16778747"/>
      <w:bookmarkEnd w:id="97"/>
      <w:bookmarkStart w:id="98" w:name="_Toc144974507"/>
      <w:bookmarkEnd w:id="98"/>
      <w:bookmarkStart w:id="99" w:name="_Toc8171"/>
      <w:r>
        <w:rPr>
          <w:rFonts w:hint="eastAsia" w:ascii="宋体" w:hAnsi="宋体" w:eastAsia="宋体"/>
          <w:b/>
          <w:color w:val="auto"/>
          <w:highlight w:val="none"/>
        </w:rPr>
        <w:t>1.9 踏勘现场</w:t>
      </w:r>
      <w:bookmarkEnd w:id="99"/>
      <w:r>
        <w:rPr>
          <w:rFonts w:hint="eastAsia" w:ascii="宋体" w:hAnsi="宋体" w:eastAsia="宋体"/>
          <w:b/>
          <w:color w:val="auto"/>
          <w:highlight w:val="none"/>
        </w:rPr>
        <w:t>（不组织）</w:t>
      </w:r>
    </w:p>
    <w:p w14:paraId="2247456F">
      <w:pPr>
        <w:pStyle w:val="45"/>
        <w:spacing w:line="360" w:lineRule="auto"/>
        <w:rPr>
          <w:rFonts w:ascii="宋体" w:hAnsi="宋体" w:eastAsia="宋体"/>
          <w:b/>
          <w:color w:val="auto"/>
          <w:highlight w:val="none"/>
        </w:rPr>
      </w:pPr>
      <w:bookmarkStart w:id="100" w:name="_Toc144974508"/>
      <w:bookmarkEnd w:id="100"/>
      <w:bookmarkStart w:id="101" w:name="_Toc152045540"/>
      <w:bookmarkEnd w:id="101"/>
      <w:bookmarkStart w:id="102" w:name="_Toc29624"/>
      <w:bookmarkEnd w:id="102"/>
      <w:bookmarkStart w:id="103" w:name="_Toc26426"/>
      <w:bookmarkEnd w:id="103"/>
      <w:bookmarkStart w:id="104" w:name="_Toc179632557"/>
      <w:bookmarkEnd w:id="104"/>
      <w:bookmarkStart w:id="105" w:name="_Toc16778748"/>
      <w:bookmarkEnd w:id="105"/>
      <w:bookmarkStart w:id="106" w:name="_Toc152042316"/>
      <w:r>
        <w:rPr>
          <w:rFonts w:hint="eastAsia" w:ascii="宋体" w:hAnsi="宋体" w:eastAsia="宋体"/>
          <w:b/>
          <w:color w:val="auto"/>
          <w:highlight w:val="none"/>
        </w:rPr>
        <w:t>1.10 投标预备会</w:t>
      </w:r>
      <w:bookmarkEnd w:id="106"/>
      <w:r>
        <w:rPr>
          <w:rFonts w:hint="eastAsia" w:ascii="宋体" w:hAnsi="宋体" w:eastAsia="宋体"/>
          <w:b/>
          <w:color w:val="auto"/>
          <w:highlight w:val="none"/>
        </w:rPr>
        <w:t>（不召开）</w:t>
      </w:r>
    </w:p>
    <w:p w14:paraId="5731F141">
      <w:pPr>
        <w:pStyle w:val="45"/>
        <w:spacing w:line="360" w:lineRule="auto"/>
        <w:rPr>
          <w:rFonts w:ascii="宋体" w:hAnsi="宋体" w:eastAsia="宋体"/>
          <w:b/>
          <w:color w:val="auto"/>
          <w:highlight w:val="none"/>
        </w:rPr>
      </w:pPr>
      <w:bookmarkStart w:id="107" w:name="_Toc25095"/>
      <w:bookmarkEnd w:id="107"/>
      <w:bookmarkStart w:id="108" w:name="_Toc8951"/>
      <w:bookmarkEnd w:id="108"/>
      <w:bookmarkStart w:id="109" w:name="_Toc16778749"/>
      <w:r>
        <w:rPr>
          <w:rFonts w:hint="eastAsia" w:ascii="宋体" w:hAnsi="宋体" w:eastAsia="宋体"/>
          <w:b/>
          <w:color w:val="auto"/>
          <w:highlight w:val="none"/>
        </w:rPr>
        <w:t>1.11 分包（不允许）</w:t>
      </w:r>
      <w:bookmarkEnd w:id="109"/>
    </w:p>
    <w:p w14:paraId="09043914">
      <w:pPr>
        <w:pStyle w:val="45"/>
        <w:spacing w:line="360" w:lineRule="auto"/>
        <w:rPr>
          <w:rFonts w:ascii="宋体" w:hAnsi="宋体" w:eastAsia="宋体"/>
          <w:b/>
          <w:color w:val="auto"/>
          <w:highlight w:val="none"/>
        </w:rPr>
      </w:pPr>
      <w:bookmarkStart w:id="110" w:name="_Toc8501"/>
      <w:bookmarkEnd w:id="110"/>
      <w:bookmarkStart w:id="111" w:name="_Toc16778750"/>
      <w:bookmarkEnd w:id="111"/>
      <w:bookmarkStart w:id="112" w:name="_Toc13092"/>
      <w:r>
        <w:rPr>
          <w:rFonts w:hint="eastAsia" w:ascii="宋体" w:hAnsi="宋体" w:eastAsia="宋体"/>
          <w:b/>
          <w:color w:val="auto"/>
          <w:highlight w:val="none"/>
        </w:rPr>
        <w:t>1.12</w:t>
      </w:r>
      <w:r>
        <w:rPr>
          <w:rFonts w:hint="eastAsia" w:ascii="宋体" w:hAnsi="宋体" w:eastAsia="宋体"/>
          <w:b/>
          <w:color w:val="auto"/>
          <w:highlight w:val="none"/>
          <w:lang w:val="en-US" w:eastAsia="zh-CN"/>
        </w:rPr>
        <w:t xml:space="preserve"> 响</w:t>
      </w:r>
      <w:r>
        <w:rPr>
          <w:rFonts w:hint="eastAsia" w:ascii="宋体" w:hAnsi="宋体" w:eastAsia="宋体"/>
          <w:b/>
          <w:color w:val="auto"/>
          <w:highlight w:val="none"/>
          <w:lang w:eastAsia="zh-CN"/>
        </w:rPr>
        <w:t>应和</w:t>
      </w:r>
      <w:r>
        <w:rPr>
          <w:rFonts w:hint="eastAsia" w:ascii="宋体" w:hAnsi="宋体" w:eastAsia="宋体"/>
          <w:b/>
          <w:color w:val="auto"/>
          <w:highlight w:val="none"/>
        </w:rPr>
        <w:t>偏</w:t>
      </w:r>
      <w:bookmarkEnd w:id="112"/>
      <w:r>
        <w:rPr>
          <w:rFonts w:hint="eastAsia" w:ascii="宋体" w:hAnsi="宋体" w:eastAsia="宋体"/>
          <w:b/>
          <w:color w:val="auto"/>
          <w:highlight w:val="none"/>
        </w:rPr>
        <w:t>离</w:t>
      </w:r>
    </w:p>
    <w:p w14:paraId="3FFE9A5C">
      <w:pPr>
        <w:spacing w:line="360" w:lineRule="auto"/>
        <w:ind w:firstLine="480" w:firstLineChars="200"/>
        <w:rPr>
          <w:rFonts w:hint="eastAsia" w:ascii="宋体" w:hAnsi="宋体"/>
          <w:color w:val="auto"/>
          <w:sz w:val="24"/>
          <w:szCs w:val="24"/>
          <w:highlight w:val="none"/>
        </w:rPr>
      </w:pPr>
      <w:bookmarkStart w:id="113" w:name="_Toc152042319"/>
      <w:r>
        <w:rPr>
          <w:rFonts w:hint="eastAsia" w:ascii="宋体" w:hAnsi="宋体"/>
          <w:color w:val="auto"/>
          <w:sz w:val="24"/>
          <w:szCs w:val="24"/>
          <w:highlight w:val="none"/>
        </w:rPr>
        <w:t>1.12.1 投标文件偏离招标文件某些要求，视为投标文件存在偏差。偏差包括重大偏差和细微偏差。</w:t>
      </w:r>
    </w:p>
    <w:p w14:paraId="614DF273">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1.12.2 投标文件应对招标文件的实质性要求和条件作出满足性或更有利于招标人的响应，否则，视为投标文件存在重大偏差，投标人的投标将被否决。</w:t>
      </w:r>
    </w:p>
    <w:p w14:paraId="0ED799C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投标文件存在第三章“评标办法”中所列任一否决投标情形的，均属于存在重大偏差。</w:t>
      </w:r>
    </w:p>
    <w:p w14:paraId="0D15EC7C">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1.12.3 投标文件中的下列偏差为细微偏差：</w:t>
      </w:r>
    </w:p>
    <w:p w14:paraId="3492377C">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在按照第三章“评标办法”的规定对投标价进行算术性错误修正及其他错误修正后，最终投标报价未超过最高投标限价（如有）的情况下，出现第三章“评标办法”规定的算术性错误和投标报价的其他错误；</w:t>
      </w:r>
    </w:p>
    <w:p w14:paraId="0C3550E3">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（2）施工组织设计（含关键工程技术方案）和项目管理机构不够完善；</w:t>
      </w:r>
    </w:p>
    <w:p w14:paraId="2909B450">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（3）投标文件页码不连续、个别文字有遗漏错误等不影响投标文件实质性内容的偏差。</w:t>
      </w:r>
    </w:p>
    <w:p w14:paraId="568B093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1.12.4 评标委员会对投标文件中的细微偏差按如下规定处理：</w:t>
      </w:r>
    </w:p>
    <w:p w14:paraId="3AECD5D3">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（1）对于本章第1.12.3项（1）目所述的细微偏差，按照第三章“评标办法”的规定予以修正并要求投标人进行澄清；</w:t>
      </w:r>
    </w:p>
    <w:p w14:paraId="6815A8B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（2）对于本章第 1.12.3 项（2）目所述的细微偏差，采用合理低价法评标，应要求投标人对细微偏差进行澄清，只有投标人的澄清文件被评标委员会接受，投标人才能参加评标价的最终评比；</w:t>
      </w:r>
    </w:p>
    <w:p w14:paraId="1A968EC3">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（3）对于本章第1.12.3项（3）目所述的细微偏差，可要求投标人对细微偏差进行澄清。</w:t>
      </w:r>
    </w:p>
    <w:p w14:paraId="28F30F8D">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1.12.5 投标人应根据招标文件的要求提供施工组织设计等内容以对招标文件作出响应。</w:t>
      </w:r>
    </w:p>
    <w:p w14:paraId="761D579F">
      <w:pPr>
        <w:spacing w:line="360" w:lineRule="auto"/>
        <w:rPr>
          <w:rFonts w:hint="eastAsia"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2、招标文件</w:t>
      </w:r>
    </w:p>
    <w:p w14:paraId="5AD5B039">
      <w:pPr>
        <w:spacing w:line="360" w:lineRule="auto"/>
        <w:rPr>
          <w:rFonts w:ascii="宋体" w:hAnsi="宋体"/>
          <w:b/>
          <w:color w:val="auto"/>
          <w:sz w:val="24"/>
          <w:szCs w:val="24"/>
          <w:highlight w:val="none"/>
        </w:rPr>
      </w:pPr>
      <w:r>
        <w:rPr>
          <w:rFonts w:hint="eastAsia" w:ascii="宋体" w:hAnsi="宋体"/>
          <w:b/>
          <w:color w:val="auto"/>
          <w:sz w:val="24"/>
          <w:szCs w:val="24"/>
          <w:highlight w:val="none"/>
        </w:rPr>
        <w:t>2.1 招标文件的组成</w:t>
      </w:r>
      <w:bookmarkEnd w:id="113"/>
    </w:p>
    <w:p w14:paraId="1BD6100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本招标文件包括：</w:t>
      </w:r>
    </w:p>
    <w:p w14:paraId="35F536E7">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（1）招标公告</w:t>
      </w:r>
      <w:r>
        <w:rPr>
          <w:rFonts w:hint="eastAsia" w:ascii="宋体" w:hAnsi="宋体"/>
          <w:color w:val="auto"/>
          <w:sz w:val="24"/>
          <w:szCs w:val="24"/>
          <w:highlight w:val="none"/>
          <w:lang w:eastAsia="zh-CN"/>
        </w:rPr>
        <w:t>；</w:t>
      </w:r>
    </w:p>
    <w:p w14:paraId="60DCD57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（2）投标人须知；</w:t>
      </w:r>
    </w:p>
    <w:p w14:paraId="40C8E8A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（3）评标办法；</w:t>
      </w:r>
    </w:p>
    <w:p w14:paraId="06BDAF1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（4）合同条款及格式；</w:t>
      </w:r>
    </w:p>
    <w:p w14:paraId="745F358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（5）工程量清单；</w:t>
      </w:r>
    </w:p>
    <w:p w14:paraId="143F81B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（6）图纸；</w:t>
      </w:r>
    </w:p>
    <w:p w14:paraId="5AA4C5D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（7）技术规范；</w:t>
      </w:r>
    </w:p>
    <w:p w14:paraId="23C5698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（8）工程量清单计量规则；</w:t>
      </w:r>
    </w:p>
    <w:p w14:paraId="2E5AAE1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（9）投标文件格式；</w:t>
      </w:r>
    </w:p>
    <w:p w14:paraId="7A20733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（10）投标人须知前附表规定的其他资料。</w:t>
      </w:r>
    </w:p>
    <w:p w14:paraId="6B91A33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根据本章第1.10款、第2.2款和第2.3款对招标文件所作的澄清、修改，构成招标文件的组成部分。</w:t>
      </w:r>
    </w:p>
    <w:p w14:paraId="4DEFCE1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当招标文件、招标文件的澄清或修改等在同一个内容的表述上不一致时，以最后发出的书面文件为准。</w:t>
      </w:r>
    </w:p>
    <w:p w14:paraId="4E128A36">
      <w:pPr>
        <w:pStyle w:val="45"/>
        <w:spacing w:line="360" w:lineRule="auto"/>
        <w:rPr>
          <w:rFonts w:ascii="宋体" w:hAnsi="宋体" w:eastAsia="宋体"/>
          <w:b/>
          <w:color w:val="auto"/>
          <w:highlight w:val="none"/>
        </w:rPr>
      </w:pPr>
      <w:bookmarkStart w:id="114" w:name="_Toc152042320"/>
      <w:bookmarkEnd w:id="114"/>
      <w:bookmarkStart w:id="115" w:name="_Toc7082"/>
      <w:bookmarkEnd w:id="115"/>
      <w:bookmarkStart w:id="116" w:name="_Toc2752"/>
      <w:bookmarkEnd w:id="116"/>
      <w:bookmarkStart w:id="117" w:name="_Toc16778753"/>
      <w:bookmarkEnd w:id="117"/>
      <w:bookmarkStart w:id="118" w:name="_Toc179632562"/>
      <w:bookmarkEnd w:id="118"/>
      <w:bookmarkStart w:id="119" w:name="_Toc144974512"/>
      <w:bookmarkEnd w:id="119"/>
      <w:bookmarkStart w:id="120" w:name="_Toc152045544"/>
      <w:r>
        <w:rPr>
          <w:rFonts w:hint="eastAsia" w:ascii="宋体" w:hAnsi="宋体" w:eastAsia="宋体"/>
          <w:b/>
          <w:color w:val="auto"/>
          <w:highlight w:val="none"/>
        </w:rPr>
        <w:t>2.2 招标文件的澄清</w:t>
      </w:r>
      <w:bookmarkEnd w:id="120"/>
    </w:p>
    <w:p w14:paraId="4841BCD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48FD5A7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2.2.2 招标文件的澄清以投标人须知前附表规定的形式发给所有购买招标文件的投标人，但不指明澄清问题的来源。澄清发出的时间距本章第4.2.1项规定的投标截止时间不足15日，且澄清内容可能影响投标文件编制的，将相应延长投标截止时间。</w:t>
      </w:r>
    </w:p>
    <w:p w14:paraId="1B6D9BC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2.2.3 投标人应注意及时浏览网上发出的澄清，因投标人自身原因未及时获知澄清内容而导致的任何后果将由投标人自行承担。</w:t>
      </w:r>
    </w:p>
    <w:p w14:paraId="17BE9EF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2.2.4 除非招标人认为确有必要答复，否则，招标人有权拒绝回复投标人在本章第2.2.1项规定的时间后提出的任何澄清要求。</w:t>
      </w:r>
    </w:p>
    <w:p w14:paraId="11947E18">
      <w:pPr>
        <w:pStyle w:val="45"/>
        <w:spacing w:line="360" w:lineRule="auto"/>
        <w:rPr>
          <w:rFonts w:ascii="宋体" w:hAnsi="宋体" w:eastAsia="宋体"/>
          <w:b/>
          <w:color w:val="auto"/>
          <w:highlight w:val="none"/>
        </w:rPr>
      </w:pPr>
      <w:bookmarkStart w:id="121" w:name="_Toc10281"/>
      <w:bookmarkEnd w:id="121"/>
      <w:bookmarkStart w:id="122" w:name="_Toc16778754"/>
      <w:bookmarkEnd w:id="122"/>
      <w:bookmarkStart w:id="123" w:name="_Toc179632563"/>
      <w:bookmarkEnd w:id="123"/>
      <w:bookmarkStart w:id="124" w:name="_Toc152045545"/>
      <w:bookmarkEnd w:id="124"/>
      <w:bookmarkStart w:id="125" w:name="_Toc11110"/>
      <w:bookmarkEnd w:id="125"/>
      <w:bookmarkStart w:id="126" w:name="_Toc152042321"/>
      <w:bookmarkEnd w:id="126"/>
      <w:bookmarkStart w:id="127" w:name="_Toc144974513"/>
      <w:r>
        <w:rPr>
          <w:rFonts w:hint="eastAsia" w:ascii="宋体" w:hAnsi="宋体" w:eastAsia="宋体"/>
          <w:b/>
          <w:color w:val="auto"/>
          <w:highlight w:val="none"/>
        </w:rPr>
        <w:t>2.3 招标文件的修改</w:t>
      </w:r>
      <w:bookmarkEnd w:id="127"/>
    </w:p>
    <w:p w14:paraId="565B07D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2.3.1 招标人以投标人须知前附表规定的形式修改招标文件，并通知所有已购买招标文件的投标人。修改招标文件的时间距本章第4.2.1项规定的投标截止时间不足15日，且修改内容可能影响投标文件编制的，将相应延长投标截止时间。</w:t>
      </w:r>
    </w:p>
    <w:p w14:paraId="781F8FA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2.3.2 投标人应注意及时浏览网上发出的修改，因投标人自身原因未及时获知修改内容而导致的任何后果将由投标人自行承担。</w:t>
      </w:r>
    </w:p>
    <w:p w14:paraId="6308BB08">
      <w:pPr>
        <w:pStyle w:val="45"/>
        <w:spacing w:line="360" w:lineRule="auto"/>
        <w:rPr>
          <w:rFonts w:ascii="宋体" w:hAnsi="宋体" w:eastAsia="宋体"/>
          <w:b/>
          <w:color w:val="auto"/>
          <w:highlight w:val="none"/>
        </w:rPr>
      </w:pPr>
      <w:bookmarkStart w:id="128" w:name="_Toc31031"/>
      <w:bookmarkEnd w:id="128"/>
      <w:bookmarkStart w:id="129" w:name="_Toc16778755"/>
      <w:bookmarkEnd w:id="129"/>
      <w:bookmarkStart w:id="130" w:name="_Toc2148"/>
      <w:r>
        <w:rPr>
          <w:rFonts w:hint="eastAsia" w:ascii="宋体" w:hAnsi="宋体" w:eastAsia="宋体"/>
          <w:b/>
          <w:color w:val="auto"/>
          <w:highlight w:val="none"/>
        </w:rPr>
        <w:t>2.4 招标文件的异议</w:t>
      </w:r>
      <w:bookmarkEnd w:id="130"/>
    </w:p>
    <w:p w14:paraId="1BFF0B5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或其他利害关系人对招标文件有异议的，应在投标截止时间10日前以书面形式提出。招标人将在收到异议之日起3日内作出答复；作出答复前，将暂停招标投标活动。提出异议与作出答复均应通过“电子交易平台”以书面形式完成。</w:t>
      </w:r>
    </w:p>
    <w:p w14:paraId="5E05F4D5">
      <w:pPr>
        <w:pStyle w:val="44"/>
        <w:spacing w:line="360" w:lineRule="auto"/>
        <w:rPr>
          <w:rFonts w:ascii="宋体" w:hAnsi="宋体" w:eastAsia="宋体"/>
          <w:b/>
          <w:color w:val="auto"/>
          <w:highlight w:val="none"/>
        </w:rPr>
      </w:pPr>
      <w:bookmarkStart w:id="131" w:name="_Toc152042322"/>
      <w:bookmarkEnd w:id="131"/>
      <w:bookmarkStart w:id="132" w:name="_Toc152045546"/>
      <w:bookmarkEnd w:id="132"/>
      <w:bookmarkStart w:id="133" w:name="_Toc25807"/>
      <w:bookmarkEnd w:id="133"/>
      <w:bookmarkStart w:id="134" w:name="_Toc144974514"/>
      <w:bookmarkEnd w:id="134"/>
      <w:bookmarkStart w:id="135" w:name="_Toc16778756"/>
      <w:bookmarkEnd w:id="135"/>
      <w:bookmarkStart w:id="136" w:name="_Toc31773"/>
      <w:bookmarkEnd w:id="136"/>
      <w:bookmarkStart w:id="137" w:name="_Toc179632564"/>
      <w:r>
        <w:rPr>
          <w:rFonts w:hint="eastAsia" w:ascii="宋体" w:hAnsi="宋体" w:eastAsia="宋体"/>
          <w:b/>
          <w:color w:val="auto"/>
          <w:highlight w:val="none"/>
        </w:rPr>
        <w:t>3. 投标文件</w:t>
      </w:r>
      <w:bookmarkEnd w:id="137"/>
    </w:p>
    <w:p w14:paraId="2811E147">
      <w:pPr>
        <w:pStyle w:val="45"/>
        <w:spacing w:line="360" w:lineRule="auto"/>
        <w:rPr>
          <w:rFonts w:ascii="宋体" w:hAnsi="宋体" w:eastAsia="宋体"/>
          <w:b/>
          <w:color w:val="auto"/>
          <w:highlight w:val="none"/>
        </w:rPr>
      </w:pPr>
      <w:bookmarkStart w:id="138" w:name="_Toc152045547"/>
      <w:bookmarkEnd w:id="138"/>
      <w:bookmarkStart w:id="139" w:name="_Toc9422"/>
      <w:bookmarkEnd w:id="139"/>
      <w:bookmarkStart w:id="140" w:name="_Toc179632565"/>
      <w:bookmarkEnd w:id="140"/>
      <w:bookmarkStart w:id="141" w:name="_Toc152042323"/>
      <w:bookmarkEnd w:id="141"/>
      <w:bookmarkStart w:id="142" w:name="_Toc16778757"/>
      <w:bookmarkEnd w:id="142"/>
      <w:bookmarkStart w:id="143" w:name="_Toc144974515"/>
      <w:bookmarkEnd w:id="143"/>
      <w:bookmarkStart w:id="144" w:name="_Toc17451"/>
      <w:r>
        <w:rPr>
          <w:rFonts w:hint="eastAsia" w:ascii="宋体" w:hAnsi="宋体" w:eastAsia="宋体"/>
          <w:b/>
          <w:color w:val="auto"/>
          <w:highlight w:val="none"/>
        </w:rPr>
        <w:t>3.1 投标文件的组成</w:t>
      </w:r>
      <w:bookmarkEnd w:id="144"/>
    </w:p>
    <w:p w14:paraId="1F932453">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3.1.1投标文件应包括下列内容：</w:t>
      </w:r>
    </w:p>
    <w:p w14:paraId="6082D46C">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第一个信封（商务及技术文件）：</w:t>
      </w:r>
    </w:p>
    <w:p w14:paraId="4BDF7715">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（1）投标函及投标函附录；</w:t>
      </w:r>
    </w:p>
    <w:p w14:paraId="221CC645">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（2）授权委托书或法定代表人身份证明；</w:t>
      </w:r>
    </w:p>
    <w:p w14:paraId="7EBCE3E8">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（3）投标保证金；</w:t>
      </w:r>
    </w:p>
    <w:p w14:paraId="57B372C5">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（4）施工组织设计；</w:t>
      </w:r>
    </w:p>
    <w:p w14:paraId="5361EFF0">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（5）项目管理机构；</w:t>
      </w:r>
    </w:p>
    <w:p w14:paraId="4B84F85F">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（6）资格审查资料；</w:t>
      </w:r>
    </w:p>
    <w:p w14:paraId="05EB5267">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（7）投标人须知前附表规定的其他资料。</w:t>
      </w:r>
    </w:p>
    <w:p w14:paraId="63B49ADB">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第二个信封（报价文件）：</w:t>
      </w:r>
    </w:p>
    <w:p w14:paraId="187CDEC7">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（1）投标函</w:t>
      </w:r>
    </w:p>
    <w:p w14:paraId="5B896016">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）已标价工程量清单；</w:t>
      </w:r>
    </w:p>
    <w:p w14:paraId="108BEAC7">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）合同用款估算表。</w:t>
      </w:r>
    </w:p>
    <w:p w14:paraId="2E14EAE4">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投标人在评标过程中作出的符合法律法规和招标文件规定的澄清确认，构成投标文件的组成部分。</w:t>
      </w:r>
    </w:p>
    <w:p w14:paraId="5FEBC25A">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3.1.2（不适用）</w:t>
      </w:r>
    </w:p>
    <w:p w14:paraId="43A76EB1">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3.1.3（不适用）</w:t>
      </w:r>
    </w:p>
    <w:p w14:paraId="6D279F4E">
      <w:pPr>
        <w:pStyle w:val="45"/>
        <w:spacing w:line="360" w:lineRule="auto"/>
        <w:rPr>
          <w:rFonts w:ascii="宋体" w:hAnsi="宋体" w:eastAsia="宋体"/>
          <w:b/>
          <w:color w:val="auto"/>
          <w:highlight w:val="none"/>
        </w:rPr>
      </w:pPr>
      <w:bookmarkStart w:id="145" w:name="_Toc179632566"/>
      <w:bookmarkEnd w:id="145"/>
      <w:bookmarkStart w:id="146" w:name="_Toc8434"/>
      <w:bookmarkEnd w:id="146"/>
      <w:bookmarkStart w:id="147" w:name="_Toc5822"/>
      <w:bookmarkEnd w:id="147"/>
      <w:bookmarkStart w:id="148" w:name="_Toc144974516"/>
      <w:bookmarkEnd w:id="148"/>
      <w:bookmarkStart w:id="149" w:name="_Toc152042324"/>
      <w:bookmarkEnd w:id="149"/>
      <w:bookmarkStart w:id="150" w:name="_Toc16778758"/>
      <w:bookmarkEnd w:id="150"/>
      <w:bookmarkStart w:id="151" w:name="_Toc152045548"/>
      <w:r>
        <w:rPr>
          <w:rFonts w:hint="eastAsia" w:ascii="宋体" w:hAnsi="宋体" w:eastAsia="宋体"/>
          <w:b/>
          <w:color w:val="auto"/>
          <w:highlight w:val="none"/>
        </w:rPr>
        <w:t>3.2 投标报价</w:t>
      </w:r>
      <w:bookmarkEnd w:id="151"/>
    </w:p>
    <w:p w14:paraId="6BB4D6B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3.2.1 投标报价应包括国家规定的增值税税金，除投标人须知前附表另有规定外，增值税税金按一般计税方法计算。投标人应按第</w:t>
      </w:r>
      <w:r>
        <w:rPr>
          <w:rFonts w:hint="eastAsia" w:ascii="宋体" w:hAnsi="宋体"/>
          <w:color w:val="auto"/>
          <w:sz w:val="24"/>
          <w:szCs w:val="24"/>
          <w:highlight w:val="none"/>
          <w:lang w:val="en-US" w:eastAsia="zh-CN"/>
        </w:rPr>
        <w:t>十</w:t>
      </w:r>
      <w:r>
        <w:rPr>
          <w:rFonts w:hint="eastAsia" w:ascii="宋体" w:hAnsi="宋体"/>
          <w:color w:val="auto"/>
          <w:sz w:val="24"/>
          <w:szCs w:val="24"/>
          <w:highlight w:val="none"/>
        </w:rPr>
        <w:t>章“投标文件格式”的要求在投标函中进行报价。</w:t>
      </w:r>
    </w:p>
    <w:p w14:paraId="2B9027C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（1）本项目招标采用工程量固化清单，招标人在</w:t>
      </w:r>
      <w:r>
        <w:rPr>
          <w:rFonts w:hint="eastAsia" w:ascii="宋体" w:hAnsi="宋体"/>
          <w:color w:val="auto"/>
          <w:sz w:val="24"/>
          <w:szCs w:val="24"/>
          <w:highlight w:val="none"/>
          <w:lang w:val="en-US" w:eastAsia="zh-CN"/>
        </w:rPr>
        <w:t>发布</w:t>
      </w:r>
      <w:r>
        <w:rPr>
          <w:rFonts w:hint="eastAsia" w:ascii="宋体" w:hAnsi="宋体"/>
          <w:color w:val="auto"/>
          <w:sz w:val="24"/>
          <w:szCs w:val="24"/>
          <w:highlight w:val="none"/>
        </w:rPr>
        <w:t>招标文件的同时向投标人提供工程量固化清单电子文件（光盘或U盘），或将工程量固化清单电子文件上传至投标人须知前附表载明的网站供投标人自行下载。投标人填写工程量清单中各子目的单价及总额价，即可完成投标工程量清单的编制，确定投标报价，上传至电子招标投标系统。投标人未在工程量清单中填入单价或总额价的工程子目，将被认为其已包含在工程量清单其他子目的单价和总额价中，招标人将不予支付。</w:t>
      </w:r>
    </w:p>
    <w:p w14:paraId="46832C6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必须严格遵循工程量固化清单电子文件中的数据、格式及运算定义，并将已填写完毕的投标工程量清单电子文件上传至电子招标投标系统。严禁投标人修改工程量固化清单电子文件中的数据、格式及运算定义。</w:t>
      </w:r>
    </w:p>
    <w:p w14:paraId="639BFBBE">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投标人根据招标人提供的工程量固化清单电子文件填报完成并上传至电子招标投标系统的投标工程量清单中的投标报价和投标函大写金额报价应一致，如果报价金额出现差异，其投标将被否决。</w:t>
      </w:r>
    </w:p>
    <w:p w14:paraId="6D76230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3.2.2 投标人应充分了解本项目的总体情况以及影响投标报价的其他要素。</w:t>
      </w:r>
    </w:p>
    <w:p w14:paraId="35B8EDF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3.2.3 本项目的报价方式见投标人须知前附表。投标人在投标截止时间前修改投标函中的投标总报价，应同时修改投标文件“已标价工程量清单”中的相应报价。此修改须符合本章第4.3款的有关要求。</w:t>
      </w:r>
    </w:p>
    <w:p w14:paraId="5527ED4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3.2.4 投标人如果发现工程量清单中的数量与图纸中数量不一致时，应以工程量清单中列出的数量为准。</w:t>
      </w:r>
    </w:p>
    <w:p w14:paraId="238D507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3.2.5 投标人应根据《公路水运工程安全生产监督管理办法》，在投标总价中计入安全生产费用，安全生产费用应符合合同条款第9.2.5项的规定。工程量清单第100章内列有上述安全生产费的支付子目，由投标人按招标文件的规定填写总额价。</w:t>
      </w:r>
    </w:p>
    <w:p w14:paraId="4FB16C5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3.2.6 除投标人须知前附表另有规定外，招标人不接受调价函。若招标人接受调价函，则应在招标文件中给出调价函的格式</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（不适用）</w:t>
      </w:r>
    </w:p>
    <w:p w14:paraId="0A4AD26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3.2.7 在合同实施期间，投标人填写的单价、合价和总额价是否由于物价波动进行价格调整按照合同条款第16.1款的规定处理。如果按照合同条款第16.1.1项的规定采用价格调整公式进行价格调整，由招标人根据项目实际情况测算确定价格调整公式中的变值权重范围，并在投标函附录价格指数和权重表中约定范围；投标人在此范围内填写各可调因子的权重，合同实施期间将按此权重进行调价。</w:t>
      </w:r>
    </w:p>
    <w:p w14:paraId="2B68EF9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3.2.8 招标人设有最高投标限价的，投标人的投标报价不得超过最高投标限价，最高投标限价在投标人须知前附表中载明。投标人应承诺其报价的合理性且完全满足招标人需求，且由法定代表人签字加盖单位公章。否则为未实质性响应招标文件。</w:t>
      </w:r>
    </w:p>
    <w:p w14:paraId="6D68986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3.2.9 投标报价的其他要求见投标人须知前附表。</w:t>
      </w:r>
    </w:p>
    <w:p w14:paraId="32F114E3">
      <w:pPr>
        <w:pStyle w:val="45"/>
        <w:rPr>
          <w:rFonts w:ascii="宋体" w:hAnsi="宋体" w:eastAsia="宋体"/>
          <w:b/>
          <w:color w:val="auto"/>
          <w:highlight w:val="none"/>
        </w:rPr>
      </w:pPr>
      <w:bookmarkStart w:id="152" w:name="_Toc152042325"/>
      <w:bookmarkEnd w:id="152"/>
      <w:bookmarkStart w:id="153" w:name="_Toc13884"/>
      <w:bookmarkEnd w:id="153"/>
      <w:bookmarkStart w:id="154" w:name="_Toc22036"/>
      <w:bookmarkEnd w:id="154"/>
      <w:bookmarkStart w:id="155" w:name="_Toc152045549"/>
      <w:bookmarkEnd w:id="155"/>
      <w:bookmarkStart w:id="156" w:name="_Toc179632567"/>
      <w:bookmarkEnd w:id="156"/>
      <w:bookmarkStart w:id="157" w:name="_Toc16778759"/>
      <w:bookmarkEnd w:id="157"/>
      <w:bookmarkStart w:id="158" w:name="_Toc144974517"/>
      <w:r>
        <w:rPr>
          <w:rFonts w:hint="eastAsia" w:ascii="宋体" w:hAnsi="宋体" w:eastAsia="宋体"/>
          <w:b/>
          <w:color w:val="auto"/>
          <w:highlight w:val="none"/>
        </w:rPr>
        <w:t>3.3 投标有效期</w:t>
      </w:r>
      <w:bookmarkEnd w:id="158"/>
    </w:p>
    <w:p w14:paraId="14FE47A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3.3.1 除投标人须知前附表另有规定外，投标有效期为自投标人提交投标文件截止之日起计算</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0日。</w:t>
      </w:r>
    </w:p>
    <w:p w14:paraId="5E1524F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3.3.2 在投标有效期内，投标人撤销投标文件的，应承担招标文件和法律规定的责任。</w:t>
      </w:r>
    </w:p>
    <w:p w14:paraId="7497226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3.3.3 出现特殊情况需要延长投标有效期的，招标人以通过电子招标投标系统通知所有投标人延长投标有效期。投标人应予以书面答复，同意延长的，应相应延长其投标保证金的有效期，但不得要求或被允许修改其投标文件；投标人拒绝延长的，其投标失效，但投标人有权收回其投标保证金及以现金或支票形式递交的投标保证金的银行同期活期存款利息。</w:t>
      </w:r>
    </w:p>
    <w:p w14:paraId="2A13641C">
      <w:pPr>
        <w:pStyle w:val="45"/>
        <w:spacing w:line="360" w:lineRule="auto"/>
        <w:rPr>
          <w:rFonts w:ascii="宋体" w:hAnsi="宋体" w:eastAsia="宋体"/>
          <w:b/>
          <w:color w:val="auto"/>
          <w:highlight w:val="none"/>
        </w:rPr>
      </w:pPr>
      <w:bookmarkStart w:id="159" w:name="_Toc21550"/>
      <w:bookmarkEnd w:id="159"/>
      <w:bookmarkStart w:id="160" w:name="_Toc144974518"/>
      <w:bookmarkEnd w:id="160"/>
      <w:bookmarkStart w:id="161" w:name="_Toc152045550"/>
      <w:bookmarkEnd w:id="161"/>
      <w:bookmarkStart w:id="162" w:name="_Toc16778760"/>
      <w:bookmarkEnd w:id="162"/>
      <w:bookmarkStart w:id="163" w:name="_Toc6097"/>
      <w:bookmarkEnd w:id="163"/>
      <w:bookmarkStart w:id="164" w:name="_Toc152042326"/>
      <w:bookmarkEnd w:id="164"/>
      <w:bookmarkStart w:id="165" w:name="_Toc179632568"/>
      <w:r>
        <w:rPr>
          <w:rFonts w:hint="eastAsia" w:ascii="宋体" w:hAnsi="宋体" w:eastAsia="宋体"/>
          <w:b/>
          <w:color w:val="auto"/>
          <w:highlight w:val="none"/>
        </w:rPr>
        <w:t>3.4 投标保证金</w:t>
      </w:r>
      <w:bookmarkEnd w:id="165"/>
    </w:p>
    <w:p w14:paraId="0F029915">
      <w:pPr>
        <w:spacing w:line="360" w:lineRule="auto"/>
        <w:ind w:firstLine="480" w:firstLineChars="200"/>
        <w:rPr>
          <w:rFonts w:ascii="宋体" w:hAnsi="宋体"/>
          <w:color w:val="auto"/>
          <w:sz w:val="24"/>
          <w:szCs w:val="24"/>
          <w:highlight w:val="none"/>
        </w:rPr>
      </w:pPr>
      <w:bookmarkStart w:id="166" w:name="_Toc179632569"/>
      <w:bookmarkEnd w:id="166"/>
      <w:bookmarkStart w:id="167" w:name="_Toc144974519"/>
      <w:bookmarkEnd w:id="167"/>
      <w:bookmarkStart w:id="168" w:name="_Toc152042327"/>
      <w:bookmarkEnd w:id="168"/>
      <w:bookmarkStart w:id="169" w:name="_Toc152045551"/>
      <w:r>
        <w:rPr>
          <w:rFonts w:hint="eastAsia" w:ascii="宋体" w:hAnsi="宋体"/>
          <w:color w:val="auto"/>
          <w:sz w:val="24"/>
          <w:szCs w:val="24"/>
          <w:highlight w:val="none"/>
        </w:rPr>
        <w:t>3.4.1 投标人在递交投标文件的同时，应按投标人须知前附表规定的金额和第</w:t>
      </w:r>
      <w:r>
        <w:rPr>
          <w:rFonts w:hint="eastAsia" w:ascii="宋体" w:hAnsi="宋体"/>
          <w:color w:val="auto"/>
          <w:sz w:val="24"/>
          <w:szCs w:val="24"/>
          <w:highlight w:val="none"/>
          <w:lang w:val="en-US" w:eastAsia="zh-CN"/>
        </w:rPr>
        <w:t>十</w:t>
      </w:r>
      <w:r>
        <w:rPr>
          <w:rFonts w:hint="eastAsia" w:ascii="宋体" w:hAnsi="宋体"/>
          <w:color w:val="auto"/>
          <w:sz w:val="24"/>
          <w:szCs w:val="24"/>
          <w:highlight w:val="none"/>
        </w:rPr>
        <w:t>章“投标文件格式”规定的投标保证金格式递交投标保证金，并作为其投标文件的组成部分。</w:t>
      </w:r>
      <w:bookmarkEnd w:id="169"/>
    </w:p>
    <w:p w14:paraId="7B0EEBB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投标保证金应采用现金、支票</w:t>
      </w:r>
      <w:r>
        <w:rPr>
          <w:rFonts w:hint="eastAsia" w:ascii="宋体" w:hAnsi="宋体"/>
          <w:color w:val="auto"/>
          <w:sz w:val="24"/>
          <w:szCs w:val="24"/>
          <w:highlight w:val="none"/>
          <w:lang w:eastAsia="zh-CN"/>
        </w:rPr>
        <w:t>、银行保函</w:t>
      </w:r>
      <w:r>
        <w:rPr>
          <w:rFonts w:hint="eastAsia" w:ascii="宋体" w:hAnsi="宋体"/>
          <w:color w:val="auto"/>
          <w:sz w:val="24"/>
          <w:szCs w:val="24"/>
          <w:highlight w:val="none"/>
        </w:rPr>
        <w:t>或招标人在投标人须知前附表规定的其他形式。</w:t>
      </w:r>
    </w:p>
    <w:p w14:paraId="0F876145">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（1）若采用现金或支票，投标人应在递交投标文件截止时间之前，将投标保证金由投标人的基本账户转入招标人指定账户，否则视为投标保证金无效。招标人指定的开户银行及账号见投标人须知前附表。</w:t>
      </w:r>
    </w:p>
    <w:p w14:paraId="7F25EC1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（2）若采用银行保函，则应由符合投标人须知前附表规定级别的银行开具，并采用招标文件提供的格式。</w:t>
      </w:r>
    </w:p>
    <w:p w14:paraId="7E77EA4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无论采取何种形式的投标保证金，投标保证金有效期均应与投标有效期一致。招标人如果按本章第3.3.3项的规定延长了投标有效期，则投标保证金的有效期也相应延长。</w:t>
      </w:r>
    </w:p>
    <w:p w14:paraId="3BBA877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3.4.2 投标人不按本章第3.4.1项要求提交投标保证金的，评标委员会将否决其投标。</w:t>
      </w:r>
    </w:p>
    <w:p w14:paraId="0E36166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3.4.3 招标人最迟将在中标通知书发出后5日内向中标候选人以外的其他投标人退还投标保证金，与中标人签订合同后5日内向中标人和其他中标候选人退还投标保证金。投标保证金以现金或支票形式递交的，招标人应同时退还投标保证金的银行同期活期存款利息，且退还至投标人的基本账户。</w:t>
      </w:r>
    </w:p>
    <w:p w14:paraId="1218F92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利息计算原则见投标人须知前附表。</w:t>
      </w:r>
    </w:p>
    <w:p w14:paraId="586567C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3.4.4 有下列情形之一的，投标保证金将不予退还：</w:t>
      </w:r>
    </w:p>
    <w:p w14:paraId="3280961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（1）投标人在投标有效期内撤销投标文件；</w:t>
      </w:r>
    </w:p>
    <w:p w14:paraId="4C32A08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（2）中标人在收到中标通知书后，无正当理由不与招标人订立合同，在签订合同时向招标人提出附加条件，或不按照招标文件要求提交履约保证金；</w:t>
      </w:r>
    </w:p>
    <w:p w14:paraId="0F2345D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（3）发生投标人须知前附表规定的其他可以不予退还投标保证金的情形。</w:t>
      </w:r>
    </w:p>
    <w:p w14:paraId="3BFC7728">
      <w:pPr>
        <w:pStyle w:val="45"/>
        <w:spacing w:line="360" w:lineRule="auto"/>
        <w:rPr>
          <w:rFonts w:ascii="宋体" w:hAnsi="宋体" w:eastAsia="宋体"/>
          <w:b/>
          <w:color w:val="auto"/>
          <w:highlight w:val="none"/>
        </w:rPr>
      </w:pPr>
      <w:bookmarkStart w:id="170" w:name="_Toc16778761"/>
      <w:bookmarkEnd w:id="170"/>
      <w:bookmarkStart w:id="171" w:name="_Toc21969"/>
      <w:bookmarkEnd w:id="171"/>
      <w:bookmarkStart w:id="172" w:name="_Toc32474"/>
      <w:r>
        <w:rPr>
          <w:rFonts w:hint="eastAsia" w:ascii="宋体" w:hAnsi="宋体" w:eastAsia="宋体"/>
          <w:b/>
          <w:color w:val="auto"/>
          <w:highlight w:val="none"/>
        </w:rPr>
        <w:t>3.5 资格审查资料</w:t>
      </w:r>
      <w:bookmarkEnd w:id="172"/>
    </w:p>
    <w:p w14:paraId="4159A2B4">
      <w:pPr>
        <w:spacing w:line="360" w:lineRule="auto"/>
        <w:ind w:firstLine="480" w:firstLineChars="200"/>
        <w:rPr>
          <w:rFonts w:ascii="宋体" w:hAnsi="宋体"/>
          <w:color w:val="auto"/>
          <w:sz w:val="24"/>
          <w:szCs w:val="24"/>
          <w:highlight w:val="none"/>
        </w:rPr>
      </w:pPr>
      <w:bookmarkStart w:id="173" w:name="_Toc144974521"/>
      <w:bookmarkEnd w:id="173"/>
      <w:bookmarkStart w:id="174" w:name="_Toc179632571"/>
      <w:bookmarkEnd w:id="174"/>
      <w:bookmarkStart w:id="175" w:name="_Toc152042329"/>
      <w:bookmarkEnd w:id="175"/>
      <w:bookmarkStart w:id="176" w:name="_Toc152045553"/>
      <w:r>
        <w:rPr>
          <w:rFonts w:hint="eastAsia" w:ascii="宋体" w:hAnsi="宋体"/>
          <w:color w:val="auto"/>
          <w:sz w:val="24"/>
          <w:szCs w:val="24"/>
          <w:highlight w:val="none"/>
        </w:rPr>
        <w:t>除投标人须知前附表另有规定外，投标人应按下列规定提供资格审查资料，以证明其满足本章第1.4款规定的资质、财务、业绩、信誉等要求。</w:t>
      </w:r>
      <w:bookmarkEnd w:id="176"/>
    </w:p>
    <w:p w14:paraId="6AD9F4C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3.5.1 “投标人基本情况表”应附企业法人营业执照副本（按照“三证合一”或“五证合一”登记制度进行登记的，可仅提供营业执照副本，下同）、施工资质证书副本、安全生产许可证副本、基本账户开户许可证或开户证明的扫描件上传至电子招标投标系统</w:t>
      </w:r>
      <w:r>
        <w:rPr>
          <w:rFonts w:hint="eastAsia" w:ascii="宋体" w:hAnsi="宋体"/>
          <w:color w:val="auto"/>
          <w:sz w:val="24"/>
          <w:szCs w:val="24"/>
          <w:highlight w:val="none"/>
          <w:lang w:eastAsia="zh-CN"/>
        </w:rPr>
        <w:t>。</w:t>
      </w:r>
      <w:r>
        <w:rPr>
          <w:rFonts w:hint="eastAsia" w:ascii="宋体" w:hAnsi="宋体"/>
          <w:color w:val="auto"/>
          <w:sz w:val="24"/>
          <w:szCs w:val="24"/>
          <w:highlight w:val="none"/>
        </w:rPr>
        <w:t>投标人在国家企业信用信息公示系统中基础信息（体现股东及出资详细信息）的网页截图或由法定的社会验资机构出具的验资报告或注册地工商部门出具的股东出资情况证明扫描件上传至电子招标投标系统。</w:t>
      </w:r>
    </w:p>
    <w:p w14:paraId="7E42813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企业法人营业执照副本、施工资质证书副本、安全生产许可证副本、基本账户开户许可证或开户证明的扫描件，应包括投标人名称、投标人其他相关信息、颁发机构名称、投标人信息变更情况等关键页在内，并逐页加盖投标人单位章。</w:t>
      </w:r>
    </w:p>
    <w:p w14:paraId="398B2DF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3.5.2 “财务状况表”应附经会计师事务所或审计机构审计的财务会计报表，包括资产负债表、现金流量表、利润表和财务情况说明书（附注）的复印件，具体年份要求见投标人须知前附表。投标人的成立时间少于投标人须知前附表规定年份的，应提供成立以来的财务状况表。</w:t>
      </w:r>
    </w:p>
    <w:p w14:paraId="0FEB806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3.5.3 “近年完成的类似项目”应附相应的合同协议书、中标通知书材料，具体时间要求见投标人须知前附表。</w:t>
      </w:r>
    </w:p>
    <w:p w14:paraId="09ABF06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3.5.4 “投标人的信誉情况表”应附投标人在国家企业信用信息公示系统中未被列入严重违法失信企业名单、在“信用中国”网站中未被列入失信被执行人名单的网页截图扫描件上传至电子招标投标系统。</w:t>
      </w:r>
    </w:p>
    <w:p w14:paraId="023DE3DD">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3.5.5 “拟委任的项目经理和项目总工资历表”应附项目经理和项目总工的身份证、职称资格证书以及资格审查条件所要求的其他相关证书（如建造师注册证书、安全生产考核合格证书等）的扫描件上传至电子招标投标系统，投标人所属社保机构出具的拟委任的项目经理和项目总工的社保缴费证明或其他能够证明拟委任的项目经理和项目总工参加社保的有效证明材料扫描件上传至电子招标投标系统</w:t>
      </w:r>
      <w:r>
        <w:rPr>
          <w:rFonts w:hint="eastAsia" w:ascii="宋体" w:hAnsi="宋体"/>
          <w:color w:val="auto"/>
          <w:sz w:val="24"/>
          <w:szCs w:val="24"/>
          <w:highlight w:val="none"/>
          <w:lang w:val="en-US" w:eastAsia="zh-CN"/>
        </w:rPr>
        <w:t>（提供2025年以来近六个月社保证明）</w:t>
      </w:r>
      <w:r>
        <w:rPr>
          <w:rFonts w:hint="eastAsia" w:ascii="宋体" w:hAnsi="宋体"/>
          <w:color w:val="auto"/>
          <w:sz w:val="24"/>
          <w:szCs w:val="24"/>
          <w:highlight w:val="none"/>
        </w:rPr>
        <w:t>。</w:t>
      </w:r>
    </w:p>
    <w:p w14:paraId="5AF8222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如项目经理或项目总工目前仍在其他项目上任职，则投标人应提供由该项目发包人出具的、承诺上述人员能够从该项目撤离的书面证明材料原件的扫描件上传至电子招标投标系统。</w:t>
      </w:r>
    </w:p>
    <w:p w14:paraId="67412D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3.5.6 “拟委任的其他管理和技术人员汇总表”(如有)应填报满足投标人须知前附表附录6规定的其他人员的相关信息。“拟委任的其他管理和技术人员资历表”（如有）中相关人员应附身份证、职称资格证书以及资格审查条件所要求的其他相关证书的的</w:t>
      </w:r>
      <w:r>
        <w:rPr>
          <w:rFonts w:hint="eastAsia" w:ascii="宋体" w:hAnsi="宋体"/>
          <w:color w:val="auto"/>
          <w:sz w:val="24"/>
          <w:szCs w:val="24"/>
          <w:highlight w:val="none"/>
          <w:lang w:eastAsia="zh-CN"/>
        </w:rPr>
        <w:t>扫描件</w:t>
      </w:r>
      <w:r>
        <w:rPr>
          <w:rFonts w:hint="eastAsia" w:ascii="宋体" w:hAnsi="宋体"/>
          <w:color w:val="auto"/>
          <w:sz w:val="24"/>
          <w:szCs w:val="24"/>
          <w:highlight w:val="none"/>
        </w:rPr>
        <w:t>件</w:t>
      </w:r>
      <w:r>
        <w:rPr>
          <w:rFonts w:hint="eastAsia" w:ascii="宋体" w:hAnsi="宋体"/>
          <w:color w:val="auto"/>
          <w:sz w:val="24"/>
          <w:szCs w:val="24"/>
          <w:highlight w:val="none"/>
          <w:lang w:eastAsia="zh-CN"/>
        </w:rPr>
        <w:t>，</w:t>
      </w:r>
      <w:r>
        <w:rPr>
          <w:rFonts w:hint="eastAsia" w:ascii="宋体" w:hAnsi="宋体"/>
          <w:color w:val="auto"/>
          <w:sz w:val="24"/>
          <w:szCs w:val="24"/>
          <w:highlight w:val="none"/>
        </w:rPr>
        <w:t>投标人所属社保机构出具社保缴费证明或参加社保的有效证明材料</w:t>
      </w:r>
      <w:r>
        <w:rPr>
          <w:rFonts w:hint="eastAsia" w:ascii="宋体" w:hAnsi="宋体"/>
          <w:color w:val="auto"/>
          <w:sz w:val="24"/>
          <w:szCs w:val="24"/>
          <w:highlight w:val="none"/>
          <w:lang w:val="en-US" w:eastAsia="zh-CN"/>
        </w:rPr>
        <w:t>（提供2025年以来近六个月社保证明）</w:t>
      </w:r>
      <w:r>
        <w:rPr>
          <w:rFonts w:hint="eastAsia" w:ascii="宋体" w:hAnsi="宋体"/>
          <w:color w:val="auto"/>
          <w:sz w:val="24"/>
          <w:szCs w:val="24"/>
          <w:highlight w:val="none"/>
        </w:rPr>
        <w:t>。</w:t>
      </w:r>
    </w:p>
    <w:p w14:paraId="5B3E07A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3.5.7 “拟投入本标段的主要施工机械表”</w:t>
      </w:r>
      <w:r>
        <w:rPr>
          <w:rFonts w:hint="eastAsia" w:ascii="宋体" w:hAnsi="宋体"/>
          <w:color w:val="auto"/>
          <w:sz w:val="24"/>
          <w:szCs w:val="24"/>
          <w:highlight w:val="none"/>
          <w:lang w:eastAsia="zh-CN"/>
        </w:rPr>
        <w:t>拟配备本标段的主要材料试验、测量、质检仪器设备表（如有）</w:t>
      </w:r>
      <w:r>
        <w:rPr>
          <w:rFonts w:hint="eastAsia" w:ascii="宋体" w:hAnsi="宋体"/>
          <w:color w:val="auto"/>
          <w:sz w:val="24"/>
          <w:szCs w:val="24"/>
          <w:highlight w:val="none"/>
        </w:rPr>
        <w:t>应填报满足投标人须知前附表附录7规定的机械设备</w:t>
      </w:r>
      <w:r>
        <w:rPr>
          <w:rFonts w:hint="eastAsia" w:ascii="宋体" w:hAnsi="宋体"/>
          <w:color w:val="auto"/>
          <w:sz w:val="24"/>
          <w:szCs w:val="24"/>
          <w:highlight w:val="none"/>
          <w:lang w:eastAsia="zh-CN"/>
        </w:rPr>
        <w:t>和试验检测设备</w:t>
      </w:r>
      <w:r>
        <w:rPr>
          <w:rFonts w:hint="eastAsia" w:ascii="宋体" w:hAnsi="宋体"/>
          <w:color w:val="auto"/>
          <w:sz w:val="24"/>
          <w:szCs w:val="24"/>
          <w:highlight w:val="none"/>
        </w:rPr>
        <w:t>。</w:t>
      </w:r>
    </w:p>
    <w:p w14:paraId="2ADADE54">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3.5.8 投标人须知前附表规定接受联合体投标的，本章第 3.5.1 项至第 3.5.7 项规定的表格和资料应包括联合体各方相关情况。（不适用）</w:t>
      </w:r>
    </w:p>
    <w:p w14:paraId="37A31BF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3.5.9 除合同条款约定的特殊情形外，投标人在投标文件中填报的项目经理和项目总工不允许更换。</w:t>
      </w:r>
    </w:p>
    <w:p w14:paraId="026DFA6B">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3.5.10</w:t>
      </w:r>
      <w:r>
        <w:rPr>
          <w:rFonts w:hint="eastAsia" w:ascii="宋体" w:hAnsi="宋体"/>
          <w:color w:val="auto"/>
          <w:sz w:val="24"/>
          <w:szCs w:val="24"/>
          <w:highlight w:val="none"/>
        </w:rPr>
        <w:t>招标人有权核查投标人在投标文件中提供的资料，若在评标期间发现投标人提供了虚假资料，其投标将被否决；若在签订合同前发现作为中标候选人的投标人提供了虚假资料，招标人有权取消其中标资格；若在合同实施期间发现投标人提供了虚假资料，招标人有权从工程支付款或履约保证金中扣除不超过10％签约合同价的金额作为违约金。</w:t>
      </w:r>
    </w:p>
    <w:p w14:paraId="58B2ECA7">
      <w:pPr>
        <w:pStyle w:val="45"/>
        <w:spacing w:line="360" w:lineRule="auto"/>
        <w:rPr>
          <w:rFonts w:ascii="宋体" w:hAnsi="宋体" w:eastAsia="宋体"/>
          <w:b/>
          <w:color w:val="auto"/>
          <w:highlight w:val="none"/>
        </w:rPr>
      </w:pPr>
      <w:bookmarkStart w:id="177" w:name="_Toc16778762"/>
      <w:bookmarkEnd w:id="177"/>
      <w:bookmarkStart w:id="178" w:name="_Toc22396"/>
      <w:bookmarkEnd w:id="178"/>
      <w:bookmarkStart w:id="179" w:name="_Toc19164"/>
      <w:r>
        <w:rPr>
          <w:rFonts w:hint="eastAsia" w:ascii="宋体" w:hAnsi="宋体" w:eastAsia="宋体"/>
          <w:b/>
          <w:color w:val="auto"/>
          <w:highlight w:val="none"/>
        </w:rPr>
        <w:t>3.6 备选投标方案</w:t>
      </w:r>
      <w:bookmarkEnd w:id="179"/>
      <w:r>
        <w:rPr>
          <w:rFonts w:hint="eastAsia" w:ascii="宋体" w:hAnsi="宋体" w:eastAsia="宋体"/>
          <w:b/>
          <w:color w:val="auto"/>
          <w:highlight w:val="none"/>
        </w:rPr>
        <w:t>（不允许）</w:t>
      </w:r>
    </w:p>
    <w:p w14:paraId="522A7969">
      <w:pPr>
        <w:pStyle w:val="45"/>
        <w:spacing w:line="360" w:lineRule="auto"/>
        <w:rPr>
          <w:rFonts w:ascii="宋体" w:hAnsi="宋体" w:eastAsia="宋体"/>
          <w:b/>
          <w:color w:val="auto"/>
          <w:highlight w:val="none"/>
        </w:rPr>
      </w:pPr>
      <w:bookmarkStart w:id="180" w:name="_Toc144974522"/>
      <w:bookmarkEnd w:id="180"/>
      <w:bookmarkStart w:id="181" w:name="_Toc152042330"/>
      <w:bookmarkEnd w:id="181"/>
      <w:bookmarkStart w:id="182" w:name="_Toc179632572"/>
      <w:bookmarkEnd w:id="182"/>
      <w:bookmarkStart w:id="183" w:name="_Toc20758"/>
      <w:bookmarkEnd w:id="183"/>
      <w:bookmarkStart w:id="184" w:name="_Toc29828"/>
      <w:bookmarkEnd w:id="184"/>
      <w:bookmarkStart w:id="185" w:name="_Toc152045554"/>
      <w:bookmarkEnd w:id="185"/>
      <w:bookmarkStart w:id="186" w:name="_Toc16778763"/>
      <w:r>
        <w:rPr>
          <w:rFonts w:hint="eastAsia" w:ascii="宋体" w:hAnsi="宋体" w:eastAsia="宋体"/>
          <w:b/>
          <w:color w:val="auto"/>
          <w:highlight w:val="none"/>
        </w:rPr>
        <w:t>3.7 投标文件的编制</w:t>
      </w:r>
      <w:bookmarkEnd w:id="186"/>
    </w:p>
    <w:p w14:paraId="3D599EE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3.7.1 投标文件应按第</w:t>
      </w:r>
      <w:r>
        <w:rPr>
          <w:rFonts w:hint="eastAsia" w:ascii="宋体" w:hAnsi="宋体"/>
          <w:color w:val="auto"/>
          <w:sz w:val="24"/>
          <w:szCs w:val="24"/>
          <w:highlight w:val="none"/>
          <w:lang w:val="en-US" w:eastAsia="zh-CN"/>
        </w:rPr>
        <w:t>十</w:t>
      </w:r>
      <w:r>
        <w:rPr>
          <w:rFonts w:hint="eastAsia" w:ascii="宋体" w:hAnsi="宋体"/>
          <w:color w:val="auto"/>
          <w:sz w:val="24"/>
          <w:szCs w:val="24"/>
          <w:highlight w:val="none"/>
        </w:rPr>
        <w:t>章“投标文件格式”进行编写，如有必要，可以增加附页，作为投标文件的组成部分。其中，投标函附录在满足招标文件实质性要求的基础上，可以提出比招标文件要求更有利于招标人的承诺。</w:t>
      </w:r>
    </w:p>
    <w:p w14:paraId="05298E3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3.7.2 投标文件应对招标文件有关工期、投标有效期、质量要求、安全目标、技术标准和要求、招标范围等实质性内容作出</w:t>
      </w:r>
      <w:r>
        <w:rPr>
          <w:rFonts w:hint="eastAsia" w:ascii="宋体" w:hAnsi="宋体"/>
          <w:color w:val="auto"/>
          <w:sz w:val="24"/>
          <w:szCs w:val="24"/>
          <w:highlight w:val="none"/>
          <w:lang w:val="en-US" w:eastAsia="zh-CN"/>
        </w:rPr>
        <w:t>书面</w:t>
      </w:r>
      <w:r>
        <w:rPr>
          <w:rFonts w:hint="eastAsia" w:ascii="宋体" w:hAnsi="宋体"/>
          <w:color w:val="auto"/>
          <w:sz w:val="24"/>
          <w:szCs w:val="24"/>
          <w:highlight w:val="none"/>
        </w:rPr>
        <w:t>响应。</w:t>
      </w:r>
    </w:p>
    <w:p w14:paraId="3775D78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3.7.3 </w:t>
      </w:r>
      <w:bookmarkStart w:id="187" w:name="_Toc152042331"/>
      <w:bookmarkEnd w:id="187"/>
      <w:bookmarkStart w:id="188" w:name="_Toc16778764"/>
      <w:bookmarkEnd w:id="188"/>
      <w:bookmarkStart w:id="189" w:name="_Toc179632573"/>
      <w:bookmarkEnd w:id="189"/>
      <w:bookmarkStart w:id="190" w:name="_Toc144974523"/>
      <w:bookmarkEnd w:id="190"/>
      <w:bookmarkStart w:id="191" w:name="_Toc152045555"/>
      <w:r>
        <w:rPr>
          <w:rFonts w:hint="eastAsia" w:ascii="宋体" w:hAnsi="宋体"/>
          <w:color w:val="auto"/>
          <w:sz w:val="24"/>
          <w:szCs w:val="24"/>
          <w:highlight w:val="none"/>
        </w:rPr>
        <w:t>投标文件</w:t>
      </w:r>
      <w:r>
        <w:rPr>
          <w:rFonts w:hint="eastAsia" w:ascii="宋体" w:hAnsi="宋体"/>
          <w:color w:val="auto"/>
          <w:sz w:val="24"/>
          <w:szCs w:val="24"/>
          <w:highlight w:val="none"/>
          <w:lang w:eastAsia="zh-CN"/>
        </w:rPr>
        <w:t>的</w:t>
      </w:r>
      <w:r>
        <w:rPr>
          <w:rFonts w:hint="eastAsia" w:ascii="宋体" w:hAnsi="宋体"/>
          <w:color w:val="auto"/>
          <w:sz w:val="24"/>
          <w:szCs w:val="24"/>
          <w:highlight w:val="none"/>
        </w:rPr>
        <w:t>制作</w:t>
      </w:r>
      <w:r>
        <w:rPr>
          <w:rFonts w:hint="eastAsia" w:ascii="宋体" w:hAnsi="宋体"/>
          <w:color w:val="auto"/>
          <w:sz w:val="24"/>
          <w:szCs w:val="24"/>
          <w:highlight w:val="none"/>
          <w:lang w:eastAsia="zh-CN"/>
        </w:rPr>
        <w:t>应满足以下规定</w:t>
      </w:r>
      <w:r>
        <w:rPr>
          <w:rFonts w:hint="eastAsia" w:ascii="宋体" w:hAnsi="宋体"/>
          <w:color w:val="auto"/>
          <w:sz w:val="24"/>
          <w:szCs w:val="24"/>
          <w:highlight w:val="none"/>
        </w:rPr>
        <w:t>：</w:t>
      </w:r>
      <w:bookmarkEnd w:id="191"/>
    </w:p>
    <w:p w14:paraId="1C5C577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（1）投标文件由投标人使用“驻马店市公共资源交易平台”自带的“投标文件制作工具”制作生成。</w:t>
      </w:r>
    </w:p>
    <w:p w14:paraId="7DF86BA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（2）投标人在编制投标文件时应建立分级目录，并按照标签提示导入相关内容。</w:t>
      </w:r>
    </w:p>
    <w:p w14:paraId="4E54DF9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（3）投标文件中证明资料的“复印件”均为“原件的扫描件”。</w:t>
      </w:r>
    </w:p>
    <w:p w14:paraId="6251D8F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（4）投标文件中的已标价报价清单数据文件应与招标人提供的报价清单数据文件格式一致。</w:t>
      </w:r>
    </w:p>
    <w:p w14:paraId="10E9FB7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（5）第</w:t>
      </w:r>
      <w:r>
        <w:rPr>
          <w:rFonts w:hint="eastAsia" w:ascii="宋体" w:hAnsi="宋体"/>
          <w:color w:val="auto"/>
          <w:sz w:val="24"/>
          <w:szCs w:val="24"/>
          <w:highlight w:val="none"/>
          <w:lang w:val="en-US" w:eastAsia="zh-CN"/>
        </w:rPr>
        <w:t>十</w:t>
      </w:r>
      <w:r>
        <w:rPr>
          <w:rFonts w:hint="eastAsia" w:ascii="宋体" w:hAnsi="宋体"/>
          <w:color w:val="auto"/>
          <w:sz w:val="24"/>
          <w:szCs w:val="24"/>
          <w:highlight w:val="none"/>
        </w:rPr>
        <w:t>章“投标文件格式”中要求盖单位章和（或）签字的地方，投标人均应使用 CA 数字证书加盖投标人的单位电子印章和（或）法定代表人的个人电子印章或电子签名章。</w:t>
      </w:r>
    </w:p>
    <w:p w14:paraId="781033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（6）投标文件制作完成后，投标人应使用 CA 数字证书对投标文件进行文件加密，形成加密的投标文件。</w:t>
      </w:r>
    </w:p>
    <w:p w14:paraId="24B0047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（7）投标文件制作的具体方法详见“投标文件制作工具”中的帮助文档。</w:t>
      </w:r>
    </w:p>
    <w:p w14:paraId="549BCF3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3.7.4投标文件副本份数及其他要求：见投标人须知前附表。</w:t>
      </w:r>
    </w:p>
    <w:p w14:paraId="2F3DCE61">
      <w:pPr>
        <w:pStyle w:val="44"/>
        <w:spacing w:line="360" w:lineRule="auto"/>
        <w:rPr>
          <w:rFonts w:ascii="宋体" w:hAnsi="宋体" w:eastAsia="宋体"/>
          <w:b/>
          <w:color w:val="auto"/>
          <w:highlight w:val="none"/>
        </w:rPr>
      </w:pPr>
      <w:bookmarkStart w:id="192" w:name="_Toc29042"/>
      <w:bookmarkEnd w:id="192"/>
      <w:bookmarkStart w:id="193" w:name="_Toc23390"/>
      <w:r>
        <w:rPr>
          <w:rFonts w:hint="eastAsia" w:ascii="宋体" w:hAnsi="宋体" w:eastAsia="宋体"/>
          <w:b/>
          <w:color w:val="auto"/>
          <w:highlight w:val="none"/>
        </w:rPr>
        <w:t>4. 投标</w:t>
      </w:r>
      <w:bookmarkEnd w:id="193"/>
    </w:p>
    <w:p w14:paraId="4791DAE7">
      <w:pPr>
        <w:pStyle w:val="45"/>
        <w:spacing w:line="360" w:lineRule="auto"/>
        <w:rPr>
          <w:rFonts w:hint="eastAsia" w:ascii="宋体" w:hAnsi="宋体" w:eastAsia="宋体"/>
          <w:b/>
          <w:color w:val="auto"/>
          <w:highlight w:val="none"/>
          <w:lang w:eastAsia="zh-CN"/>
        </w:rPr>
      </w:pPr>
      <w:bookmarkStart w:id="194" w:name="_Toc144974524"/>
      <w:bookmarkEnd w:id="194"/>
      <w:bookmarkStart w:id="195" w:name="_Toc16585"/>
      <w:bookmarkEnd w:id="195"/>
      <w:bookmarkStart w:id="196" w:name="_Toc179632574"/>
      <w:bookmarkEnd w:id="196"/>
      <w:bookmarkStart w:id="197" w:name="_Toc25042"/>
      <w:bookmarkEnd w:id="197"/>
      <w:bookmarkStart w:id="198" w:name="_Toc152042332"/>
      <w:bookmarkEnd w:id="198"/>
      <w:bookmarkStart w:id="199" w:name="_Toc16778765"/>
      <w:bookmarkEnd w:id="199"/>
      <w:bookmarkStart w:id="200" w:name="_Toc152045556"/>
      <w:r>
        <w:rPr>
          <w:rFonts w:hint="eastAsia" w:ascii="宋体" w:hAnsi="宋体" w:eastAsia="宋体"/>
          <w:b/>
          <w:color w:val="auto"/>
          <w:highlight w:val="none"/>
        </w:rPr>
        <w:t>4.1 投标文件的</w:t>
      </w:r>
      <w:bookmarkEnd w:id="200"/>
      <w:r>
        <w:rPr>
          <w:rFonts w:hint="eastAsia" w:ascii="宋体" w:hAnsi="宋体" w:eastAsia="宋体"/>
          <w:b/>
          <w:color w:val="auto"/>
          <w:highlight w:val="none"/>
          <w:lang w:eastAsia="zh-CN"/>
        </w:rPr>
        <w:t>加密</w:t>
      </w:r>
    </w:p>
    <w:p w14:paraId="10AC7E7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4.1.1投标文件应按照本章第 3.7.3 项要求制作并加密，未按要求加密的投标文件，招标人（“驻马店市公共资源交易平台”）将拒绝接收并提示。 </w:t>
      </w:r>
    </w:p>
    <w:p w14:paraId="0ACEEF17">
      <w:pPr>
        <w:pStyle w:val="45"/>
        <w:spacing w:line="360" w:lineRule="auto"/>
        <w:rPr>
          <w:rFonts w:ascii="宋体" w:hAnsi="宋体" w:eastAsia="宋体"/>
          <w:b/>
          <w:color w:val="auto"/>
          <w:highlight w:val="none"/>
        </w:rPr>
      </w:pPr>
      <w:bookmarkStart w:id="201" w:name="_Toc179632575"/>
      <w:bookmarkEnd w:id="201"/>
      <w:bookmarkStart w:id="202" w:name="_Toc152045557"/>
      <w:bookmarkEnd w:id="202"/>
      <w:bookmarkStart w:id="203" w:name="_Toc16778766"/>
      <w:bookmarkEnd w:id="203"/>
      <w:bookmarkStart w:id="204" w:name="_Toc12881"/>
      <w:bookmarkEnd w:id="204"/>
      <w:bookmarkStart w:id="205" w:name="_Toc144974525"/>
      <w:bookmarkEnd w:id="205"/>
      <w:bookmarkStart w:id="206" w:name="_Toc152042333"/>
      <w:bookmarkEnd w:id="206"/>
      <w:bookmarkStart w:id="207" w:name="_Toc29063"/>
      <w:r>
        <w:rPr>
          <w:rFonts w:hint="eastAsia" w:ascii="宋体" w:hAnsi="宋体" w:eastAsia="宋体"/>
          <w:b/>
          <w:color w:val="auto"/>
          <w:highlight w:val="none"/>
        </w:rPr>
        <w:t>4.2 投标文件的递交</w:t>
      </w:r>
      <w:bookmarkEnd w:id="207"/>
    </w:p>
    <w:p w14:paraId="661901F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4.2.1 投标人应在第一章“招标公告”或“投标邀请书”规定的投标截止时间前，通过互联网使用 CA 数字证书登录“驻马店市公共资源交易平台”，将加密的投标文件上传，并保存上传成功后系统自动生成的电子签收凭证，递交时间即为电子签收凭证时间。投标人应充分考虑上传文件时的不可预见因素，未在投标截止时间前完成上传的，视为逾期送达，招标人（“驻马店市公共资源交易平台”）将拒绝接收。</w:t>
      </w:r>
    </w:p>
    <w:p w14:paraId="41CA441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4.2.2 根据本章第 4.1 款的规定，投标人递交的投标文件，只要出现应当拒收的情形，其投标文件予以拒收。</w:t>
      </w:r>
    </w:p>
    <w:p w14:paraId="60E3048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4.2.3除投标人须知前附表另有规定外，投标人所递交的投标文件不予退还。</w:t>
      </w:r>
    </w:p>
    <w:p w14:paraId="5A344ADB">
      <w:pPr>
        <w:pStyle w:val="45"/>
        <w:spacing w:line="360" w:lineRule="auto"/>
        <w:rPr>
          <w:rFonts w:ascii="宋体" w:hAnsi="宋体" w:eastAsia="宋体"/>
          <w:b/>
          <w:color w:val="auto"/>
          <w:highlight w:val="none"/>
        </w:rPr>
      </w:pPr>
      <w:bookmarkStart w:id="208" w:name="_Toc152045558"/>
      <w:bookmarkEnd w:id="208"/>
      <w:bookmarkStart w:id="209" w:name="_Toc16778767"/>
      <w:bookmarkEnd w:id="209"/>
      <w:bookmarkStart w:id="210" w:name="_Toc24664"/>
      <w:bookmarkEnd w:id="210"/>
      <w:bookmarkStart w:id="211" w:name="_Toc152042334"/>
      <w:bookmarkEnd w:id="211"/>
      <w:bookmarkStart w:id="212" w:name="_Toc144974526"/>
      <w:bookmarkEnd w:id="212"/>
      <w:bookmarkStart w:id="213" w:name="_Toc26962"/>
      <w:bookmarkEnd w:id="213"/>
      <w:bookmarkStart w:id="214" w:name="_Toc179632576"/>
      <w:r>
        <w:rPr>
          <w:rFonts w:hint="eastAsia" w:ascii="宋体" w:hAnsi="宋体" w:eastAsia="宋体"/>
          <w:b/>
          <w:color w:val="auto"/>
          <w:highlight w:val="none"/>
        </w:rPr>
        <w:t>4.3 投标文件的修改与撤回</w:t>
      </w:r>
      <w:bookmarkEnd w:id="214"/>
    </w:p>
    <w:p w14:paraId="6591239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4.3.1 在本章第4.2.1项规定的投标截止时间前，投标人可以修改或撤回已递交的投标文件。投标人对加密的投标文件进行撤回的，应在“驻马店市公共资源交易平台”直接进行撤回操作；投标人对加密的投标文件进行修改的，应在投标截止时间前完成上传。</w:t>
      </w:r>
    </w:p>
    <w:p w14:paraId="07C0CE30">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4.3.2 投标人修改投标文件的，应使用“投标文件制作工具”制作成完整的投标文件，并按照本章第3条、第4条规定进行编制、加密和递交。对采用网上递交的加密的投标文件，以投标截止时间前最后完成上传的文件为准。</w:t>
      </w:r>
    </w:p>
    <w:p w14:paraId="47E25FDD">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4.3.3 投标人撤回投标文件的，招标人自收到投标人书面撤回通知之日起5日内退还已收取的投标保证金。</w:t>
      </w:r>
      <w:bookmarkStart w:id="215" w:name="5、磋商开启"/>
      <w:bookmarkEnd w:id="215"/>
    </w:p>
    <w:p w14:paraId="4E0295A8">
      <w:pPr>
        <w:pStyle w:val="44"/>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hAnsi="宋体" w:eastAsia="宋体"/>
          <w:b/>
          <w:color w:val="auto"/>
          <w:highlight w:val="none"/>
        </w:rPr>
      </w:pPr>
      <w:bookmarkStart w:id="216" w:name="_Toc152045559"/>
      <w:bookmarkEnd w:id="216"/>
      <w:bookmarkStart w:id="217" w:name="_Toc3762"/>
      <w:bookmarkEnd w:id="217"/>
      <w:bookmarkStart w:id="218" w:name="_Toc144974527"/>
      <w:bookmarkEnd w:id="218"/>
      <w:bookmarkStart w:id="219" w:name="_Toc16778768"/>
      <w:bookmarkEnd w:id="219"/>
      <w:bookmarkStart w:id="220" w:name="_Toc152042335"/>
      <w:bookmarkEnd w:id="220"/>
      <w:bookmarkStart w:id="221" w:name="_Toc179632577"/>
      <w:bookmarkEnd w:id="221"/>
      <w:bookmarkStart w:id="222" w:name="_Toc14534"/>
      <w:r>
        <w:rPr>
          <w:rFonts w:hint="eastAsia" w:ascii="宋体" w:hAnsi="宋体" w:eastAsia="宋体"/>
          <w:b/>
          <w:color w:val="auto"/>
          <w:highlight w:val="none"/>
        </w:rPr>
        <w:t>5. 开标</w:t>
      </w:r>
      <w:bookmarkEnd w:id="222"/>
    </w:p>
    <w:p w14:paraId="18916416">
      <w:pPr>
        <w:pStyle w:val="45"/>
        <w:spacing w:line="360" w:lineRule="auto"/>
        <w:rPr>
          <w:rFonts w:hint="eastAsia" w:ascii="宋体" w:hAnsi="宋体" w:eastAsia="宋体"/>
          <w:b/>
          <w:color w:val="auto"/>
          <w:highlight w:val="none"/>
        </w:rPr>
      </w:pPr>
      <w:bookmarkStart w:id="223" w:name="_Toc179632579"/>
      <w:bookmarkEnd w:id="223"/>
      <w:bookmarkStart w:id="224" w:name="_Toc152045561"/>
      <w:bookmarkEnd w:id="224"/>
      <w:bookmarkStart w:id="225" w:name="_Toc1228"/>
      <w:bookmarkEnd w:id="225"/>
      <w:bookmarkStart w:id="226" w:name="_Toc18244"/>
      <w:bookmarkEnd w:id="226"/>
      <w:bookmarkStart w:id="227" w:name="_Toc152042336"/>
      <w:bookmarkEnd w:id="227"/>
      <w:bookmarkStart w:id="228" w:name="_Toc144974528"/>
      <w:bookmarkEnd w:id="228"/>
      <w:bookmarkStart w:id="229" w:name="_Toc152045560"/>
      <w:bookmarkEnd w:id="229"/>
      <w:bookmarkStart w:id="230" w:name="_Toc152042337"/>
      <w:bookmarkEnd w:id="230"/>
      <w:bookmarkStart w:id="231" w:name="_Toc16778769"/>
      <w:bookmarkEnd w:id="231"/>
      <w:bookmarkStart w:id="232" w:name="_Toc14296"/>
      <w:bookmarkEnd w:id="232"/>
      <w:bookmarkStart w:id="233" w:name="_Toc16778770"/>
      <w:bookmarkEnd w:id="233"/>
      <w:r>
        <w:rPr>
          <w:rFonts w:hint="eastAsia" w:ascii="宋体" w:hAnsi="宋体" w:eastAsia="宋体"/>
          <w:b/>
          <w:color w:val="auto"/>
          <w:highlight w:val="none"/>
        </w:rPr>
        <w:t>5.1 开标时间和地点</w:t>
      </w:r>
    </w:p>
    <w:p w14:paraId="1A85C907">
      <w:pPr>
        <w:spacing w:line="360" w:lineRule="auto"/>
        <w:ind w:firstLine="480" w:firstLineChars="200"/>
        <w:rPr>
          <w:rFonts w:hint="eastAsia" w:ascii="宋体" w:hAnsi="宋体"/>
          <w:color w:val="auto"/>
          <w:sz w:val="24"/>
          <w:szCs w:val="24"/>
          <w:highlight w:val="none"/>
        </w:rPr>
      </w:pPr>
      <w:bookmarkStart w:id="234" w:name="_Toc144974529"/>
      <w:r>
        <w:rPr>
          <w:rFonts w:hint="eastAsia" w:ascii="宋体" w:hAnsi="宋体"/>
          <w:color w:val="auto"/>
          <w:sz w:val="24"/>
          <w:szCs w:val="24"/>
          <w:highlight w:val="none"/>
        </w:rPr>
        <w:t>招标人在本章第4.2.1项规定的投标截止时间（开标时间）和投标人须知前附表规定的地点对收到的投标文件第一个信封（商务及技术文件）公开开标，并邀请所有投标人的法定代表人或其委托代理人准时参加远程开标。</w:t>
      </w:r>
      <w:bookmarkEnd w:id="234"/>
    </w:p>
    <w:p w14:paraId="5E7438CA">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招标人在投标人须知前附表规定的时间和地点对投标文件第二个信封（报价文件）进行开标，并邀请所有投标人的法定代表人或其委托代理人准时参加远程开标。</w:t>
      </w:r>
    </w:p>
    <w:p w14:paraId="237E200C">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投标人若未派法定代表人或委托代理人参加第一个信封（商务及技术文件）远程开标的，其投标将被否决。投标人若未派法定代表人或委托代理人参加第二个信封（报价文件）远程开标的，视为该投标人默认第二个信封（报价文件）的开标结果。</w:t>
      </w:r>
    </w:p>
    <w:p w14:paraId="4B2154EC">
      <w:pPr>
        <w:pStyle w:val="45"/>
        <w:spacing w:line="360" w:lineRule="auto"/>
        <w:rPr>
          <w:rFonts w:hint="eastAsia" w:ascii="宋体" w:hAnsi="宋体" w:eastAsia="宋体"/>
          <w:b/>
          <w:color w:val="auto"/>
          <w:highlight w:val="none"/>
        </w:rPr>
      </w:pPr>
      <w:bookmarkStart w:id="235" w:name="_Toc5371"/>
      <w:r>
        <w:rPr>
          <w:rFonts w:hint="eastAsia" w:ascii="宋体" w:hAnsi="宋体" w:eastAsia="宋体"/>
          <w:b/>
          <w:color w:val="auto"/>
          <w:highlight w:val="none"/>
        </w:rPr>
        <w:t>5.2 开标程序</w:t>
      </w:r>
      <w:bookmarkEnd w:id="235"/>
    </w:p>
    <w:p w14:paraId="0CC7F29D">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5.2.1 主持人按下列程序对投标文件第一个信封（商务及技术文件）进行远程开标：</w:t>
      </w:r>
    </w:p>
    <w:p w14:paraId="42564CB0">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（1）宣布开标纪律；</w:t>
      </w:r>
    </w:p>
    <w:p w14:paraId="57DDC32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（2）公布在投标截止时间前递交投标文件的投标人数量；</w:t>
      </w:r>
    </w:p>
    <w:p w14:paraId="6681653E">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（3）宣布开标人、唱标人、记录人等有关人员姓名； </w:t>
      </w:r>
    </w:p>
    <w:p w14:paraId="599FE50A">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（4）由招标人现场随机抽取的投标人代表抽取评标基准价系数（如有）；</w:t>
      </w:r>
    </w:p>
    <w:p w14:paraId="472B32AC">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（5）投标人代表解密加密的投标文件；</w:t>
      </w:r>
    </w:p>
    <w:p w14:paraId="22E3F6A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（6）招标人对未成功解密的投标文件进行退回并按本章第 5.3 款进行补救处理，对已解密成功的投标文件进行二次解密；</w:t>
      </w:r>
    </w:p>
    <w:p w14:paraId="5361F406">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（7）导入并读取所有解密成功的投标文件第一个信封（商务及技术文件）的内容；</w:t>
      </w:r>
    </w:p>
    <w:p w14:paraId="68D720C9">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（8）公布标段名称、投标人名称、投标保证金的递交情况及其他内容，并记录在案； </w:t>
      </w:r>
    </w:p>
    <w:p w14:paraId="65FFF00F">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（9）招标人代表、记录人等有关人员在开标记录上签字确认；</w:t>
      </w:r>
    </w:p>
    <w:p w14:paraId="510FAA3A">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（10）开标结束。</w:t>
      </w:r>
    </w:p>
    <w:p w14:paraId="514B8369">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5.2.2 投标文件第二个信封（报价文件）在投标文件第一个信封（商务及技术文件）完成评审前，“驻马店市公共资源交易平台”的开标评标系统将不进行读取。</w:t>
      </w:r>
    </w:p>
    <w:p w14:paraId="22DEB0B4">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5.2.3 招标人将按照本章第 5.1 款规定的时间和地点对投标文件第二个信封（报价文件）进行远程开标。主持人按下列程序进行开标：</w:t>
      </w:r>
    </w:p>
    <w:p w14:paraId="503329E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（1）宣布开标纪律；</w:t>
      </w:r>
    </w:p>
    <w:p w14:paraId="420B077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（2）当众拆开投标文件第一个信封（商务及技术文件）评审结果的密封袋，宣布通过投标文件第一个信封（商务及技术文件）评审的投标人名单；</w:t>
      </w:r>
    </w:p>
    <w:p w14:paraId="66E67DB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（3）宣布开标人、唱标人、记录人等有关人员姓名；</w:t>
      </w:r>
    </w:p>
    <w:p w14:paraId="00E3FC64">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开标人将所有投标文件第二个信封（报价文件）的内容导入“驻马店市公共资源交易平台”的开标评标系统，未通过投标文件第一个信封（商务及技术文件）评审的投标人的第二个信封（报价文件）不予读取；</w:t>
      </w:r>
    </w:p>
    <w:p w14:paraId="35D0E7C5">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（5）公布标段名称、投标人名称、投标报价及其他内容，并记录在案； </w:t>
      </w:r>
    </w:p>
    <w:p w14:paraId="1BD7A60F">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（6）招标人代表、记录人等有关人员在开标记录上签字确认；</w:t>
      </w:r>
    </w:p>
    <w:p w14:paraId="690B68D4">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（7）开标结束。</w:t>
      </w:r>
    </w:p>
    <w:p w14:paraId="5F283B34">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5.2.4 在投标文件第二个信封（报价文件）开标现场，招标人将按第三章“评标办法”规定的原则计算并宣布评标基准价。若招标人发现投标文件出现以下任一情况，其投标报价将不再参加评标基准价的计算：</w:t>
      </w:r>
    </w:p>
    <w:p w14:paraId="0F63AB40">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（1）未在投标函上填写投标总价；</w:t>
      </w:r>
    </w:p>
    <w:p w14:paraId="596284D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（2）投标报价超出招标人公布的最高投标限价（如有）；</w:t>
      </w:r>
    </w:p>
    <w:p w14:paraId="1624F16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（3）投标报价的大写金额无法确定具体数值； </w:t>
      </w:r>
    </w:p>
    <w:p w14:paraId="3CB5E0F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（4）投标函上填写的标段号与</w:t>
      </w:r>
      <w:r>
        <w:rPr>
          <w:rFonts w:hint="eastAsia" w:ascii="宋体" w:hAnsi="宋体"/>
          <w:color w:val="auto"/>
          <w:sz w:val="24"/>
          <w:szCs w:val="24"/>
          <w:highlight w:val="none"/>
          <w:lang w:eastAsia="zh-CN"/>
        </w:rPr>
        <w:t>招标文件</w:t>
      </w:r>
      <w:r>
        <w:rPr>
          <w:rFonts w:hint="eastAsia" w:ascii="宋体" w:hAnsi="宋体"/>
          <w:color w:val="auto"/>
          <w:sz w:val="24"/>
          <w:szCs w:val="24"/>
          <w:highlight w:val="none"/>
        </w:rPr>
        <w:t>标段号不一致。</w:t>
      </w:r>
    </w:p>
    <w:p w14:paraId="3CD39230">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如果投标人认为某一标段的评标基准价计算有误，有权在远程开标大厅现场提出，经招标人当场核实确认之后，可重新宣布评标基准价。开标现场宣布的评标基准价除计算有误经评标委员会修正外，在整个评标期间保持不变，不随任何因素发生变化。</w:t>
      </w:r>
    </w:p>
    <w:p w14:paraId="5E5E9C54">
      <w:pPr>
        <w:spacing w:line="360" w:lineRule="auto"/>
        <w:ind w:firstLine="480" w:firstLineChars="200"/>
        <w:rPr>
          <w:rFonts w:hint="eastAsia"/>
          <w:color w:val="auto"/>
          <w:highlight w:val="none"/>
        </w:rPr>
      </w:pPr>
      <w:r>
        <w:rPr>
          <w:rFonts w:hint="eastAsia" w:ascii="宋体" w:hAnsi="宋体"/>
          <w:color w:val="auto"/>
          <w:sz w:val="24"/>
          <w:szCs w:val="24"/>
          <w:highlight w:val="none"/>
        </w:rPr>
        <w:t>5.2.5 在投标文件第一个信封（商务及技术文件）或第二个信封（报价文件）开标过程中，若招标人宣读的内容与投标文件不符，投标人有权在远程开标大厅现场提出疑问，经招标人当场核查确认之后，可重新宣读其投标文件。若投标人现场未提出疑问，则认为投标人已确认招标人宣读的内容。</w:t>
      </w:r>
    </w:p>
    <w:p w14:paraId="2FF975EB">
      <w:pPr>
        <w:pStyle w:val="45"/>
        <w:spacing w:line="360" w:lineRule="auto"/>
        <w:rPr>
          <w:rFonts w:hint="eastAsia" w:ascii="宋体" w:hAnsi="宋体" w:eastAsia="宋体"/>
          <w:b/>
          <w:color w:val="auto"/>
          <w:highlight w:val="none"/>
        </w:rPr>
      </w:pPr>
      <w:bookmarkStart w:id="236" w:name="_Toc27249"/>
      <w:r>
        <w:rPr>
          <w:rFonts w:hint="eastAsia" w:ascii="宋体" w:hAnsi="宋体" w:eastAsia="宋体"/>
          <w:b/>
          <w:color w:val="auto"/>
          <w:highlight w:val="none"/>
        </w:rPr>
        <w:t>5.</w:t>
      </w:r>
      <w:r>
        <w:rPr>
          <w:rFonts w:hint="eastAsia" w:ascii="宋体" w:hAnsi="宋体" w:eastAsia="宋体"/>
          <w:b/>
          <w:color w:val="auto"/>
          <w:highlight w:val="none"/>
          <w:lang w:val="en-US" w:eastAsia="zh-CN"/>
        </w:rPr>
        <w:t>3</w:t>
      </w:r>
      <w:r>
        <w:rPr>
          <w:rFonts w:hint="eastAsia" w:ascii="宋体" w:hAnsi="宋体" w:eastAsia="宋体"/>
          <w:b/>
          <w:color w:val="auto"/>
          <w:highlight w:val="none"/>
        </w:rPr>
        <w:t xml:space="preserve"> 开标补救措施</w:t>
      </w:r>
      <w:bookmarkEnd w:id="236"/>
    </w:p>
    <w:p w14:paraId="7F0164DA">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.1 开标过程中因本章第5.</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.2项、第5.</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.3项所列原因，导致系统无法正常运行，将按投标人须知前附表的规定采取补救措施。</w:t>
      </w:r>
    </w:p>
    <w:p w14:paraId="5EA2B88E">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.2 因“驻马店市公共资源交易平台”系统故障导致投标人无法正常上传加密的投标文件，投标人应打印并递交驻马店市公共资源交易平台自动生成的上传失败的异常记录单。</w:t>
      </w:r>
    </w:p>
    <w:p w14:paraId="06C67AE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 xml:space="preserve">.3 当出现以下情况时，应对未开标的中止电子开标，并在恢复正常后及时安排时间开标： </w:t>
      </w:r>
    </w:p>
    <w:p w14:paraId="0FCD4CAC">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（1）系统服务器发生故障，无法访问或无法使用系统；</w:t>
      </w:r>
    </w:p>
    <w:p w14:paraId="593BFC5A">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（2）系统的软件或数据库出现错误，不能进行正常操作；</w:t>
      </w:r>
    </w:p>
    <w:p w14:paraId="45EAFDD6">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（3）系统发现有安全漏洞，有潜在的泄密危险；</w:t>
      </w:r>
    </w:p>
    <w:p w14:paraId="46B4AE35">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（4）出现断电事故且短时间内无法恢复供电；</w:t>
      </w:r>
    </w:p>
    <w:p w14:paraId="44FB250A">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（5）其他无法保证招投标过程正常进行的情形。</w:t>
      </w:r>
    </w:p>
    <w:p w14:paraId="2CF49083">
      <w:pPr>
        <w:pStyle w:val="21"/>
        <w:ind w:left="0" w:leftChars="0"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color w:val="auto"/>
          <w:sz w:val="24"/>
          <w:szCs w:val="24"/>
          <w:highlight w:val="none"/>
          <w:lang w:val="en-US" w:eastAsia="zh-CN"/>
        </w:rPr>
        <w:t>3</w:t>
      </w:r>
      <w:r>
        <w:rPr>
          <w:rFonts w:hint="eastAsia" w:ascii="宋体" w:hAnsi="宋体"/>
          <w:color w:val="auto"/>
          <w:sz w:val="24"/>
          <w:szCs w:val="24"/>
          <w:highlight w:val="none"/>
        </w:rPr>
        <w:t>.4 采取补救措施时，必须对原有资料及信息作出妥善保密处理。</w:t>
      </w:r>
    </w:p>
    <w:p w14:paraId="6D867B9B">
      <w:pPr>
        <w:spacing w:line="360" w:lineRule="auto"/>
        <w:rPr>
          <w:rFonts w:ascii="宋体" w:hAnsi="宋体"/>
          <w:color w:val="auto"/>
          <w:sz w:val="24"/>
          <w:szCs w:val="24"/>
          <w:highlight w:val="none"/>
        </w:rPr>
      </w:pPr>
      <w:r>
        <w:rPr>
          <w:rFonts w:hint="eastAsia" w:ascii="宋体" w:hAnsi="宋体"/>
          <w:b/>
          <w:bCs/>
          <w:color w:val="auto"/>
          <w:sz w:val="24"/>
          <w:szCs w:val="24"/>
          <w:highlight w:val="none"/>
        </w:rPr>
        <w:t>5.</w:t>
      </w:r>
      <w:r>
        <w:rPr>
          <w:rFonts w:hint="eastAsia" w:ascii="宋体" w:hAnsi="宋体"/>
          <w:b/>
          <w:bCs/>
          <w:color w:val="auto"/>
          <w:sz w:val="24"/>
          <w:szCs w:val="24"/>
          <w:highlight w:val="none"/>
          <w:lang w:val="en-US" w:eastAsia="zh-CN"/>
        </w:rPr>
        <w:t>4</w:t>
      </w:r>
      <w:r>
        <w:rPr>
          <w:rFonts w:hint="eastAsia" w:ascii="宋体" w:hAnsi="宋体"/>
          <w:b/>
          <w:bCs/>
          <w:color w:val="auto"/>
          <w:sz w:val="24"/>
          <w:szCs w:val="24"/>
          <w:highlight w:val="none"/>
        </w:rPr>
        <w:t>开标异议</w:t>
      </w:r>
    </w:p>
    <w:p w14:paraId="156FCE3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投标人对开标有异议的，应当在开标大厅中使用异议功能提出，招标人当场作出答复，并制作记录。</w:t>
      </w:r>
    </w:p>
    <w:p w14:paraId="5ECDBDF3">
      <w:pPr>
        <w:pStyle w:val="45"/>
        <w:spacing w:line="360" w:lineRule="auto"/>
        <w:rPr>
          <w:rFonts w:ascii="宋体" w:hAnsi="宋体" w:eastAsia="宋体"/>
          <w:b/>
          <w:color w:val="auto"/>
          <w:sz w:val="28"/>
          <w:szCs w:val="28"/>
          <w:highlight w:val="none"/>
        </w:rPr>
      </w:pPr>
      <w:bookmarkStart w:id="237" w:name="_Toc152042338"/>
      <w:bookmarkEnd w:id="237"/>
      <w:bookmarkStart w:id="238" w:name="_Toc16778772"/>
      <w:bookmarkEnd w:id="238"/>
      <w:bookmarkStart w:id="239" w:name="_Toc15178"/>
      <w:bookmarkEnd w:id="239"/>
      <w:bookmarkStart w:id="240" w:name="_Toc144974530"/>
      <w:bookmarkEnd w:id="240"/>
      <w:bookmarkStart w:id="241" w:name="_Toc32727"/>
      <w:bookmarkEnd w:id="241"/>
      <w:bookmarkStart w:id="242" w:name="_Toc26177"/>
      <w:bookmarkEnd w:id="242"/>
      <w:bookmarkStart w:id="243" w:name="_Toc179632580"/>
      <w:bookmarkEnd w:id="243"/>
      <w:bookmarkStart w:id="244" w:name="_Toc10061"/>
      <w:bookmarkEnd w:id="244"/>
      <w:bookmarkStart w:id="245" w:name="_Toc152045562"/>
      <w:r>
        <w:rPr>
          <w:rFonts w:hint="eastAsia" w:ascii="宋体" w:hAnsi="宋体" w:eastAsia="宋体"/>
          <w:b/>
          <w:color w:val="auto"/>
          <w:sz w:val="28"/>
          <w:szCs w:val="28"/>
          <w:highlight w:val="none"/>
        </w:rPr>
        <w:t>6. 评标</w:t>
      </w:r>
      <w:bookmarkEnd w:id="245"/>
    </w:p>
    <w:p w14:paraId="38AE808B">
      <w:pPr>
        <w:pStyle w:val="45"/>
        <w:spacing w:line="360" w:lineRule="auto"/>
        <w:rPr>
          <w:rFonts w:ascii="宋体" w:hAnsi="宋体" w:eastAsia="宋体"/>
          <w:b/>
          <w:color w:val="auto"/>
          <w:highlight w:val="none"/>
        </w:rPr>
      </w:pPr>
      <w:bookmarkStart w:id="246" w:name="_Toc144974531"/>
      <w:bookmarkEnd w:id="246"/>
      <w:bookmarkStart w:id="247" w:name="_Toc9830"/>
      <w:bookmarkEnd w:id="247"/>
      <w:bookmarkStart w:id="248" w:name="_Toc152042339"/>
      <w:bookmarkEnd w:id="248"/>
      <w:bookmarkStart w:id="249" w:name="_Toc152045563"/>
      <w:bookmarkEnd w:id="249"/>
      <w:bookmarkStart w:id="250" w:name="_Toc179632581"/>
      <w:bookmarkEnd w:id="250"/>
      <w:bookmarkStart w:id="251" w:name="_Toc16778773"/>
      <w:bookmarkEnd w:id="251"/>
      <w:bookmarkStart w:id="252" w:name="_Toc18555"/>
      <w:r>
        <w:rPr>
          <w:rFonts w:hint="eastAsia" w:ascii="宋体" w:hAnsi="宋体" w:eastAsia="宋体"/>
          <w:b/>
          <w:color w:val="auto"/>
          <w:highlight w:val="none"/>
        </w:rPr>
        <w:t>6.1 评标委员会</w:t>
      </w:r>
      <w:bookmarkEnd w:id="252"/>
    </w:p>
    <w:p w14:paraId="1FDA38C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6.1.1 评标由评标委员会负责。评标委员会由有关技术、经济等方面的专家和招标人代表组成。评标委员会成员人数以及技术、经济等方面专家的确定方式见投标人须知前附表。</w:t>
      </w:r>
    </w:p>
    <w:p w14:paraId="7497CED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6.1.2 评标委员会成员有下列情形之一的，应主动提出回避：</w:t>
      </w:r>
    </w:p>
    <w:p w14:paraId="5D5B2DA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（1）为负责招标项目监督管理的交通运输主管部门的工作人员；</w:t>
      </w:r>
    </w:p>
    <w:p w14:paraId="7B5F419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（2）与投标人法定代表人或其委托代理人有近亲属关系；</w:t>
      </w:r>
    </w:p>
    <w:p w14:paraId="223E3BF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（3）为投标人的工作人员或退休人员；</w:t>
      </w:r>
    </w:p>
    <w:p w14:paraId="697A94E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（4）与投标人有其他利害关系，可能影响评标活动公正性；</w:t>
      </w:r>
    </w:p>
    <w:p w14:paraId="0B5A84C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（5）在与招标投标有关的活动中有过违法违规行为、曾受过行政处罚或刑事处罚。</w:t>
      </w:r>
    </w:p>
    <w:p w14:paraId="5843022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6.1.3 评标过程中，评标委员会成员有回避事由、擅离职守或因健康等原因不能继续评标的，招标人有权更换。被更换的评标委员会成员作出的评审结论无效，由更换后的评标委员会成员重新进行评审。</w:t>
      </w:r>
    </w:p>
    <w:p w14:paraId="6E448856">
      <w:pPr>
        <w:pStyle w:val="45"/>
        <w:spacing w:line="360" w:lineRule="auto"/>
        <w:rPr>
          <w:rFonts w:ascii="宋体" w:hAnsi="宋体" w:eastAsia="宋体"/>
          <w:b/>
          <w:color w:val="auto"/>
          <w:highlight w:val="none"/>
        </w:rPr>
      </w:pPr>
      <w:bookmarkStart w:id="253" w:name="_Toc152045564"/>
      <w:bookmarkEnd w:id="253"/>
      <w:bookmarkStart w:id="254" w:name="_Toc152042340"/>
      <w:bookmarkEnd w:id="254"/>
      <w:bookmarkStart w:id="255" w:name="_Toc26318"/>
      <w:bookmarkEnd w:id="255"/>
      <w:bookmarkStart w:id="256" w:name="_Toc5949"/>
      <w:bookmarkEnd w:id="256"/>
      <w:bookmarkStart w:id="257" w:name="_Toc16778774"/>
      <w:bookmarkEnd w:id="257"/>
      <w:bookmarkStart w:id="258" w:name="_Toc179632582"/>
      <w:bookmarkEnd w:id="258"/>
      <w:bookmarkStart w:id="259" w:name="_Toc144974532"/>
      <w:r>
        <w:rPr>
          <w:rFonts w:hint="eastAsia" w:ascii="宋体" w:hAnsi="宋体" w:eastAsia="宋体"/>
          <w:b/>
          <w:color w:val="auto"/>
          <w:highlight w:val="none"/>
        </w:rPr>
        <w:t>6.2 评标原则</w:t>
      </w:r>
      <w:bookmarkEnd w:id="259"/>
    </w:p>
    <w:p w14:paraId="2BAFA6D7">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评标活动遵循公平、公正、科学和择优的原则。</w:t>
      </w:r>
    </w:p>
    <w:p w14:paraId="15B965DF">
      <w:pPr>
        <w:pStyle w:val="45"/>
        <w:spacing w:line="360" w:lineRule="auto"/>
        <w:rPr>
          <w:rFonts w:ascii="宋体" w:hAnsi="宋体" w:eastAsia="宋体"/>
          <w:b/>
          <w:color w:val="auto"/>
          <w:highlight w:val="none"/>
        </w:rPr>
      </w:pPr>
      <w:bookmarkStart w:id="260" w:name="_Toc31631"/>
      <w:bookmarkEnd w:id="260"/>
      <w:bookmarkStart w:id="261" w:name="_Toc144974533"/>
      <w:bookmarkEnd w:id="261"/>
      <w:bookmarkStart w:id="262" w:name="_Toc16778775"/>
      <w:bookmarkEnd w:id="262"/>
      <w:bookmarkStart w:id="263" w:name="_Toc152042341"/>
      <w:bookmarkEnd w:id="263"/>
      <w:bookmarkStart w:id="264" w:name="_Toc152045565"/>
      <w:bookmarkEnd w:id="264"/>
      <w:bookmarkStart w:id="265" w:name="_Toc10073"/>
      <w:bookmarkEnd w:id="265"/>
      <w:bookmarkStart w:id="266" w:name="_Toc179632583"/>
      <w:r>
        <w:rPr>
          <w:rFonts w:hint="eastAsia" w:ascii="宋体" w:hAnsi="宋体" w:eastAsia="宋体"/>
          <w:b/>
          <w:color w:val="auto"/>
          <w:highlight w:val="none"/>
        </w:rPr>
        <w:t>6.3 评标</w:t>
      </w:r>
      <w:bookmarkEnd w:id="266"/>
    </w:p>
    <w:p w14:paraId="7C42B61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6.3.1 评标委员会按照第三章“评标办法”规定的方法、评审因素、标准和程序对投标文件进行评审。第三章“评标办法”没有规定的方法、评审因素和标准，不作为评标依据。</w:t>
      </w:r>
    </w:p>
    <w:p w14:paraId="3A0C590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6.3.2 评标完成后，评标委员会应向招标人提交书面评标报告和中标候选人名单。评标委员会推荐中标候选人的人数见投标人须知前附表。</w:t>
      </w:r>
    </w:p>
    <w:p w14:paraId="47B95CB6">
      <w:pPr>
        <w:pStyle w:val="45"/>
        <w:spacing w:line="360" w:lineRule="auto"/>
        <w:rPr>
          <w:rFonts w:ascii="宋体" w:hAnsi="宋体" w:eastAsia="宋体"/>
          <w:b/>
          <w:color w:val="auto"/>
          <w:sz w:val="28"/>
          <w:szCs w:val="28"/>
          <w:highlight w:val="none"/>
        </w:rPr>
      </w:pPr>
      <w:bookmarkStart w:id="267" w:name="_Toc27090"/>
      <w:bookmarkEnd w:id="267"/>
      <w:bookmarkStart w:id="268" w:name="_Toc11215"/>
      <w:bookmarkEnd w:id="268"/>
      <w:bookmarkStart w:id="269" w:name="_Toc152045566"/>
      <w:bookmarkEnd w:id="269"/>
      <w:bookmarkStart w:id="270" w:name="_Toc144974534"/>
      <w:bookmarkEnd w:id="270"/>
      <w:bookmarkStart w:id="271" w:name="_Toc179632584"/>
      <w:bookmarkEnd w:id="271"/>
      <w:bookmarkStart w:id="272" w:name="_Toc152042342"/>
      <w:bookmarkEnd w:id="272"/>
      <w:bookmarkStart w:id="273" w:name="_Toc16778776"/>
      <w:r>
        <w:rPr>
          <w:rFonts w:hint="eastAsia" w:ascii="宋体" w:hAnsi="宋体" w:eastAsia="宋体"/>
          <w:b/>
          <w:color w:val="auto"/>
          <w:sz w:val="28"/>
          <w:szCs w:val="28"/>
          <w:highlight w:val="none"/>
        </w:rPr>
        <w:t>7. 合同授予</w:t>
      </w:r>
      <w:bookmarkEnd w:id="273"/>
    </w:p>
    <w:p w14:paraId="1758DCC6">
      <w:pPr>
        <w:pStyle w:val="45"/>
        <w:spacing w:line="360" w:lineRule="auto"/>
        <w:rPr>
          <w:rFonts w:hint="eastAsia" w:ascii="宋体" w:hAnsi="宋体" w:eastAsia="宋体"/>
          <w:b/>
          <w:color w:val="auto"/>
          <w:highlight w:val="none"/>
          <w:lang w:eastAsia="zh-CN"/>
        </w:rPr>
      </w:pPr>
      <w:bookmarkStart w:id="274" w:name="_Toc16778777"/>
      <w:bookmarkEnd w:id="274"/>
      <w:bookmarkStart w:id="275" w:name="_Toc16956"/>
      <w:bookmarkEnd w:id="275"/>
      <w:bookmarkStart w:id="276" w:name="_Toc20008"/>
      <w:r>
        <w:rPr>
          <w:rFonts w:hint="eastAsia" w:ascii="宋体" w:hAnsi="宋体" w:eastAsia="宋体"/>
          <w:b/>
          <w:color w:val="auto"/>
          <w:highlight w:val="none"/>
        </w:rPr>
        <w:t xml:space="preserve">7.1 </w:t>
      </w:r>
      <w:r>
        <w:rPr>
          <w:rFonts w:hint="eastAsia" w:ascii="宋体" w:hAnsi="宋体" w:eastAsia="宋体"/>
          <w:b/>
          <w:color w:val="auto"/>
          <w:highlight w:val="none"/>
          <w:lang w:eastAsia="zh-CN"/>
        </w:rPr>
        <w:t>中</w:t>
      </w:r>
      <w:r>
        <w:rPr>
          <w:rFonts w:hint="eastAsia" w:ascii="宋体" w:hAnsi="宋体" w:eastAsia="宋体"/>
          <w:b/>
          <w:color w:val="auto"/>
          <w:highlight w:val="none"/>
        </w:rPr>
        <w:t>标候选人</w:t>
      </w:r>
      <w:bookmarkEnd w:id="276"/>
      <w:r>
        <w:rPr>
          <w:rFonts w:hint="eastAsia" w:ascii="宋体" w:hAnsi="宋体" w:eastAsia="宋体"/>
          <w:b/>
          <w:color w:val="auto"/>
          <w:highlight w:val="none"/>
          <w:lang w:eastAsia="zh-CN"/>
        </w:rPr>
        <w:t>公示</w:t>
      </w:r>
    </w:p>
    <w:p w14:paraId="13C6D57B">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招标人在收到评标报告之日起3日内，按照投标人须知前附表规定的公示媒介和期限公示定标候选人，公示期不得少于3日，公示容包括：</w:t>
      </w:r>
    </w:p>
    <w:p w14:paraId="68663F3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（1）中标候选人名称、投标报价，对工程质量要求、安全目标和工期的响应情况；</w:t>
      </w:r>
    </w:p>
    <w:p w14:paraId="19166FA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（2）中标候选人在投标文件中承诺的项目经理和项目总工姓名、个人业绩、相关证书名称和编号；</w:t>
      </w:r>
    </w:p>
    <w:p w14:paraId="5B326B8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（3）中标候选人在投标文件中填报的项目业绩；</w:t>
      </w:r>
    </w:p>
    <w:p w14:paraId="260667A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（4）被否决投标的投标人名称、否决依据和原因；</w:t>
      </w:r>
    </w:p>
    <w:p w14:paraId="75FC35C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（5）提出异议的渠道和方式；</w:t>
      </w:r>
    </w:p>
    <w:p w14:paraId="3D7916A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（6）投标人须知前附表规定公示的其他内容。</w:t>
      </w:r>
    </w:p>
    <w:p w14:paraId="3809B0FD">
      <w:pPr>
        <w:pStyle w:val="45"/>
        <w:spacing w:line="360" w:lineRule="auto"/>
        <w:rPr>
          <w:rFonts w:ascii="宋体" w:hAnsi="宋体" w:eastAsia="宋体"/>
          <w:b/>
          <w:color w:val="auto"/>
          <w:highlight w:val="none"/>
        </w:rPr>
      </w:pPr>
      <w:bookmarkStart w:id="277" w:name="_Toc16778778"/>
      <w:bookmarkEnd w:id="277"/>
      <w:bookmarkStart w:id="278" w:name="_Toc3318"/>
      <w:bookmarkEnd w:id="278"/>
      <w:bookmarkStart w:id="279" w:name="_Toc13752"/>
      <w:r>
        <w:rPr>
          <w:rFonts w:hint="eastAsia" w:ascii="宋体" w:hAnsi="宋体" w:eastAsia="宋体"/>
          <w:b/>
          <w:color w:val="auto"/>
          <w:highlight w:val="none"/>
        </w:rPr>
        <w:t>7.</w:t>
      </w:r>
      <w:r>
        <w:rPr>
          <w:rFonts w:hint="eastAsia" w:ascii="宋体" w:hAnsi="宋体" w:eastAsia="宋体"/>
          <w:b/>
          <w:color w:val="auto"/>
          <w:highlight w:val="none"/>
          <w:lang w:val="en-US" w:eastAsia="zh-CN"/>
        </w:rPr>
        <w:t>2</w:t>
      </w:r>
      <w:r>
        <w:rPr>
          <w:rFonts w:hint="eastAsia" w:ascii="宋体" w:hAnsi="宋体" w:eastAsia="宋体"/>
          <w:b/>
          <w:color w:val="auto"/>
          <w:highlight w:val="none"/>
        </w:rPr>
        <w:t>评标结果异议</w:t>
      </w:r>
      <w:bookmarkEnd w:id="279"/>
    </w:p>
    <w:p w14:paraId="38155840">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投标人或其他利害关系人对依法必须进行招标的项目的评标结果有异议的，应在中标候选人公示期间提出。招标人将在收到异议之日起3日内作出答复；作出答复前，将暂停招标投标活动。提出异议与作出答复均应通过“驻马店市公共资源交易平台”以书面形式进行。</w:t>
      </w:r>
    </w:p>
    <w:p w14:paraId="587ADB2C">
      <w:pPr>
        <w:pStyle w:val="45"/>
        <w:pageBreakBefore w:val="0"/>
        <w:widowControl w:val="0"/>
        <w:kinsoku/>
        <w:wordWrap/>
        <w:overflowPunct/>
        <w:topLinePunct w:val="0"/>
        <w:autoSpaceDE/>
        <w:autoSpaceDN/>
        <w:bidi w:val="0"/>
        <w:adjustRightInd/>
        <w:snapToGrid/>
        <w:spacing w:line="360" w:lineRule="auto"/>
        <w:textAlignment w:val="auto"/>
        <w:rPr>
          <w:rFonts w:ascii="宋体" w:hAnsi="宋体" w:eastAsia="宋体"/>
          <w:b/>
          <w:color w:val="auto"/>
          <w:highlight w:val="none"/>
        </w:rPr>
      </w:pPr>
      <w:bookmarkStart w:id="280" w:name="_Toc22135"/>
      <w:bookmarkEnd w:id="280"/>
      <w:bookmarkStart w:id="281" w:name="_Toc16778779"/>
      <w:bookmarkEnd w:id="281"/>
      <w:bookmarkStart w:id="282" w:name="_Toc7044"/>
      <w:r>
        <w:rPr>
          <w:rFonts w:hint="eastAsia" w:ascii="宋体" w:hAnsi="宋体" w:eastAsia="宋体"/>
          <w:b/>
          <w:color w:val="auto"/>
          <w:highlight w:val="none"/>
        </w:rPr>
        <w:t>7.</w:t>
      </w:r>
      <w:r>
        <w:rPr>
          <w:rFonts w:hint="eastAsia" w:ascii="宋体" w:hAnsi="宋体" w:eastAsia="宋体"/>
          <w:b/>
          <w:color w:val="auto"/>
          <w:highlight w:val="none"/>
          <w:lang w:val="en-US" w:eastAsia="zh-CN"/>
        </w:rPr>
        <w:t>3</w:t>
      </w:r>
      <w:r>
        <w:rPr>
          <w:rFonts w:hint="eastAsia" w:ascii="宋体" w:hAnsi="宋体" w:eastAsia="宋体"/>
          <w:b/>
          <w:color w:val="auto"/>
          <w:highlight w:val="none"/>
        </w:rPr>
        <w:t>中标候选人履约能力审查</w:t>
      </w:r>
      <w:bookmarkEnd w:id="282"/>
    </w:p>
    <w:p w14:paraId="6DBB14B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2C95AFAA">
      <w:pPr>
        <w:pStyle w:val="45"/>
        <w:spacing w:line="360" w:lineRule="auto"/>
        <w:rPr>
          <w:rFonts w:hint="eastAsia" w:ascii="宋体" w:hAnsi="宋体" w:eastAsia="宋体" w:cs="宋体"/>
          <w:b/>
          <w:bCs/>
          <w:color w:val="auto"/>
          <w:sz w:val="24"/>
          <w:szCs w:val="32"/>
          <w:highlight w:val="none"/>
          <w:lang w:eastAsia="zh-CN"/>
        </w:rPr>
      </w:pPr>
      <w:r>
        <w:rPr>
          <w:rFonts w:hint="eastAsia" w:ascii="宋体" w:hAnsi="宋体" w:eastAsia="宋体"/>
          <w:b/>
          <w:color w:val="auto"/>
          <w:highlight w:val="none"/>
        </w:rPr>
        <w:t>7.</w:t>
      </w:r>
      <w:r>
        <w:rPr>
          <w:rFonts w:hint="eastAsia" w:ascii="宋体" w:hAnsi="宋体" w:eastAsia="宋体"/>
          <w:b/>
          <w:color w:val="auto"/>
          <w:highlight w:val="none"/>
          <w:lang w:val="en-US" w:eastAsia="zh-CN"/>
        </w:rPr>
        <w:t>4定</w:t>
      </w:r>
      <w:r>
        <w:rPr>
          <w:rFonts w:hint="eastAsia" w:ascii="宋体" w:hAnsi="宋体" w:eastAsia="宋体"/>
          <w:b/>
          <w:color w:val="auto"/>
          <w:highlight w:val="none"/>
        </w:rPr>
        <w:t>标</w:t>
      </w:r>
    </w:p>
    <w:p w14:paraId="3A2FCAA9">
      <w:pPr>
        <w:keepNext w:val="0"/>
        <w:keepLines w:val="0"/>
        <w:pageBreakBefore w:val="0"/>
        <w:widowControl w:val="0"/>
        <w:kinsoku/>
        <w:wordWrap w:val="0"/>
        <w:overflowPunct/>
        <w:topLinePunct w:val="0"/>
        <w:bidi w:val="0"/>
        <w:snapToGrid/>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7.4.1定标原则</w:t>
      </w:r>
    </w:p>
    <w:p w14:paraId="543AB269">
      <w:pPr>
        <w:keepNext w:val="0"/>
        <w:keepLines w:val="0"/>
        <w:pageBreakBefore w:val="0"/>
        <w:widowControl w:val="0"/>
        <w:kinsoku/>
        <w:wordWrap w:val="0"/>
        <w:overflowPunct/>
        <w:topLinePunct w:val="0"/>
        <w:bidi w:val="0"/>
        <w:snapToGrid/>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遵循公开透明、择优竞价、科学规范、廉洁高效的原则。</w:t>
      </w:r>
    </w:p>
    <w:p w14:paraId="6A828CBA">
      <w:pPr>
        <w:keepNext w:val="0"/>
        <w:keepLines w:val="0"/>
        <w:pageBreakBefore w:val="0"/>
        <w:widowControl w:val="0"/>
        <w:kinsoku/>
        <w:wordWrap w:val="0"/>
        <w:overflowPunct/>
        <w:topLinePunct w:val="0"/>
        <w:bidi w:val="0"/>
        <w:snapToGrid/>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7.4.2定标方法</w:t>
      </w:r>
    </w:p>
    <w:p w14:paraId="79CD440F">
      <w:pPr>
        <w:keepNext w:val="0"/>
        <w:keepLines w:val="0"/>
        <w:pageBreakBefore w:val="0"/>
        <w:widowControl w:val="0"/>
        <w:kinsoku/>
        <w:wordWrap w:val="0"/>
        <w:overflowPunct/>
        <w:topLinePunct w:val="0"/>
        <w:bidi w:val="0"/>
        <w:snapToGrid/>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采用核查随机法。具体要求按照本招标文件第四章定标办法要求定标办法定标。</w:t>
      </w:r>
    </w:p>
    <w:p w14:paraId="03C98D60">
      <w:pPr>
        <w:pStyle w:val="45"/>
        <w:spacing w:line="360" w:lineRule="auto"/>
        <w:rPr>
          <w:rFonts w:ascii="宋体" w:hAnsi="宋体" w:eastAsia="宋体"/>
          <w:b/>
          <w:color w:val="auto"/>
          <w:highlight w:val="none"/>
        </w:rPr>
      </w:pPr>
      <w:bookmarkStart w:id="283" w:name="_Toc16778781"/>
      <w:bookmarkEnd w:id="283"/>
      <w:bookmarkStart w:id="284" w:name="_Toc16778780"/>
      <w:bookmarkEnd w:id="284"/>
      <w:bookmarkStart w:id="285" w:name="_Toc6424"/>
      <w:bookmarkEnd w:id="285"/>
      <w:bookmarkStart w:id="286" w:name="_Toc16862"/>
      <w:bookmarkEnd w:id="286"/>
      <w:bookmarkStart w:id="287" w:name="_Toc24107"/>
      <w:r>
        <w:rPr>
          <w:rFonts w:hint="eastAsia" w:ascii="宋体" w:hAnsi="宋体" w:eastAsia="宋体"/>
          <w:b/>
          <w:color w:val="auto"/>
          <w:highlight w:val="none"/>
        </w:rPr>
        <w:t>7.5 中标通知</w:t>
      </w:r>
      <w:bookmarkEnd w:id="287"/>
    </w:p>
    <w:p w14:paraId="3F30C72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在本章第3.3款规定的投标有效期内，招标人以投标人须知前附表规定的形式向中标人发出中标通知书，同时将中标结果通知未中标的投标人。</w:t>
      </w:r>
    </w:p>
    <w:p w14:paraId="10C5EFAA">
      <w:pPr>
        <w:pStyle w:val="45"/>
        <w:spacing w:line="360" w:lineRule="auto"/>
        <w:rPr>
          <w:rFonts w:ascii="宋体" w:hAnsi="宋体" w:eastAsia="宋体"/>
          <w:b/>
          <w:color w:val="auto"/>
          <w:highlight w:val="none"/>
        </w:rPr>
      </w:pPr>
      <w:bookmarkStart w:id="288" w:name="_Toc16778782"/>
      <w:bookmarkEnd w:id="288"/>
      <w:bookmarkStart w:id="289" w:name="_Toc2943"/>
      <w:bookmarkEnd w:id="289"/>
      <w:bookmarkStart w:id="290" w:name="_Toc13193"/>
      <w:r>
        <w:rPr>
          <w:rFonts w:hint="eastAsia" w:ascii="宋体" w:hAnsi="宋体" w:eastAsia="宋体"/>
          <w:b/>
          <w:color w:val="auto"/>
          <w:highlight w:val="none"/>
        </w:rPr>
        <w:t>7.6 中标结果公告</w:t>
      </w:r>
      <w:bookmarkEnd w:id="290"/>
    </w:p>
    <w:p w14:paraId="2BD1A616">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招标人在确定中标人之日起3日内，按照投标人须知前附表规定的公告媒介和期限公告中标结果，公告期不得少于3日。公告内容包括定标时间、定标地点、定标方法、中标人名称、中标价格、质量、工期、资质条件、项目负责人信息，中标候选人的核查、考察、比较优势；核查未通过的中标候选人名单和原因，以及异议和投诉渠道等内容。</w:t>
      </w:r>
      <w:r>
        <w:rPr>
          <w:rFonts w:hint="eastAsia" w:ascii="宋体" w:hAnsi="宋体"/>
          <w:color w:val="auto"/>
          <w:sz w:val="24"/>
          <w:szCs w:val="24"/>
          <w:highlight w:val="none"/>
          <w:lang w:eastAsia="zh-CN"/>
        </w:rPr>
        <w:t>对中标结果公示有异议的，应当在公示期内向招标人提出。</w:t>
      </w:r>
    </w:p>
    <w:p w14:paraId="053889D3">
      <w:pPr>
        <w:pStyle w:val="45"/>
        <w:spacing w:line="360" w:lineRule="auto"/>
        <w:rPr>
          <w:rFonts w:ascii="宋体" w:hAnsi="宋体" w:eastAsia="宋体"/>
          <w:b/>
          <w:color w:val="auto"/>
          <w:highlight w:val="none"/>
        </w:rPr>
      </w:pPr>
      <w:bookmarkStart w:id="291" w:name="_Toc16778783"/>
      <w:bookmarkEnd w:id="291"/>
      <w:bookmarkStart w:id="292" w:name="_Toc32392"/>
      <w:bookmarkEnd w:id="292"/>
      <w:bookmarkStart w:id="293" w:name="_Toc11265"/>
      <w:r>
        <w:rPr>
          <w:rFonts w:hint="eastAsia" w:ascii="宋体" w:hAnsi="宋体" w:eastAsia="宋体"/>
          <w:b/>
          <w:color w:val="auto"/>
          <w:highlight w:val="none"/>
        </w:rPr>
        <w:t>7.7 履约保证金</w:t>
      </w:r>
      <w:bookmarkEnd w:id="293"/>
    </w:p>
    <w:p w14:paraId="49AA786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7.7.1 在签订合同前，中标人应按投标人须知前附表规定的形式、金额和招标文件第</w:t>
      </w:r>
      <w:r>
        <w:rPr>
          <w:rFonts w:hint="eastAsia" w:ascii="宋体" w:hAnsi="宋体"/>
          <w:color w:val="auto"/>
          <w:sz w:val="24"/>
          <w:szCs w:val="24"/>
          <w:highlight w:val="none"/>
          <w:lang w:val="en-US" w:eastAsia="zh-CN"/>
        </w:rPr>
        <w:t>五</w:t>
      </w:r>
      <w:r>
        <w:rPr>
          <w:rFonts w:hint="eastAsia" w:ascii="宋体" w:hAnsi="宋体"/>
          <w:color w:val="auto"/>
          <w:sz w:val="24"/>
          <w:szCs w:val="24"/>
          <w:highlight w:val="none"/>
        </w:rPr>
        <w:t>章“合同条款及格式”规定的或事先经过招标人书面认可的履约保证金格式向招标人提交履约保证金。除投标人须知前附表另有规定外，履约保证金为签约合同价3%。</w:t>
      </w:r>
    </w:p>
    <w:p w14:paraId="44EB639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采用银行保函时，应由符合投标人须知前附表规定级别的银行开具，所需的费用由中标人承担，中标人应保证银行保函有效。</w:t>
      </w:r>
    </w:p>
    <w:p w14:paraId="3FFA6A6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7.7.2 中标人不能按本章第7.7.1项要求提交履约保证金的，视为放弃中标，其投标保证金不予退还，给招标人造成的损失超过投标保证金数额的，中标人还应对超过部分予以赔偿。</w:t>
      </w:r>
    </w:p>
    <w:p w14:paraId="66606460">
      <w:pPr>
        <w:pStyle w:val="45"/>
        <w:spacing w:line="360" w:lineRule="auto"/>
        <w:rPr>
          <w:rFonts w:ascii="宋体" w:hAnsi="宋体" w:eastAsia="宋体"/>
          <w:b/>
          <w:color w:val="auto"/>
          <w:highlight w:val="none"/>
        </w:rPr>
      </w:pPr>
      <w:bookmarkStart w:id="294" w:name="_Toc7811"/>
      <w:bookmarkEnd w:id="294"/>
      <w:bookmarkStart w:id="295" w:name="_Toc16778784"/>
      <w:bookmarkEnd w:id="295"/>
      <w:bookmarkStart w:id="296" w:name="_Toc30062"/>
      <w:r>
        <w:rPr>
          <w:rFonts w:hint="eastAsia" w:ascii="宋体" w:hAnsi="宋体" w:eastAsia="宋体"/>
          <w:b/>
          <w:color w:val="auto"/>
          <w:highlight w:val="none"/>
        </w:rPr>
        <w:t>7.8 签订合同</w:t>
      </w:r>
      <w:bookmarkEnd w:id="296"/>
    </w:p>
    <w:p w14:paraId="110111E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7.8.1 招标人和中标人应在中标通知书发出之日起30日内，根据招标文件和中标人的投标文件订立书面合同</w:t>
      </w:r>
      <w:r>
        <w:rPr>
          <w:rFonts w:hint="eastAsia" w:ascii="宋体" w:hAnsi="宋体"/>
          <w:color w:val="auto"/>
          <w:sz w:val="24"/>
          <w:szCs w:val="24"/>
          <w:highlight w:val="none"/>
          <w:lang w:eastAsia="zh-CN"/>
        </w:rPr>
        <w:t>，投标人须在投标函中针对上述要求做出书面响应</w:t>
      </w:r>
      <w:r>
        <w:rPr>
          <w:rFonts w:hint="eastAsia" w:ascii="宋体" w:hAnsi="宋体"/>
          <w:color w:val="auto"/>
          <w:sz w:val="24"/>
          <w:szCs w:val="24"/>
          <w:highlight w:val="none"/>
          <w:lang w:val="en-US" w:eastAsia="zh-CN"/>
        </w:rPr>
        <w:t>承诺</w:t>
      </w:r>
      <w:r>
        <w:rPr>
          <w:rFonts w:hint="eastAsia" w:ascii="宋体" w:hAnsi="宋体"/>
          <w:color w:val="auto"/>
          <w:sz w:val="24"/>
          <w:szCs w:val="24"/>
          <w:highlight w:val="none"/>
        </w:rPr>
        <w:t>。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w:t>
      </w:r>
    </w:p>
    <w:p w14:paraId="250E59B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7.8.2 发出中标通知书后，招标人无正当理由拒签合同，或在签订合同时向中标人提出附加条件的，招标人向中标人退还投标保证金；给中标人造成损失的，还应赔偿损失。</w:t>
      </w:r>
    </w:p>
    <w:p w14:paraId="0260F0E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7.8.3 （不适用）</w:t>
      </w:r>
    </w:p>
    <w:p w14:paraId="4B13A61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7.8.4 （不适用）</w:t>
      </w:r>
    </w:p>
    <w:p w14:paraId="50494FB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7.8.5 招标人和中标人在签订合同协议书的同时，须按照本招标文件规定的格式和要求签订廉政合同及安全生产合同，明确双方在廉政建设和安全生产方面的权利和义务以及应</w:t>
      </w:r>
      <w:r>
        <w:rPr>
          <w:rFonts w:hint="eastAsia" w:ascii="宋体" w:hAnsi="宋体"/>
          <w:color w:val="auto"/>
          <w:sz w:val="24"/>
          <w:szCs w:val="24"/>
          <w:highlight w:val="none"/>
          <w:lang w:eastAsia="zh-CN"/>
        </w:rPr>
        <w:t>承担的违约责任。</w:t>
      </w:r>
      <w:r>
        <w:rPr>
          <w:rFonts w:hint="eastAsia" w:ascii="宋体" w:hAnsi="宋体"/>
          <w:color w:val="auto"/>
          <w:sz w:val="24"/>
          <w:szCs w:val="24"/>
          <w:highlight w:val="none"/>
        </w:rPr>
        <w:t xml:space="preserve"> </w:t>
      </w:r>
    </w:p>
    <w:p w14:paraId="7179961C">
      <w:pPr>
        <w:pStyle w:val="45"/>
        <w:spacing w:line="360" w:lineRule="auto"/>
        <w:rPr>
          <w:rFonts w:ascii="宋体" w:hAnsi="宋体" w:eastAsia="宋体"/>
          <w:b/>
          <w:color w:val="auto"/>
          <w:sz w:val="28"/>
          <w:szCs w:val="28"/>
          <w:highlight w:val="none"/>
        </w:rPr>
      </w:pPr>
      <w:bookmarkStart w:id="297" w:name="_Toc16778785"/>
      <w:bookmarkEnd w:id="297"/>
      <w:bookmarkStart w:id="298" w:name="_Toc152042350"/>
      <w:bookmarkEnd w:id="298"/>
      <w:bookmarkStart w:id="299" w:name="_Toc152045574"/>
      <w:bookmarkEnd w:id="299"/>
      <w:bookmarkStart w:id="300" w:name="_Toc3038"/>
      <w:bookmarkEnd w:id="300"/>
      <w:bookmarkStart w:id="301" w:name="_Toc179632592"/>
      <w:bookmarkEnd w:id="301"/>
      <w:bookmarkStart w:id="302" w:name="_Toc144974542"/>
      <w:bookmarkEnd w:id="302"/>
      <w:bookmarkStart w:id="303" w:name="_Toc27383"/>
      <w:r>
        <w:rPr>
          <w:rFonts w:hint="eastAsia" w:ascii="宋体" w:hAnsi="宋体" w:eastAsia="宋体"/>
          <w:b/>
          <w:color w:val="auto"/>
          <w:sz w:val="28"/>
          <w:szCs w:val="28"/>
          <w:highlight w:val="none"/>
          <w:lang w:val="en-US" w:eastAsia="zh-CN"/>
        </w:rPr>
        <w:t>8</w:t>
      </w:r>
      <w:r>
        <w:rPr>
          <w:rFonts w:hint="eastAsia" w:ascii="宋体" w:hAnsi="宋体" w:eastAsia="宋体"/>
          <w:b/>
          <w:color w:val="auto"/>
          <w:sz w:val="28"/>
          <w:szCs w:val="28"/>
          <w:highlight w:val="none"/>
        </w:rPr>
        <w:t>. 纪律和监督</w:t>
      </w:r>
      <w:bookmarkEnd w:id="303"/>
    </w:p>
    <w:p w14:paraId="78F12A11">
      <w:pPr>
        <w:pStyle w:val="45"/>
        <w:spacing w:line="360" w:lineRule="auto"/>
        <w:rPr>
          <w:rFonts w:ascii="宋体" w:hAnsi="宋体" w:eastAsia="宋体"/>
          <w:b/>
          <w:color w:val="auto"/>
          <w:highlight w:val="none"/>
        </w:rPr>
      </w:pPr>
      <w:bookmarkStart w:id="304" w:name="_Toc144974543"/>
      <w:bookmarkEnd w:id="304"/>
      <w:bookmarkStart w:id="305" w:name="_Toc23769"/>
      <w:bookmarkEnd w:id="305"/>
      <w:bookmarkStart w:id="306" w:name="_Toc152045575"/>
      <w:bookmarkEnd w:id="306"/>
      <w:bookmarkStart w:id="307" w:name="_Toc16778786"/>
      <w:bookmarkEnd w:id="307"/>
      <w:bookmarkStart w:id="308" w:name="_Toc152042351"/>
      <w:bookmarkEnd w:id="308"/>
      <w:bookmarkStart w:id="309" w:name="_Toc179632593"/>
      <w:bookmarkEnd w:id="309"/>
      <w:bookmarkStart w:id="310" w:name="_Toc11094"/>
      <w:r>
        <w:rPr>
          <w:rFonts w:hint="eastAsia" w:ascii="宋体" w:hAnsi="宋体" w:eastAsia="宋体"/>
          <w:b/>
          <w:color w:val="auto"/>
          <w:highlight w:val="none"/>
          <w:lang w:val="en-US" w:eastAsia="zh-CN"/>
        </w:rPr>
        <w:t>8</w:t>
      </w:r>
      <w:r>
        <w:rPr>
          <w:rFonts w:hint="eastAsia" w:ascii="宋体" w:hAnsi="宋体" w:eastAsia="宋体"/>
          <w:b/>
          <w:color w:val="auto"/>
          <w:highlight w:val="none"/>
        </w:rPr>
        <w:t>.1 对招标人的纪律要求</w:t>
      </w:r>
      <w:bookmarkEnd w:id="310"/>
    </w:p>
    <w:p w14:paraId="1EBB8C81">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招标人不得泄漏招标投标活动中应当保密的情况和资料，不得与投标人串通损害国家利益、社会公共利益或者他人合法权益。</w:t>
      </w:r>
    </w:p>
    <w:p w14:paraId="06992290">
      <w:pPr>
        <w:pStyle w:val="45"/>
        <w:spacing w:line="360" w:lineRule="auto"/>
        <w:rPr>
          <w:rFonts w:ascii="宋体" w:hAnsi="宋体" w:eastAsia="宋体"/>
          <w:b/>
          <w:color w:val="auto"/>
          <w:highlight w:val="none"/>
        </w:rPr>
      </w:pPr>
      <w:bookmarkStart w:id="311" w:name="_Toc179632594"/>
      <w:bookmarkEnd w:id="311"/>
      <w:bookmarkStart w:id="312" w:name="_Toc144974544"/>
      <w:bookmarkEnd w:id="312"/>
      <w:bookmarkStart w:id="313" w:name="_Toc16778787"/>
      <w:bookmarkEnd w:id="313"/>
      <w:bookmarkStart w:id="314" w:name="_Toc26629"/>
      <w:bookmarkEnd w:id="314"/>
      <w:bookmarkStart w:id="315" w:name="_Toc152042352"/>
      <w:bookmarkEnd w:id="315"/>
      <w:bookmarkStart w:id="316" w:name="_Toc30704"/>
      <w:bookmarkEnd w:id="316"/>
      <w:bookmarkStart w:id="317" w:name="_Toc152045576"/>
      <w:r>
        <w:rPr>
          <w:rFonts w:hint="eastAsia" w:ascii="宋体" w:hAnsi="宋体" w:eastAsia="宋体"/>
          <w:b/>
          <w:color w:val="auto"/>
          <w:highlight w:val="none"/>
          <w:lang w:val="en-US" w:eastAsia="zh-CN"/>
        </w:rPr>
        <w:t>8</w:t>
      </w:r>
      <w:r>
        <w:rPr>
          <w:rFonts w:hint="eastAsia" w:ascii="宋体" w:hAnsi="宋体" w:eastAsia="宋体"/>
          <w:b/>
          <w:color w:val="auto"/>
          <w:highlight w:val="none"/>
        </w:rPr>
        <w:t>.2 对投标人的纪律要求</w:t>
      </w:r>
      <w:bookmarkEnd w:id="317"/>
    </w:p>
    <w:p w14:paraId="276D006E">
      <w:pPr>
        <w:keepNext w:val="0"/>
        <w:keepLines w:val="0"/>
        <w:pageBreakBefore w:val="0"/>
        <w:widowControl w:val="0"/>
        <w:kinsoku/>
        <w:overflowPunct w:val="0"/>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投标人不得相互串通投标或与招标人串通投标，不得向招标人或者评标委员会成员行贿谋取中标，不得以他人名义投标或以其他方式弄虚作假骗取中标；投标人不得以任何方式干扰、影响评标工作。</w:t>
      </w:r>
    </w:p>
    <w:p w14:paraId="58978BA8">
      <w:pPr>
        <w:pStyle w:val="45"/>
        <w:keepNext w:val="0"/>
        <w:keepLines w:val="0"/>
        <w:pageBreakBefore w:val="0"/>
        <w:widowControl w:val="0"/>
        <w:kinsoku/>
        <w:overflowPunct w:val="0"/>
        <w:topLinePunct w:val="0"/>
        <w:autoSpaceDE/>
        <w:autoSpaceDN/>
        <w:bidi w:val="0"/>
        <w:adjustRightInd/>
        <w:snapToGrid/>
        <w:spacing w:line="360" w:lineRule="auto"/>
        <w:textAlignment w:val="auto"/>
        <w:rPr>
          <w:rFonts w:ascii="宋体" w:hAnsi="宋体" w:eastAsia="宋体"/>
          <w:b/>
          <w:color w:val="auto"/>
          <w:highlight w:val="none"/>
        </w:rPr>
      </w:pPr>
      <w:bookmarkStart w:id="318" w:name="_Toc11173"/>
      <w:bookmarkEnd w:id="318"/>
      <w:bookmarkStart w:id="319" w:name="_Toc23529"/>
      <w:bookmarkEnd w:id="319"/>
      <w:bookmarkStart w:id="320" w:name="_Toc16778788"/>
      <w:bookmarkEnd w:id="320"/>
      <w:bookmarkStart w:id="321" w:name="_Toc179632595"/>
      <w:bookmarkEnd w:id="321"/>
      <w:bookmarkStart w:id="322" w:name="_Toc152045577"/>
      <w:bookmarkEnd w:id="322"/>
      <w:bookmarkStart w:id="323" w:name="_Toc144974545"/>
      <w:bookmarkEnd w:id="323"/>
      <w:bookmarkStart w:id="324" w:name="_Toc152042353"/>
      <w:r>
        <w:rPr>
          <w:rFonts w:hint="eastAsia" w:ascii="宋体" w:hAnsi="宋体" w:eastAsia="宋体"/>
          <w:b/>
          <w:color w:val="auto"/>
          <w:highlight w:val="none"/>
          <w:lang w:val="en-US" w:eastAsia="zh-CN"/>
        </w:rPr>
        <w:t>8</w:t>
      </w:r>
      <w:r>
        <w:rPr>
          <w:rFonts w:hint="eastAsia" w:ascii="宋体" w:hAnsi="宋体" w:eastAsia="宋体"/>
          <w:b/>
          <w:color w:val="auto"/>
          <w:highlight w:val="none"/>
        </w:rPr>
        <w:t>.3 对评标委员会成员的纪律要求</w:t>
      </w:r>
      <w:bookmarkEnd w:id="324"/>
    </w:p>
    <w:p w14:paraId="1D43F353">
      <w:pPr>
        <w:keepNext w:val="0"/>
        <w:keepLines w:val="0"/>
        <w:pageBreakBefore w:val="0"/>
        <w:widowControl w:val="0"/>
        <w:kinsoku/>
        <w:overflowPunct w:val="0"/>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评标委员会成员不得收受他人的财物或其他好处</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p>
    <w:p w14:paraId="49FE0572">
      <w:pPr>
        <w:pStyle w:val="45"/>
        <w:keepNext w:val="0"/>
        <w:keepLines w:val="0"/>
        <w:pageBreakBefore w:val="0"/>
        <w:widowControl w:val="0"/>
        <w:kinsoku/>
        <w:overflowPunct w:val="0"/>
        <w:topLinePunct w:val="0"/>
        <w:autoSpaceDE/>
        <w:autoSpaceDN/>
        <w:bidi w:val="0"/>
        <w:adjustRightInd/>
        <w:snapToGrid/>
        <w:spacing w:line="360" w:lineRule="auto"/>
        <w:textAlignment w:val="auto"/>
        <w:rPr>
          <w:rFonts w:ascii="宋体" w:hAnsi="宋体" w:eastAsia="宋体"/>
          <w:b/>
          <w:color w:val="auto"/>
          <w:highlight w:val="none"/>
        </w:rPr>
      </w:pPr>
      <w:bookmarkStart w:id="325" w:name="_Toc144974546"/>
      <w:bookmarkEnd w:id="325"/>
      <w:bookmarkStart w:id="326" w:name="_Toc14833"/>
      <w:bookmarkEnd w:id="326"/>
      <w:bookmarkStart w:id="327" w:name="_Toc179632596"/>
      <w:bookmarkEnd w:id="327"/>
      <w:bookmarkStart w:id="328" w:name="_Toc21229"/>
      <w:bookmarkEnd w:id="328"/>
      <w:bookmarkStart w:id="329" w:name="_Toc152045578"/>
      <w:bookmarkEnd w:id="329"/>
      <w:bookmarkStart w:id="330" w:name="_Toc152042354"/>
      <w:bookmarkEnd w:id="330"/>
      <w:bookmarkStart w:id="331" w:name="_Toc16778789"/>
      <w:r>
        <w:rPr>
          <w:rFonts w:hint="eastAsia" w:ascii="宋体" w:hAnsi="宋体" w:eastAsia="宋体"/>
          <w:b/>
          <w:color w:val="auto"/>
          <w:highlight w:val="none"/>
          <w:lang w:val="en-US" w:eastAsia="zh-CN"/>
        </w:rPr>
        <w:t>8</w:t>
      </w:r>
      <w:r>
        <w:rPr>
          <w:rFonts w:hint="eastAsia" w:ascii="宋体" w:hAnsi="宋体" w:eastAsia="宋体"/>
          <w:b/>
          <w:color w:val="auto"/>
          <w:highlight w:val="none"/>
        </w:rPr>
        <w:t>.4 对与评标活动有关的工作人员的纪律要求</w:t>
      </w:r>
      <w:bookmarkEnd w:id="331"/>
    </w:p>
    <w:p w14:paraId="2C0F9D72">
      <w:pPr>
        <w:keepNext w:val="0"/>
        <w:keepLines w:val="0"/>
        <w:pageBreakBefore w:val="0"/>
        <w:widowControl w:val="0"/>
        <w:kinsoku/>
        <w:overflowPunct w:val="0"/>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bookmarkStart w:id="332" w:name="_Toc152042355"/>
      <w:bookmarkEnd w:id="332"/>
      <w:r>
        <w:rPr>
          <w:rFonts w:hint="eastAsia" w:ascii="宋体" w:hAnsi="宋体"/>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4DF9FAD9">
      <w:pPr>
        <w:pStyle w:val="45"/>
        <w:keepNext w:val="0"/>
        <w:keepLines w:val="0"/>
        <w:pageBreakBefore w:val="0"/>
        <w:widowControl w:val="0"/>
        <w:kinsoku/>
        <w:overflowPunct w:val="0"/>
        <w:topLinePunct w:val="0"/>
        <w:autoSpaceDE/>
        <w:autoSpaceDN/>
        <w:bidi w:val="0"/>
        <w:adjustRightInd/>
        <w:snapToGrid/>
        <w:spacing w:line="360" w:lineRule="auto"/>
        <w:textAlignment w:val="auto"/>
        <w:rPr>
          <w:rFonts w:ascii="宋体" w:hAnsi="宋体" w:eastAsia="宋体"/>
          <w:b/>
          <w:color w:val="auto"/>
          <w:highlight w:val="none"/>
        </w:rPr>
      </w:pPr>
      <w:bookmarkStart w:id="333" w:name="_Toc16778790"/>
      <w:bookmarkEnd w:id="333"/>
      <w:bookmarkStart w:id="334" w:name="_Toc17647"/>
      <w:bookmarkEnd w:id="334"/>
      <w:bookmarkStart w:id="335" w:name="_Toc10515"/>
      <w:bookmarkEnd w:id="335"/>
      <w:bookmarkStart w:id="336" w:name="_Toc152045579"/>
      <w:bookmarkEnd w:id="336"/>
      <w:bookmarkStart w:id="337" w:name="_Toc152042356"/>
      <w:bookmarkEnd w:id="337"/>
      <w:bookmarkStart w:id="338" w:name="_Toc179632597"/>
      <w:r>
        <w:rPr>
          <w:rFonts w:hint="eastAsia" w:ascii="宋体" w:hAnsi="宋体" w:eastAsia="宋体"/>
          <w:b/>
          <w:color w:val="auto"/>
          <w:highlight w:val="none"/>
          <w:lang w:val="en-US" w:eastAsia="zh-CN"/>
        </w:rPr>
        <w:t>8</w:t>
      </w:r>
      <w:r>
        <w:rPr>
          <w:rFonts w:hint="eastAsia" w:ascii="宋体" w:hAnsi="宋体" w:eastAsia="宋体"/>
          <w:b/>
          <w:color w:val="auto"/>
          <w:highlight w:val="none"/>
        </w:rPr>
        <w:t>.5 投诉</w:t>
      </w:r>
      <w:bookmarkEnd w:id="338"/>
    </w:p>
    <w:p w14:paraId="0C15B8CD">
      <w:pPr>
        <w:keepNext w:val="0"/>
        <w:keepLines w:val="0"/>
        <w:pageBreakBefore w:val="0"/>
        <w:widowControl w:val="0"/>
        <w:kinsoku/>
        <w:overflowPunct w:val="0"/>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.5.1 投标人或其他利害关系人认为招标投标活动不符合法律、行政法规规定的，可以自知道或应当知道之日起10日内向有关行政监督部门投诉。投诉应有明确的请求和必要的证明材料。</w:t>
      </w:r>
    </w:p>
    <w:p w14:paraId="347A7ECF">
      <w:pPr>
        <w:keepNext w:val="0"/>
        <w:keepLines w:val="0"/>
        <w:pageBreakBefore w:val="0"/>
        <w:widowControl w:val="0"/>
        <w:kinsoku/>
        <w:overflowPunct w:val="0"/>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监督部门的联系方式见投标人须知前附表。</w:t>
      </w:r>
    </w:p>
    <w:p w14:paraId="6920E7F2">
      <w:pPr>
        <w:keepNext w:val="0"/>
        <w:keepLines w:val="0"/>
        <w:pageBreakBefore w:val="0"/>
        <w:widowControl w:val="0"/>
        <w:kinsoku/>
        <w:wordWrap w:val="0"/>
        <w:overflowPunct w:val="0"/>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.5.2 投标人或其他利害关系人对招标文件、开标和评标结果提出投诉的，应按照本章第2.4款、第5.3款和第7.2款的规定先向招标人提出异议。异议答复期间不计算在第</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.5.1项规定的期限内。</w:t>
      </w:r>
    </w:p>
    <w:p w14:paraId="4C6031D2">
      <w:pPr>
        <w:pStyle w:val="21"/>
        <w:keepNext w:val="0"/>
        <w:keepLines w:val="0"/>
        <w:pageBreakBefore w:val="0"/>
        <w:widowControl w:val="0"/>
        <w:kinsoku/>
        <w:topLinePunct w:val="0"/>
        <w:autoSpaceDE/>
        <w:autoSpaceDN/>
        <w:bidi w:val="0"/>
        <w:adjustRightInd/>
        <w:snapToGrid/>
        <w:spacing w:line="360" w:lineRule="auto"/>
        <w:ind w:left="0" w:leftChars="0" w:firstLine="0" w:firstLineChars="0"/>
        <w:textAlignment w:val="auto"/>
        <w:rPr>
          <w:rFonts w:hint="eastAsia" w:ascii="宋体"/>
          <w:b/>
          <w:color w:val="auto"/>
          <w:sz w:val="28"/>
          <w:szCs w:val="28"/>
          <w:highlight w:val="none"/>
          <w:lang w:val="en-US" w:eastAsia="zh-CN"/>
        </w:rPr>
      </w:pPr>
      <w:r>
        <w:rPr>
          <w:rFonts w:hint="eastAsia" w:ascii="宋体"/>
          <w:b/>
          <w:color w:val="auto"/>
          <w:sz w:val="28"/>
          <w:szCs w:val="28"/>
          <w:highlight w:val="none"/>
          <w:lang w:val="en-US" w:eastAsia="zh-CN"/>
        </w:rPr>
        <w:t>9</w:t>
      </w:r>
      <w:r>
        <w:rPr>
          <w:rFonts w:hint="eastAsia" w:ascii="宋体" w:hAnsi="宋体" w:eastAsia="宋体"/>
          <w:b/>
          <w:color w:val="auto"/>
          <w:sz w:val="28"/>
          <w:szCs w:val="28"/>
          <w:highlight w:val="none"/>
        </w:rPr>
        <w:t>.</w:t>
      </w:r>
      <w:r>
        <w:rPr>
          <w:rFonts w:hint="eastAsia" w:ascii="宋体"/>
          <w:b/>
          <w:color w:val="auto"/>
          <w:sz w:val="28"/>
          <w:szCs w:val="28"/>
          <w:highlight w:val="none"/>
          <w:lang w:val="en-US" w:eastAsia="zh-CN"/>
        </w:rPr>
        <w:t xml:space="preserve"> 是否采用电子招标投标</w:t>
      </w:r>
    </w:p>
    <w:p w14:paraId="3A4D1B15">
      <w:pPr>
        <w:keepNext w:val="0"/>
        <w:keepLines w:val="0"/>
        <w:pageBreakBefore w:val="0"/>
        <w:widowControl w:val="0"/>
        <w:kinsoku/>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color w:val="auto"/>
          <w:sz w:val="24"/>
          <w:szCs w:val="24"/>
          <w:highlight w:val="none"/>
          <w:lang w:val="en-US" w:eastAsia="zh-CN"/>
        </w:rPr>
        <w:t>本招标项目是否采用电子招标投标方式，见投标人须知前附表。</w:t>
      </w:r>
    </w:p>
    <w:p w14:paraId="34669F10">
      <w:pPr>
        <w:pStyle w:val="45"/>
        <w:keepNext w:val="0"/>
        <w:keepLines w:val="0"/>
        <w:pageBreakBefore w:val="0"/>
        <w:widowControl w:val="0"/>
        <w:numPr>
          <w:ilvl w:val="0"/>
          <w:numId w:val="2"/>
        </w:numPr>
        <w:kinsoku/>
        <w:wordWrap w:val="0"/>
        <w:overflowPunct w:val="0"/>
        <w:topLinePunct w:val="0"/>
        <w:autoSpaceDE/>
        <w:autoSpaceDN/>
        <w:bidi w:val="0"/>
        <w:adjustRightInd/>
        <w:snapToGrid/>
        <w:spacing w:line="360" w:lineRule="auto"/>
        <w:textAlignment w:val="auto"/>
        <w:rPr>
          <w:rFonts w:hint="eastAsia" w:ascii="宋体" w:hAnsi="宋体" w:eastAsia="宋体"/>
          <w:b/>
          <w:color w:val="auto"/>
          <w:sz w:val="28"/>
          <w:szCs w:val="28"/>
          <w:highlight w:val="none"/>
        </w:rPr>
      </w:pPr>
      <w:bookmarkStart w:id="339" w:name="_Toc11240"/>
      <w:bookmarkEnd w:id="339"/>
      <w:bookmarkStart w:id="340" w:name="_Toc7262"/>
      <w:bookmarkEnd w:id="340"/>
      <w:bookmarkStart w:id="341" w:name="_Toc179632598"/>
      <w:bookmarkEnd w:id="341"/>
      <w:bookmarkStart w:id="342" w:name="_Toc152045580"/>
      <w:bookmarkEnd w:id="342"/>
      <w:bookmarkStart w:id="343" w:name="_Toc6998"/>
      <w:bookmarkEnd w:id="343"/>
      <w:bookmarkStart w:id="344" w:name="_Toc144974547"/>
      <w:bookmarkEnd w:id="344"/>
      <w:bookmarkStart w:id="345" w:name="_Toc16778792"/>
      <w:bookmarkEnd w:id="345"/>
      <w:bookmarkStart w:id="346" w:name="_Toc152042357"/>
      <w:bookmarkEnd w:id="346"/>
      <w:bookmarkStart w:id="347" w:name="_Toc14738"/>
      <w:r>
        <w:rPr>
          <w:rFonts w:hint="eastAsia" w:ascii="宋体" w:hAnsi="宋体" w:eastAsia="宋体"/>
          <w:b/>
          <w:color w:val="auto"/>
          <w:sz w:val="28"/>
          <w:szCs w:val="28"/>
          <w:highlight w:val="none"/>
        </w:rPr>
        <w:t>需要补充的内容</w:t>
      </w:r>
      <w:bookmarkEnd w:id="347"/>
    </w:p>
    <w:p w14:paraId="675BB722">
      <w:pPr>
        <w:pStyle w:val="45"/>
        <w:keepNext w:val="0"/>
        <w:keepLines w:val="0"/>
        <w:pageBreakBefore w:val="0"/>
        <w:widowControl w:val="0"/>
        <w:numPr>
          <w:ilvl w:val="0"/>
          <w:numId w:val="0"/>
        </w:numPr>
        <w:kinsoku/>
        <w:wordWrap w:val="0"/>
        <w:overflowPunct w:val="0"/>
        <w:topLinePunct w:val="0"/>
        <w:autoSpaceDE/>
        <w:autoSpaceDN/>
        <w:bidi w:val="0"/>
        <w:adjustRightInd/>
        <w:snapToGrid/>
        <w:spacing w:line="360" w:lineRule="auto"/>
        <w:ind w:leftChars="0" w:firstLine="480" w:firstLineChars="200"/>
        <w:textAlignment w:val="auto"/>
        <w:rPr>
          <w:rFonts w:hint="eastAsia" w:ascii="宋体" w:hAnsi="宋体" w:eastAsia="宋体" w:cs="Times New Roman"/>
          <w:b w:val="0"/>
          <w:bCs w:val="0"/>
          <w:color w:val="auto"/>
          <w:kern w:val="2"/>
          <w:sz w:val="24"/>
          <w:szCs w:val="24"/>
          <w:highlight w:val="none"/>
          <w:lang w:val="en-US" w:eastAsia="zh-CN" w:bidi="ar-SA"/>
        </w:rPr>
      </w:pPr>
      <w:r>
        <w:rPr>
          <w:rFonts w:hint="eastAsia" w:ascii="宋体" w:hAnsi="宋体" w:eastAsia="宋体" w:cs="Times New Roman"/>
          <w:b w:val="0"/>
          <w:bCs w:val="0"/>
          <w:color w:val="auto"/>
          <w:kern w:val="2"/>
          <w:sz w:val="24"/>
          <w:szCs w:val="24"/>
          <w:highlight w:val="none"/>
          <w:lang w:val="en-US" w:eastAsia="zh-CN" w:bidi="ar-SA"/>
        </w:rPr>
        <w:t>10.1自购买招标文件之日起，投标人应保证其提供的联系方式（电话、传真、 电子邮件）一直有效，以便及时收到招标人发出的函件（招标文件的澄清、修改等)，并应及时向招标人反馈信息，否则招标人不承担由此引起的一切后果。</w:t>
      </w:r>
    </w:p>
    <w:p w14:paraId="570BABDD">
      <w:pPr>
        <w:keepNext w:val="0"/>
        <w:keepLines w:val="0"/>
        <w:pageBreakBefore w:val="0"/>
        <w:widowControl w:val="0"/>
        <w:kinsoku/>
        <w:overflowPunct w:val="0"/>
        <w:topLinePunct w:val="0"/>
        <w:autoSpaceDE/>
        <w:autoSpaceDN/>
        <w:bidi w:val="0"/>
        <w:adjustRightInd/>
        <w:snapToGrid/>
        <w:spacing w:line="360" w:lineRule="auto"/>
        <w:ind w:firstLine="480" w:firstLineChars="200"/>
        <w:jc w:val="left"/>
        <w:textAlignment w:val="auto"/>
        <w:rPr>
          <w:rFonts w:hint="eastAsia" w:ascii="宋体" w:hAnsi="宋体" w:cs="Times New Roman"/>
          <w:color w:val="auto"/>
          <w:sz w:val="24"/>
          <w:szCs w:val="24"/>
          <w:highlight w:val="none"/>
        </w:rPr>
      </w:pPr>
      <w:bookmarkStart w:id="348" w:name="_Toc494383751"/>
      <w:bookmarkEnd w:id="348"/>
      <w:bookmarkStart w:id="349" w:name="_Toc462165688"/>
      <w:bookmarkEnd w:id="349"/>
      <w:bookmarkStart w:id="350" w:name="_Toc503271363"/>
      <w:bookmarkEnd w:id="350"/>
      <w:bookmarkStart w:id="351" w:name="_Toc144974548"/>
      <w:bookmarkEnd w:id="351"/>
      <w:bookmarkStart w:id="352" w:name="_Toc179632599"/>
      <w:bookmarkEnd w:id="352"/>
      <w:bookmarkStart w:id="353" w:name="_Toc409717261"/>
      <w:bookmarkEnd w:id="353"/>
      <w:bookmarkStart w:id="354" w:name="_Toc503884973"/>
      <w:bookmarkEnd w:id="354"/>
      <w:bookmarkStart w:id="355" w:name="_Toc351044531"/>
      <w:bookmarkEnd w:id="355"/>
      <w:bookmarkStart w:id="356" w:name="_Toc152045581"/>
      <w:bookmarkEnd w:id="356"/>
      <w:bookmarkStart w:id="357" w:name="_Toc409440057"/>
      <w:r>
        <w:rPr>
          <w:rFonts w:hint="eastAsia" w:ascii="宋体" w:hAnsi="宋体" w:cs="Times New Roman"/>
          <w:color w:val="auto"/>
          <w:sz w:val="24"/>
          <w:szCs w:val="24"/>
          <w:highlight w:val="none"/>
        </w:rPr>
        <w:t>需要补充的其他内容:见投标人须知前附表。</w:t>
      </w:r>
    </w:p>
    <w:bookmarkEnd w:id="357"/>
    <w:p w14:paraId="4FC72BF9">
      <w:pPr>
        <w:pStyle w:val="45"/>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b/>
          <w:color w:val="auto"/>
          <w:sz w:val="28"/>
          <w:szCs w:val="28"/>
          <w:highlight w:val="none"/>
        </w:rPr>
      </w:pPr>
    </w:p>
    <w:p w14:paraId="2AEFE6C0">
      <w:pPr>
        <w:pStyle w:val="45"/>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b/>
          <w:color w:val="auto"/>
          <w:sz w:val="28"/>
          <w:szCs w:val="28"/>
          <w:highlight w:val="none"/>
        </w:rPr>
      </w:pPr>
    </w:p>
    <w:p w14:paraId="685BA096">
      <w:pPr>
        <w:pStyle w:val="45"/>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b/>
          <w:color w:val="auto"/>
          <w:sz w:val="28"/>
          <w:szCs w:val="28"/>
          <w:highlight w:val="none"/>
        </w:rPr>
      </w:pPr>
    </w:p>
    <w:p w14:paraId="148A33A8">
      <w:pPr>
        <w:pStyle w:val="45"/>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b/>
          <w:color w:val="auto"/>
          <w:sz w:val="28"/>
          <w:szCs w:val="28"/>
          <w:highlight w:val="none"/>
        </w:rPr>
      </w:pPr>
    </w:p>
    <w:p w14:paraId="143CA363">
      <w:pPr>
        <w:pStyle w:val="45"/>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b/>
          <w:color w:val="auto"/>
          <w:sz w:val="28"/>
          <w:szCs w:val="28"/>
          <w:highlight w:val="none"/>
        </w:rPr>
      </w:pPr>
    </w:p>
    <w:p w14:paraId="7493FB5F">
      <w:pPr>
        <w:pStyle w:val="45"/>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b/>
          <w:color w:val="auto"/>
          <w:sz w:val="28"/>
          <w:szCs w:val="28"/>
          <w:highlight w:val="none"/>
        </w:rPr>
      </w:pPr>
    </w:p>
    <w:p w14:paraId="1EEC6EF2">
      <w:pPr>
        <w:pStyle w:val="45"/>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b/>
          <w:color w:val="auto"/>
          <w:sz w:val="28"/>
          <w:szCs w:val="28"/>
          <w:highlight w:val="none"/>
        </w:rPr>
      </w:pPr>
    </w:p>
    <w:p w14:paraId="289909A0">
      <w:pPr>
        <w:pStyle w:val="45"/>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b/>
          <w:color w:val="auto"/>
          <w:sz w:val="28"/>
          <w:szCs w:val="28"/>
          <w:highlight w:val="none"/>
        </w:rPr>
      </w:pPr>
    </w:p>
    <w:p w14:paraId="7E08D344">
      <w:pPr>
        <w:pStyle w:val="45"/>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b/>
          <w:color w:val="auto"/>
          <w:sz w:val="28"/>
          <w:szCs w:val="28"/>
          <w:highlight w:val="none"/>
        </w:rPr>
      </w:pPr>
    </w:p>
    <w:p w14:paraId="0D77DB16">
      <w:pPr>
        <w:pStyle w:val="45"/>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b/>
          <w:color w:val="auto"/>
          <w:sz w:val="28"/>
          <w:szCs w:val="28"/>
          <w:highlight w:val="none"/>
        </w:rPr>
      </w:pPr>
    </w:p>
    <w:p w14:paraId="4DD3D345">
      <w:pPr>
        <w:pStyle w:val="45"/>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b/>
          <w:color w:val="auto"/>
          <w:sz w:val="28"/>
          <w:szCs w:val="28"/>
          <w:highlight w:val="none"/>
        </w:rPr>
      </w:pPr>
    </w:p>
    <w:p w14:paraId="736F48B3">
      <w:pPr>
        <w:pStyle w:val="45"/>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b/>
          <w:color w:val="auto"/>
          <w:sz w:val="28"/>
          <w:szCs w:val="28"/>
          <w:highlight w:val="none"/>
        </w:rPr>
      </w:pPr>
    </w:p>
    <w:p w14:paraId="143D123C">
      <w:pPr>
        <w:pStyle w:val="45"/>
        <w:outlineLvl w:val="1"/>
        <w:rPr>
          <w:rFonts w:ascii="宋体" w:hAnsi="宋体" w:eastAsia="宋体"/>
          <w:b/>
          <w:color w:val="auto"/>
          <w:sz w:val="28"/>
          <w:szCs w:val="28"/>
          <w:highlight w:val="none"/>
        </w:rPr>
      </w:pPr>
      <w:r>
        <w:rPr>
          <w:rFonts w:hint="eastAsia" w:ascii="宋体" w:hAnsi="宋体" w:eastAsia="宋体"/>
          <w:b/>
          <w:color w:val="auto"/>
          <w:sz w:val="28"/>
          <w:szCs w:val="28"/>
          <w:highlight w:val="none"/>
        </w:rPr>
        <w:t>附件</w:t>
      </w:r>
      <w:r>
        <w:rPr>
          <w:rFonts w:hint="eastAsia" w:ascii="宋体" w:hAnsi="宋体" w:eastAsia="宋体"/>
          <w:b/>
          <w:color w:val="auto"/>
          <w:sz w:val="28"/>
          <w:szCs w:val="28"/>
          <w:highlight w:val="none"/>
          <w:lang w:eastAsia="zh-CN"/>
        </w:rPr>
        <w:t>一</w:t>
      </w:r>
      <w:r>
        <w:rPr>
          <w:rFonts w:hint="eastAsia" w:ascii="宋体" w:hAnsi="宋体" w:eastAsia="宋体"/>
          <w:b/>
          <w:color w:val="auto"/>
          <w:sz w:val="28"/>
          <w:szCs w:val="28"/>
          <w:highlight w:val="none"/>
        </w:rPr>
        <w:t xml:space="preserve"> 问题澄清通知</w:t>
      </w:r>
    </w:p>
    <w:p w14:paraId="0193860A">
      <w:pPr>
        <w:spacing w:line="440" w:lineRule="exact"/>
        <w:jc w:val="center"/>
        <w:rPr>
          <w:rFonts w:ascii="宋体" w:hAnsi="宋体"/>
          <w:color w:val="auto"/>
          <w:highlight w:val="none"/>
        </w:rPr>
      </w:pPr>
      <w:r>
        <w:rPr>
          <w:rFonts w:hint="eastAsia" w:ascii="宋体" w:hAnsi="宋体"/>
          <w:color w:val="auto"/>
          <w:highlight w:val="none"/>
        </w:rPr>
        <w:t xml:space="preserve"> </w:t>
      </w:r>
    </w:p>
    <w:p w14:paraId="204D7E45">
      <w:pPr>
        <w:spacing w:line="440" w:lineRule="exact"/>
        <w:jc w:val="center"/>
        <w:rPr>
          <w:rFonts w:ascii="宋体" w:hAnsi="宋体"/>
          <w:b/>
          <w:color w:val="auto"/>
          <w:sz w:val="32"/>
          <w:szCs w:val="32"/>
          <w:highlight w:val="none"/>
        </w:rPr>
      </w:pPr>
      <w:r>
        <w:rPr>
          <w:rFonts w:hint="eastAsia" w:ascii="宋体" w:hAnsi="宋体"/>
          <w:b/>
          <w:color w:val="auto"/>
          <w:sz w:val="32"/>
          <w:szCs w:val="32"/>
          <w:highlight w:val="none"/>
        </w:rPr>
        <w:t>问题澄清通知</w:t>
      </w:r>
    </w:p>
    <w:p w14:paraId="262A445C">
      <w:pPr>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53A2B995">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5481522B">
      <w:pPr>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w:t>
      </w:r>
    </w:p>
    <w:p w14:paraId="4797BA2D">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51A8150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标段施工招标的评标委员会，对你方的投标文件进行了仔细的审查，现需你方对下列问题以书面形式予以澄清或说明：</w:t>
      </w:r>
    </w:p>
    <w:p w14:paraId="716C400A">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1A3A4BF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p>
    <w:p w14:paraId="524109C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p>
    <w:p w14:paraId="52E1129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735A2935">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3970C5F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请将上述问题的澄清或说明于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时</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分前递交至</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（详细地址）或传真至</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（传真号码）。采用传真方式的，应在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时</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分前将原件递交至</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（详细地址）。</w:t>
      </w:r>
    </w:p>
    <w:p w14:paraId="71F6F9D6">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45711194">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25827A52">
      <w:pPr>
        <w:spacing w:line="360" w:lineRule="auto"/>
        <w:ind w:firstLine="240" w:firstLineChars="100"/>
        <w:jc w:val="right"/>
        <w:rPr>
          <w:rFonts w:ascii="宋体" w:hAnsi="宋体"/>
          <w:color w:val="auto"/>
          <w:sz w:val="24"/>
          <w:szCs w:val="24"/>
          <w:highlight w:val="none"/>
        </w:rPr>
      </w:pPr>
      <w:r>
        <w:rPr>
          <w:rFonts w:hint="eastAsia" w:ascii="宋体" w:hAnsi="宋体"/>
          <w:color w:val="auto"/>
          <w:sz w:val="24"/>
          <w:szCs w:val="24"/>
          <w:highlight w:val="none"/>
        </w:rPr>
        <w:t>评标委员会授权的招标人或招标代理机构：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（签字或盖单位章）</w:t>
      </w:r>
    </w:p>
    <w:p w14:paraId="22EA091F">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14D0514F">
      <w:pPr>
        <w:spacing w:line="360" w:lineRule="auto"/>
        <w:ind w:firstLine="4440" w:firstLineChars="1850"/>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576B2A61">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358" w:name="_Toc179632601"/>
      <w:bookmarkEnd w:id="358"/>
      <w:bookmarkStart w:id="359" w:name="_Toc144974550"/>
      <w:bookmarkEnd w:id="359"/>
      <w:bookmarkStart w:id="360" w:name="_Toc16778795"/>
      <w:bookmarkEnd w:id="360"/>
      <w:bookmarkStart w:id="361" w:name="_Toc11455"/>
      <w:bookmarkEnd w:id="361"/>
      <w:bookmarkStart w:id="362" w:name="_Toc152045583"/>
      <w:bookmarkEnd w:id="362"/>
      <w:bookmarkStart w:id="363" w:name="_Toc3907"/>
    </w:p>
    <w:p w14:paraId="59BE85AC">
      <w:pPr>
        <w:spacing w:line="400" w:lineRule="exact"/>
        <w:rPr>
          <w:rFonts w:hint="eastAsia" w:ascii="宋体" w:hAnsi="宋体"/>
          <w:color w:val="auto"/>
          <w:sz w:val="24"/>
          <w:szCs w:val="24"/>
          <w:highlight w:val="none"/>
        </w:rPr>
      </w:pPr>
    </w:p>
    <w:p w14:paraId="7EC6E00E">
      <w:pPr>
        <w:spacing w:line="400" w:lineRule="exact"/>
        <w:rPr>
          <w:rFonts w:hint="eastAsia" w:ascii="宋体" w:hAnsi="宋体"/>
          <w:color w:val="auto"/>
          <w:sz w:val="24"/>
          <w:szCs w:val="24"/>
          <w:highlight w:val="none"/>
        </w:rPr>
      </w:pPr>
    </w:p>
    <w:p w14:paraId="49B8CE13">
      <w:pPr>
        <w:spacing w:line="400" w:lineRule="exact"/>
        <w:rPr>
          <w:rFonts w:hint="eastAsia" w:ascii="宋体" w:hAnsi="宋体"/>
          <w:color w:val="auto"/>
          <w:sz w:val="24"/>
          <w:szCs w:val="24"/>
          <w:highlight w:val="none"/>
        </w:rPr>
      </w:pPr>
    </w:p>
    <w:p w14:paraId="43E5AAF7">
      <w:pPr>
        <w:spacing w:line="400" w:lineRule="exact"/>
        <w:rPr>
          <w:rFonts w:hint="eastAsia" w:ascii="宋体" w:hAnsi="宋体"/>
          <w:color w:val="auto"/>
          <w:sz w:val="24"/>
          <w:szCs w:val="24"/>
          <w:highlight w:val="none"/>
        </w:rPr>
      </w:pPr>
    </w:p>
    <w:p w14:paraId="741E7C80">
      <w:pPr>
        <w:spacing w:line="400" w:lineRule="exact"/>
        <w:rPr>
          <w:rFonts w:hint="eastAsia" w:ascii="宋体" w:hAnsi="宋体"/>
          <w:color w:val="auto"/>
          <w:sz w:val="24"/>
          <w:szCs w:val="24"/>
          <w:highlight w:val="none"/>
        </w:rPr>
      </w:pPr>
    </w:p>
    <w:p w14:paraId="294114F7">
      <w:pPr>
        <w:spacing w:line="400" w:lineRule="exact"/>
        <w:rPr>
          <w:rFonts w:hint="eastAsia" w:ascii="宋体" w:hAnsi="宋体"/>
          <w:color w:val="auto"/>
          <w:sz w:val="24"/>
          <w:szCs w:val="24"/>
          <w:highlight w:val="none"/>
        </w:rPr>
      </w:pPr>
    </w:p>
    <w:p w14:paraId="2D6A7466">
      <w:pPr>
        <w:spacing w:line="400" w:lineRule="exact"/>
        <w:rPr>
          <w:rFonts w:hint="eastAsia" w:ascii="宋体" w:hAnsi="宋体"/>
          <w:color w:val="auto"/>
          <w:sz w:val="24"/>
          <w:szCs w:val="24"/>
          <w:highlight w:val="none"/>
        </w:rPr>
      </w:pPr>
    </w:p>
    <w:p w14:paraId="5CC0A7E9">
      <w:pPr>
        <w:spacing w:line="400" w:lineRule="exact"/>
        <w:rPr>
          <w:rFonts w:hint="eastAsia" w:ascii="宋体" w:hAnsi="宋体"/>
          <w:color w:val="auto"/>
          <w:sz w:val="24"/>
          <w:szCs w:val="24"/>
          <w:highlight w:val="none"/>
        </w:rPr>
      </w:pPr>
    </w:p>
    <w:p w14:paraId="58CB9786">
      <w:pPr>
        <w:spacing w:line="400" w:lineRule="exact"/>
        <w:rPr>
          <w:rFonts w:ascii="宋体" w:hAnsi="宋体" w:eastAsia="宋体"/>
          <w:b/>
          <w:color w:val="auto"/>
          <w:sz w:val="28"/>
          <w:szCs w:val="28"/>
          <w:highlight w:val="none"/>
        </w:rPr>
      </w:pPr>
      <w:r>
        <w:rPr>
          <w:rFonts w:hint="eastAsia" w:ascii="宋体" w:hAnsi="宋体" w:eastAsia="宋体"/>
          <w:b/>
          <w:color w:val="auto"/>
          <w:sz w:val="28"/>
          <w:szCs w:val="28"/>
          <w:highlight w:val="none"/>
        </w:rPr>
        <w:t>附件</w:t>
      </w:r>
      <w:bookmarkEnd w:id="363"/>
      <w:r>
        <w:rPr>
          <w:rFonts w:hint="eastAsia" w:ascii="宋体" w:hAnsi="宋体" w:eastAsia="宋体"/>
          <w:b/>
          <w:color w:val="auto"/>
          <w:sz w:val="28"/>
          <w:szCs w:val="28"/>
          <w:highlight w:val="none"/>
          <w:lang w:eastAsia="zh-CN"/>
        </w:rPr>
        <w:t>二</w:t>
      </w:r>
      <w:r>
        <w:rPr>
          <w:rFonts w:hint="eastAsia" w:ascii="宋体" w:hAnsi="宋体" w:eastAsia="宋体"/>
          <w:b/>
          <w:color w:val="auto"/>
          <w:sz w:val="28"/>
          <w:szCs w:val="28"/>
          <w:highlight w:val="none"/>
        </w:rPr>
        <w:t xml:space="preserve">  问题的澄清</w:t>
      </w:r>
    </w:p>
    <w:p w14:paraId="24E7C250">
      <w:pPr>
        <w:spacing w:line="400" w:lineRule="exact"/>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03CBE706">
      <w:pPr>
        <w:spacing w:line="400" w:lineRule="exact"/>
        <w:jc w:val="center"/>
        <w:rPr>
          <w:rFonts w:ascii="宋体" w:hAnsi="宋体"/>
          <w:b/>
          <w:color w:val="auto"/>
          <w:sz w:val="32"/>
          <w:szCs w:val="32"/>
          <w:highlight w:val="none"/>
        </w:rPr>
      </w:pPr>
      <w:r>
        <w:rPr>
          <w:rFonts w:hint="eastAsia" w:ascii="宋体" w:hAnsi="宋体"/>
          <w:b/>
          <w:color w:val="auto"/>
          <w:sz w:val="32"/>
          <w:szCs w:val="32"/>
          <w:highlight w:val="none"/>
        </w:rPr>
        <w:t>问题的澄清</w:t>
      </w:r>
    </w:p>
    <w:p w14:paraId="64A1C45F">
      <w:pPr>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4EA4C084">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p>
    <w:p w14:paraId="57F3C38C">
      <w:pPr>
        <w:spacing w:line="440" w:lineRule="exact"/>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标段施工招标评标委员会：</w:t>
      </w:r>
    </w:p>
    <w:p w14:paraId="46F8E7BF">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4E6F195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问题澄清通知（编号：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）已收悉，现澄清、说明如下：</w:t>
      </w:r>
    </w:p>
    <w:p w14:paraId="24C408C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p>
    <w:p w14:paraId="24F8413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p>
    <w:p w14:paraId="7AB4BD5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71C31FF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p>
    <w:p w14:paraId="39F61A2E">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w:t>
      </w:r>
    </w:p>
    <w:p w14:paraId="774BD57C">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上述问题澄清或说明，不改变我方投标文件的实质性内容，构成我方投标文件的组成部分。</w:t>
      </w:r>
    </w:p>
    <w:p w14:paraId="42EA2258">
      <w:pPr>
        <w:spacing w:line="440" w:lineRule="exact"/>
        <w:ind w:firstLine="3720" w:firstLineChars="1550"/>
        <w:rPr>
          <w:rFonts w:ascii="宋体" w:hAnsi="宋体"/>
          <w:color w:val="auto"/>
          <w:sz w:val="24"/>
          <w:szCs w:val="24"/>
          <w:highlight w:val="none"/>
        </w:rPr>
      </w:pPr>
      <w:r>
        <w:rPr>
          <w:rFonts w:hint="eastAsia" w:ascii="宋体" w:hAnsi="宋体"/>
          <w:color w:val="auto"/>
          <w:sz w:val="24"/>
          <w:szCs w:val="24"/>
          <w:highlight w:val="none"/>
        </w:rPr>
        <w:t xml:space="preserve"> </w:t>
      </w:r>
    </w:p>
    <w:p w14:paraId="30DC92BD">
      <w:pPr>
        <w:spacing w:line="440" w:lineRule="exact"/>
        <w:ind w:firstLine="3720" w:firstLineChars="1550"/>
        <w:rPr>
          <w:rFonts w:ascii="宋体" w:hAnsi="宋体"/>
          <w:color w:val="auto"/>
          <w:sz w:val="24"/>
          <w:szCs w:val="24"/>
          <w:highlight w:val="none"/>
        </w:rPr>
      </w:pPr>
      <w:r>
        <w:rPr>
          <w:rFonts w:hint="eastAsia" w:ascii="宋体" w:hAnsi="宋体"/>
          <w:color w:val="auto"/>
          <w:sz w:val="24"/>
          <w:szCs w:val="24"/>
          <w:highlight w:val="none"/>
        </w:rPr>
        <w:t>投标人：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w:t>
      </w:r>
    </w:p>
    <w:p w14:paraId="44DEFCA2">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w:t>
      </w:r>
    </w:p>
    <w:p w14:paraId="15821151">
      <w:pPr>
        <w:spacing w:line="440" w:lineRule="exact"/>
        <w:ind w:firstLine="3720" w:firstLineChars="1550"/>
        <w:rPr>
          <w:rFonts w:ascii="宋体" w:hAnsi="宋体"/>
          <w:color w:val="auto"/>
          <w:sz w:val="24"/>
          <w:szCs w:val="24"/>
          <w:highlight w:val="none"/>
        </w:rPr>
      </w:pPr>
      <w:r>
        <w:rPr>
          <w:rFonts w:hint="eastAsia" w:ascii="宋体" w:hAnsi="宋体"/>
          <w:color w:val="auto"/>
          <w:sz w:val="24"/>
          <w:szCs w:val="24"/>
          <w:highlight w:val="none"/>
        </w:rPr>
        <w:t>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w:t>
      </w:r>
    </w:p>
    <w:p w14:paraId="3D7F666C">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w:t>
      </w:r>
    </w:p>
    <w:p w14:paraId="4840C96F">
      <w:pPr>
        <w:spacing w:line="400" w:lineRule="exact"/>
        <w:jc w:val="right"/>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19834614">
      <w:pPr>
        <w:spacing w:line="400" w:lineRule="exact"/>
        <w:rPr>
          <w:rFonts w:ascii="宋体" w:hAnsi="宋体"/>
          <w:color w:val="auto"/>
          <w:highlight w:val="none"/>
        </w:rPr>
      </w:pPr>
      <w:r>
        <w:rPr>
          <w:rFonts w:hint="eastAsia" w:ascii="宋体" w:hAnsi="宋体"/>
          <w:color w:val="auto"/>
          <w:highlight w:val="none"/>
        </w:rPr>
        <w:t xml:space="preserve"> </w:t>
      </w:r>
    </w:p>
    <w:p w14:paraId="19285BB4">
      <w:pPr>
        <w:adjustRightInd w:val="0"/>
        <w:snapToGrid w:val="0"/>
        <w:spacing w:line="360" w:lineRule="auto"/>
        <w:ind w:firstLine="420" w:firstLineChars="200"/>
        <w:jc w:val="center"/>
        <w:rPr>
          <w:rFonts w:ascii="宋体" w:hAnsi="宋体"/>
          <w:color w:val="auto"/>
          <w:sz w:val="24"/>
          <w:szCs w:val="24"/>
          <w:highlight w:val="none"/>
        </w:rPr>
      </w:pPr>
      <w:bookmarkStart w:id="364" w:name="_Toc152042361"/>
      <w:bookmarkEnd w:id="364"/>
      <w:bookmarkStart w:id="365" w:name="_Toc152045584"/>
      <w:bookmarkEnd w:id="365"/>
      <w:bookmarkStart w:id="366" w:name="_Toc179632602"/>
      <w:bookmarkEnd w:id="366"/>
      <w:bookmarkStart w:id="367" w:name="_Toc144974551"/>
      <w:r>
        <w:rPr>
          <w:rFonts w:hint="eastAsia" w:ascii="宋体" w:hAnsi="宋体"/>
          <w:color w:val="auto"/>
          <w:highlight w:val="none"/>
        </w:rPr>
        <w:br w:type="page"/>
      </w:r>
      <w:bookmarkEnd w:id="367"/>
    </w:p>
    <w:p w14:paraId="58B3511F">
      <w:pPr>
        <w:jc w:val="center"/>
        <w:rPr>
          <w:rFonts w:hint="eastAsia"/>
          <w:color w:val="auto"/>
          <w:highlight w:val="none"/>
        </w:rPr>
      </w:pPr>
      <w:r>
        <w:rPr>
          <w:rFonts w:hint="eastAsia" w:ascii="宋体" w:hAnsi="宋体"/>
          <w:b/>
          <w:color w:val="auto"/>
          <w:kern w:val="44"/>
          <w:sz w:val="44"/>
          <w:szCs w:val="44"/>
          <w:highlight w:val="none"/>
        </w:rPr>
        <w:t>第三章  评标办法（</w:t>
      </w:r>
      <w:r>
        <w:rPr>
          <w:rFonts w:hint="eastAsia" w:ascii="宋体" w:hAnsi="宋体"/>
          <w:b/>
          <w:color w:val="auto"/>
          <w:kern w:val="44"/>
          <w:sz w:val="44"/>
          <w:szCs w:val="44"/>
          <w:highlight w:val="none"/>
          <w:lang w:val="en-US" w:eastAsia="zh-CN"/>
        </w:rPr>
        <w:t>合理低价法</w:t>
      </w:r>
      <w:r>
        <w:rPr>
          <w:rFonts w:hint="eastAsia" w:ascii="宋体" w:hAnsi="宋体"/>
          <w:b/>
          <w:color w:val="auto"/>
          <w:kern w:val="44"/>
          <w:sz w:val="44"/>
          <w:szCs w:val="44"/>
          <w:highlight w:val="none"/>
        </w:rPr>
        <w:t>）</w:t>
      </w:r>
    </w:p>
    <w:p w14:paraId="638521A0">
      <w:pPr>
        <w:pStyle w:val="43"/>
        <w:keepNext w:val="0"/>
        <w:keepLines w:val="0"/>
        <w:pageBreakBefore w:val="0"/>
        <w:widowControl w:val="0"/>
        <w:kinsoku/>
        <w:wordWrap/>
        <w:overflowPunct/>
        <w:topLinePunct w:val="0"/>
        <w:autoSpaceDE w:val="0"/>
        <w:autoSpaceDN w:val="0"/>
        <w:bidi w:val="0"/>
        <w:adjustRightInd w:val="0"/>
        <w:snapToGrid/>
        <w:spacing w:before="0" w:beforeLines="100" w:line="360" w:lineRule="auto"/>
        <w:jc w:val="center"/>
        <w:textAlignment w:val="auto"/>
        <w:outlineLvl w:val="1"/>
        <w:rPr>
          <w:rFonts w:hAnsi="宋体"/>
          <w:b/>
          <w:color w:val="auto"/>
          <w:sz w:val="28"/>
          <w:szCs w:val="28"/>
          <w:highlight w:val="none"/>
        </w:rPr>
      </w:pPr>
      <w:bookmarkStart w:id="368" w:name="_Toc272772605"/>
      <w:bookmarkEnd w:id="368"/>
      <w:bookmarkStart w:id="369" w:name="_Toc608"/>
      <w:bookmarkEnd w:id="369"/>
      <w:bookmarkStart w:id="370" w:name="_Toc16778799"/>
      <w:bookmarkEnd w:id="370"/>
      <w:bookmarkStart w:id="371" w:name="_Toc341721583"/>
      <w:bookmarkEnd w:id="371"/>
      <w:bookmarkStart w:id="372" w:name="_Toc14911"/>
      <w:bookmarkEnd w:id="372"/>
      <w:bookmarkStart w:id="373" w:name="_Toc9374"/>
      <w:bookmarkStart w:id="374" w:name="_Toc4328"/>
      <w:bookmarkStart w:id="375" w:name="_Toc16509"/>
      <w:bookmarkStart w:id="376" w:name="_Toc12840"/>
      <w:r>
        <w:rPr>
          <w:rFonts w:hint="eastAsia" w:hAnsi="宋体"/>
          <w:b/>
          <w:color w:val="auto"/>
          <w:sz w:val="28"/>
          <w:szCs w:val="28"/>
          <w:highlight w:val="none"/>
        </w:rPr>
        <w:t>评标办法前附表</w:t>
      </w:r>
      <w:bookmarkEnd w:id="373"/>
      <w:bookmarkEnd w:id="374"/>
      <w:bookmarkEnd w:id="375"/>
    </w:p>
    <w:bookmarkEnd w:id="376"/>
    <w:tbl>
      <w:tblPr>
        <w:tblStyle w:val="23"/>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8"/>
        <w:gridCol w:w="1123"/>
        <w:gridCol w:w="7467"/>
      </w:tblGrid>
      <w:tr w14:paraId="742C5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2191" w:type="dxa"/>
            <w:gridSpan w:val="2"/>
            <w:tcBorders>
              <w:top w:val="single" w:color="auto" w:sz="4" w:space="0"/>
              <w:left w:val="single" w:color="auto" w:sz="4" w:space="0"/>
              <w:bottom w:val="single" w:color="auto" w:sz="4" w:space="0"/>
              <w:right w:val="single" w:color="auto" w:sz="4" w:space="0"/>
            </w:tcBorders>
            <w:noWrap/>
            <w:vAlign w:val="center"/>
          </w:tcPr>
          <w:p w14:paraId="3259459A">
            <w:pPr>
              <w:pStyle w:val="43"/>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b/>
                <w:color w:val="auto"/>
                <w:sz w:val="21"/>
                <w:szCs w:val="21"/>
                <w:highlight w:val="none"/>
              </w:rPr>
            </w:pPr>
            <w:bookmarkStart w:id="377" w:name="_Toc11505"/>
            <w:bookmarkEnd w:id="377"/>
            <w:r>
              <w:rPr>
                <w:rFonts w:hint="eastAsia" w:ascii="宋体" w:hAnsi="宋体" w:eastAsia="宋体" w:cs="宋体"/>
                <w:b/>
                <w:color w:val="auto"/>
                <w:sz w:val="21"/>
                <w:szCs w:val="21"/>
                <w:highlight w:val="none"/>
              </w:rPr>
              <w:t>条款号</w:t>
            </w:r>
          </w:p>
        </w:tc>
        <w:tc>
          <w:tcPr>
            <w:tcW w:w="7467" w:type="dxa"/>
            <w:tcBorders>
              <w:top w:val="single" w:color="auto" w:sz="4" w:space="0"/>
              <w:left w:val="single" w:color="auto" w:sz="4" w:space="0"/>
              <w:bottom w:val="single" w:color="auto" w:sz="4" w:space="0"/>
              <w:right w:val="single" w:color="auto" w:sz="4" w:space="0"/>
            </w:tcBorders>
            <w:noWrap/>
            <w:vAlign w:val="center"/>
          </w:tcPr>
          <w:p w14:paraId="688556D2">
            <w:pPr>
              <w:pStyle w:val="43"/>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评审因素与评审标准</w:t>
            </w:r>
          </w:p>
        </w:tc>
      </w:tr>
      <w:tr w14:paraId="72C6B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5" w:hRule="exact"/>
          <w:jc w:val="center"/>
        </w:trPr>
        <w:tc>
          <w:tcPr>
            <w:tcW w:w="1068" w:type="dxa"/>
            <w:noWrap/>
            <w:vAlign w:val="center"/>
          </w:tcPr>
          <w:p w14:paraId="6F77281F">
            <w:pPr>
              <w:pStyle w:val="43"/>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23" w:type="dxa"/>
            <w:noWrap/>
            <w:vAlign w:val="center"/>
          </w:tcPr>
          <w:p w14:paraId="120D5C0A">
            <w:pPr>
              <w:pStyle w:val="43"/>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评标方法</w:t>
            </w:r>
          </w:p>
        </w:tc>
        <w:tc>
          <w:tcPr>
            <w:tcW w:w="7467" w:type="dxa"/>
            <w:noWrap/>
            <w:vAlign w:val="center"/>
          </w:tcPr>
          <w:p w14:paraId="64289ADF">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综合评分相等时，评标委员会依次按照以下优先顺序推荐中标候选人：</w:t>
            </w:r>
          </w:p>
          <w:p w14:paraId="0DC6AF0D">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综合评分相等时，以投标报价低的优先；投标报价也相等的，按照施工组织设计整体编制质量高的优先，由评标委员会确定。</w:t>
            </w:r>
          </w:p>
        </w:tc>
      </w:tr>
      <w:tr w14:paraId="5EA47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2" w:hRule="atLeast"/>
          <w:jc w:val="center"/>
        </w:trPr>
        <w:tc>
          <w:tcPr>
            <w:tcW w:w="1068" w:type="dxa"/>
            <w:noWrap/>
            <w:vAlign w:val="top"/>
          </w:tcPr>
          <w:p w14:paraId="0A4AED47">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546EC6C5">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5672AF12">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5264C904">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5526B10C">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5D257AC9">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28F7B045">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78A986B0">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0BACAD26">
            <w:pPr>
              <w:pStyle w:val="46"/>
              <w:keepNext w:val="0"/>
              <w:keepLines w:val="0"/>
              <w:pageBreakBefore w:val="0"/>
              <w:widowControl w:val="0"/>
              <w:kinsoku/>
              <w:wordWrap/>
              <w:overflowPunct/>
              <w:topLinePunct w:val="0"/>
              <w:bidi w:val="0"/>
              <w:snapToGrid/>
              <w:spacing w:line="360" w:lineRule="atLeast"/>
              <w:jc w:val="both"/>
              <w:textAlignment w:val="auto"/>
              <w:rPr>
                <w:rFonts w:hint="eastAsia" w:ascii="宋体" w:hAnsi="宋体" w:eastAsia="宋体" w:cs="宋体"/>
                <w:color w:val="auto"/>
                <w:sz w:val="21"/>
                <w:szCs w:val="21"/>
                <w:highlight w:val="none"/>
              </w:rPr>
            </w:pPr>
          </w:p>
          <w:p w14:paraId="2947E6CB">
            <w:pPr>
              <w:pStyle w:val="46"/>
              <w:keepNext w:val="0"/>
              <w:keepLines w:val="0"/>
              <w:pageBreakBefore w:val="0"/>
              <w:widowControl w:val="0"/>
              <w:kinsoku/>
              <w:wordWrap/>
              <w:overflowPunct/>
              <w:topLinePunct w:val="0"/>
              <w:bidi w:val="0"/>
              <w:snapToGrid/>
              <w:spacing w:line="360" w:lineRule="atLeast"/>
              <w:jc w:val="both"/>
              <w:textAlignment w:val="auto"/>
              <w:rPr>
                <w:rFonts w:hint="eastAsia" w:ascii="宋体" w:hAnsi="宋体" w:eastAsia="宋体" w:cs="宋体"/>
                <w:color w:val="auto"/>
                <w:sz w:val="21"/>
                <w:szCs w:val="21"/>
                <w:highlight w:val="none"/>
              </w:rPr>
            </w:pPr>
          </w:p>
          <w:p w14:paraId="615500A6">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69C11E3F">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p>
          <w:p w14:paraId="60993F69">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2.1.3</w:t>
            </w:r>
          </w:p>
          <w:p w14:paraId="77850DD7">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33F70191">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4F9A21EC">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7E68C087">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2590790B">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0677ED33">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2715FE05">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2E1B876B">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17A95B28">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4F904BFE">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28939181">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694AE253">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72D6DB72">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7BCC18B3">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7C7A3617">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01AA52F3">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7CEB7C66">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52C301D2">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2C5B3FD1">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5033FE99">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67F5BDCF">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113B4AF3">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p>
          <w:p w14:paraId="61433B3D">
            <w:pPr>
              <w:pStyle w:val="46"/>
              <w:keepNext w:val="0"/>
              <w:keepLines w:val="0"/>
              <w:pageBreakBefore w:val="0"/>
              <w:widowControl w:val="0"/>
              <w:kinsoku/>
              <w:wordWrap/>
              <w:overflowPunct/>
              <w:topLinePunct w:val="0"/>
              <w:bidi w:val="0"/>
              <w:snapToGrid/>
              <w:spacing w:line="360" w:lineRule="atLeast"/>
              <w:jc w:val="both"/>
              <w:textAlignment w:val="auto"/>
              <w:rPr>
                <w:rFonts w:hint="eastAsia" w:ascii="宋体" w:hAnsi="宋体" w:eastAsia="宋体" w:cs="宋体"/>
                <w:color w:val="auto"/>
                <w:sz w:val="21"/>
                <w:szCs w:val="21"/>
                <w:highlight w:val="none"/>
                <w:lang w:val="en-US" w:eastAsia="zh-CN"/>
              </w:rPr>
            </w:pPr>
          </w:p>
          <w:p w14:paraId="71DCDD2E">
            <w:pPr>
              <w:pStyle w:val="46"/>
              <w:keepNext w:val="0"/>
              <w:keepLines w:val="0"/>
              <w:pageBreakBefore w:val="0"/>
              <w:widowControl w:val="0"/>
              <w:kinsoku/>
              <w:wordWrap/>
              <w:overflowPunct/>
              <w:topLinePunct w:val="0"/>
              <w:bidi w:val="0"/>
              <w:snapToGrid/>
              <w:spacing w:line="360" w:lineRule="atLeast"/>
              <w:jc w:val="both"/>
              <w:textAlignment w:val="auto"/>
              <w:rPr>
                <w:rFonts w:hint="eastAsia" w:ascii="宋体" w:hAnsi="宋体" w:eastAsia="宋体" w:cs="宋体"/>
                <w:color w:val="auto"/>
                <w:sz w:val="21"/>
                <w:szCs w:val="21"/>
                <w:highlight w:val="none"/>
                <w:lang w:val="en-US" w:eastAsia="zh-CN"/>
              </w:rPr>
            </w:pPr>
          </w:p>
          <w:p w14:paraId="0B9A9AF6">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p>
          <w:p w14:paraId="0A9E202B">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2.1.3</w:t>
            </w:r>
          </w:p>
        </w:tc>
        <w:tc>
          <w:tcPr>
            <w:tcW w:w="1123" w:type="dxa"/>
            <w:noWrap/>
            <w:vAlign w:val="top"/>
          </w:tcPr>
          <w:p w14:paraId="67C3F6F0">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61E1B92A">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07408AA7">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1ADF4B79">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750BC114">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7093C84F">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3460C163">
            <w:pPr>
              <w:pStyle w:val="46"/>
              <w:keepNext w:val="0"/>
              <w:keepLines w:val="0"/>
              <w:pageBreakBefore w:val="0"/>
              <w:widowControl w:val="0"/>
              <w:kinsoku/>
              <w:wordWrap/>
              <w:overflowPunct/>
              <w:topLinePunct w:val="0"/>
              <w:bidi w:val="0"/>
              <w:snapToGrid/>
              <w:spacing w:line="360" w:lineRule="atLeast"/>
              <w:jc w:val="both"/>
              <w:textAlignment w:val="auto"/>
              <w:rPr>
                <w:rFonts w:hint="eastAsia" w:ascii="宋体" w:hAnsi="宋体" w:eastAsia="宋体" w:cs="宋体"/>
                <w:color w:val="auto"/>
                <w:sz w:val="21"/>
                <w:szCs w:val="21"/>
                <w:highlight w:val="none"/>
              </w:rPr>
            </w:pPr>
          </w:p>
          <w:p w14:paraId="3109E722">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091D2635">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163585B9">
            <w:pPr>
              <w:pStyle w:val="46"/>
              <w:keepNext w:val="0"/>
              <w:keepLines w:val="0"/>
              <w:pageBreakBefore w:val="0"/>
              <w:widowControl w:val="0"/>
              <w:kinsoku/>
              <w:wordWrap/>
              <w:overflowPunct/>
              <w:topLinePunct w:val="0"/>
              <w:bidi w:val="0"/>
              <w:snapToGrid/>
              <w:spacing w:line="360" w:lineRule="atLeast"/>
              <w:jc w:val="both"/>
              <w:textAlignment w:val="auto"/>
              <w:rPr>
                <w:rFonts w:hint="eastAsia" w:ascii="宋体" w:hAnsi="宋体" w:eastAsia="宋体" w:cs="宋体"/>
                <w:color w:val="auto"/>
                <w:sz w:val="21"/>
                <w:szCs w:val="21"/>
                <w:highlight w:val="none"/>
              </w:rPr>
            </w:pPr>
          </w:p>
          <w:p w14:paraId="3D5F7C6D">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02D48B91">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形式评审与响应性评审标准</w:t>
            </w:r>
          </w:p>
          <w:p w14:paraId="7676B88C">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141CB7D6">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28879939">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32495969">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2DD295F6">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67EE2C90">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3EDF357A">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5850A140">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5A00FECC">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734D079C">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503F0338">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05140FDC">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6239C39D">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471CF59F">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3E4D1D74">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7C79EEA9">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2BA63E5D">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47E9CA7E">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2DE1CDF3">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1CF8BBF0">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775C5643">
            <w:pPr>
              <w:pStyle w:val="46"/>
              <w:keepNext w:val="0"/>
              <w:keepLines w:val="0"/>
              <w:pageBreakBefore w:val="0"/>
              <w:widowControl w:val="0"/>
              <w:kinsoku/>
              <w:wordWrap/>
              <w:overflowPunct/>
              <w:topLinePunct w:val="0"/>
              <w:bidi w:val="0"/>
              <w:snapToGrid/>
              <w:spacing w:line="360" w:lineRule="atLeast"/>
              <w:jc w:val="both"/>
              <w:textAlignment w:val="auto"/>
              <w:rPr>
                <w:rFonts w:hint="eastAsia" w:ascii="宋体" w:hAnsi="宋体" w:eastAsia="宋体" w:cs="宋体"/>
                <w:color w:val="auto"/>
                <w:sz w:val="21"/>
                <w:szCs w:val="21"/>
                <w:highlight w:val="none"/>
              </w:rPr>
            </w:pPr>
          </w:p>
          <w:p w14:paraId="50C98014">
            <w:pPr>
              <w:pStyle w:val="46"/>
              <w:keepNext w:val="0"/>
              <w:keepLines w:val="0"/>
              <w:pageBreakBefore w:val="0"/>
              <w:widowControl w:val="0"/>
              <w:kinsoku/>
              <w:wordWrap/>
              <w:overflowPunct/>
              <w:topLinePunct w:val="0"/>
              <w:bidi w:val="0"/>
              <w:snapToGrid/>
              <w:spacing w:line="360" w:lineRule="atLeast"/>
              <w:jc w:val="both"/>
              <w:textAlignment w:val="auto"/>
              <w:rPr>
                <w:rFonts w:hint="eastAsia" w:ascii="宋体" w:hAnsi="宋体" w:eastAsia="宋体" w:cs="宋体"/>
                <w:color w:val="auto"/>
                <w:sz w:val="21"/>
                <w:szCs w:val="21"/>
                <w:highlight w:val="none"/>
              </w:rPr>
            </w:pPr>
          </w:p>
          <w:p w14:paraId="5DD6C7DA">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p>
          <w:p w14:paraId="222BA0D4">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形式评审与响应性评审标准</w:t>
            </w:r>
          </w:p>
        </w:tc>
        <w:tc>
          <w:tcPr>
            <w:tcW w:w="7467" w:type="dxa"/>
            <w:noWrap/>
            <w:vAlign w:val="center"/>
          </w:tcPr>
          <w:p w14:paraId="681E01EE">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第一个信封（商务及技术文件）评审标准：</w:t>
            </w:r>
          </w:p>
          <w:p w14:paraId="370F3A35">
            <w:pPr>
              <w:pStyle w:val="43"/>
              <w:keepNext w:val="0"/>
              <w:keepLines w:val="0"/>
              <w:pageBreakBefore w:val="0"/>
              <w:widowControl w:val="0"/>
              <w:numPr>
                <w:ilvl w:val="0"/>
                <w:numId w:val="3"/>
              </w:numPr>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投标文件按照招标文件规定的格式、内容填写，字迹清晰可辨：</w:t>
            </w:r>
          </w:p>
          <w:p w14:paraId="26ABF139">
            <w:pPr>
              <w:pStyle w:val="43"/>
              <w:keepNext w:val="0"/>
              <w:keepLines w:val="0"/>
              <w:pageBreakBefore w:val="0"/>
              <w:widowControl w:val="0"/>
              <w:numPr>
                <w:ilvl w:val="0"/>
                <w:numId w:val="4"/>
              </w:numPr>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投标函按招标文件规定填报了项目名称、标段号、补遗书编号（如有）、工期、工程质量要求及安全目标；</w:t>
            </w:r>
          </w:p>
          <w:p w14:paraId="3BF31878">
            <w:pPr>
              <w:pStyle w:val="43"/>
              <w:keepNext w:val="0"/>
              <w:keepLines w:val="0"/>
              <w:pageBreakBefore w:val="0"/>
              <w:widowControl w:val="0"/>
              <w:numPr>
                <w:ilvl w:val="0"/>
                <w:numId w:val="4"/>
              </w:numPr>
              <w:kinsoku/>
              <w:wordWrap/>
              <w:overflowPunct/>
              <w:topLinePunct w:val="0"/>
              <w:bidi w:val="0"/>
              <w:snapToGrid/>
              <w:spacing w:line="360" w:lineRule="atLeast"/>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投标函附录的所有数据均符合招标文件规定；</w:t>
            </w:r>
          </w:p>
          <w:p w14:paraId="073932D0">
            <w:pPr>
              <w:pStyle w:val="43"/>
              <w:keepNext w:val="0"/>
              <w:keepLines w:val="0"/>
              <w:pageBreakBefore w:val="0"/>
              <w:widowControl w:val="0"/>
              <w:numPr>
                <w:ilvl w:val="0"/>
                <w:numId w:val="0"/>
              </w:numPr>
              <w:kinsoku/>
              <w:wordWrap/>
              <w:overflowPunct/>
              <w:topLinePunct w:val="0"/>
              <w:bidi w:val="0"/>
              <w:snapToGrid/>
              <w:spacing w:line="360" w:lineRule="atLeast"/>
              <w:ind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c.投标文件组成齐全完整，内容均按规定填写。</w:t>
            </w:r>
          </w:p>
          <w:p w14:paraId="21204706">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（2）投标文件上法定代表人或其委托代理人的签字、投标人的单位章盖章齐全，符合招标文件规定。</w:t>
            </w:r>
          </w:p>
          <w:p w14:paraId="1B645EDB">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（3）投标人按照招标文件的规定提供了投标保证金：</w:t>
            </w:r>
          </w:p>
          <w:p w14:paraId="29B19975">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a.投标保证金金额符合招标文件规定的金额，且投标保证金有效期不少于投标有效期；</w:t>
            </w:r>
          </w:p>
          <w:p w14:paraId="08F25541">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b.若投标保证金采用现金或支票形式提交，投标人应在递交投标文件截止时间之前，将投标保证金由投标人的基本账户转入招标</w:t>
            </w:r>
            <w:r>
              <w:rPr>
                <w:rFonts w:hint="eastAsia" w:hAnsi="宋体" w:cs="宋体"/>
                <w:color w:val="auto"/>
                <w:sz w:val="21"/>
                <w:szCs w:val="21"/>
                <w:highlight w:val="none"/>
                <w:lang w:val="en-US" w:eastAsia="zh-CN"/>
              </w:rPr>
              <w:t>文件</w:t>
            </w:r>
            <w:r>
              <w:rPr>
                <w:rFonts w:hint="eastAsia" w:ascii="宋体" w:hAnsi="宋体" w:eastAsia="宋体" w:cs="宋体"/>
                <w:color w:val="auto"/>
                <w:sz w:val="21"/>
                <w:szCs w:val="21"/>
                <w:highlight w:val="none"/>
              </w:rPr>
              <w:t>指定账户；</w:t>
            </w:r>
          </w:p>
          <w:p w14:paraId="75872B10">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（4）投标人法定代表人授权委托代理人签署投标文件的，须提交授权委托书，且授权人和被授权人均在授权委托书上签名，不得使用印章、签名章或其他电子制版签名代替。</w:t>
            </w:r>
          </w:p>
          <w:p w14:paraId="34894D02">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（5）投标人法定代表人亲自签署投标文件的，提供了法定代表人身份证明，且法定代表人在法定代表人身份证明上签名，不得使用印章、签名章或其他电子制版签名代替。</w:t>
            </w:r>
          </w:p>
          <w:p w14:paraId="2F117A01">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（6）同一投标人未提交两个以上不同的投标文件。</w:t>
            </w:r>
          </w:p>
          <w:p w14:paraId="139318BA">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（7）投标文件中未出现有关投标报价的内容。</w:t>
            </w:r>
          </w:p>
          <w:p w14:paraId="417E3751">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（8）投标文件载明的招标项目完成期限未超过招标文件规定的时限。</w:t>
            </w:r>
          </w:p>
          <w:p w14:paraId="75761BD5">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（9）投标文件对招标文件的实质性要求和条件作出响应。</w:t>
            </w:r>
          </w:p>
          <w:p w14:paraId="4BA45ADE">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（10）权利义务符合招标文件规定：</w:t>
            </w:r>
          </w:p>
          <w:p w14:paraId="6FB57C0C">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a.投标人应接受招标文件规定的风险划分原则，未提出新的风险划分办法；</w:t>
            </w:r>
          </w:p>
          <w:p w14:paraId="40435D85">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b.投标人未增加发包人的责任范围，或减少投标人义务；</w:t>
            </w:r>
          </w:p>
          <w:p w14:paraId="3AA6D57C">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c.投标人未提出不同的工程验收、计量、支付办法；</w:t>
            </w:r>
          </w:p>
          <w:p w14:paraId="13FE13E3">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d.投标人对合同纠纷、事故处理办法未提出异议；</w:t>
            </w:r>
          </w:p>
          <w:p w14:paraId="635BAFAC">
            <w:pPr>
              <w:pStyle w:val="43"/>
              <w:keepNext w:val="0"/>
              <w:keepLines w:val="0"/>
              <w:pageBreakBefore w:val="0"/>
              <w:widowControl w:val="0"/>
              <w:kinsoku/>
              <w:wordWrap/>
              <w:overflowPunct/>
              <w:topLinePunct w:val="0"/>
              <w:bidi w:val="0"/>
              <w:snapToGrid/>
              <w:spacing w:line="360" w:lineRule="atLeast"/>
              <w:textAlignment w:val="auto"/>
              <w:rPr>
                <w:rFonts w:hint="eastAsia"/>
                <w:color w:val="auto"/>
                <w:highlight w:val="none"/>
              </w:rPr>
            </w:pPr>
            <w:r>
              <w:rPr>
                <w:rFonts w:hint="eastAsia" w:ascii="宋体" w:hAnsi="宋体" w:eastAsia="宋体" w:cs="宋体"/>
                <w:color w:val="auto"/>
                <w:sz w:val="21"/>
                <w:szCs w:val="21"/>
                <w:highlight w:val="none"/>
              </w:rPr>
              <w:t>e.投标人在投标活动中无欺诈行为；</w:t>
            </w:r>
          </w:p>
          <w:p w14:paraId="6C982D8B">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f.投标人未对合同条款有重要保留。</w:t>
            </w:r>
          </w:p>
          <w:p w14:paraId="5CFCE9AA">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lang w:eastAsia="zh-CN"/>
              </w:rPr>
              <w:t>）投标人应按以下要点编制施工组织设计（文字宜精炼、内容具有针对性）：</w:t>
            </w:r>
          </w:p>
          <w:p w14:paraId="749E41A6">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a</w:t>
            </w:r>
            <w:r>
              <w:rPr>
                <w:rFonts w:hint="eastAsia" w:ascii="宋体" w:hAnsi="宋体" w:eastAsia="宋体" w:cs="宋体"/>
                <w:color w:val="auto"/>
                <w:sz w:val="21"/>
                <w:szCs w:val="21"/>
                <w:highlight w:val="none"/>
                <w:lang w:eastAsia="zh-CN"/>
              </w:rPr>
              <w:t>.总体施工组织布置及规划</w:t>
            </w:r>
          </w:p>
          <w:p w14:paraId="21957E19">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b</w:t>
            </w:r>
            <w:r>
              <w:rPr>
                <w:rFonts w:hint="eastAsia" w:ascii="宋体" w:hAnsi="宋体" w:eastAsia="宋体" w:cs="宋体"/>
                <w:color w:val="auto"/>
                <w:sz w:val="21"/>
                <w:szCs w:val="21"/>
                <w:highlight w:val="none"/>
                <w:lang w:eastAsia="zh-CN"/>
              </w:rPr>
              <w:t>.重点、关键和难点工程的施工方案</w:t>
            </w:r>
          </w:p>
          <w:p w14:paraId="4A873085">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c</w:t>
            </w:r>
            <w:r>
              <w:rPr>
                <w:rFonts w:hint="eastAsia" w:ascii="宋体" w:hAnsi="宋体" w:eastAsia="宋体" w:cs="宋体"/>
                <w:color w:val="auto"/>
                <w:sz w:val="21"/>
                <w:szCs w:val="21"/>
                <w:highlight w:val="none"/>
                <w:lang w:eastAsia="zh-CN"/>
              </w:rPr>
              <w:t>.工期保证措施</w:t>
            </w:r>
          </w:p>
          <w:p w14:paraId="3204F131">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d</w:t>
            </w:r>
            <w:r>
              <w:rPr>
                <w:rFonts w:hint="eastAsia" w:ascii="宋体" w:hAnsi="宋体" w:eastAsia="宋体" w:cs="宋体"/>
                <w:color w:val="auto"/>
                <w:sz w:val="21"/>
                <w:szCs w:val="21"/>
                <w:highlight w:val="none"/>
                <w:lang w:eastAsia="zh-CN"/>
              </w:rPr>
              <w:t>.关键工程质量保证措施</w:t>
            </w:r>
          </w:p>
          <w:p w14:paraId="6F52FC53">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e</w:t>
            </w:r>
            <w:r>
              <w:rPr>
                <w:rFonts w:hint="eastAsia" w:ascii="宋体" w:hAnsi="宋体" w:eastAsia="宋体" w:cs="宋体"/>
                <w:color w:val="auto"/>
                <w:sz w:val="21"/>
                <w:szCs w:val="21"/>
                <w:highlight w:val="none"/>
                <w:lang w:eastAsia="zh-CN"/>
              </w:rPr>
              <w:t>.安全保证措施</w:t>
            </w:r>
          </w:p>
          <w:p w14:paraId="53D310FE">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f</w:t>
            </w:r>
            <w:r>
              <w:rPr>
                <w:rFonts w:hint="eastAsia" w:ascii="宋体" w:hAnsi="宋体" w:eastAsia="宋体" w:cs="宋体"/>
                <w:color w:val="auto"/>
                <w:sz w:val="21"/>
                <w:szCs w:val="21"/>
                <w:highlight w:val="none"/>
                <w:lang w:eastAsia="zh-CN"/>
              </w:rPr>
              <w:t>.环境保护、水土保持、文明施工、文物保护保证措施</w:t>
            </w:r>
          </w:p>
          <w:p w14:paraId="345F0338">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g</w:t>
            </w:r>
            <w:r>
              <w:rPr>
                <w:rFonts w:hint="eastAsia" w:ascii="宋体" w:hAnsi="宋体" w:eastAsia="宋体" w:cs="宋体"/>
                <w:color w:val="auto"/>
                <w:sz w:val="21"/>
                <w:szCs w:val="21"/>
                <w:highlight w:val="none"/>
                <w:lang w:eastAsia="zh-CN"/>
              </w:rPr>
              <w:t>.项目风险预测与防范，事故应急预案</w:t>
            </w:r>
          </w:p>
          <w:p w14:paraId="7141997A">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h</w:t>
            </w:r>
            <w:r>
              <w:rPr>
                <w:rFonts w:hint="eastAsia" w:ascii="宋体" w:hAnsi="宋体" w:eastAsia="宋体" w:cs="宋体"/>
                <w:color w:val="auto"/>
                <w:sz w:val="21"/>
                <w:szCs w:val="21"/>
                <w:highlight w:val="none"/>
                <w:lang w:eastAsia="zh-CN"/>
              </w:rPr>
              <w:t>.其他应说明的事项</w:t>
            </w:r>
          </w:p>
          <w:p w14:paraId="329B0046">
            <w:pPr>
              <w:rPr>
                <w:rFonts w:hint="eastAsia"/>
                <w:color w:val="auto"/>
                <w:highlight w:val="none"/>
                <w:lang w:eastAsia="zh-CN"/>
              </w:rPr>
            </w:pPr>
          </w:p>
          <w:p w14:paraId="433F347E">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第二个信封（报价文件）评审标准：</w:t>
            </w:r>
          </w:p>
          <w:p w14:paraId="4945B362">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（1）投标文件按照招标文件规定的格式、内容填写，字迹清晰可辨：</w:t>
            </w:r>
          </w:p>
          <w:p w14:paraId="1859FDC9">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a.投标函按招标文件规定填报了项目名称、标段号、补遗书编号（如有）、投标价（包括大写金额和小写金额）；</w:t>
            </w:r>
          </w:p>
          <w:p w14:paraId="6621B170">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b.已标价工程量清单说明文字与招标文件规定一致，未进行实质性修改和删减；</w:t>
            </w:r>
          </w:p>
          <w:p w14:paraId="457764EE">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c.投标文件组成齐全完整，内容均按规定填写。</w:t>
            </w:r>
          </w:p>
          <w:p w14:paraId="10E4AB23">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（2）投标文件上法定代表人或其委托代理人的签字、投标人的单位章盖章齐全，符合招标文件规定。</w:t>
            </w:r>
          </w:p>
          <w:p w14:paraId="789C9047">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（3）投标报价未超过招标文件设定的最高投标限价。</w:t>
            </w:r>
          </w:p>
          <w:p w14:paraId="7D0FE21F">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（4）投标报价的大写金额能够确定具体数值。</w:t>
            </w:r>
          </w:p>
          <w:p w14:paraId="63FF4BAB">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（5）同一投标人未提交两个以上不同的投标报价。</w:t>
            </w:r>
          </w:p>
          <w:p w14:paraId="561183A2">
            <w:pPr>
              <w:pStyle w:val="43"/>
              <w:keepNext w:val="0"/>
              <w:keepLines w:val="0"/>
              <w:pageBreakBefore w:val="0"/>
              <w:widowControl w:val="0"/>
              <w:kinsoku/>
              <w:wordWrap/>
              <w:overflowPunct/>
              <w:topLinePunct w:val="0"/>
              <w:bidi w:val="0"/>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（6）投标人填写完毕的工程量固化清单未对工程量固化清单电子文件中的数据、格式和运算定义进行修改；工程量固化清单中的投标报价和投标函大写金额报价一致。</w:t>
            </w:r>
          </w:p>
        </w:tc>
      </w:tr>
      <w:tr w14:paraId="0DC45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2" w:hRule="atLeast"/>
          <w:jc w:val="center"/>
        </w:trPr>
        <w:tc>
          <w:tcPr>
            <w:tcW w:w="1068" w:type="dxa"/>
            <w:noWrap/>
            <w:vAlign w:val="center"/>
          </w:tcPr>
          <w:p w14:paraId="1923A6AA">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2.1.2</w:t>
            </w:r>
          </w:p>
        </w:tc>
        <w:tc>
          <w:tcPr>
            <w:tcW w:w="1123" w:type="dxa"/>
            <w:noWrap/>
            <w:vAlign w:val="center"/>
          </w:tcPr>
          <w:p w14:paraId="253F46CE">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资格评审</w:t>
            </w:r>
          </w:p>
          <w:p w14:paraId="1D24960E">
            <w:pPr>
              <w:pStyle w:val="46"/>
              <w:keepNext w:val="0"/>
              <w:keepLines w:val="0"/>
              <w:pageBreakBefore w:val="0"/>
              <w:widowControl w:val="0"/>
              <w:kinsoku/>
              <w:wordWrap/>
              <w:overflowPunct/>
              <w:topLinePunct w:val="0"/>
              <w:bidi w:val="0"/>
              <w:snapToGrid/>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w:t>
            </w:r>
          </w:p>
        </w:tc>
        <w:tc>
          <w:tcPr>
            <w:tcW w:w="7467" w:type="dxa"/>
            <w:noWrap/>
            <w:vAlign w:val="center"/>
          </w:tcPr>
          <w:p w14:paraId="603C8107">
            <w:pPr>
              <w:keepNext w:val="0"/>
              <w:keepLines w:val="0"/>
              <w:pageBreakBefore w:val="0"/>
              <w:widowControl w:val="0"/>
              <w:kinsoku/>
              <w:wordWrap/>
              <w:overflowPunct/>
              <w:topLinePunct w:val="0"/>
              <w:bidi w:val="0"/>
              <w:snapToGrid/>
              <w:spacing w:line="360" w:lineRule="atLeas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（1）投标人具备有效的营业执照、资质证书、安全生产许可证和基本账户开户许可证。</w:t>
            </w:r>
          </w:p>
          <w:p w14:paraId="69F3DCDF">
            <w:pPr>
              <w:keepNext w:val="0"/>
              <w:keepLines w:val="0"/>
              <w:pageBreakBefore w:val="0"/>
              <w:widowControl w:val="0"/>
              <w:kinsoku/>
              <w:wordWrap/>
              <w:overflowPunct/>
              <w:topLinePunct w:val="0"/>
              <w:bidi w:val="0"/>
              <w:snapToGrid/>
              <w:spacing w:line="360" w:lineRule="atLeas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（2）投标人的资质等级符合招标文件规定。</w:t>
            </w:r>
          </w:p>
          <w:p w14:paraId="6F61CE56">
            <w:pPr>
              <w:keepNext w:val="0"/>
              <w:keepLines w:val="0"/>
              <w:pageBreakBefore w:val="0"/>
              <w:widowControl w:val="0"/>
              <w:kinsoku/>
              <w:wordWrap/>
              <w:overflowPunct/>
              <w:topLinePunct w:val="0"/>
              <w:bidi w:val="0"/>
              <w:snapToGrid/>
              <w:spacing w:line="360" w:lineRule="atLeas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（3）投标人的财务状况符合招标文件规定。</w:t>
            </w:r>
          </w:p>
          <w:p w14:paraId="6BDAF912">
            <w:pPr>
              <w:keepNext w:val="0"/>
              <w:keepLines w:val="0"/>
              <w:pageBreakBefore w:val="0"/>
              <w:widowControl w:val="0"/>
              <w:kinsoku/>
              <w:wordWrap/>
              <w:overflowPunct/>
              <w:topLinePunct w:val="0"/>
              <w:bidi w:val="0"/>
              <w:snapToGrid/>
              <w:spacing w:line="360" w:lineRule="atLeas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（4）投标人的类似项目业绩符合招标文件规定。</w:t>
            </w:r>
          </w:p>
          <w:p w14:paraId="47FB2057">
            <w:pPr>
              <w:keepNext w:val="0"/>
              <w:keepLines w:val="0"/>
              <w:pageBreakBefore w:val="0"/>
              <w:widowControl w:val="0"/>
              <w:kinsoku/>
              <w:wordWrap/>
              <w:overflowPunct/>
              <w:topLinePunct w:val="0"/>
              <w:bidi w:val="0"/>
              <w:snapToGrid/>
              <w:spacing w:line="360" w:lineRule="atLeas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（5）投标人的信誉符合招标文件规定。</w:t>
            </w:r>
          </w:p>
          <w:p w14:paraId="7974B809">
            <w:pPr>
              <w:keepNext w:val="0"/>
              <w:keepLines w:val="0"/>
              <w:pageBreakBefore w:val="0"/>
              <w:widowControl w:val="0"/>
              <w:kinsoku/>
              <w:wordWrap/>
              <w:overflowPunct/>
              <w:topLinePunct w:val="0"/>
              <w:bidi w:val="0"/>
              <w:snapToGrid/>
              <w:spacing w:line="360" w:lineRule="atLeas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（6）投标人的项目经理和项目总工资格、在岗情况符合招标文件规定。</w:t>
            </w:r>
          </w:p>
          <w:p w14:paraId="1A756751">
            <w:pPr>
              <w:keepNext w:val="0"/>
              <w:keepLines w:val="0"/>
              <w:pageBreakBefore w:val="0"/>
              <w:widowControl w:val="0"/>
              <w:kinsoku/>
              <w:wordWrap/>
              <w:overflowPunct/>
              <w:topLinePunct w:val="0"/>
              <w:bidi w:val="0"/>
              <w:snapToGrid/>
              <w:spacing w:line="360" w:lineRule="atLeast"/>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lang w:eastAsia="zh-CN"/>
              </w:rPr>
              <w:t>）投标人的其他要求符合招标文件规定。</w:t>
            </w:r>
          </w:p>
          <w:p w14:paraId="123BFE6F">
            <w:pPr>
              <w:keepNext w:val="0"/>
              <w:keepLines w:val="0"/>
              <w:pageBreakBefore w:val="0"/>
              <w:widowControl w:val="0"/>
              <w:kinsoku/>
              <w:wordWrap/>
              <w:overflowPunct/>
              <w:topLinePunct w:val="0"/>
              <w:bidi w:val="0"/>
              <w:snapToGrid/>
              <w:spacing w:line="360" w:lineRule="atLeast"/>
              <w:jc w:val="left"/>
              <w:textAlignment w:val="auto"/>
              <w:rPr>
                <w:rFonts w:hint="eastAsia"/>
                <w:color w:val="auto"/>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8</w:t>
            </w:r>
            <w:r>
              <w:rPr>
                <w:rFonts w:hint="eastAsia" w:ascii="宋体" w:hAnsi="宋体" w:eastAsia="宋体" w:cs="宋体"/>
                <w:color w:val="auto"/>
                <w:kern w:val="0"/>
                <w:sz w:val="21"/>
                <w:szCs w:val="21"/>
                <w:highlight w:val="none"/>
                <w:lang w:eastAsia="zh-CN"/>
              </w:rPr>
              <w:t>）投标人不存在第二章“投标人须知”第1.4.3 项或第1.4.4 项规定的任何一种情形。</w:t>
            </w:r>
          </w:p>
        </w:tc>
      </w:tr>
    </w:tbl>
    <w:p w14:paraId="1B329B40">
      <w:pPr>
        <w:pStyle w:val="106"/>
        <w:keepNext w:val="0"/>
        <w:keepLines w:val="0"/>
        <w:pageBreakBefore w:val="0"/>
        <w:widowControl w:val="0"/>
        <w:kinsoku/>
        <w:wordWrap/>
        <w:overflowPunct/>
        <w:topLinePunct w:val="0"/>
        <w:bidi w:val="0"/>
        <w:snapToGrid/>
        <w:spacing w:line="360" w:lineRule="atLeast"/>
        <w:ind w:right="0" w:rightChars="0"/>
        <w:jc w:val="both"/>
        <w:textAlignment w:val="auto"/>
        <w:rPr>
          <w:rFonts w:hint="eastAsia" w:ascii="宋体" w:hAnsi="宋体" w:eastAsia="宋体" w:cs="宋体"/>
          <w:color w:val="auto"/>
          <w:kern w:val="0"/>
          <w:sz w:val="21"/>
          <w:szCs w:val="21"/>
          <w:highlight w:val="none"/>
          <w:lang w:val="en-US" w:eastAsia="en-US" w:bidi="ar-SA"/>
        </w:rPr>
      </w:pPr>
    </w:p>
    <w:p w14:paraId="665F1FC5">
      <w:pPr>
        <w:pStyle w:val="106"/>
        <w:keepNext w:val="0"/>
        <w:keepLines w:val="0"/>
        <w:pageBreakBefore w:val="0"/>
        <w:widowControl w:val="0"/>
        <w:kinsoku/>
        <w:wordWrap/>
        <w:overflowPunct/>
        <w:topLinePunct w:val="0"/>
        <w:bidi w:val="0"/>
        <w:snapToGrid/>
        <w:spacing w:line="360" w:lineRule="atLeast"/>
        <w:ind w:right="0" w:rightChars="0"/>
        <w:jc w:val="both"/>
        <w:textAlignment w:val="auto"/>
        <w:rPr>
          <w:rFonts w:hint="eastAsia" w:ascii="宋体" w:hAnsi="宋体" w:eastAsia="宋体" w:cs="宋体"/>
          <w:color w:val="auto"/>
          <w:kern w:val="0"/>
          <w:sz w:val="21"/>
          <w:szCs w:val="21"/>
          <w:highlight w:val="none"/>
          <w:lang w:val="en-US" w:eastAsia="en-US" w:bidi="ar-SA"/>
        </w:rPr>
      </w:pPr>
    </w:p>
    <w:tbl>
      <w:tblPr>
        <w:tblStyle w:val="23"/>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1733"/>
        <w:gridCol w:w="6839"/>
      </w:tblGrid>
      <w:tr w14:paraId="2F870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86" w:type="dxa"/>
            <w:noWrap/>
            <w:vAlign w:val="center"/>
          </w:tcPr>
          <w:p w14:paraId="341E8B61">
            <w:pPr>
              <w:pStyle w:val="106"/>
              <w:keepNext w:val="0"/>
              <w:keepLines w:val="0"/>
              <w:pageBreakBefore w:val="0"/>
              <w:widowControl w:val="0"/>
              <w:kinsoku/>
              <w:wordWrap/>
              <w:overflowPunct/>
              <w:topLinePunct w:val="0"/>
              <w:bidi w:val="0"/>
              <w:snapToGrid/>
              <w:spacing w:line="360" w:lineRule="atLeast"/>
              <w:ind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条款号</w:t>
            </w:r>
          </w:p>
        </w:tc>
        <w:tc>
          <w:tcPr>
            <w:tcW w:w="1733" w:type="dxa"/>
            <w:noWrap/>
            <w:vAlign w:val="center"/>
          </w:tcPr>
          <w:p w14:paraId="3383375B">
            <w:pPr>
              <w:pStyle w:val="106"/>
              <w:keepNext w:val="0"/>
              <w:keepLines w:val="0"/>
              <w:pageBreakBefore w:val="0"/>
              <w:widowControl w:val="0"/>
              <w:kinsoku/>
              <w:wordWrap/>
              <w:overflowPunct/>
              <w:topLinePunct w:val="0"/>
              <w:bidi w:val="0"/>
              <w:snapToGrid/>
              <w:spacing w:line="360" w:lineRule="atLeast"/>
              <w:ind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条款内容</w:t>
            </w:r>
          </w:p>
        </w:tc>
        <w:tc>
          <w:tcPr>
            <w:tcW w:w="6839" w:type="dxa"/>
            <w:noWrap/>
            <w:vAlign w:val="center"/>
          </w:tcPr>
          <w:p w14:paraId="67193352">
            <w:pPr>
              <w:pStyle w:val="106"/>
              <w:keepNext w:val="0"/>
              <w:keepLines w:val="0"/>
              <w:pageBreakBefore w:val="0"/>
              <w:widowControl w:val="0"/>
              <w:kinsoku/>
              <w:wordWrap/>
              <w:overflowPunct/>
              <w:topLinePunct w:val="0"/>
              <w:bidi w:val="0"/>
              <w:snapToGrid/>
              <w:spacing w:line="360" w:lineRule="atLeast"/>
              <w:ind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编 列 内 容</w:t>
            </w:r>
          </w:p>
        </w:tc>
      </w:tr>
      <w:tr w14:paraId="73930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86" w:type="dxa"/>
            <w:noWrap/>
            <w:vAlign w:val="center"/>
          </w:tcPr>
          <w:p w14:paraId="55EAF4DF">
            <w:pPr>
              <w:pStyle w:val="106"/>
              <w:keepNext w:val="0"/>
              <w:keepLines w:val="0"/>
              <w:pageBreakBefore w:val="0"/>
              <w:widowControl w:val="0"/>
              <w:kinsoku/>
              <w:wordWrap/>
              <w:overflowPunct/>
              <w:topLinePunct w:val="0"/>
              <w:bidi w:val="0"/>
              <w:snapToGrid/>
              <w:spacing w:line="360" w:lineRule="atLeast"/>
              <w:ind w:right="0" w:rightChars="0"/>
              <w:jc w:val="center"/>
              <w:textAlignment w:val="auto"/>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2.2.1</w:t>
            </w:r>
          </w:p>
        </w:tc>
        <w:tc>
          <w:tcPr>
            <w:tcW w:w="1733" w:type="dxa"/>
            <w:noWrap/>
            <w:vAlign w:val="center"/>
          </w:tcPr>
          <w:p w14:paraId="0934BD46">
            <w:pPr>
              <w:pStyle w:val="106"/>
              <w:keepNext w:val="0"/>
              <w:keepLines w:val="0"/>
              <w:pageBreakBefore w:val="0"/>
              <w:widowControl w:val="0"/>
              <w:kinsoku/>
              <w:wordWrap/>
              <w:overflowPunct/>
              <w:topLinePunct w:val="0"/>
              <w:bidi w:val="0"/>
              <w:snapToGrid/>
              <w:spacing w:line="360" w:lineRule="atLeast"/>
              <w:ind w:right="0"/>
              <w:jc w:val="center"/>
              <w:textAlignment w:val="auto"/>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分值构成</w:t>
            </w:r>
          </w:p>
          <w:p w14:paraId="47EE6915">
            <w:pPr>
              <w:pStyle w:val="106"/>
              <w:keepNext w:val="0"/>
              <w:keepLines w:val="0"/>
              <w:pageBreakBefore w:val="0"/>
              <w:widowControl w:val="0"/>
              <w:kinsoku/>
              <w:wordWrap/>
              <w:overflowPunct/>
              <w:topLinePunct w:val="0"/>
              <w:bidi w:val="0"/>
              <w:snapToGrid/>
              <w:spacing w:line="360" w:lineRule="atLeast"/>
              <w:ind w:right="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（总分100分）</w:t>
            </w:r>
          </w:p>
        </w:tc>
        <w:tc>
          <w:tcPr>
            <w:tcW w:w="6839" w:type="dxa"/>
            <w:noWrap/>
            <w:vAlign w:val="center"/>
          </w:tcPr>
          <w:p w14:paraId="4FCDA4C3">
            <w:pPr>
              <w:pStyle w:val="106"/>
              <w:keepNext w:val="0"/>
              <w:keepLines w:val="0"/>
              <w:pageBreakBefore w:val="0"/>
              <w:widowControl w:val="0"/>
              <w:kinsoku/>
              <w:wordWrap/>
              <w:overflowPunct/>
              <w:topLinePunct w:val="0"/>
              <w:bidi w:val="0"/>
              <w:snapToGrid/>
              <w:spacing w:line="360" w:lineRule="atLeast"/>
              <w:ind w:right="0" w:rightChars="0"/>
              <w:jc w:val="left"/>
              <w:textAlignment w:val="auto"/>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评标价：100 分</w:t>
            </w:r>
          </w:p>
        </w:tc>
      </w:tr>
      <w:tr w14:paraId="1781D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2" w:hRule="atLeast"/>
          <w:jc w:val="center"/>
        </w:trPr>
        <w:tc>
          <w:tcPr>
            <w:tcW w:w="986" w:type="dxa"/>
            <w:noWrap/>
            <w:vAlign w:val="center"/>
          </w:tcPr>
          <w:p w14:paraId="50CC7DDB">
            <w:pPr>
              <w:pStyle w:val="106"/>
              <w:keepNext w:val="0"/>
              <w:keepLines w:val="0"/>
              <w:pageBreakBefore w:val="0"/>
              <w:widowControl w:val="0"/>
              <w:kinsoku/>
              <w:wordWrap/>
              <w:overflowPunct/>
              <w:topLinePunct w:val="0"/>
              <w:bidi w:val="0"/>
              <w:snapToGrid/>
              <w:spacing w:line="360" w:lineRule="atLeast"/>
              <w:ind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kern w:val="0"/>
                <w:sz w:val="21"/>
                <w:szCs w:val="21"/>
                <w:highlight w:val="none"/>
                <w:lang w:val="en-US" w:eastAsia="zh-CN" w:bidi="ar-SA"/>
              </w:rPr>
              <w:t>2.2.2</w:t>
            </w:r>
          </w:p>
        </w:tc>
        <w:tc>
          <w:tcPr>
            <w:tcW w:w="1733" w:type="dxa"/>
            <w:noWrap/>
            <w:vAlign w:val="center"/>
          </w:tcPr>
          <w:p w14:paraId="7B432D65">
            <w:pPr>
              <w:pStyle w:val="46"/>
              <w:keepNext w:val="0"/>
              <w:keepLines w:val="0"/>
              <w:pageBreakBefore w:val="0"/>
              <w:widowControl w:val="0"/>
              <w:kinsoku/>
              <w:wordWrap/>
              <w:overflowPunct/>
              <w:topLinePunct w:val="0"/>
              <w:autoSpaceDE/>
              <w:autoSpaceDN/>
              <w:bidi w:val="0"/>
              <w:adjustRightInd/>
              <w:snapToGrid/>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评标基准价</w:t>
            </w:r>
          </w:p>
          <w:p w14:paraId="39ED9B25">
            <w:pPr>
              <w:pStyle w:val="46"/>
              <w:keepNext w:val="0"/>
              <w:keepLines w:val="0"/>
              <w:pageBreakBefore w:val="0"/>
              <w:widowControl w:val="0"/>
              <w:kinsoku/>
              <w:wordWrap/>
              <w:overflowPunct/>
              <w:topLinePunct w:val="0"/>
              <w:autoSpaceDE/>
              <w:autoSpaceDN/>
              <w:bidi w:val="0"/>
              <w:adjustRightInd/>
              <w:snapToGrid/>
              <w:spacing w:line="360" w:lineRule="atLeas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计算方法</w:t>
            </w:r>
          </w:p>
        </w:tc>
        <w:tc>
          <w:tcPr>
            <w:tcW w:w="6839" w:type="dxa"/>
            <w:noWrap/>
            <w:vAlign w:val="center"/>
          </w:tcPr>
          <w:p w14:paraId="54664885">
            <w:pPr>
              <w:pStyle w:val="46"/>
              <w:keepNext w:val="0"/>
              <w:keepLines w:val="0"/>
              <w:pageBreakBefore w:val="0"/>
              <w:widowControl w:val="0"/>
              <w:kinsoku/>
              <w:wordWrap/>
              <w:overflowPunct/>
              <w:topLinePunct w:val="0"/>
              <w:autoSpaceDE/>
              <w:autoSpaceDN/>
              <w:bidi w:val="0"/>
              <w:adjustRightInd/>
              <w:snapToGrid/>
              <w:spacing w:line="360" w:lineRule="atLeast"/>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评标基准价的计算：</w:t>
            </w:r>
          </w:p>
          <w:p w14:paraId="64430D8F">
            <w:pPr>
              <w:pStyle w:val="46"/>
              <w:keepNext w:val="0"/>
              <w:keepLines w:val="0"/>
              <w:pageBreakBefore w:val="0"/>
              <w:widowControl w:val="0"/>
              <w:kinsoku/>
              <w:wordWrap/>
              <w:overflowPunct/>
              <w:topLinePunct w:val="0"/>
              <w:autoSpaceDE/>
              <w:autoSpaceDN/>
              <w:bidi w:val="0"/>
              <w:adjustRightInd/>
              <w:snapToGrid/>
              <w:spacing w:line="360" w:lineRule="atLeast"/>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在开标现场，招标人将当场计算并宣布评标基准价。</w:t>
            </w:r>
          </w:p>
          <w:p w14:paraId="269F7E52">
            <w:pPr>
              <w:pStyle w:val="46"/>
              <w:keepNext w:val="0"/>
              <w:keepLines w:val="0"/>
              <w:pageBreakBefore w:val="0"/>
              <w:widowControl w:val="0"/>
              <w:numPr>
                <w:ilvl w:val="0"/>
                <w:numId w:val="5"/>
              </w:numPr>
              <w:kinsoku/>
              <w:wordWrap/>
              <w:overflowPunct/>
              <w:topLinePunct w:val="0"/>
              <w:autoSpaceDE/>
              <w:autoSpaceDN/>
              <w:bidi w:val="0"/>
              <w:adjustRightInd/>
              <w:snapToGrid/>
              <w:spacing w:line="360" w:lineRule="atLeast"/>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评标价的确定： </w:t>
            </w:r>
          </w:p>
          <w:p w14:paraId="440E5661">
            <w:pPr>
              <w:pStyle w:val="46"/>
              <w:keepNext w:val="0"/>
              <w:keepLines w:val="0"/>
              <w:pageBreakBefore w:val="0"/>
              <w:widowControl w:val="0"/>
              <w:kinsoku/>
              <w:wordWrap/>
              <w:overflowPunct/>
              <w:topLinePunct w:val="0"/>
              <w:autoSpaceDE/>
              <w:autoSpaceDN/>
              <w:bidi w:val="0"/>
              <w:adjustRightInd/>
              <w:snapToGrid/>
              <w:spacing w:line="360" w:lineRule="atLeast"/>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评标价=投标函文字报价</w:t>
            </w:r>
          </w:p>
          <w:p w14:paraId="58049DEC">
            <w:pPr>
              <w:pStyle w:val="46"/>
              <w:keepNext w:val="0"/>
              <w:keepLines w:val="0"/>
              <w:pageBreakBefore w:val="0"/>
              <w:widowControl w:val="0"/>
              <w:kinsoku/>
              <w:wordWrap/>
              <w:overflowPunct/>
              <w:topLinePunct w:val="0"/>
              <w:autoSpaceDE/>
              <w:autoSpaceDN/>
              <w:bidi w:val="0"/>
              <w:adjustRightInd/>
              <w:snapToGrid/>
              <w:spacing w:line="360" w:lineRule="atLeast"/>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）评标价平均值的计算：</w:t>
            </w:r>
          </w:p>
          <w:p w14:paraId="5D102B91">
            <w:pPr>
              <w:pStyle w:val="46"/>
              <w:keepNext w:val="0"/>
              <w:keepLines w:val="0"/>
              <w:pageBreakBefore w:val="0"/>
              <w:widowControl w:val="0"/>
              <w:kinsoku/>
              <w:wordWrap/>
              <w:overflowPunct/>
              <w:topLinePunct w:val="0"/>
              <w:autoSpaceDE/>
              <w:autoSpaceDN/>
              <w:bidi w:val="0"/>
              <w:adjustRightInd/>
              <w:snapToGrid/>
              <w:spacing w:line="360" w:lineRule="atLeast"/>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除按第二章“投标人须知”第 5.2.4 项规定开标现场被宣布为不进入评标基准价计算的投标报价之外，所有投标人的评标价去掉一个最高值和一个最低值后的算术平均值即为评标价平均值（如果参与评标价平均值计算的有效投标人少于 5 家时，则计算评标价平均值时不去掉最高值和最低值）；</w:t>
            </w:r>
          </w:p>
          <w:p w14:paraId="68C0D1FD">
            <w:pPr>
              <w:pStyle w:val="46"/>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）评标基准价的确定：</w:t>
            </w:r>
          </w:p>
          <w:p w14:paraId="7ECA0AF3">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将评标价平均值直接作为评标基准价。 </w:t>
            </w:r>
          </w:p>
          <w:p w14:paraId="01444CCB">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在评标过程中，评标委员会应对招标人计算的评标基准价进行复核，存在计算错误的应予以修正并在评标报告中作出说明。除此之外，评标基准价在整个评标期间保持不变，不随任何因素发生变化</w:t>
            </w:r>
            <w:r>
              <w:rPr>
                <w:rFonts w:hint="eastAsia" w:ascii="宋体" w:hAnsi="宋体" w:cs="宋体"/>
                <w:color w:val="auto"/>
                <w:sz w:val="21"/>
                <w:szCs w:val="21"/>
                <w:highlight w:val="none"/>
                <w:lang w:val="en-US" w:eastAsia="zh-CN" w:bidi="ar-SA"/>
              </w:rPr>
              <w:t>。</w:t>
            </w:r>
          </w:p>
        </w:tc>
      </w:tr>
      <w:tr w14:paraId="268FB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86" w:type="dxa"/>
            <w:noWrap/>
            <w:vAlign w:val="center"/>
          </w:tcPr>
          <w:p w14:paraId="55599D2A">
            <w:pPr>
              <w:pStyle w:val="106"/>
              <w:keepNext w:val="0"/>
              <w:keepLines w:val="0"/>
              <w:pageBreakBefore w:val="0"/>
              <w:widowControl w:val="0"/>
              <w:kinsoku/>
              <w:wordWrap/>
              <w:overflowPunct/>
              <w:topLinePunct w:val="0"/>
              <w:bidi w:val="0"/>
              <w:snapToGrid/>
              <w:spacing w:line="360" w:lineRule="atLeast"/>
              <w:ind w:right="0" w:right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lang w:eastAsia="zh-CN"/>
              </w:rPr>
              <w:t>2.2.3</w:t>
            </w:r>
          </w:p>
        </w:tc>
        <w:tc>
          <w:tcPr>
            <w:tcW w:w="1733" w:type="dxa"/>
            <w:noWrap/>
            <w:vAlign w:val="center"/>
          </w:tcPr>
          <w:p w14:paraId="55554097">
            <w:pPr>
              <w:pStyle w:val="106"/>
              <w:keepNext w:val="0"/>
              <w:keepLines w:val="0"/>
              <w:pageBreakBefore w:val="0"/>
              <w:widowControl w:val="0"/>
              <w:kinsoku/>
              <w:wordWrap/>
              <w:overflowPunct/>
              <w:topLinePunct w:val="0"/>
              <w:bidi w:val="0"/>
              <w:snapToGrid/>
              <w:spacing w:line="360" w:lineRule="atLeast"/>
              <w:ind w:right="0" w:right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评标价的偏差率计算公式</w:t>
            </w:r>
          </w:p>
        </w:tc>
        <w:tc>
          <w:tcPr>
            <w:tcW w:w="6839" w:type="dxa"/>
            <w:noWrap/>
            <w:vAlign w:val="center"/>
          </w:tcPr>
          <w:p w14:paraId="1CE98F7C">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偏差率=100%×（投标人评标价－评标基准价）/评标基准价</w:t>
            </w:r>
          </w:p>
          <w:p w14:paraId="1C4BAD28">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偏差率保留</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lang w:eastAsia="zh-CN"/>
              </w:rPr>
              <w:t>位小数</w:t>
            </w:r>
          </w:p>
        </w:tc>
      </w:tr>
      <w:tr w14:paraId="4C13E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4" w:hRule="atLeast"/>
          <w:jc w:val="center"/>
        </w:trPr>
        <w:tc>
          <w:tcPr>
            <w:tcW w:w="986" w:type="dxa"/>
            <w:noWrap/>
            <w:vAlign w:val="center"/>
          </w:tcPr>
          <w:p w14:paraId="5B022491">
            <w:pPr>
              <w:pStyle w:val="106"/>
              <w:keepNext w:val="0"/>
              <w:keepLines w:val="0"/>
              <w:pageBreakBefore w:val="0"/>
              <w:widowControl w:val="0"/>
              <w:kinsoku/>
              <w:wordWrap/>
              <w:overflowPunct/>
              <w:topLinePunct w:val="0"/>
              <w:bidi w:val="0"/>
              <w:snapToGrid/>
              <w:spacing w:line="360" w:lineRule="atLeast"/>
              <w:ind w:right="0" w:right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2.2.4</w:t>
            </w:r>
          </w:p>
        </w:tc>
        <w:tc>
          <w:tcPr>
            <w:tcW w:w="1733" w:type="dxa"/>
            <w:noWrap/>
            <w:vAlign w:val="center"/>
          </w:tcPr>
          <w:p w14:paraId="1032DB9F">
            <w:pPr>
              <w:pStyle w:val="106"/>
              <w:keepNext w:val="0"/>
              <w:keepLines w:val="0"/>
              <w:pageBreakBefore w:val="0"/>
              <w:widowControl w:val="0"/>
              <w:kinsoku/>
              <w:wordWrap/>
              <w:overflowPunct/>
              <w:topLinePunct w:val="0"/>
              <w:bidi w:val="0"/>
              <w:snapToGrid/>
              <w:spacing w:line="360" w:lineRule="atLeast"/>
              <w:ind w:right="0" w:right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评标价</w:t>
            </w:r>
          </w:p>
        </w:tc>
        <w:tc>
          <w:tcPr>
            <w:tcW w:w="6839" w:type="dxa"/>
            <w:noWrap/>
            <w:vAlign w:val="center"/>
          </w:tcPr>
          <w:p w14:paraId="08EB0771">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100分</w:t>
            </w:r>
          </w:p>
          <w:p w14:paraId="0030F63E">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评标价得分计算公式示例：</w:t>
            </w:r>
          </w:p>
          <w:p w14:paraId="079D3074">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（1）如果投标人的评标价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&gt;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评标基准价，则评标价得分＝100－偏差率×100×E1；</w:t>
            </w:r>
          </w:p>
          <w:p w14:paraId="4D0DB7CC">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（2）如果投标人的评标价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评标基准价，则评标价得分＝100＋偏差率×100×E2。</w:t>
            </w:r>
          </w:p>
          <w:p w14:paraId="2A278CA4">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其中：E1 是评标价每高于评标基准价一个百分点的扣分值，E2 是评标价每低于评标基准价一个百分点的扣分值，但 E1应大于E2。</w:t>
            </w:r>
          </w:p>
          <w:p w14:paraId="3303B9AB">
            <w:pPr>
              <w:pStyle w:val="106"/>
              <w:keepNext w:val="0"/>
              <w:keepLines w:val="0"/>
              <w:pageBreakBefore w:val="0"/>
              <w:widowControl w:val="0"/>
              <w:kinsoku/>
              <w:wordWrap/>
              <w:overflowPunct/>
              <w:topLinePunct w:val="0"/>
              <w:bidi w:val="0"/>
              <w:snapToGrid/>
              <w:spacing w:line="360" w:lineRule="atLeast"/>
              <w:ind w:left="2" w:leftChars="0" w:right="0" w:rightChars="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E1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 xml:space="preserve"> E2</w:t>
            </w:r>
            <w:r>
              <w:rPr>
                <w:rFonts w:hint="eastAsia" w:ascii="宋体" w:hAnsi="宋体" w:cs="宋体"/>
                <w:color w:val="auto"/>
                <w:sz w:val="21"/>
                <w:szCs w:val="21"/>
                <w:highlight w:val="none"/>
                <w:lang w:val="en-US" w:eastAsia="zh-CN"/>
              </w:rPr>
              <w:t>=0.5</w:t>
            </w:r>
          </w:p>
        </w:tc>
      </w:tr>
    </w:tbl>
    <w:p w14:paraId="5FD7C13B">
      <w:pPr>
        <w:pStyle w:val="43"/>
        <w:spacing w:line="420" w:lineRule="exact"/>
        <w:jc w:val="center"/>
        <w:outlineLvl w:val="1"/>
        <w:rPr>
          <w:rFonts w:hAnsi="宋体"/>
          <w:b/>
          <w:color w:val="auto"/>
          <w:highlight w:val="none"/>
        </w:rPr>
      </w:pPr>
    </w:p>
    <w:p w14:paraId="3716A8FF">
      <w:pPr>
        <w:rPr>
          <w:rFonts w:hAnsi="宋体"/>
          <w:b/>
          <w:color w:val="auto"/>
          <w:highlight w:val="none"/>
        </w:rPr>
      </w:pPr>
    </w:p>
    <w:p w14:paraId="03D0C29D">
      <w:pPr>
        <w:pStyle w:val="21"/>
        <w:rPr>
          <w:rFonts w:hAnsi="宋体"/>
          <w:b/>
          <w:color w:val="auto"/>
          <w:highlight w:val="none"/>
        </w:rPr>
      </w:pPr>
    </w:p>
    <w:p w14:paraId="7969461D">
      <w:pPr>
        <w:rPr>
          <w:rFonts w:hAnsi="宋体"/>
          <w:b/>
          <w:color w:val="auto"/>
          <w:highlight w:val="none"/>
        </w:rPr>
      </w:pPr>
    </w:p>
    <w:p w14:paraId="3866AA7A">
      <w:pPr>
        <w:pStyle w:val="21"/>
        <w:rPr>
          <w:rFonts w:hAnsi="宋体"/>
          <w:b/>
          <w:color w:val="auto"/>
          <w:highlight w:val="none"/>
        </w:rPr>
      </w:pPr>
    </w:p>
    <w:p w14:paraId="18FD6AA3">
      <w:pPr>
        <w:rPr>
          <w:color w:val="auto"/>
          <w:highlight w:val="none"/>
        </w:rPr>
      </w:pPr>
    </w:p>
    <w:p w14:paraId="69565AFD">
      <w:pPr>
        <w:keepNext w:val="0"/>
        <w:keepLines w:val="0"/>
        <w:pageBreakBefore w:val="0"/>
        <w:widowControl w:val="0"/>
        <w:kinsoku/>
        <w:wordWrap/>
        <w:overflowPunct/>
        <w:topLinePunct w:val="0"/>
        <w:bidi w:val="0"/>
        <w:snapToGrid/>
        <w:spacing w:line="360" w:lineRule="auto"/>
        <w:textAlignment w:val="auto"/>
        <w:outlineLvl w:val="1"/>
        <w:rPr>
          <w:rFonts w:ascii="宋体" w:hAnsi="宋体"/>
          <w:b/>
          <w:color w:val="auto"/>
          <w:sz w:val="28"/>
          <w:szCs w:val="28"/>
          <w:highlight w:val="none"/>
        </w:rPr>
      </w:pPr>
      <w:bookmarkStart w:id="378" w:name="_Toc18862"/>
      <w:bookmarkEnd w:id="378"/>
      <w:r>
        <w:rPr>
          <w:rFonts w:hint="eastAsia" w:ascii="宋体" w:hAnsi="宋体"/>
          <w:b/>
          <w:color w:val="auto"/>
          <w:sz w:val="28"/>
          <w:szCs w:val="28"/>
          <w:highlight w:val="none"/>
        </w:rPr>
        <w:t>1．评标方法</w:t>
      </w:r>
    </w:p>
    <w:p w14:paraId="1F6CF645">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Times New Roman"/>
          <w:bCs/>
          <w:color w:val="auto"/>
          <w:sz w:val="24"/>
          <w:szCs w:val="24"/>
          <w:highlight w:val="none"/>
          <w:lang w:eastAsia="zh-CN"/>
        </w:rPr>
      </w:pPr>
      <w:bookmarkStart w:id="379" w:name="_Toc446"/>
      <w:bookmarkEnd w:id="379"/>
      <w:r>
        <w:rPr>
          <w:rFonts w:hint="eastAsia" w:ascii="宋体" w:hAnsi="宋体" w:cs="Times New Roman"/>
          <w:b w:val="0"/>
          <w:bCs w:val="0"/>
          <w:color w:val="auto"/>
          <w:sz w:val="24"/>
          <w:szCs w:val="24"/>
          <w:highlight w:val="none"/>
        </w:rPr>
        <w:t>本次评标采用合理低价法。评标委员会对满足招标文件实质性要求的投标文件，按照本章第2.2款规定的评分标准进行打分，并</w:t>
      </w:r>
      <w:r>
        <w:rPr>
          <w:rFonts w:hint="eastAsia" w:ascii="宋体" w:hAnsi="宋体" w:cs="Times New Roman"/>
          <w:b w:val="0"/>
          <w:bCs w:val="0"/>
          <w:color w:val="auto"/>
          <w:sz w:val="24"/>
          <w:szCs w:val="24"/>
          <w:highlight w:val="none"/>
          <w:lang w:eastAsia="zh-CN"/>
        </w:rPr>
        <w:t>按照第二章“投标人须知”前附表6.3.2规定推荐中标候选人，</w:t>
      </w:r>
      <w:r>
        <w:rPr>
          <w:rFonts w:hint="eastAsia" w:ascii="宋体" w:hAnsi="宋体" w:cs="Times New Roman"/>
          <w:b w:val="0"/>
          <w:bCs w:val="0"/>
          <w:color w:val="auto"/>
          <w:sz w:val="24"/>
          <w:szCs w:val="24"/>
          <w:highlight w:val="none"/>
        </w:rPr>
        <w:t>但投标报价低于其成本的除外。</w:t>
      </w:r>
      <w:r>
        <w:rPr>
          <w:rFonts w:hint="eastAsia" w:ascii="宋体" w:hAnsi="宋体" w:cs="Times New Roman"/>
          <w:b w:val="0"/>
          <w:bCs w:val="0"/>
          <w:color w:val="auto"/>
          <w:sz w:val="24"/>
          <w:szCs w:val="24"/>
          <w:highlight w:val="none"/>
          <w:lang w:eastAsia="zh-CN"/>
        </w:rPr>
        <w:t>综合评分相等时，以投标报价低的优先；投标报价也相等的，按照施工组织设计</w:t>
      </w:r>
      <w:r>
        <w:rPr>
          <w:rFonts w:hint="eastAsia" w:ascii="宋体" w:hAnsi="宋体" w:cs="Times New Roman"/>
          <w:b w:val="0"/>
          <w:bCs w:val="0"/>
          <w:color w:val="auto"/>
          <w:sz w:val="24"/>
          <w:szCs w:val="24"/>
          <w:highlight w:val="none"/>
          <w:lang w:val="en-US" w:eastAsia="zh-CN"/>
        </w:rPr>
        <w:t>整体编制质量高的</w:t>
      </w:r>
      <w:r>
        <w:rPr>
          <w:rFonts w:hint="eastAsia" w:ascii="宋体" w:hAnsi="宋体" w:cs="Times New Roman"/>
          <w:b w:val="0"/>
          <w:bCs w:val="0"/>
          <w:color w:val="auto"/>
          <w:sz w:val="24"/>
          <w:szCs w:val="24"/>
          <w:highlight w:val="none"/>
          <w:lang w:eastAsia="zh-CN"/>
        </w:rPr>
        <w:t>优先，由评标委员会</w:t>
      </w:r>
      <w:r>
        <w:rPr>
          <w:rFonts w:hint="eastAsia" w:ascii="宋体" w:hAnsi="宋体" w:cs="Times New Roman"/>
          <w:b w:val="0"/>
          <w:bCs w:val="0"/>
          <w:color w:val="auto"/>
          <w:sz w:val="24"/>
          <w:szCs w:val="24"/>
          <w:highlight w:val="none"/>
          <w:lang w:val="en-US" w:eastAsia="zh-CN"/>
        </w:rPr>
        <w:t>确定</w:t>
      </w:r>
      <w:r>
        <w:rPr>
          <w:rFonts w:hint="eastAsia" w:ascii="宋体" w:hAnsi="宋体" w:cs="Times New Roman"/>
          <w:b w:val="0"/>
          <w:bCs w:val="0"/>
          <w:color w:val="auto"/>
          <w:sz w:val="24"/>
          <w:szCs w:val="24"/>
          <w:highlight w:val="none"/>
          <w:lang w:eastAsia="zh-CN"/>
        </w:rPr>
        <w:t>。</w:t>
      </w:r>
    </w:p>
    <w:p w14:paraId="24ACA38E">
      <w:pPr>
        <w:keepNext w:val="0"/>
        <w:keepLines w:val="0"/>
        <w:pageBreakBefore w:val="0"/>
        <w:widowControl w:val="0"/>
        <w:kinsoku/>
        <w:wordWrap/>
        <w:overflowPunct/>
        <w:topLinePunct w:val="0"/>
        <w:bidi w:val="0"/>
        <w:snapToGrid/>
        <w:spacing w:line="360" w:lineRule="auto"/>
        <w:textAlignment w:val="auto"/>
        <w:outlineLvl w:val="1"/>
        <w:rPr>
          <w:rFonts w:ascii="宋体" w:hAnsi="宋体"/>
          <w:b/>
          <w:color w:val="auto"/>
          <w:sz w:val="28"/>
          <w:szCs w:val="28"/>
          <w:highlight w:val="none"/>
        </w:rPr>
      </w:pPr>
      <w:r>
        <w:rPr>
          <w:rFonts w:hint="eastAsia" w:ascii="宋体" w:hAnsi="宋体"/>
          <w:b/>
          <w:color w:val="auto"/>
          <w:sz w:val="28"/>
          <w:szCs w:val="28"/>
          <w:highlight w:val="none"/>
        </w:rPr>
        <w:t>2．评审标准</w:t>
      </w:r>
    </w:p>
    <w:p w14:paraId="0C5D23ED">
      <w:pPr>
        <w:keepNext w:val="0"/>
        <w:keepLines w:val="0"/>
        <w:pageBreakBefore w:val="0"/>
        <w:widowControl w:val="0"/>
        <w:kinsoku/>
        <w:wordWrap/>
        <w:overflowPunct/>
        <w:topLinePunct w:val="0"/>
        <w:autoSpaceDE w:val="0"/>
        <w:autoSpaceDN w:val="0"/>
        <w:bidi w:val="0"/>
        <w:adjustRightInd w:val="0"/>
        <w:snapToGrid/>
        <w:spacing w:line="360" w:lineRule="auto"/>
        <w:ind w:right="-34" w:rightChars="-16"/>
        <w:jc w:val="left"/>
        <w:textAlignment w:val="auto"/>
        <w:rPr>
          <w:rFonts w:ascii="宋体" w:hAnsi="宋体"/>
          <w:b/>
          <w:color w:val="auto"/>
          <w:kern w:val="0"/>
          <w:sz w:val="24"/>
          <w:szCs w:val="24"/>
          <w:highlight w:val="none"/>
        </w:rPr>
      </w:pPr>
      <w:bookmarkStart w:id="380" w:name="_Toc16778800"/>
      <w:bookmarkEnd w:id="380"/>
      <w:bookmarkStart w:id="381" w:name="_Toc11113"/>
      <w:bookmarkEnd w:id="381"/>
      <w:bookmarkStart w:id="382" w:name="_Toc21705"/>
      <w:bookmarkEnd w:id="382"/>
      <w:bookmarkStart w:id="383" w:name="_Toc3177"/>
      <w:r>
        <w:rPr>
          <w:rFonts w:hint="eastAsia" w:ascii="宋体" w:hAnsi="宋体"/>
          <w:b/>
          <w:color w:val="auto"/>
          <w:kern w:val="0"/>
          <w:sz w:val="24"/>
          <w:szCs w:val="24"/>
          <w:highlight w:val="none"/>
        </w:rPr>
        <w:t>2.1 初步评审标准</w:t>
      </w:r>
      <w:bookmarkEnd w:id="383"/>
    </w:p>
    <w:p w14:paraId="419D3A52">
      <w:pPr>
        <w:keepNext w:val="0"/>
        <w:keepLines w:val="0"/>
        <w:pageBreakBefore w:val="0"/>
        <w:widowControl w:val="0"/>
        <w:kinsoku/>
        <w:wordWrap/>
        <w:overflowPunct/>
        <w:topLinePunct w:val="0"/>
        <w:bidi w:val="0"/>
        <w:snapToGrid/>
        <w:spacing w:line="360" w:lineRule="auto"/>
        <w:ind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2.1.1 形式评审标准：见评标办法前附表。</w:t>
      </w:r>
    </w:p>
    <w:p w14:paraId="1B366057">
      <w:pPr>
        <w:keepNext w:val="0"/>
        <w:keepLines w:val="0"/>
        <w:pageBreakBefore w:val="0"/>
        <w:widowControl w:val="0"/>
        <w:kinsoku/>
        <w:wordWrap/>
        <w:overflowPunct/>
        <w:topLinePunct w:val="0"/>
        <w:bidi w:val="0"/>
        <w:snapToGrid/>
        <w:spacing w:line="360" w:lineRule="auto"/>
        <w:ind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2.1.2 资格评审标准：见评标办法前附表。</w:t>
      </w:r>
    </w:p>
    <w:p w14:paraId="56A4D259">
      <w:pPr>
        <w:keepNext w:val="0"/>
        <w:keepLines w:val="0"/>
        <w:pageBreakBefore w:val="0"/>
        <w:widowControl w:val="0"/>
        <w:kinsoku/>
        <w:wordWrap/>
        <w:overflowPunct/>
        <w:topLinePunct w:val="0"/>
        <w:bidi w:val="0"/>
        <w:snapToGrid/>
        <w:spacing w:line="360" w:lineRule="auto"/>
        <w:ind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2.1.3响应性评审标准：见评标办法前附表。</w:t>
      </w:r>
    </w:p>
    <w:p w14:paraId="196F9CBE">
      <w:pPr>
        <w:keepNext w:val="0"/>
        <w:keepLines w:val="0"/>
        <w:pageBreakBefore w:val="0"/>
        <w:widowControl w:val="0"/>
        <w:kinsoku/>
        <w:wordWrap/>
        <w:overflowPunct/>
        <w:topLinePunct w:val="0"/>
        <w:bidi w:val="0"/>
        <w:snapToGrid/>
        <w:spacing w:line="360" w:lineRule="auto"/>
        <w:textAlignment w:val="auto"/>
        <w:rPr>
          <w:rFonts w:hint="eastAsia" w:ascii="宋体" w:hAnsi="宋体"/>
          <w:b w:val="0"/>
          <w:bCs w:val="0"/>
          <w:color w:val="auto"/>
          <w:kern w:val="0"/>
          <w:sz w:val="24"/>
          <w:szCs w:val="24"/>
          <w:highlight w:val="none"/>
        </w:rPr>
      </w:pPr>
      <w:bookmarkStart w:id="384" w:name="_Toc16778801"/>
      <w:bookmarkEnd w:id="384"/>
      <w:bookmarkStart w:id="385" w:name="_Toc30222"/>
      <w:r>
        <w:rPr>
          <w:rFonts w:hint="eastAsia" w:ascii="宋体" w:hAnsi="宋体"/>
          <w:b/>
          <w:bCs w:val="0"/>
          <w:color w:val="auto"/>
          <w:kern w:val="0"/>
          <w:sz w:val="24"/>
          <w:szCs w:val="24"/>
          <w:highlight w:val="none"/>
        </w:rPr>
        <w:t>2.2</w:t>
      </w:r>
      <w:r>
        <w:rPr>
          <w:rFonts w:hint="eastAsia" w:ascii="宋体" w:hAnsi="宋体"/>
          <w:b/>
          <w:bCs w:val="0"/>
          <w:color w:val="auto"/>
          <w:kern w:val="0"/>
          <w:sz w:val="24"/>
          <w:szCs w:val="24"/>
          <w:highlight w:val="none"/>
          <w:lang w:val="en-US" w:eastAsia="zh-CN"/>
        </w:rPr>
        <w:t xml:space="preserve"> </w:t>
      </w:r>
      <w:bookmarkEnd w:id="385"/>
      <w:r>
        <w:rPr>
          <w:rFonts w:hint="eastAsia" w:ascii="宋体" w:hAnsi="宋体"/>
          <w:b/>
          <w:bCs w:val="0"/>
          <w:color w:val="auto"/>
          <w:kern w:val="0"/>
          <w:sz w:val="24"/>
          <w:szCs w:val="24"/>
          <w:highlight w:val="none"/>
        </w:rPr>
        <w:t>分值构成与评分标准</w:t>
      </w:r>
    </w:p>
    <w:p w14:paraId="0C4D9D60">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b w:val="0"/>
          <w:bCs w:val="0"/>
          <w:color w:val="auto"/>
          <w:kern w:val="0"/>
          <w:sz w:val="24"/>
          <w:szCs w:val="24"/>
          <w:highlight w:val="none"/>
        </w:rPr>
      </w:pPr>
      <w:r>
        <w:rPr>
          <w:rFonts w:hint="eastAsia" w:ascii="宋体" w:hAnsi="宋体"/>
          <w:b w:val="0"/>
          <w:bCs w:val="0"/>
          <w:color w:val="auto"/>
          <w:kern w:val="0"/>
          <w:sz w:val="24"/>
          <w:szCs w:val="24"/>
          <w:highlight w:val="none"/>
        </w:rPr>
        <w:t xml:space="preserve">2.2.1 分值构成 </w:t>
      </w:r>
    </w:p>
    <w:p w14:paraId="784ED763">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b w:val="0"/>
          <w:bCs w:val="0"/>
          <w:color w:val="auto"/>
          <w:kern w:val="0"/>
          <w:sz w:val="24"/>
          <w:szCs w:val="24"/>
          <w:highlight w:val="none"/>
        </w:rPr>
      </w:pPr>
      <w:r>
        <w:rPr>
          <w:rFonts w:hint="eastAsia" w:ascii="宋体" w:hAnsi="宋体"/>
          <w:b w:val="0"/>
          <w:bCs w:val="0"/>
          <w:color w:val="auto"/>
          <w:kern w:val="0"/>
          <w:sz w:val="24"/>
          <w:szCs w:val="24"/>
          <w:highlight w:val="none"/>
        </w:rPr>
        <w:t xml:space="preserve">评标价：见评标办法前附表。 </w:t>
      </w:r>
    </w:p>
    <w:p w14:paraId="25D04CA1">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b w:val="0"/>
          <w:bCs w:val="0"/>
          <w:color w:val="auto"/>
          <w:kern w:val="0"/>
          <w:sz w:val="24"/>
          <w:szCs w:val="24"/>
          <w:highlight w:val="none"/>
        </w:rPr>
      </w:pPr>
      <w:r>
        <w:rPr>
          <w:rFonts w:hint="eastAsia" w:ascii="宋体" w:hAnsi="宋体"/>
          <w:b w:val="0"/>
          <w:bCs w:val="0"/>
          <w:color w:val="auto"/>
          <w:kern w:val="0"/>
          <w:sz w:val="24"/>
          <w:szCs w:val="24"/>
          <w:highlight w:val="none"/>
        </w:rPr>
        <w:t>2.2.2 评标基准价计算</w:t>
      </w:r>
    </w:p>
    <w:p w14:paraId="546528FB">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b w:val="0"/>
          <w:bCs w:val="0"/>
          <w:color w:val="auto"/>
          <w:kern w:val="0"/>
          <w:sz w:val="24"/>
          <w:szCs w:val="24"/>
          <w:highlight w:val="none"/>
        </w:rPr>
      </w:pPr>
      <w:r>
        <w:rPr>
          <w:rFonts w:hint="eastAsia" w:ascii="宋体" w:hAnsi="宋体"/>
          <w:b w:val="0"/>
          <w:bCs w:val="0"/>
          <w:color w:val="auto"/>
          <w:kern w:val="0"/>
          <w:sz w:val="24"/>
          <w:szCs w:val="24"/>
          <w:highlight w:val="none"/>
        </w:rPr>
        <w:t>评标基准价计算方法：见评标办法前附表。</w:t>
      </w:r>
    </w:p>
    <w:p w14:paraId="2539EDBB">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b w:val="0"/>
          <w:bCs w:val="0"/>
          <w:color w:val="auto"/>
          <w:kern w:val="0"/>
          <w:sz w:val="24"/>
          <w:szCs w:val="24"/>
          <w:highlight w:val="none"/>
        </w:rPr>
      </w:pPr>
      <w:r>
        <w:rPr>
          <w:rFonts w:hint="eastAsia" w:ascii="宋体" w:hAnsi="宋体"/>
          <w:b w:val="0"/>
          <w:bCs w:val="0"/>
          <w:color w:val="auto"/>
          <w:kern w:val="0"/>
          <w:sz w:val="24"/>
          <w:szCs w:val="24"/>
          <w:highlight w:val="none"/>
        </w:rPr>
        <w:t xml:space="preserve">2.2.3 评标价的偏差率计算 </w:t>
      </w:r>
    </w:p>
    <w:p w14:paraId="39ED5FCB">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b w:val="0"/>
          <w:bCs w:val="0"/>
          <w:color w:val="auto"/>
          <w:kern w:val="0"/>
          <w:sz w:val="24"/>
          <w:szCs w:val="24"/>
          <w:highlight w:val="none"/>
        </w:rPr>
      </w:pPr>
      <w:r>
        <w:rPr>
          <w:rFonts w:hint="eastAsia" w:ascii="宋体" w:hAnsi="宋体"/>
          <w:b w:val="0"/>
          <w:bCs w:val="0"/>
          <w:color w:val="auto"/>
          <w:kern w:val="0"/>
          <w:sz w:val="24"/>
          <w:szCs w:val="24"/>
          <w:highlight w:val="none"/>
        </w:rPr>
        <w:t xml:space="preserve">评标价的偏差率计算公式：见评标办法前附表。 </w:t>
      </w:r>
    </w:p>
    <w:p w14:paraId="32FB85D3">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b w:val="0"/>
          <w:bCs w:val="0"/>
          <w:color w:val="auto"/>
          <w:kern w:val="0"/>
          <w:sz w:val="24"/>
          <w:szCs w:val="24"/>
          <w:highlight w:val="none"/>
        </w:rPr>
      </w:pPr>
      <w:r>
        <w:rPr>
          <w:rFonts w:hint="eastAsia" w:ascii="宋体" w:hAnsi="宋体"/>
          <w:b w:val="0"/>
          <w:bCs w:val="0"/>
          <w:color w:val="auto"/>
          <w:kern w:val="0"/>
          <w:sz w:val="24"/>
          <w:szCs w:val="24"/>
          <w:highlight w:val="none"/>
        </w:rPr>
        <w:t xml:space="preserve">2.2.4 评分标准 </w:t>
      </w:r>
    </w:p>
    <w:p w14:paraId="5E0E76F5">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b w:val="0"/>
          <w:bCs w:val="0"/>
          <w:color w:val="auto"/>
          <w:kern w:val="0"/>
          <w:sz w:val="24"/>
          <w:szCs w:val="24"/>
          <w:highlight w:val="none"/>
        </w:rPr>
      </w:pPr>
      <w:r>
        <w:rPr>
          <w:rFonts w:hint="eastAsia" w:ascii="宋体" w:hAnsi="宋体"/>
          <w:b w:val="0"/>
          <w:bCs w:val="0"/>
          <w:color w:val="auto"/>
          <w:kern w:val="0"/>
          <w:sz w:val="24"/>
          <w:szCs w:val="24"/>
          <w:highlight w:val="none"/>
        </w:rPr>
        <w:t>评标价评分标准：见评标办法前附表。</w:t>
      </w:r>
    </w:p>
    <w:p w14:paraId="557F0345">
      <w:pPr>
        <w:keepNext w:val="0"/>
        <w:keepLines w:val="0"/>
        <w:pageBreakBefore w:val="0"/>
        <w:widowControl w:val="0"/>
        <w:kinsoku/>
        <w:wordWrap/>
        <w:overflowPunct/>
        <w:topLinePunct w:val="0"/>
        <w:bidi w:val="0"/>
        <w:snapToGrid/>
        <w:spacing w:line="360" w:lineRule="auto"/>
        <w:textAlignment w:val="auto"/>
        <w:rPr>
          <w:rFonts w:hint="eastAsia" w:ascii="宋体" w:hAnsi="宋体" w:cs="Times New Roman"/>
          <w:b/>
          <w:bCs/>
          <w:color w:val="auto"/>
          <w:kern w:val="0"/>
          <w:sz w:val="28"/>
          <w:szCs w:val="28"/>
          <w:highlight w:val="none"/>
        </w:rPr>
      </w:pPr>
      <w:r>
        <w:rPr>
          <w:rFonts w:hint="eastAsia" w:ascii="宋体" w:hAnsi="宋体" w:cs="Times New Roman"/>
          <w:b/>
          <w:bCs/>
          <w:color w:val="auto"/>
          <w:kern w:val="0"/>
          <w:sz w:val="28"/>
          <w:szCs w:val="28"/>
          <w:highlight w:val="none"/>
        </w:rPr>
        <w:t>3. 评标程序</w:t>
      </w:r>
    </w:p>
    <w:p w14:paraId="521BB38E">
      <w:pPr>
        <w:keepNext w:val="0"/>
        <w:keepLines w:val="0"/>
        <w:pageBreakBefore w:val="0"/>
        <w:widowControl w:val="0"/>
        <w:kinsoku/>
        <w:wordWrap/>
        <w:overflowPunct/>
        <w:topLinePunct w:val="0"/>
        <w:bidi w:val="0"/>
        <w:snapToGrid/>
        <w:spacing w:line="360" w:lineRule="auto"/>
        <w:textAlignment w:val="auto"/>
        <w:rPr>
          <w:rFonts w:hint="eastAsia" w:ascii="宋体" w:hAnsi="宋体" w:cs="Times New Roman"/>
          <w:b w:val="0"/>
          <w:bCs w:val="0"/>
          <w:color w:val="auto"/>
          <w:kern w:val="0"/>
          <w:sz w:val="24"/>
          <w:szCs w:val="24"/>
          <w:highlight w:val="none"/>
        </w:rPr>
      </w:pPr>
      <w:bookmarkStart w:id="386" w:name="_bookmark100"/>
      <w:bookmarkEnd w:id="386"/>
      <w:r>
        <w:rPr>
          <w:rFonts w:hint="eastAsia" w:ascii="宋体" w:hAnsi="宋体" w:cs="Times New Roman"/>
          <w:b/>
          <w:bCs/>
          <w:color w:val="auto"/>
          <w:kern w:val="0"/>
          <w:sz w:val="24"/>
          <w:szCs w:val="24"/>
          <w:highlight w:val="none"/>
        </w:rPr>
        <w:t>3.1 第一个信封初步评审</w:t>
      </w:r>
    </w:p>
    <w:p w14:paraId="1CED7A8A">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Times New Roman"/>
          <w:b w:val="0"/>
          <w:bCs w:val="0"/>
          <w:color w:val="auto"/>
          <w:kern w:val="0"/>
          <w:sz w:val="24"/>
          <w:szCs w:val="24"/>
          <w:highlight w:val="none"/>
        </w:rPr>
      </w:pPr>
      <w:r>
        <w:rPr>
          <w:rFonts w:hint="eastAsia" w:ascii="宋体" w:hAnsi="宋体" w:cs="Times New Roman"/>
          <w:b w:val="0"/>
          <w:bCs w:val="0"/>
          <w:color w:val="auto"/>
          <w:kern w:val="0"/>
          <w:sz w:val="24"/>
          <w:szCs w:val="24"/>
          <w:highlight w:val="none"/>
        </w:rPr>
        <w:t>3.1.1 评标委员会可以要求投标人提交第二章“投标人须知”第3.5.1项至第3.5.6项规定的有关证明和证件的原件</w:t>
      </w:r>
      <w:r>
        <w:rPr>
          <w:rFonts w:hint="eastAsia" w:ascii="宋体" w:hAnsi="宋体" w:cs="Times New Roman"/>
          <w:b w:val="0"/>
          <w:bCs w:val="0"/>
          <w:color w:val="auto"/>
          <w:kern w:val="0"/>
          <w:sz w:val="24"/>
          <w:szCs w:val="24"/>
          <w:highlight w:val="none"/>
          <w:lang w:eastAsia="zh-CN"/>
        </w:rPr>
        <w:t>，</w:t>
      </w:r>
      <w:r>
        <w:rPr>
          <w:rFonts w:hint="eastAsia" w:ascii="宋体" w:hAnsi="宋体" w:cs="Times New Roman"/>
          <w:b w:val="0"/>
          <w:bCs w:val="0"/>
          <w:color w:val="auto"/>
          <w:kern w:val="0"/>
          <w:sz w:val="24"/>
          <w:szCs w:val="24"/>
          <w:highlight w:val="none"/>
        </w:rPr>
        <w:t>以便核验。评标委员会依据本章第2.1款规定的标准对投标文件第一个信封（商务及技术文件）进行初步评审。有一项不符合评审标准的，评标委员会应否决其投标。</w:t>
      </w:r>
    </w:p>
    <w:p w14:paraId="70C12C23">
      <w:pPr>
        <w:keepNext w:val="0"/>
        <w:keepLines w:val="0"/>
        <w:pageBreakBefore w:val="0"/>
        <w:widowControl w:val="0"/>
        <w:kinsoku/>
        <w:wordWrap/>
        <w:overflowPunct/>
        <w:topLinePunct w:val="0"/>
        <w:bidi w:val="0"/>
        <w:snapToGrid/>
        <w:spacing w:line="360" w:lineRule="auto"/>
        <w:textAlignment w:val="auto"/>
        <w:rPr>
          <w:rFonts w:hint="eastAsia" w:ascii="宋体" w:hAnsi="宋体" w:cs="Times New Roman"/>
          <w:b/>
          <w:bCs/>
          <w:color w:val="auto"/>
          <w:kern w:val="0"/>
          <w:sz w:val="24"/>
          <w:szCs w:val="24"/>
          <w:highlight w:val="none"/>
        </w:rPr>
      </w:pPr>
      <w:r>
        <w:rPr>
          <w:rFonts w:hint="eastAsia" w:ascii="宋体" w:hAnsi="宋体" w:cs="Times New Roman"/>
          <w:b/>
          <w:bCs/>
          <w:color w:val="auto"/>
          <w:kern w:val="0"/>
          <w:sz w:val="24"/>
          <w:szCs w:val="24"/>
          <w:highlight w:val="none"/>
        </w:rPr>
        <w:t>3.2 第二个信封开标</w:t>
      </w:r>
    </w:p>
    <w:p w14:paraId="4708594B">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Times New Roman"/>
          <w:b/>
          <w:bCs/>
          <w:color w:val="auto"/>
          <w:kern w:val="0"/>
          <w:sz w:val="24"/>
          <w:szCs w:val="24"/>
          <w:highlight w:val="none"/>
        </w:rPr>
      </w:pPr>
      <w:r>
        <w:rPr>
          <w:rFonts w:hint="eastAsia" w:ascii="宋体" w:hAnsi="宋体" w:cs="Times New Roman"/>
          <w:b w:val="0"/>
          <w:bCs w:val="0"/>
          <w:color w:val="auto"/>
          <w:kern w:val="0"/>
          <w:sz w:val="24"/>
          <w:szCs w:val="24"/>
          <w:highlight w:val="none"/>
        </w:rPr>
        <w:t>第一个信封（商务及技术文件）评审结束后，招标人将按照第二章“投标人须知” 第5.1款规定的时间和地点对通过投标文件第一个信封（商务及技术文件）评审的投标文件第二个信封（报价文件）进行开标。</w:t>
      </w:r>
    </w:p>
    <w:p w14:paraId="2CF9809B">
      <w:pPr>
        <w:keepNext w:val="0"/>
        <w:keepLines w:val="0"/>
        <w:pageBreakBefore w:val="0"/>
        <w:widowControl w:val="0"/>
        <w:kinsoku/>
        <w:wordWrap/>
        <w:overflowPunct/>
        <w:topLinePunct w:val="0"/>
        <w:bidi w:val="0"/>
        <w:snapToGrid/>
        <w:spacing w:line="360" w:lineRule="auto"/>
        <w:textAlignment w:val="auto"/>
        <w:rPr>
          <w:rFonts w:hint="eastAsia" w:ascii="宋体" w:hAnsi="宋体" w:cs="Times New Roman"/>
          <w:b/>
          <w:bCs/>
          <w:color w:val="auto"/>
          <w:kern w:val="0"/>
          <w:sz w:val="24"/>
          <w:szCs w:val="24"/>
          <w:highlight w:val="none"/>
        </w:rPr>
      </w:pPr>
      <w:r>
        <w:rPr>
          <w:rFonts w:hint="eastAsia" w:ascii="宋体" w:hAnsi="宋体" w:cs="Times New Roman"/>
          <w:b/>
          <w:bCs/>
          <w:color w:val="auto"/>
          <w:kern w:val="0"/>
          <w:sz w:val="24"/>
          <w:szCs w:val="24"/>
          <w:highlight w:val="none"/>
        </w:rPr>
        <w:t>3.3 第二个信封初步评审</w:t>
      </w:r>
    </w:p>
    <w:p w14:paraId="68477DD1">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Times New Roman"/>
          <w:b w:val="0"/>
          <w:bCs w:val="0"/>
          <w:color w:val="auto"/>
          <w:kern w:val="0"/>
          <w:sz w:val="24"/>
          <w:szCs w:val="24"/>
          <w:highlight w:val="none"/>
        </w:rPr>
      </w:pPr>
      <w:r>
        <w:rPr>
          <w:rFonts w:hint="eastAsia" w:ascii="宋体" w:hAnsi="宋体" w:cs="Times New Roman"/>
          <w:b w:val="0"/>
          <w:bCs w:val="0"/>
          <w:color w:val="auto"/>
          <w:kern w:val="0"/>
          <w:sz w:val="24"/>
          <w:szCs w:val="24"/>
          <w:highlight w:val="none"/>
        </w:rPr>
        <w:t>3.3.1 评标委员会依据本章第2.1.1项、第2.1.3项规定的评审标准对投标文件第二个信封（报价文件）进行初步评审。有一项不符合评审标准的，评标委员会应否决其投标。</w:t>
      </w:r>
    </w:p>
    <w:p w14:paraId="740CC524">
      <w:pPr>
        <w:keepNext w:val="0"/>
        <w:keepLines w:val="0"/>
        <w:pageBreakBefore w:val="0"/>
        <w:widowControl w:val="0"/>
        <w:kinsoku/>
        <w:wordWrap/>
        <w:overflowPunct/>
        <w:topLinePunct w:val="0"/>
        <w:bidi w:val="0"/>
        <w:snapToGrid/>
        <w:spacing w:line="360" w:lineRule="auto"/>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bCs/>
          <w:color w:val="auto"/>
          <w:kern w:val="0"/>
          <w:sz w:val="24"/>
          <w:szCs w:val="24"/>
          <w:highlight w:val="none"/>
          <w:lang w:val="en-US" w:eastAsia="zh-CN"/>
        </w:rPr>
        <w:t>3.4 第二个信封详细评审</w:t>
      </w:r>
    </w:p>
    <w:p w14:paraId="09B5072E">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3.4.1 评标委员会按本章第 2.2 款规定的量化因素和分值进行打分，并计算出综合评估得分（即评标价得分）。</w:t>
      </w:r>
    </w:p>
    <w:p w14:paraId="7CF2E95E">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3.4.2 投标人得分分值计算保留小数点后两位，小数点后第三位“四舍五入”。</w:t>
      </w:r>
    </w:p>
    <w:p w14:paraId="3D59801B">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3.4.3 评标委员会发现投标人的报价明显低于其他投标报价，使得其投标报价可能低于其个别成本的，应要求该投标人作出书面说明并提供相应的证明材料。投标人不能合理说明或不能提供相应证明材料的，评标委员会应认定该投标人以低于成本报价竞标，并否决其投标。</w:t>
      </w:r>
    </w:p>
    <w:p w14:paraId="517F0CA1">
      <w:pPr>
        <w:keepNext w:val="0"/>
        <w:keepLines w:val="0"/>
        <w:pageBreakBefore w:val="0"/>
        <w:widowControl w:val="0"/>
        <w:kinsoku/>
        <w:wordWrap/>
        <w:overflowPunct/>
        <w:topLinePunct w:val="0"/>
        <w:bidi w:val="0"/>
        <w:snapToGrid/>
        <w:spacing w:line="360" w:lineRule="auto"/>
        <w:textAlignment w:val="auto"/>
        <w:rPr>
          <w:rFonts w:hint="default" w:ascii="宋体" w:hAnsi="宋体" w:cs="Times New Roman"/>
          <w:b/>
          <w:bCs/>
          <w:color w:val="auto"/>
          <w:kern w:val="0"/>
          <w:sz w:val="24"/>
          <w:szCs w:val="24"/>
          <w:highlight w:val="none"/>
          <w:lang w:val="en-US" w:eastAsia="zh-CN"/>
        </w:rPr>
      </w:pPr>
      <w:r>
        <w:rPr>
          <w:rFonts w:hint="default" w:ascii="宋体" w:hAnsi="宋体" w:cs="Times New Roman"/>
          <w:b/>
          <w:bCs/>
          <w:color w:val="auto"/>
          <w:kern w:val="0"/>
          <w:sz w:val="24"/>
          <w:szCs w:val="24"/>
          <w:highlight w:val="none"/>
          <w:lang w:val="en-US" w:eastAsia="zh-CN"/>
        </w:rPr>
        <w:t>3.5 投标文件相关信息的核查</w:t>
      </w:r>
    </w:p>
    <w:p w14:paraId="3094FB1D">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评标委员会应对在评标过程中发现的投标人与投标人之间、投标人与招标人之间存在的串通投标的情形进行评审和认定。投标人存在串通投标</w:t>
      </w:r>
      <w:r>
        <w:rPr>
          <w:rFonts w:hint="eastAsia" w:ascii="宋体" w:hAnsi="宋体" w:cs="Times New Roman"/>
          <w:b w:val="0"/>
          <w:bCs w:val="0"/>
          <w:color w:val="auto"/>
          <w:kern w:val="0"/>
          <w:sz w:val="24"/>
          <w:szCs w:val="24"/>
          <w:highlight w:val="none"/>
          <w:lang w:val="en-US" w:eastAsia="zh-CN"/>
        </w:rPr>
        <w:t>、</w:t>
      </w:r>
      <w:r>
        <w:rPr>
          <w:rFonts w:hint="default" w:ascii="宋体" w:hAnsi="宋体" w:cs="Times New Roman"/>
          <w:b w:val="0"/>
          <w:bCs w:val="0"/>
          <w:color w:val="auto"/>
          <w:kern w:val="0"/>
          <w:sz w:val="24"/>
          <w:szCs w:val="24"/>
          <w:highlight w:val="none"/>
          <w:lang w:val="en-US" w:eastAsia="zh-CN"/>
        </w:rPr>
        <w:t>弄虚作假、行贿等违法行为的，评标委员会应否决其投标。</w:t>
      </w:r>
    </w:p>
    <w:p w14:paraId="70148544">
      <w:pPr>
        <w:keepNext w:val="0"/>
        <w:keepLines w:val="0"/>
        <w:pageBreakBefore w:val="0"/>
        <w:widowControl w:val="0"/>
        <w:numPr>
          <w:ilvl w:val="0"/>
          <w:numId w:val="6"/>
        </w:numPr>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有下列情形之一的，属于投标人相互串通投标：a.投标人之间协商投标报价等投标文件的实质性内容；b.投标人之间约定中标人；c.投标人之间约定部分投标人放弃投标或中标；d.属于同一集团、协会、商会等组织成员的投标人按照该组织要求协同投标；e.投标人之间为谋取中标或排斥特定投标人而采取的其他联合行动。</w:t>
      </w:r>
    </w:p>
    <w:p w14:paraId="216DAF24">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2）有下列情形之一的，视为投标人相互串通投标：a.不同投标人的投标文件由同一单位或个人编制；b.不同投标人委托同一单位或个人办理投标事宜；c.不同投标人的投标文件载明的项目管理成员为同一人；d.不同投标人的投标文件异常一致或投标报价呈规律性差异；e.不同投标人的投标文件相互混装；f.不同投标人的投标保证金从同一单位或个人的账户转出。</w:t>
      </w:r>
    </w:p>
    <w:p w14:paraId="1C565734">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（3）有下列情形之一的，属于招标人与投标人串通投标：a.招标人在开标前开启投标文件并将有关信息泄露给其他投标人</w:t>
      </w:r>
      <w:r>
        <w:rPr>
          <w:rFonts w:hint="eastAsia" w:ascii="宋体" w:hAnsi="宋体" w:cs="Times New Roman"/>
          <w:b w:val="0"/>
          <w:bCs w:val="0"/>
          <w:color w:val="auto"/>
          <w:kern w:val="0"/>
          <w:sz w:val="24"/>
          <w:szCs w:val="24"/>
          <w:highlight w:val="none"/>
          <w:lang w:val="en-US" w:eastAsia="zh-CN"/>
        </w:rPr>
        <w:t>；</w:t>
      </w:r>
      <w:r>
        <w:rPr>
          <w:rFonts w:hint="default" w:ascii="宋体" w:hAnsi="宋体" w:cs="Times New Roman"/>
          <w:b w:val="0"/>
          <w:bCs w:val="0"/>
          <w:color w:val="auto"/>
          <w:kern w:val="0"/>
          <w:sz w:val="24"/>
          <w:szCs w:val="24"/>
          <w:highlight w:val="none"/>
          <w:lang w:val="en-US" w:eastAsia="zh-CN"/>
        </w:rPr>
        <w:t>b.招标人直接或间接向投标人泄露标底、评标委员会成员等信息；c.招标人明示或暗示投标人压低或抬高投标报价；d.招标人授意投标人撤换、修改投标文件； e.招标人明示或暗示投标人为特定投标人中标提供方便；f.招标人与投标人为谋求特定投标人中标而采取的其他串通行为。</w:t>
      </w:r>
    </w:p>
    <w:p w14:paraId="1EA652CB">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4）投标人有下列情形之一的，属于弄虚作假的行为：a.使用通过受让或租借等方式获取的资格、资质证书投标；b.使用伪造、变造的许可证件；c.提供虚假的财务状况或业绩；d.提供虚假的项目负责人或主要技术人员简历、劳动关系证明；e.提供虚假的信用状况；f.其他弄虚作假的行为。</w:t>
      </w:r>
    </w:p>
    <w:p w14:paraId="78BEFFA0">
      <w:pPr>
        <w:keepNext w:val="0"/>
        <w:keepLines w:val="0"/>
        <w:pageBreakBefore w:val="0"/>
        <w:widowControl w:val="0"/>
        <w:kinsoku/>
        <w:wordWrap/>
        <w:overflowPunct/>
        <w:topLinePunct w:val="0"/>
        <w:bidi w:val="0"/>
        <w:snapToGrid/>
        <w:spacing w:line="360" w:lineRule="auto"/>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bCs/>
          <w:color w:val="auto"/>
          <w:kern w:val="0"/>
          <w:sz w:val="24"/>
          <w:szCs w:val="24"/>
          <w:highlight w:val="none"/>
          <w:lang w:val="en-US" w:eastAsia="zh-CN"/>
        </w:rPr>
        <w:t>3.6 投标文件的澄清和说明</w:t>
      </w:r>
    </w:p>
    <w:p w14:paraId="189C8F2E">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3.6.1 在评标过程中，评标委员会可以书面形式要求投标人对投标文件中含义不明确的内容、明显文字或计算错误进行书面澄清或说明。评标委员会不接受投标人主动提出的澄清、说明。投标人不按评标委员会要求澄清或说明的，评标委员会应否决其投标。</w:t>
      </w:r>
    </w:p>
    <w:p w14:paraId="58B0713D">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3.6.2 澄清和说明不得超出投标文件的范围或改变投标文件的实质性内容（算术性错误的修正除外</w:t>
      </w:r>
      <w:r>
        <w:rPr>
          <w:rFonts w:hint="eastAsia" w:ascii="宋体" w:hAnsi="宋体" w:cs="Times New Roman"/>
          <w:b w:val="0"/>
          <w:bCs w:val="0"/>
          <w:color w:val="auto"/>
          <w:kern w:val="0"/>
          <w:sz w:val="24"/>
          <w:szCs w:val="24"/>
          <w:highlight w:val="none"/>
          <w:lang w:val="en-US" w:eastAsia="zh-CN"/>
        </w:rPr>
        <w:t>）。</w:t>
      </w:r>
      <w:r>
        <w:rPr>
          <w:rFonts w:hint="default" w:ascii="宋体" w:hAnsi="宋体" w:cs="Times New Roman"/>
          <w:b w:val="0"/>
          <w:bCs w:val="0"/>
          <w:color w:val="auto"/>
          <w:kern w:val="0"/>
          <w:sz w:val="24"/>
          <w:szCs w:val="24"/>
          <w:highlight w:val="none"/>
          <w:lang w:val="en-US" w:eastAsia="zh-CN"/>
        </w:rPr>
        <w:t>投标人的书面澄清、说明属于投标文件的组成部分。</w:t>
      </w:r>
    </w:p>
    <w:p w14:paraId="602A0AE9">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3.6.3 评标委员会不得暗示或诱导投标人作出澄清、说明，对投标人提交的澄清、说明有疑问的，可以要求投标人进一步澄清或说明，直至满足评标委员会的要求。</w:t>
      </w:r>
    </w:p>
    <w:p w14:paraId="52C0E818">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3.6.4 凡超出招标文件规定的或给发包人带来未曾要求的利益的变化、偏差或其他因素在评标时不予考虑。</w:t>
      </w:r>
    </w:p>
    <w:p w14:paraId="37C4BA65">
      <w:pPr>
        <w:keepNext w:val="0"/>
        <w:keepLines w:val="0"/>
        <w:pageBreakBefore w:val="0"/>
        <w:widowControl w:val="0"/>
        <w:kinsoku/>
        <w:wordWrap/>
        <w:overflowPunct/>
        <w:topLinePunct w:val="0"/>
        <w:bidi w:val="0"/>
        <w:snapToGrid/>
        <w:spacing w:line="360" w:lineRule="auto"/>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bCs/>
          <w:color w:val="auto"/>
          <w:kern w:val="0"/>
          <w:sz w:val="24"/>
          <w:szCs w:val="24"/>
          <w:highlight w:val="none"/>
          <w:lang w:val="en-US" w:eastAsia="zh-CN"/>
        </w:rPr>
        <w:t>3.7 不得否决投标的情形</w:t>
      </w:r>
    </w:p>
    <w:p w14:paraId="6502C707">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投标文件存在第二章“投标人须知”第 1.12.3 项所列情形的，均视为细微偏差，评标委员会不得否决投标人的投标，应按照第二章“投标人须知”第 1.12.4 项规定的原则处理。</w:t>
      </w:r>
    </w:p>
    <w:p w14:paraId="533436F0">
      <w:pPr>
        <w:keepNext w:val="0"/>
        <w:keepLines w:val="0"/>
        <w:pageBreakBefore w:val="0"/>
        <w:widowControl w:val="0"/>
        <w:kinsoku/>
        <w:wordWrap/>
        <w:overflowPunct/>
        <w:topLinePunct w:val="0"/>
        <w:bidi w:val="0"/>
        <w:snapToGrid/>
        <w:spacing w:line="360" w:lineRule="auto"/>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bCs/>
          <w:color w:val="auto"/>
          <w:kern w:val="0"/>
          <w:sz w:val="24"/>
          <w:szCs w:val="24"/>
          <w:highlight w:val="none"/>
          <w:lang w:val="en-US" w:eastAsia="zh-CN"/>
        </w:rPr>
        <w:t>3.8 评标结果</w:t>
      </w:r>
    </w:p>
    <w:p w14:paraId="0963C1AA">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3.8.1 除第二章“投标人须知”前附表授权直接确定中标人外，评标委员会</w:t>
      </w:r>
      <w:r>
        <w:rPr>
          <w:rFonts w:hint="eastAsia" w:ascii="宋体" w:hAnsi="宋体" w:cs="Times New Roman"/>
          <w:b w:val="0"/>
          <w:bCs w:val="0"/>
          <w:color w:val="auto"/>
          <w:kern w:val="0"/>
          <w:sz w:val="24"/>
          <w:szCs w:val="24"/>
          <w:highlight w:val="none"/>
          <w:lang w:val="en-US" w:eastAsia="zh-CN"/>
        </w:rPr>
        <w:t>应按照</w:t>
      </w:r>
      <w:r>
        <w:rPr>
          <w:rFonts w:hint="default" w:ascii="宋体" w:hAnsi="宋体" w:cs="Times New Roman"/>
          <w:b w:val="0"/>
          <w:bCs w:val="0"/>
          <w:color w:val="auto"/>
          <w:kern w:val="0"/>
          <w:sz w:val="24"/>
          <w:szCs w:val="24"/>
          <w:highlight w:val="none"/>
          <w:lang w:val="en-US" w:eastAsia="zh-CN"/>
        </w:rPr>
        <w:t>第二章“投标人须知”前附表</w:t>
      </w:r>
      <w:r>
        <w:rPr>
          <w:rFonts w:hint="eastAsia" w:ascii="宋体" w:hAnsi="宋体" w:cs="Times New Roman"/>
          <w:b w:val="0"/>
          <w:bCs w:val="0"/>
          <w:color w:val="auto"/>
          <w:kern w:val="0"/>
          <w:sz w:val="24"/>
          <w:szCs w:val="24"/>
          <w:highlight w:val="none"/>
          <w:lang w:val="en-US" w:eastAsia="zh-CN"/>
        </w:rPr>
        <w:t>6.3.2规定</w:t>
      </w:r>
      <w:r>
        <w:rPr>
          <w:rFonts w:hint="default" w:ascii="宋体" w:hAnsi="宋体" w:cs="Times New Roman"/>
          <w:b w:val="0"/>
          <w:bCs w:val="0"/>
          <w:color w:val="auto"/>
          <w:kern w:val="0"/>
          <w:sz w:val="24"/>
          <w:szCs w:val="24"/>
          <w:highlight w:val="none"/>
          <w:lang w:val="en-US" w:eastAsia="zh-CN"/>
        </w:rPr>
        <w:t>推荐中标候选人。</w:t>
      </w:r>
    </w:p>
    <w:p w14:paraId="5DC30BB3">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r>
        <w:rPr>
          <w:rFonts w:hint="default" w:ascii="宋体" w:hAnsi="宋体" w:cs="Times New Roman"/>
          <w:b w:val="0"/>
          <w:bCs w:val="0"/>
          <w:color w:val="auto"/>
          <w:kern w:val="0"/>
          <w:sz w:val="24"/>
          <w:szCs w:val="24"/>
          <w:highlight w:val="none"/>
          <w:lang w:val="en-US" w:eastAsia="zh-CN"/>
        </w:rPr>
        <w:t>3.8.2  评标委员会完成评标后，应向招标人提交书面评标报告</w:t>
      </w:r>
      <w:r>
        <w:rPr>
          <w:rFonts w:hint="eastAsia" w:ascii="宋体" w:hAnsi="宋体" w:cs="Times New Roman"/>
          <w:b w:val="0"/>
          <w:bCs w:val="0"/>
          <w:color w:val="auto"/>
          <w:kern w:val="0"/>
          <w:sz w:val="24"/>
          <w:szCs w:val="24"/>
          <w:highlight w:val="none"/>
          <w:lang w:val="en-US" w:eastAsia="zh-CN"/>
        </w:rPr>
        <w:t>，评标报告应当载明每个中标候选人的特点、优势、缺点、风险等评审情况和推荐理由，并对技术、质量、安全、工期的控制能力等提供技术咨询建议。</w:t>
      </w:r>
    </w:p>
    <w:p w14:paraId="13ACB95B">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p>
    <w:p w14:paraId="39C2CA8A">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p>
    <w:p w14:paraId="087427A5">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p>
    <w:p w14:paraId="37CCCF2D">
      <w:pPr>
        <w:wordWrap w:val="0"/>
        <w:autoSpaceDE w:val="0"/>
        <w:autoSpaceDN w:val="0"/>
        <w:adjustRightInd w:val="0"/>
        <w:spacing w:line="400" w:lineRule="exact"/>
        <w:ind w:right="-34" w:rightChars="-16"/>
        <w:jc w:val="center"/>
        <w:outlineLvl w:val="0"/>
        <w:rPr>
          <w:rFonts w:hint="eastAsia" w:ascii="宋体" w:hAnsi="宋体" w:cs="宋体"/>
          <w:b/>
          <w:color w:val="auto"/>
          <w:kern w:val="0"/>
          <w:sz w:val="36"/>
          <w:highlight w:val="none"/>
        </w:rPr>
      </w:pPr>
      <w:bookmarkStart w:id="387" w:name="_Toc323"/>
      <w:r>
        <w:rPr>
          <w:rFonts w:hint="eastAsia" w:ascii="宋体" w:hAnsi="宋体" w:cs="宋体"/>
          <w:b/>
          <w:color w:val="auto"/>
          <w:kern w:val="0"/>
          <w:sz w:val="36"/>
          <w:highlight w:val="none"/>
        </w:rPr>
        <w:t>第四章 定标办法（核查随机法）</w:t>
      </w:r>
      <w:bookmarkEnd w:id="387"/>
    </w:p>
    <w:p w14:paraId="28FA2DA9">
      <w:pPr>
        <w:wordWrap w:val="0"/>
        <w:spacing w:before="156" w:beforeLines="50" w:after="156" w:afterLines="50" w:line="420" w:lineRule="exact"/>
        <w:outlineLvl w:val="1"/>
        <w:rPr>
          <w:rFonts w:hint="eastAsia" w:ascii="宋体" w:hAnsi="宋体" w:cs="宋体"/>
          <w:b/>
          <w:bCs/>
          <w:color w:val="auto"/>
          <w:sz w:val="24"/>
          <w:szCs w:val="32"/>
          <w:highlight w:val="none"/>
        </w:rPr>
      </w:pPr>
      <w:bookmarkStart w:id="388" w:name="_Toc4448"/>
      <w:bookmarkStart w:id="389" w:name="_Toc12050"/>
      <w:r>
        <w:rPr>
          <w:rFonts w:hint="eastAsia" w:ascii="宋体" w:hAnsi="宋体" w:cs="宋体"/>
          <w:b/>
          <w:bCs/>
          <w:color w:val="auto"/>
          <w:sz w:val="24"/>
          <w:szCs w:val="32"/>
          <w:highlight w:val="none"/>
        </w:rPr>
        <w:t>一、定标依据</w:t>
      </w:r>
      <w:bookmarkEnd w:id="388"/>
      <w:bookmarkEnd w:id="389"/>
    </w:p>
    <w:p w14:paraId="6297BB41">
      <w:pPr>
        <w:wordWrap w:val="0"/>
        <w:autoSpaceDE w:val="0"/>
        <w:autoSpaceDN w:val="0"/>
        <w:adjustRightInd w:val="0"/>
        <w:spacing w:line="420" w:lineRule="exact"/>
        <w:ind w:firstLine="420" w:firstLineChars="200"/>
        <w:rPr>
          <w:rFonts w:hint="eastAsia" w:ascii="宋体" w:hAnsi="宋体" w:cs="宋体"/>
          <w:color w:val="auto"/>
          <w:szCs w:val="21"/>
          <w:highlight w:val="none"/>
        </w:rPr>
      </w:pPr>
      <w:bookmarkStart w:id="390" w:name="OLE_LINK41"/>
      <w:r>
        <w:rPr>
          <w:rFonts w:hint="eastAsia" w:ascii="宋体" w:hAnsi="宋体" w:cs="宋体"/>
          <w:color w:val="auto"/>
          <w:szCs w:val="21"/>
          <w:highlight w:val="none"/>
        </w:rPr>
        <w:t>本次定标办法的制定依据下列文件进行：</w:t>
      </w:r>
    </w:p>
    <w:p w14:paraId="63F1FB9B">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1、《中华人民共和国招标投标法》；</w:t>
      </w:r>
    </w:p>
    <w:p w14:paraId="59900683">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2、《国务院办公厅关于创新完善体制机制推动招标投标市场规范健康发展的意见》(国办发(2024) 21号)</w:t>
      </w:r>
    </w:p>
    <w:p w14:paraId="39FC9EF9">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3、《关于持续推进建筑业发展的十二条意见》(建市(2021)23号)；</w:t>
      </w:r>
    </w:p>
    <w:p w14:paraId="0AE5D5BE">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4、驻马店市发展和改革委员会关于贯彻落实《河南省发展和改革委员会关于印发&lt;河南省政府投资工程建设项目招标投标“评定分离”管理办法(试行)&gt;的通知》的通知；</w:t>
      </w:r>
    </w:p>
    <w:p w14:paraId="30D776B8">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5、本项目招标文件；</w:t>
      </w:r>
    </w:p>
    <w:p w14:paraId="3BF9F97E">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6、评标委员会推荐的中标候选人名单；</w:t>
      </w:r>
    </w:p>
    <w:p w14:paraId="15E3EE4A">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7、招标投标全过程资料；</w:t>
      </w:r>
    </w:p>
    <w:p w14:paraId="6D54F9CA">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8、其他有关法律法规和相关制度。</w:t>
      </w:r>
    </w:p>
    <w:bookmarkEnd w:id="390"/>
    <w:p w14:paraId="4B74CE9A">
      <w:pPr>
        <w:wordWrap w:val="0"/>
        <w:spacing w:before="156" w:beforeLines="50" w:after="156" w:afterLines="50" w:line="420" w:lineRule="exact"/>
        <w:outlineLvl w:val="1"/>
        <w:rPr>
          <w:rFonts w:hint="eastAsia" w:ascii="宋体" w:hAnsi="宋体" w:cs="宋体"/>
          <w:b/>
          <w:bCs/>
          <w:color w:val="auto"/>
          <w:sz w:val="24"/>
          <w:szCs w:val="32"/>
          <w:highlight w:val="none"/>
        </w:rPr>
      </w:pPr>
      <w:bookmarkStart w:id="391" w:name="_Toc22184"/>
      <w:bookmarkStart w:id="392" w:name="_Toc28603"/>
      <w:r>
        <w:rPr>
          <w:rFonts w:hint="eastAsia" w:ascii="宋体" w:hAnsi="宋体" w:cs="宋体"/>
          <w:b/>
          <w:bCs/>
          <w:color w:val="auto"/>
          <w:sz w:val="24"/>
          <w:szCs w:val="32"/>
          <w:highlight w:val="none"/>
        </w:rPr>
        <w:t>二、定标原则</w:t>
      </w:r>
      <w:bookmarkEnd w:id="391"/>
      <w:bookmarkEnd w:id="392"/>
    </w:p>
    <w:p w14:paraId="4D1F3165">
      <w:pPr>
        <w:wordWrap w:val="0"/>
        <w:autoSpaceDE w:val="0"/>
        <w:autoSpaceDN w:val="0"/>
        <w:adjustRightInd w:val="0"/>
        <w:spacing w:line="420" w:lineRule="exact"/>
        <w:ind w:firstLine="420" w:firstLineChars="200"/>
        <w:rPr>
          <w:rFonts w:hint="eastAsia" w:ascii="宋体" w:hAnsi="宋体" w:cs="宋体"/>
          <w:color w:val="auto"/>
          <w:szCs w:val="21"/>
          <w:highlight w:val="none"/>
        </w:rPr>
      </w:pPr>
      <w:bookmarkStart w:id="393" w:name="OLE_LINK42"/>
      <w:r>
        <w:rPr>
          <w:rFonts w:hint="eastAsia" w:ascii="宋体" w:hAnsi="宋体" w:cs="宋体"/>
          <w:color w:val="auto"/>
          <w:szCs w:val="21"/>
          <w:highlight w:val="none"/>
        </w:rPr>
        <w:t>遵循公开透明、竞争择优、科学规范、廉洁高效的原则。</w:t>
      </w:r>
      <w:bookmarkEnd w:id="393"/>
      <w:bookmarkStart w:id="394" w:name="_Toc31048"/>
    </w:p>
    <w:p w14:paraId="4D74D8C7">
      <w:pPr>
        <w:wordWrap w:val="0"/>
        <w:spacing w:before="156" w:beforeLines="50" w:after="156" w:afterLines="50" w:line="420" w:lineRule="exact"/>
        <w:outlineLvl w:val="1"/>
        <w:rPr>
          <w:rFonts w:hint="default" w:ascii="宋体" w:hAnsi="宋体" w:eastAsia="宋体" w:cs="宋体"/>
          <w:b/>
          <w:bCs/>
          <w:color w:val="auto"/>
          <w:sz w:val="24"/>
          <w:szCs w:val="32"/>
          <w:highlight w:val="none"/>
          <w:lang w:val="en-US" w:eastAsia="zh-CN"/>
        </w:rPr>
      </w:pPr>
      <w:bookmarkStart w:id="395" w:name="_Toc16772"/>
      <w:r>
        <w:rPr>
          <w:rFonts w:hint="eastAsia" w:ascii="宋体" w:hAnsi="宋体" w:cs="宋体"/>
          <w:b/>
          <w:bCs/>
          <w:color w:val="auto"/>
          <w:sz w:val="24"/>
          <w:szCs w:val="32"/>
          <w:highlight w:val="none"/>
        </w:rPr>
        <w:t>三、定标方法</w:t>
      </w:r>
      <w:bookmarkEnd w:id="394"/>
      <w:bookmarkEnd w:id="395"/>
      <w:r>
        <w:rPr>
          <w:rFonts w:hint="eastAsia" w:ascii="宋体" w:hAnsi="宋体" w:cs="宋体"/>
          <w:b/>
          <w:bCs/>
          <w:color w:val="auto"/>
          <w:sz w:val="24"/>
          <w:szCs w:val="32"/>
          <w:highlight w:val="none"/>
          <w:lang w:val="en-US" w:eastAsia="zh-CN"/>
        </w:rPr>
        <w:t>及因素</w:t>
      </w:r>
    </w:p>
    <w:p w14:paraId="043CB064">
      <w:pPr>
        <w:wordWrap w:val="0"/>
        <w:autoSpaceDE w:val="0"/>
        <w:autoSpaceDN w:val="0"/>
        <w:adjustRightInd w:val="0"/>
        <w:spacing w:line="420" w:lineRule="exact"/>
        <w:ind w:firstLine="420" w:firstLineChars="200"/>
        <w:rPr>
          <w:rFonts w:hint="eastAsia" w:ascii="宋体" w:hAnsi="宋体" w:cs="宋体"/>
          <w:color w:val="auto"/>
          <w:szCs w:val="21"/>
          <w:highlight w:val="none"/>
        </w:rPr>
      </w:pPr>
      <w:bookmarkStart w:id="396" w:name="OLE_LINK43"/>
      <w:r>
        <w:rPr>
          <w:rFonts w:hint="eastAsia" w:ascii="宋体" w:hAnsi="宋体" w:cs="宋体"/>
          <w:color w:val="auto"/>
          <w:szCs w:val="21"/>
          <w:highlight w:val="none"/>
        </w:rPr>
        <w:t>本项目定标方法采用核查随机法确定中标人。</w:t>
      </w:r>
    </w:p>
    <w:p w14:paraId="6ED31735">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eq \o\ac(□,</w:instrText>
      </w:r>
      <w:r>
        <w:rPr>
          <w:rFonts w:hint="eastAsia" w:ascii="宋体" w:hAnsi="宋体" w:cs="宋体"/>
          <w:color w:val="auto"/>
          <w:position w:val="2"/>
          <w:sz w:val="13"/>
          <w:szCs w:val="21"/>
          <w:highlight w:val="none"/>
        </w:rPr>
        <w:instrText xml:space="preserve">√</w:instrText>
      </w:r>
      <w:r>
        <w:rPr>
          <w:rFonts w:hint="eastAsia" w:ascii="宋体" w:hAnsi="宋体" w:cs="宋体"/>
          <w:color w:val="auto"/>
          <w:szCs w:val="21"/>
          <w:highlight w:val="none"/>
        </w:rPr>
        <w:instrText xml:space="preserve">)</w:instrText>
      </w:r>
      <w:r>
        <w:rPr>
          <w:rFonts w:hint="eastAsia" w:ascii="宋体" w:hAnsi="宋体" w:cs="宋体"/>
          <w:color w:val="auto"/>
          <w:szCs w:val="21"/>
          <w:highlight w:val="none"/>
        </w:rPr>
        <w:fldChar w:fldCharType="end"/>
      </w:r>
      <w:r>
        <w:rPr>
          <w:rFonts w:hint="eastAsia" w:ascii="宋体" w:hAnsi="宋体" w:cs="宋体"/>
          <w:color w:val="auto"/>
          <w:szCs w:val="21"/>
          <w:highlight w:val="none"/>
        </w:rPr>
        <w:t>核查随机法:定标委员会在通过核查的中标候选人中按照随机选取方式确定中标人。</w:t>
      </w:r>
    </w:p>
    <w:p w14:paraId="24001C9E">
      <w:pPr>
        <w:wordWrap w:val="0"/>
        <w:autoSpaceDE w:val="0"/>
        <w:autoSpaceDN w:val="0"/>
        <w:adjustRightInd w:val="0"/>
        <w:spacing w:line="42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定标因素：</w:t>
      </w:r>
      <w:r>
        <w:rPr>
          <w:rFonts w:hint="eastAsia" w:ascii="宋体" w:hAnsi="宋体" w:cs="宋体"/>
          <w:color w:val="auto"/>
          <w:szCs w:val="21"/>
          <w:highlight w:val="none"/>
          <w:lang w:val="en-US" w:eastAsia="zh-CN"/>
        </w:rPr>
        <w:t>本项目</w:t>
      </w:r>
      <w:r>
        <w:rPr>
          <w:rFonts w:hint="eastAsia" w:ascii="宋体" w:hAnsi="宋体" w:cs="宋体"/>
          <w:color w:val="auto"/>
          <w:szCs w:val="21"/>
          <w:highlight w:val="none"/>
          <w:lang w:eastAsia="zh-CN"/>
        </w:rPr>
        <w:t>采用</w:t>
      </w:r>
      <w:r>
        <w:rPr>
          <w:rFonts w:hint="eastAsia" w:ascii="宋体" w:hAnsi="宋体" w:cs="宋体"/>
          <w:color w:val="auto"/>
          <w:szCs w:val="21"/>
          <w:highlight w:val="none"/>
          <w:lang w:val="en-US" w:eastAsia="zh-CN"/>
        </w:rPr>
        <w:t>双信封合理低价</w:t>
      </w:r>
    </w:p>
    <w:bookmarkEnd w:id="396"/>
    <w:p w14:paraId="24C6C700">
      <w:pPr>
        <w:wordWrap w:val="0"/>
        <w:spacing w:before="156" w:beforeLines="50" w:after="156" w:afterLines="50" w:line="420" w:lineRule="exact"/>
        <w:outlineLvl w:val="1"/>
        <w:rPr>
          <w:rFonts w:hint="eastAsia" w:ascii="宋体" w:hAnsi="宋体" w:cs="宋体"/>
          <w:b/>
          <w:bCs/>
          <w:color w:val="auto"/>
          <w:sz w:val="24"/>
          <w:szCs w:val="32"/>
          <w:highlight w:val="none"/>
        </w:rPr>
      </w:pPr>
      <w:bookmarkStart w:id="397" w:name="_Toc18476"/>
      <w:bookmarkStart w:id="398" w:name="_Toc31431"/>
      <w:r>
        <w:rPr>
          <w:rFonts w:hint="eastAsia" w:ascii="宋体" w:hAnsi="宋体" w:cs="宋体"/>
          <w:b/>
          <w:bCs/>
          <w:color w:val="auto"/>
          <w:sz w:val="24"/>
          <w:szCs w:val="32"/>
          <w:highlight w:val="none"/>
        </w:rPr>
        <w:t>四、定标委员会的组建</w:t>
      </w:r>
      <w:bookmarkEnd w:id="397"/>
      <w:bookmarkEnd w:id="398"/>
    </w:p>
    <w:p w14:paraId="19C5E035">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定标委员会成员数量为5人及以上单数，招标人单位成员不得低于成员总数的三分之二。定标委员会组长由招标人确定，原则上由招标人的法定代表人、主要负责人或分管负责人担任，其他成员可由招标人自行选定定标委员会成员与中标候选人有利害关系的，应当主动申请回避。定标委员会名单在中标结果确定前应当保密。</w:t>
      </w:r>
    </w:p>
    <w:p w14:paraId="330E6FAA">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定标委员会成员应当对定标过程保密，对所提出的定标意见承担个人责任，不得私下与投标人或者其他利害关系人接触。</w:t>
      </w:r>
    </w:p>
    <w:p w14:paraId="36B60116">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有下列情况之一的，不得担任定标委员会成员：</w:t>
      </w:r>
    </w:p>
    <w:p w14:paraId="192E87B9">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1.与中标候选人或中标候选人主要负责人有近亲属关系或有经济利益关系的，可能影响定标公正的；</w:t>
      </w:r>
    </w:p>
    <w:p w14:paraId="421D4963">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2.曾因在招标投标有关活动中从事违法行为而受过行政处罚或刑事处罚的；</w:t>
      </w:r>
    </w:p>
    <w:p w14:paraId="595EF649">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3.中标候选人的在职人员或招标项目代理机构的在职人员。</w:t>
      </w:r>
    </w:p>
    <w:p w14:paraId="33641751">
      <w:pPr>
        <w:wordWrap w:val="0"/>
        <w:spacing w:before="156" w:beforeLines="50" w:after="156" w:afterLines="50" w:line="420" w:lineRule="exact"/>
        <w:outlineLvl w:val="1"/>
        <w:rPr>
          <w:rFonts w:hint="eastAsia" w:ascii="宋体" w:hAnsi="宋体" w:cs="宋体"/>
          <w:b/>
          <w:bCs/>
          <w:color w:val="auto"/>
          <w:sz w:val="24"/>
          <w:szCs w:val="32"/>
          <w:highlight w:val="none"/>
        </w:rPr>
      </w:pPr>
      <w:bookmarkStart w:id="399" w:name="_Toc28259"/>
      <w:bookmarkStart w:id="400" w:name="_Toc9111"/>
      <w:r>
        <w:rPr>
          <w:rFonts w:hint="eastAsia" w:ascii="宋体" w:hAnsi="宋体" w:cs="宋体"/>
          <w:b/>
          <w:bCs/>
          <w:color w:val="auto"/>
          <w:sz w:val="24"/>
          <w:szCs w:val="32"/>
          <w:highlight w:val="none"/>
        </w:rPr>
        <w:t>五、定标核查</w:t>
      </w:r>
      <w:bookmarkEnd w:id="399"/>
      <w:bookmarkEnd w:id="400"/>
    </w:p>
    <w:p w14:paraId="2602CA75">
      <w:pPr>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5.1定标委员会将对中标候选人进行定标核查。</w:t>
      </w:r>
    </w:p>
    <w:p w14:paraId="353291F0">
      <w:pPr>
        <w:spacing w:line="42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核查内容包括：</w:t>
      </w:r>
    </w:p>
    <w:p w14:paraId="3035EF21">
      <w:pPr>
        <w:numPr>
          <w:ilvl w:val="0"/>
          <w:numId w:val="7"/>
        </w:numPr>
        <w:spacing w:line="420" w:lineRule="exact"/>
        <w:ind w:firstLine="420" w:firstLineChars="200"/>
        <w:rPr>
          <w:rFonts w:ascii="宋体" w:hAnsi="宋体" w:cs="宋体"/>
          <w:color w:val="auto"/>
          <w:kern w:val="0"/>
          <w:szCs w:val="21"/>
          <w:highlight w:val="none"/>
        </w:rPr>
      </w:pPr>
      <w:r>
        <w:rPr>
          <w:rFonts w:hint="eastAsia" w:ascii="宋体" w:hAnsi="宋体" w:cs="宋体"/>
          <w:color w:val="auto"/>
          <w:szCs w:val="21"/>
          <w:highlight w:val="none"/>
        </w:rPr>
        <w:t xml:space="preserve">企业信用信息：①投标人通过“信用中国”网站（https://www.creditchina.gov.cn/）“失信被执行人”-跳转至“中国执行信息公开网”网站（https://zxgk.court.gov.cn/shixin/）查询企业、法定代表人、拟派项目经理，并提供查询结果证明材料，有失信记录的将被取消投标资格（投标人须提供网站查询打印页，打印页需包括查询日期，查询日期为公告发布之后至投标截止时间前）。 </w:t>
      </w:r>
      <w:r>
        <w:rPr>
          <w:rFonts w:ascii="宋体" w:hAnsi="宋体" w:cs="宋体"/>
          <w:color w:val="auto"/>
          <w:szCs w:val="21"/>
          <w:highlight w:val="none"/>
        </w:rPr>
        <w:t>②</w:t>
      </w:r>
      <w:r>
        <w:rPr>
          <w:rFonts w:hint="eastAsia" w:ascii="宋体" w:hAnsi="宋体" w:cs="宋体"/>
          <w:color w:val="auto"/>
          <w:szCs w:val="21"/>
          <w:highlight w:val="none"/>
        </w:rPr>
        <w:t>投标人未被列入政府采购严重违法失信行为记录名单，须提供企业在“中国政府采购网站（www.ccgp.gov.cn）的“政府采购严重违法失信行为名单”查询结果页面截图；（查询日期为公告发布之后至投标截止时间前）</w:t>
      </w:r>
      <w:r>
        <w:rPr>
          <w:rFonts w:ascii="宋体" w:hAnsi="宋体" w:cs="宋体"/>
          <w:color w:val="auto"/>
          <w:szCs w:val="21"/>
          <w:highlight w:val="none"/>
        </w:rPr>
        <w:t>③</w:t>
      </w:r>
      <w:r>
        <w:rPr>
          <w:rFonts w:hint="eastAsia" w:ascii="宋体" w:hAnsi="宋体" w:cs="宋体"/>
          <w:color w:val="auto"/>
          <w:szCs w:val="21"/>
          <w:highlight w:val="none"/>
        </w:rPr>
        <w:t>单位负责人</w:t>
      </w:r>
      <w:r>
        <w:rPr>
          <w:rFonts w:hint="eastAsia" w:ascii="宋体" w:hAnsi="宋体" w:cs="宋体"/>
          <w:color w:val="auto"/>
          <w:kern w:val="0"/>
          <w:szCs w:val="21"/>
          <w:highlight w:val="none"/>
        </w:rPr>
        <w:t>为同一人或者存在控股、管理关系的不同单位，不得同时参加本项目投标</w:t>
      </w:r>
      <w:r>
        <w:rPr>
          <w:rFonts w:hint="eastAsia" w:ascii="宋体" w:hAnsi="宋体" w:cs="宋体"/>
          <w:color w:val="auto"/>
          <w:szCs w:val="21"/>
          <w:highlight w:val="none"/>
        </w:rPr>
        <w:t>（提供加盖投标人公章的“国家企业信用信息公示系统”中公示的公司信息、股东或投资人相关信息）。</w:t>
      </w:r>
    </w:p>
    <w:p w14:paraId="3CE1B555">
      <w:pPr>
        <w:numPr>
          <w:ilvl w:val="0"/>
          <w:numId w:val="7"/>
        </w:numPr>
        <w:spacing w:line="42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营业执照、资质证书</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安全生产许可证</w:t>
      </w:r>
      <w:r>
        <w:rPr>
          <w:rFonts w:hint="eastAsia" w:ascii="宋体" w:hAnsi="宋体" w:cs="宋体"/>
          <w:color w:val="auto"/>
          <w:szCs w:val="21"/>
          <w:highlight w:val="none"/>
        </w:rPr>
        <w:t xml:space="preserve">； </w:t>
      </w:r>
    </w:p>
    <w:p w14:paraId="78169B5E">
      <w:pPr>
        <w:wordWrap w:val="0"/>
        <w:spacing w:line="45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（3）项目</w:t>
      </w:r>
      <w:r>
        <w:rPr>
          <w:rFonts w:hint="eastAsia" w:ascii="宋体" w:hAnsi="宋体" w:cs="宋体"/>
          <w:color w:val="auto"/>
          <w:szCs w:val="21"/>
          <w:highlight w:val="none"/>
          <w:lang w:val="en-US" w:eastAsia="zh-CN"/>
        </w:rPr>
        <w:t>经理注册证书及安全生产考核合格证，</w:t>
      </w:r>
      <w:r>
        <w:rPr>
          <w:rFonts w:hint="eastAsia" w:ascii="宋体" w:hAnsi="宋体" w:eastAsia="宋体" w:cs="宋体"/>
          <w:color w:val="auto"/>
          <w:kern w:val="2"/>
          <w:sz w:val="21"/>
          <w:szCs w:val="21"/>
          <w:highlight w:val="none"/>
          <w:lang w:val="en-US" w:eastAsia="zh-CN" w:bidi="ar-SA"/>
        </w:rPr>
        <w:t>项目总工职称证</w:t>
      </w:r>
      <w:r>
        <w:rPr>
          <w:rFonts w:hint="eastAsia" w:ascii="宋体" w:hAnsi="宋体" w:cs="宋体"/>
          <w:color w:val="auto"/>
          <w:kern w:val="2"/>
          <w:sz w:val="21"/>
          <w:szCs w:val="21"/>
          <w:highlight w:val="none"/>
          <w:lang w:val="en-US" w:eastAsia="zh-CN" w:bidi="ar-SA"/>
        </w:rPr>
        <w:t>、项目组其他人员相关从业资格证书等；</w:t>
      </w:r>
    </w:p>
    <w:p w14:paraId="4F2BD252">
      <w:pPr>
        <w:spacing w:line="42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（4）社保证明：项目负责人、</w:t>
      </w:r>
      <w:r>
        <w:rPr>
          <w:rFonts w:hint="eastAsia" w:ascii="宋体" w:hAnsi="宋体" w:cs="宋体"/>
          <w:color w:val="auto"/>
          <w:kern w:val="2"/>
          <w:sz w:val="21"/>
          <w:szCs w:val="21"/>
          <w:highlight w:val="none"/>
          <w:lang w:val="en-US" w:eastAsia="zh-CN" w:bidi="ar-SA"/>
        </w:rPr>
        <w:t>项目组其他人员</w:t>
      </w:r>
      <w:r>
        <w:rPr>
          <w:rFonts w:hint="eastAsia" w:ascii="宋体" w:hAnsi="宋体" w:cs="宋体"/>
          <w:color w:val="auto"/>
          <w:szCs w:val="21"/>
          <w:highlight w:val="none"/>
        </w:rPr>
        <w:t xml:space="preserve">、委托代理人需提供劳动合同及本年度连续三个月社保证明；  </w:t>
      </w:r>
    </w:p>
    <w:p w14:paraId="001FE84D">
      <w:pPr>
        <w:spacing w:line="42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（5）企业实力：主要包括企业规模、资质等级、拟派团队人员的实力、财务状况、企业业绩及履约情况等；</w:t>
      </w:r>
    </w:p>
    <w:p w14:paraId="09B0EC0F">
      <w:pPr>
        <w:spacing w:line="420" w:lineRule="exact"/>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（6）</w:t>
      </w:r>
      <w:r>
        <w:rPr>
          <w:rFonts w:hint="eastAsia" w:ascii="宋体" w:hAnsi="宋体" w:cs="宋体"/>
          <w:color w:val="auto"/>
          <w:szCs w:val="21"/>
          <w:highlight w:val="none"/>
          <w:lang w:val="en-US" w:eastAsia="zh-CN"/>
        </w:rPr>
        <w:t>技术方案：总体施工组织布置及规划，重点、关键和难点工程的施工方案，工期保证措施，关键工程质量保证措施，安全保证措施，环境保护、水土保持、文明施工、文物保护保证措施，项目风险预测与防范，事故应急预案，其他应说明的事项</w:t>
      </w:r>
      <w:r>
        <w:rPr>
          <w:rFonts w:hint="eastAsia" w:ascii="宋体" w:hAnsi="宋体" w:cs="宋体"/>
          <w:color w:val="auto"/>
          <w:szCs w:val="21"/>
          <w:highlight w:val="none"/>
          <w:lang w:eastAsia="zh-CN"/>
        </w:rPr>
        <w:t>；</w:t>
      </w:r>
    </w:p>
    <w:p w14:paraId="03F01504">
      <w:pPr>
        <w:spacing w:line="420" w:lineRule="exact"/>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lang w:eastAsia="zh-CN"/>
        </w:rPr>
        <w:t xml:space="preserve">）招标人认为需要核查及核评的其他内容。 </w:t>
      </w:r>
    </w:p>
    <w:p w14:paraId="560F30D8">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5.2 定标委员会应当首先对中标候选人进行核查，形成核查报告，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w:t>
      </w:r>
      <w:r>
        <w:rPr>
          <w:rFonts w:hint="eastAsia" w:ascii="宋体" w:hAnsi="宋体" w:cs="宋体"/>
          <w:color w:val="auto"/>
          <w:szCs w:val="21"/>
          <w:highlight w:val="none"/>
          <w:lang w:val="en-US" w:eastAsia="zh-CN"/>
        </w:rPr>
        <w:t>本项目不采取考察或质询方式进行核查。</w:t>
      </w:r>
    </w:p>
    <w:p w14:paraId="6FB5FB43">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5.3 核查内容不得设置不合理限制和隐性壁垒。招标文件中没有规定的核查标准和方法不得作为定标核查的依据，不得在定标过程中新增定标条件和要求。</w:t>
      </w:r>
    </w:p>
    <w:p w14:paraId="064E8ED4">
      <w:pPr>
        <w:wordWrap w:val="0"/>
        <w:autoSpaceDE w:val="0"/>
        <w:autoSpaceDN w:val="0"/>
        <w:adjustRightInd w:val="0"/>
        <w:spacing w:line="420" w:lineRule="exact"/>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rPr>
        <w:t>5.4 定标委员会经核查发现中标候选人确有弄虚作假、串通投标等情形的，应当否决相应中标候选人的中标资格，并及时向行政监督部门报告</w:t>
      </w:r>
      <w:r>
        <w:rPr>
          <w:rFonts w:hint="eastAsia" w:ascii="宋体" w:hAnsi="宋体" w:cs="宋体"/>
          <w:color w:val="auto"/>
          <w:szCs w:val="21"/>
          <w:highlight w:val="none"/>
          <w:lang w:eastAsia="zh-CN"/>
        </w:rPr>
        <w:t>，并依规否决相应中标候选人资格，同时向该候选人书面说明。</w:t>
      </w:r>
    </w:p>
    <w:p w14:paraId="6FD1F356">
      <w:pPr>
        <w:wordWrap w:val="0"/>
        <w:autoSpaceDE w:val="0"/>
        <w:autoSpaceDN w:val="0"/>
        <w:adjustRightInd w:val="0"/>
        <w:spacing w:line="42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5.5</w:t>
      </w:r>
      <w:r>
        <w:rPr>
          <w:rFonts w:hint="eastAsia" w:ascii="宋体" w:hAnsi="宋体" w:eastAsia="宋体" w:cs="宋体"/>
          <w:color w:val="auto"/>
          <w:szCs w:val="21"/>
          <w:highlight w:val="none"/>
        </w:rPr>
        <w:t>经核查核评后合格的中标候选人即可按照核查随机法进入随机抽取程序，如经核查核评合格的中标候选人数量≥</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家 （含</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 xml:space="preserve"> 家）时，招标人应继续进入随机抽取程序；如经核查核评合格的中标候选人数量＜</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家（不含</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 xml:space="preserve"> 家）时，招标人应重新招标。</w:t>
      </w:r>
    </w:p>
    <w:p w14:paraId="4CC60D38">
      <w:pPr>
        <w:wordWrap w:val="0"/>
        <w:spacing w:before="156" w:beforeLines="50" w:after="156" w:afterLines="50" w:line="420" w:lineRule="exact"/>
        <w:outlineLvl w:val="1"/>
        <w:rPr>
          <w:rFonts w:hint="eastAsia" w:ascii="宋体" w:hAnsi="宋体" w:cs="宋体"/>
          <w:b/>
          <w:bCs/>
          <w:color w:val="auto"/>
          <w:sz w:val="24"/>
          <w:szCs w:val="32"/>
          <w:highlight w:val="none"/>
        </w:rPr>
      </w:pPr>
      <w:bookmarkStart w:id="401" w:name="_Toc23939"/>
      <w:bookmarkStart w:id="402" w:name="_Toc18959"/>
      <w:bookmarkStart w:id="403" w:name="_Toc11203"/>
      <w:r>
        <w:rPr>
          <w:rFonts w:hint="eastAsia" w:ascii="宋体" w:hAnsi="宋体" w:cs="宋体"/>
          <w:b/>
          <w:bCs/>
          <w:color w:val="auto"/>
          <w:sz w:val="24"/>
          <w:szCs w:val="32"/>
          <w:highlight w:val="none"/>
        </w:rPr>
        <w:t>六、定标程序</w:t>
      </w:r>
      <w:bookmarkEnd w:id="401"/>
      <w:bookmarkEnd w:id="402"/>
      <w:bookmarkEnd w:id="403"/>
    </w:p>
    <w:p w14:paraId="2ECFFCA5">
      <w:pPr>
        <w:pStyle w:val="43"/>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 xml:space="preserve">定标委员会将通过核查随机法进行定标。 </w:t>
      </w:r>
    </w:p>
    <w:p w14:paraId="04AC4F39">
      <w:pPr>
        <w:pStyle w:val="43"/>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定标地点为</w:t>
      </w:r>
      <w:r>
        <w:rPr>
          <w:rFonts w:hint="eastAsia" w:hAnsi="宋体" w:cs="宋体"/>
          <w:color w:val="auto"/>
          <w:sz w:val="21"/>
          <w:szCs w:val="21"/>
          <w:highlight w:val="none"/>
          <w:lang w:val="en-US" w:eastAsia="zh-CN"/>
        </w:rPr>
        <w:t>汝南县</w:t>
      </w:r>
      <w:r>
        <w:rPr>
          <w:rFonts w:hint="eastAsia" w:hAnsi="宋体" w:cs="宋体"/>
          <w:color w:val="auto"/>
          <w:sz w:val="21"/>
          <w:szCs w:val="21"/>
          <w:highlight w:val="none"/>
        </w:rPr>
        <w:t>公共资源交易中心，定标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6FC02E9E">
      <w:pPr>
        <w:pStyle w:val="43"/>
        <w:wordWrap w:val="0"/>
        <w:spacing w:line="420" w:lineRule="exact"/>
        <w:ind w:firstLine="420" w:firstLineChars="200"/>
        <w:rPr>
          <w:rFonts w:hint="eastAsia" w:hAnsi="宋体" w:eastAsia="宋体" w:cs="宋体"/>
          <w:color w:val="auto"/>
          <w:sz w:val="21"/>
          <w:szCs w:val="21"/>
          <w:highlight w:val="none"/>
          <w:lang w:eastAsia="zh-CN"/>
        </w:rPr>
      </w:pPr>
      <w:r>
        <w:rPr>
          <w:rFonts w:hint="eastAsia" w:hAnsi="宋体" w:cs="宋体"/>
          <w:color w:val="auto"/>
          <w:sz w:val="21"/>
          <w:szCs w:val="21"/>
          <w:highlight w:val="none"/>
        </w:rPr>
        <w:t>1、在定标现场放置标注为“1”、“2”的2组自然数代码球</w:t>
      </w:r>
      <w:r>
        <w:rPr>
          <w:rFonts w:hint="eastAsia" w:hAnsi="宋体" w:cs="宋体"/>
          <w:color w:val="auto"/>
          <w:sz w:val="21"/>
          <w:szCs w:val="21"/>
          <w:highlight w:val="none"/>
          <w:lang w:eastAsia="zh-CN"/>
        </w:rPr>
        <w:t>。</w:t>
      </w:r>
    </w:p>
    <w:p w14:paraId="14F03E6A">
      <w:pPr>
        <w:pStyle w:val="43"/>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2、第一轮随机确定选用的代码球组号：在抽取箱内放入2个标注为“1”、“2”的代码球，</w:t>
      </w:r>
      <w:r>
        <w:rPr>
          <w:rFonts w:hint="eastAsia" w:hAnsi="宋体" w:cs="宋体"/>
          <w:color w:val="auto"/>
          <w:sz w:val="21"/>
          <w:szCs w:val="21"/>
          <w:highlight w:val="none"/>
          <w:lang w:val="en-US" w:eastAsia="zh-CN"/>
        </w:rPr>
        <w:t>由定标委员会成员</w:t>
      </w:r>
      <w:r>
        <w:rPr>
          <w:rFonts w:hint="eastAsia" w:hAnsi="宋体" w:cs="宋体"/>
          <w:color w:val="auto"/>
          <w:sz w:val="21"/>
          <w:szCs w:val="21"/>
          <w:highlight w:val="none"/>
        </w:rPr>
        <w:t>从中随机选取1个代码球，选取代码球数字即为本次定标选用的代码球组号。</w:t>
      </w:r>
    </w:p>
    <w:p w14:paraId="6F0928E9">
      <w:pPr>
        <w:pStyle w:val="43"/>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3、第二轮随机确定抽取顺序：在抽取箱放入标有从1到N自然数的乒乓球（N为经评审合格的中标候选人数），由中标候选人抽取代码球，代码球上的数字对应为相应中标候选人。</w:t>
      </w:r>
    </w:p>
    <w:p w14:paraId="3A6C1BAA">
      <w:pPr>
        <w:pStyle w:val="43"/>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4、第三轮随机选取中标人：在抽取箱内放入N 个代码球，定标委员会组长从中随机抽取1个代码球，抽中代码球对应的中标候选人即为中标人。</w:t>
      </w:r>
    </w:p>
    <w:p w14:paraId="64DDF78C">
      <w:pPr>
        <w:pStyle w:val="43"/>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5、招标人授权的定标委员会代表将中标候选人对应的代码球和抽取结果进行记录，并由招标人授权的定标委员会和监督部门、公证部门（如邀请）进行签字确认。</w:t>
      </w:r>
    </w:p>
    <w:p w14:paraId="30CBAD4E">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7456E508">
      <w:pPr>
        <w:wordWrap w:val="0"/>
        <w:autoSpaceDE w:val="0"/>
        <w:autoSpaceDN w:val="0"/>
        <w:adjustRightInd w:val="0"/>
        <w:spacing w:line="420" w:lineRule="exact"/>
        <w:outlineLvl w:val="1"/>
        <w:rPr>
          <w:rFonts w:hint="eastAsia" w:ascii="宋体" w:hAnsi="宋体" w:eastAsia="宋体" w:cs="宋体"/>
          <w:b/>
          <w:bCs/>
          <w:color w:val="auto"/>
          <w:sz w:val="24"/>
          <w:szCs w:val="24"/>
          <w:highlight w:val="none"/>
        </w:rPr>
      </w:pPr>
      <w:bookmarkStart w:id="404" w:name="_Toc16119"/>
      <w:bookmarkStart w:id="405" w:name="_Toc27971"/>
      <w:bookmarkStart w:id="406" w:name="_Toc21472"/>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定标报告</w:t>
      </w:r>
    </w:p>
    <w:p w14:paraId="5AA101CB">
      <w:pPr>
        <w:wordWrap w:val="0"/>
        <w:autoSpaceDE w:val="0"/>
        <w:autoSpaceDN w:val="0"/>
        <w:adjustRightInd w:val="0"/>
        <w:spacing w:line="420" w:lineRule="exact"/>
        <w:ind w:firstLine="420" w:firstLineChars="200"/>
        <w:outlineLvl w:val="1"/>
        <w:rPr>
          <w:rFonts w:hint="eastAsia" w:ascii="宋体" w:hAnsi="宋体" w:cs="宋体"/>
          <w:color w:val="auto"/>
          <w:szCs w:val="21"/>
          <w:highlight w:val="none"/>
        </w:rPr>
      </w:pPr>
      <w:r>
        <w:rPr>
          <w:rFonts w:hint="eastAsia" w:ascii="宋体" w:hAnsi="宋体" w:eastAsia="宋体" w:cs="宋体"/>
          <w:color w:val="auto"/>
          <w:kern w:val="2"/>
          <w:sz w:val="21"/>
          <w:szCs w:val="21"/>
          <w:highlight w:val="none"/>
          <w:lang w:val="en-US" w:eastAsia="zh-CN" w:bidi="ar-SA"/>
        </w:rPr>
        <w:t>定标委员会应当按照招标文件中明确的定标原则、方法和程序，在中标候选人中确定中标人，并形成书面定标报告，对所出具的定标报告承担责任。定标报告应当包括定标时间、定标地点、定标委员会成员名单、定标原则、定标方法、定标因素、定标程序及定标结果等内容。</w:t>
      </w:r>
    </w:p>
    <w:p w14:paraId="7D2EFD58">
      <w:pPr>
        <w:wordWrap w:val="0"/>
        <w:autoSpaceDE w:val="0"/>
        <w:autoSpaceDN w:val="0"/>
        <w:adjustRightInd w:val="0"/>
        <w:spacing w:line="420" w:lineRule="exact"/>
        <w:ind w:firstLine="420" w:firstLineChars="200"/>
        <w:outlineLvl w:val="1"/>
        <w:rPr>
          <w:rFonts w:hint="eastAsia" w:ascii="宋体" w:hAnsi="宋体" w:cs="宋体"/>
          <w:color w:val="auto"/>
          <w:szCs w:val="21"/>
          <w:highlight w:val="none"/>
        </w:rPr>
      </w:pPr>
      <w:r>
        <w:rPr>
          <w:rFonts w:hint="eastAsia" w:ascii="宋体" w:hAnsi="宋体" w:cs="宋体"/>
          <w:color w:val="auto"/>
          <w:szCs w:val="21"/>
          <w:highlight w:val="none"/>
        </w:rPr>
        <w:t>招标人应当在定标工作完成后3日内发布中标结果公示，公示期不少于3日。</w:t>
      </w:r>
      <w:r>
        <w:rPr>
          <w:rFonts w:hint="eastAsia" w:ascii="宋体" w:hAnsi="宋体" w:cs="宋体"/>
          <w:color w:val="auto"/>
          <w:szCs w:val="21"/>
          <w:highlight w:val="none"/>
          <w:lang w:val="en-US" w:eastAsia="zh-CN"/>
        </w:rPr>
        <w:t>公示媒介：《驻马店市公共资源交易平台》《中国招标投标公共服务平台》、</w:t>
      </w:r>
      <w:r>
        <w:rPr>
          <w:rFonts w:hint="eastAsia" w:ascii="宋体" w:hAnsi="宋体" w:cs="宋体"/>
          <w:color w:val="auto"/>
          <w:kern w:val="2"/>
          <w:sz w:val="21"/>
          <w:szCs w:val="21"/>
          <w:highlight w:val="none"/>
          <w:lang w:val="en-US" w:eastAsia="zh-CN" w:bidi="ar-SA"/>
        </w:rPr>
        <w:t>《河南省电子招标投标公共服务平台》、</w:t>
      </w:r>
      <w:r>
        <w:rPr>
          <w:rFonts w:hint="eastAsia" w:ascii="宋体" w:hAnsi="宋体" w:cs="宋体"/>
          <w:color w:val="auto"/>
          <w:szCs w:val="21"/>
          <w:highlight w:val="none"/>
          <w:lang w:val="en-US" w:eastAsia="zh-CN"/>
        </w:rPr>
        <w:t>《河南省政府采购网》。</w:t>
      </w:r>
      <w:r>
        <w:rPr>
          <w:rFonts w:hint="eastAsia" w:ascii="宋体" w:hAnsi="宋体" w:cs="宋体"/>
          <w:color w:val="auto"/>
          <w:szCs w:val="21"/>
          <w:highlight w:val="none"/>
        </w:rPr>
        <w:t>中标结果公示应当载明定标时间、定标地点、定标方法、中标人名称、中标价格、质量、工期（服务期限）、资格条件、项目负责人信息，中标候选人的核查、考察、比较优势，核查未通过的中标候选人名单和原因，以及异议和投诉渠道等内容。对中标结果公示有异议的，应当在公示期内向招标人提出。</w:t>
      </w:r>
      <w:bookmarkEnd w:id="404"/>
    </w:p>
    <w:p w14:paraId="483463DC">
      <w:pPr>
        <w:wordWrap w:val="0"/>
        <w:autoSpaceDE w:val="0"/>
        <w:autoSpaceDN w:val="0"/>
        <w:adjustRightInd w:val="0"/>
        <w:spacing w:line="420" w:lineRule="exact"/>
        <w:outlineLvl w:val="1"/>
        <w:rPr>
          <w:rFonts w:hint="eastAsia" w:ascii="宋体" w:hAnsi="宋体" w:cs="宋体"/>
          <w:b/>
          <w:bCs/>
          <w:color w:val="auto"/>
          <w:sz w:val="24"/>
          <w:szCs w:val="24"/>
          <w:highlight w:val="none"/>
        </w:rPr>
      </w:pPr>
      <w:bookmarkStart w:id="407" w:name="_Toc23427"/>
      <w:r>
        <w:rPr>
          <w:rFonts w:hint="eastAsia" w:ascii="宋体" w:hAnsi="宋体" w:cs="宋体"/>
          <w:b/>
          <w:bCs/>
          <w:color w:val="auto"/>
          <w:sz w:val="24"/>
          <w:szCs w:val="24"/>
          <w:highlight w:val="none"/>
        </w:rPr>
        <w:t>八、定标后结果处置</w:t>
      </w:r>
      <w:bookmarkEnd w:id="405"/>
      <w:bookmarkEnd w:id="406"/>
      <w:bookmarkEnd w:id="407"/>
    </w:p>
    <w:p w14:paraId="4DE63ED0">
      <w:pPr>
        <w:wordWrap w:val="0"/>
        <w:autoSpaceDE w:val="0"/>
        <w:autoSpaceDN w:val="0"/>
        <w:adjustRightInd w:val="0"/>
        <w:spacing w:line="420" w:lineRule="exact"/>
        <w:ind w:firstLine="420" w:firstLineChars="200"/>
        <w:rPr>
          <w:rFonts w:hint="eastAsia" w:ascii="宋体" w:hAnsi="宋体" w:cs="宋体"/>
          <w:color w:val="auto"/>
          <w:szCs w:val="21"/>
          <w:highlight w:val="none"/>
        </w:rPr>
      </w:pPr>
      <w:bookmarkStart w:id="408" w:name="OLE_LINK49"/>
      <w:r>
        <w:rPr>
          <w:rFonts w:hint="eastAsia" w:ascii="宋体" w:hAnsi="宋体" w:cs="宋体"/>
          <w:color w:val="auto"/>
          <w:szCs w:val="21"/>
          <w:highlight w:val="none"/>
        </w:rPr>
        <w:t>（1）确定的中标人经公示后无异议，可以发放《中标通知书》。</w:t>
      </w:r>
    </w:p>
    <w:p w14:paraId="6C2EEBBE">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26A52B98">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（3）对中标人以非正当理由放弃中标或被依法依规取消中标资格的，招标人应当向有关行政监督部门报告。</w:t>
      </w:r>
    </w:p>
    <w:p w14:paraId="0815D7E8">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（4）定标后有下列情形之一的，应当重新定标:</w:t>
      </w:r>
    </w:p>
    <w:p w14:paraId="5D5B4C62">
      <w:pPr>
        <w:wordWrap w:val="0"/>
        <w:autoSpaceDE w:val="0"/>
        <w:autoSpaceDN w:val="0"/>
        <w:adjustRightInd w:val="0"/>
        <w:spacing w:line="420" w:lineRule="exact"/>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(一)定标委员会未按定标办法公正履职的</w:t>
      </w:r>
      <w:r>
        <w:rPr>
          <w:rFonts w:hint="eastAsia" w:ascii="宋体" w:hAnsi="宋体" w:cs="宋体"/>
          <w:color w:val="auto"/>
          <w:szCs w:val="21"/>
          <w:highlight w:val="none"/>
          <w:lang w:eastAsia="zh-CN"/>
        </w:rPr>
        <w:t>；</w:t>
      </w:r>
    </w:p>
    <w:p w14:paraId="1F205926">
      <w:pPr>
        <w:wordWrap w:val="0"/>
        <w:autoSpaceDE w:val="0"/>
        <w:autoSpaceDN w:val="0"/>
        <w:adjustRightInd w:val="0"/>
        <w:spacing w:line="420" w:lineRule="exact"/>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(二)定标委员会成员与中标候选人有利害关系且未回避的</w:t>
      </w:r>
      <w:r>
        <w:rPr>
          <w:rFonts w:hint="eastAsia" w:ascii="宋体" w:hAnsi="宋体" w:cs="宋体"/>
          <w:color w:val="auto"/>
          <w:szCs w:val="21"/>
          <w:highlight w:val="none"/>
          <w:lang w:eastAsia="zh-CN"/>
        </w:rPr>
        <w:t>；</w:t>
      </w:r>
    </w:p>
    <w:p w14:paraId="6960E75E">
      <w:pPr>
        <w:wordWrap w:val="0"/>
        <w:autoSpaceDE w:val="0"/>
        <w:autoSpaceDN w:val="0"/>
        <w:adjustRightInd w:val="0"/>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(三)招标文件规定的其他情形。</w:t>
      </w:r>
    </w:p>
    <w:bookmarkEnd w:id="408"/>
    <w:p w14:paraId="657A4941">
      <w:pPr>
        <w:rPr>
          <w:color w:val="auto"/>
          <w:highlight w:val="none"/>
        </w:rPr>
      </w:pPr>
    </w:p>
    <w:p w14:paraId="07A07998">
      <w:pPr>
        <w:pStyle w:val="2"/>
        <w:keepNext/>
        <w:keepLines/>
        <w:pageBreakBefore w:val="0"/>
        <w:widowControl w:val="0"/>
        <w:kinsoku/>
        <w:wordWrap/>
        <w:overflowPunct/>
        <w:topLinePunct w:val="0"/>
        <w:autoSpaceDE/>
        <w:autoSpaceDN/>
        <w:bidi w:val="0"/>
        <w:adjustRightInd/>
        <w:snapToGrid/>
        <w:spacing w:before="0" w:beforeLines="1700"/>
        <w:jc w:val="both"/>
        <w:textAlignment w:val="auto"/>
        <w:rPr>
          <w:rFonts w:hint="eastAsia" w:ascii="宋体" w:hAnsi="宋体"/>
          <w:color w:val="auto"/>
          <w:sz w:val="48"/>
          <w:szCs w:val="48"/>
          <w:highlight w:val="none"/>
        </w:rPr>
      </w:pPr>
    </w:p>
    <w:p w14:paraId="3DA3983F">
      <w:pPr>
        <w:rPr>
          <w:rFonts w:hint="eastAsia" w:ascii="宋体" w:hAnsi="宋体"/>
          <w:color w:val="auto"/>
          <w:sz w:val="48"/>
          <w:szCs w:val="48"/>
          <w:highlight w:val="none"/>
        </w:rPr>
      </w:pPr>
    </w:p>
    <w:p w14:paraId="36C23802">
      <w:pPr>
        <w:rPr>
          <w:rFonts w:hint="eastAsia" w:ascii="宋体" w:hAnsi="宋体"/>
          <w:color w:val="auto"/>
          <w:sz w:val="48"/>
          <w:szCs w:val="48"/>
          <w:highlight w:val="none"/>
        </w:rPr>
      </w:pPr>
    </w:p>
    <w:p w14:paraId="36039038">
      <w:pPr>
        <w:pStyle w:val="2"/>
        <w:keepNext/>
        <w:keepLines/>
        <w:pageBreakBefore w:val="0"/>
        <w:widowControl w:val="0"/>
        <w:numPr>
          <w:ilvl w:val="0"/>
          <w:numId w:val="0"/>
        </w:numPr>
        <w:kinsoku/>
        <w:wordWrap/>
        <w:overflowPunct/>
        <w:topLinePunct w:val="0"/>
        <w:autoSpaceDE/>
        <w:autoSpaceDN/>
        <w:bidi w:val="0"/>
        <w:adjustRightInd/>
        <w:snapToGrid/>
        <w:spacing w:before="0" w:beforeLines="1700"/>
        <w:jc w:val="center"/>
        <w:textAlignment w:val="auto"/>
        <w:rPr>
          <w:rFonts w:hint="eastAsia" w:ascii="宋体" w:hAnsi="宋体"/>
          <w:color w:val="auto"/>
          <w:sz w:val="48"/>
          <w:szCs w:val="48"/>
          <w:highlight w:val="none"/>
        </w:rPr>
      </w:pPr>
      <w:r>
        <w:rPr>
          <w:rFonts w:hint="eastAsia" w:ascii="宋体" w:hAnsi="宋体" w:eastAsia="宋体" w:cs="Times New Roman"/>
          <w:b/>
          <w:color w:val="auto"/>
          <w:kern w:val="44"/>
          <w:sz w:val="48"/>
          <w:szCs w:val="48"/>
          <w:highlight w:val="none"/>
          <w:lang w:val="en-US" w:eastAsia="zh-CN" w:bidi="ar-SA"/>
        </w:rPr>
        <w:t>第</w:t>
      </w:r>
      <w:r>
        <w:rPr>
          <w:rFonts w:hint="eastAsia" w:ascii="宋体" w:hAnsi="宋体" w:cs="Times New Roman"/>
          <w:b/>
          <w:color w:val="auto"/>
          <w:kern w:val="44"/>
          <w:sz w:val="48"/>
          <w:szCs w:val="48"/>
          <w:highlight w:val="none"/>
          <w:lang w:val="en-US" w:eastAsia="zh-CN" w:bidi="ar-SA"/>
        </w:rPr>
        <w:t>五</w:t>
      </w:r>
      <w:r>
        <w:rPr>
          <w:rFonts w:hint="eastAsia" w:ascii="宋体" w:hAnsi="宋体" w:eastAsia="宋体" w:cs="Times New Roman"/>
          <w:b/>
          <w:color w:val="auto"/>
          <w:kern w:val="44"/>
          <w:sz w:val="48"/>
          <w:szCs w:val="48"/>
          <w:highlight w:val="none"/>
          <w:lang w:val="en-US" w:eastAsia="zh-CN" w:bidi="ar-SA"/>
        </w:rPr>
        <w:t>章</w:t>
      </w:r>
      <w:r>
        <w:rPr>
          <w:rFonts w:hint="eastAsia" w:ascii="宋体" w:hAnsi="宋体"/>
          <w:color w:val="auto"/>
          <w:sz w:val="48"/>
          <w:szCs w:val="48"/>
          <w:highlight w:val="none"/>
        </w:rPr>
        <w:t xml:space="preserve"> 合同条款及格式</w:t>
      </w:r>
    </w:p>
    <w:p w14:paraId="1298C754">
      <w:pPr>
        <w:numPr>
          <w:ilvl w:val="0"/>
          <w:numId w:val="0"/>
        </w:numPr>
        <w:rPr>
          <w:color w:val="auto"/>
          <w:highlight w:val="none"/>
        </w:rPr>
      </w:pPr>
    </w:p>
    <w:p w14:paraId="48460BEB">
      <w:pPr>
        <w:spacing w:line="520" w:lineRule="exact"/>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16E34182">
      <w:pPr>
        <w:spacing w:line="520" w:lineRule="exact"/>
        <w:jc w:val="center"/>
        <w:rPr>
          <w:rFonts w:ascii="宋体" w:hAnsi="宋体"/>
          <w:b/>
          <w:bCs/>
          <w:color w:val="auto"/>
          <w:sz w:val="52"/>
          <w:szCs w:val="52"/>
          <w:highlight w:val="none"/>
        </w:rPr>
      </w:pPr>
    </w:p>
    <w:p w14:paraId="03223C7E">
      <w:pPr>
        <w:spacing w:line="520" w:lineRule="exact"/>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641BC0BC">
      <w:pPr>
        <w:rPr>
          <w:rFonts w:hint="eastAsia" w:ascii="宋体" w:hAnsi="宋体"/>
          <w:b/>
          <w:bCs/>
          <w:color w:val="auto"/>
          <w:sz w:val="52"/>
          <w:szCs w:val="52"/>
          <w:highlight w:val="none"/>
        </w:rPr>
      </w:pPr>
      <w:r>
        <w:rPr>
          <w:rFonts w:hint="eastAsia" w:ascii="宋体"/>
          <w:b/>
          <w:bCs/>
          <w:color w:val="auto"/>
          <w:sz w:val="52"/>
          <w:szCs w:val="52"/>
          <w:highlight w:val="none"/>
        </w:rPr>
        <w:t xml:space="preserve"> </w:t>
      </w:r>
    </w:p>
    <w:p w14:paraId="49DDD30E">
      <w:pPr>
        <w:pStyle w:val="3"/>
        <w:ind w:left="2420" w:leftChars="1081" w:hanging="150" w:hangingChars="34"/>
        <w:rPr>
          <w:rFonts w:ascii="宋体" w:eastAsia="宋体"/>
          <w:b/>
          <w:bCs/>
          <w:color w:val="auto"/>
          <w:sz w:val="44"/>
          <w:szCs w:val="44"/>
          <w:highlight w:val="none"/>
        </w:rPr>
      </w:pPr>
      <w:bookmarkStart w:id="409" w:name="_Toc10382"/>
      <w:r>
        <w:rPr>
          <w:rFonts w:hint="eastAsia" w:ascii="宋体" w:eastAsia="宋体"/>
          <w:b/>
          <w:bCs/>
          <w:color w:val="auto"/>
          <w:sz w:val="44"/>
          <w:szCs w:val="44"/>
          <w:highlight w:val="none"/>
        </w:rPr>
        <w:t>第一节  通用合同条款</w:t>
      </w:r>
      <w:bookmarkEnd w:id="409"/>
    </w:p>
    <w:p w14:paraId="32954ECF">
      <w:pPr>
        <w:adjustRightInd w:val="0"/>
        <w:snapToGrid w:val="0"/>
        <w:spacing w:line="360" w:lineRule="auto"/>
        <w:jc w:val="center"/>
        <w:rPr>
          <w:rFonts w:ascii="宋体" w:hAnsi="宋体"/>
          <w:b/>
          <w:color w:val="auto"/>
          <w:sz w:val="28"/>
          <w:szCs w:val="28"/>
          <w:highlight w:val="none"/>
        </w:rPr>
      </w:pPr>
      <w:r>
        <w:rPr>
          <w:rFonts w:hint="eastAsia" w:ascii="宋体" w:hAnsi="宋体"/>
          <w:color w:val="auto"/>
          <w:sz w:val="28"/>
          <w:szCs w:val="28"/>
          <w:highlight w:val="none"/>
        </w:rPr>
        <w:t>采用《</w:t>
      </w:r>
      <w:r>
        <w:rPr>
          <w:rFonts w:hint="eastAsia" w:ascii="宋体" w:hAnsi="宋体"/>
          <w:color w:val="auto"/>
          <w:sz w:val="28"/>
          <w:szCs w:val="28"/>
          <w:highlight w:val="none"/>
          <w:lang w:eastAsia="zh-CN"/>
        </w:rPr>
        <w:t>公路工程</w:t>
      </w:r>
      <w:r>
        <w:rPr>
          <w:rFonts w:hint="eastAsia" w:ascii="宋体" w:hAnsi="宋体"/>
          <w:color w:val="auto"/>
          <w:sz w:val="28"/>
          <w:szCs w:val="28"/>
          <w:highlight w:val="none"/>
        </w:rPr>
        <w:t>标准施工招标文件》（2018年版）的“通用合同条款”。</w:t>
      </w:r>
    </w:p>
    <w:p w14:paraId="2EC2EA1A">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24F09CFD">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0F8EB119">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58C47608">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2C862DA9">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6253F17A">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4958B057">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137085FE">
      <w:pPr>
        <w:spacing w:line="520" w:lineRule="exact"/>
        <w:jc w:val="center"/>
        <w:outlineLvl w:val="1"/>
        <w:rPr>
          <w:rStyle w:val="66"/>
          <w:rFonts w:hint="eastAsia" w:ascii="宋体" w:hAnsi="宋体" w:eastAsia="宋体"/>
          <w:color w:val="auto"/>
          <w:sz w:val="44"/>
          <w:szCs w:val="44"/>
          <w:highlight w:val="none"/>
        </w:rPr>
      </w:pPr>
      <w:bookmarkStart w:id="410" w:name="_Toc16322"/>
      <w:bookmarkEnd w:id="410"/>
      <w:bookmarkStart w:id="411" w:name="_Toc19584"/>
    </w:p>
    <w:p w14:paraId="38BD0AA7">
      <w:pPr>
        <w:spacing w:line="520" w:lineRule="exact"/>
        <w:jc w:val="center"/>
        <w:outlineLvl w:val="1"/>
        <w:rPr>
          <w:rStyle w:val="66"/>
          <w:rFonts w:hint="eastAsia" w:ascii="宋体" w:hAnsi="宋体" w:eastAsia="宋体"/>
          <w:color w:val="auto"/>
          <w:sz w:val="44"/>
          <w:szCs w:val="44"/>
          <w:highlight w:val="none"/>
        </w:rPr>
      </w:pPr>
    </w:p>
    <w:p w14:paraId="47976802">
      <w:pPr>
        <w:spacing w:line="520" w:lineRule="exact"/>
        <w:jc w:val="center"/>
        <w:outlineLvl w:val="1"/>
        <w:rPr>
          <w:rStyle w:val="66"/>
          <w:rFonts w:hint="eastAsia" w:ascii="宋体" w:hAnsi="宋体" w:eastAsia="宋体"/>
          <w:color w:val="auto"/>
          <w:sz w:val="44"/>
          <w:szCs w:val="44"/>
          <w:highlight w:val="none"/>
        </w:rPr>
      </w:pPr>
    </w:p>
    <w:p w14:paraId="6F815AB0">
      <w:pPr>
        <w:spacing w:line="520" w:lineRule="exact"/>
        <w:jc w:val="center"/>
        <w:outlineLvl w:val="1"/>
        <w:rPr>
          <w:rStyle w:val="66"/>
          <w:rFonts w:hint="eastAsia" w:ascii="宋体" w:hAnsi="宋体" w:eastAsia="宋体"/>
          <w:color w:val="auto"/>
          <w:sz w:val="44"/>
          <w:szCs w:val="44"/>
          <w:highlight w:val="none"/>
        </w:rPr>
      </w:pPr>
    </w:p>
    <w:p w14:paraId="391B5F37">
      <w:pPr>
        <w:spacing w:line="520" w:lineRule="exact"/>
        <w:jc w:val="center"/>
        <w:outlineLvl w:val="1"/>
        <w:rPr>
          <w:rStyle w:val="66"/>
          <w:rFonts w:hint="eastAsia" w:ascii="宋体" w:hAnsi="宋体" w:eastAsia="宋体"/>
          <w:color w:val="auto"/>
          <w:sz w:val="44"/>
          <w:szCs w:val="44"/>
          <w:highlight w:val="none"/>
        </w:rPr>
      </w:pPr>
    </w:p>
    <w:p w14:paraId="73E0F87F">
      <w:pPr>
        <w:spacing w:line="520" w:lineRule="exact"/>
        <w:jc w:val="center"/>
        <w:outlineLvl w:val="1"/>
        <w:rPr>
          <w:rStyle w:val="66"/>
          <w:rFonts w:hint="eastAsia" w:ascii="宋体" w:hAnsi="宋体" w:eastAsia="宋体"/>
          <w:color w:val="auto"/>
          <w:sz w:val="44"/>
          <w:szCs w:val="44"/>
          <w:highlight w:val="none"/>
        </w:rPr>
      </w:pPr>
    </w:p>
    <w:p w14:paraId="1B95D95D">
      <w:pPr>
        <w:spacing w:line="520" w:lineRule="exact"/>
        <w:jc w:val="center"/>
        <w:outlineLvl w:val="1"/>
        <w:rPr>
          <w:rStyle w:val="66"/>
          <w:rFonts w:hint="eastAsia" w:ascii="宋体" w:hAnsi="宋体" w:eastAsia="宋体"/>
          <w:color w:val="auto"/>
          <w:sz w:val="44"/>
          <w:szCs w:val="44"/>
          <w:highlight w:val="none"/>
        </w:rPr>
      </w:pPr>
    </w:p>
    <w:p w14:paraId="503C37C0">
      <w:pPr>
        <w:spacing w:line="520" w:lineRule="exact"/>
        <w:jc w:val="center"/>
        <w:outlineLvl w:val="1"/>
        <w:rPr>
          <w:rFonts w:ascii="宋体" w:hAnsi="宋体"/>
          <w:bCs/>
          <w:color w:val="auto"/>
          <w:sz w:val="44"/>
          <w:szCs w:val="44"/>
          <w:highlight w:val="none"/>
        </w:rPr>
      </w:pPr>
      <w:r>
        <w:rPr>
          <w:rStyle w:val="66"/>
          <w:rFonts w:hint="eastAsia" w:ascii="宋体" w:hAnsi="宋体" w:eastAsia="宋体"/>
          <w:color w:val="auto"/>
          <w:sz w:val="44"/>
          <w:szCs w:val="44"/>
          <w:highlight w:val="none"/>
        </w:rPr>
        <w:t>第二节  专用合同条款</w:t>
      </w:r>
      <w:bookmarkEnd w:id="411"/>
    </w:p>
    <w:p w14:paraId="7D7E4033">
      <w:pPr>
        <w:keepNext w:val="0"/>
        <w:keepLines w:val="0"/>
        <w:pageBreakBefore w:val="0"/>
        <w:widowControl w:val="0"/>
        <w:kinsoku/>
        <w:wordWrap/>
        <w:overflowPunct/>
        <w:topLinePunct w:val="0"/>
        <w:autoSpaceDE/>
        <w:autoSpaceDN/>
        <w:bidi w:val="0"/>
        <w:adjustRightInd/>
        <w:snapToGrid/>
        <w:spacing w:before="0" w:beforeLines="50" w:line="520" w:lineRule="exact"/>
        <w:jc w:val="center"/>
        <w:textAlignment w:val="auto"/>
        <w:rPr>
          <w:rFonts w:ascii="宋体" w:hAnsi="宋体"/>
          <w:color w:val="auto"/>
          <w:sz w:val="32"/>
          <w:szCs w:val="32"/>
          <w:highlight w:val="none"/>
        </w:rPr>
      </w:pPr>
      <w:bookmarkStart w:id="412" w:name="_Toc132601562"/>
      <w:bookmarkEnd w:id="412"/>
      <w:r>
        <w:rPr>
          <w:rFonts w:hint="eastAsia" w:ascii="宋体" w:hAnsi="宋体"/>
          <w:b/>
          <w:bCs w:val="0"/>
          <w:color w:val="auto"/>
          <w:sz w:val="28"/>
          <w:szCs w:val="28"/>
          <w:highlight w:val="none"/>
        </w:rPr>
        <w:t>A.公路工程专用合同条款</w:t>
      </w:r>
    </w:p>
    <w:p w14:paraId="0595DAF5">
      <w:pPr>
        <w:keepNext w:val="0"/>
        <w:keepLines w:val="0"/>
        <w:pageBreakBefore w:val="0"/>
        <w:widowControl w:val="0"/>
        <w:kinsoku/>
        <w:wordWrap/>
        <w:overflowPunct/>
        <w:topLinePunct w:val="0"/>
        <w:autoSpaceDN/>
        <w:bidi w:val="0"/>
        <w:adjustRightInd/>
        <w:snapToGrid/>
        <w:spacing w:line="520" w:lineRule="exact"/>
        <w:textAlignment w:val="auto"/>
        <w:rPr>
          <w:rFonts w:ascii="宋体" w:hAnsi="宋体"/>
          <w:color w:val="auto"/>
          <w:sz w:val="32"/>
          <w:szCs w:val="32"/>
          <w:highlight w:val="none"/>
        </w:rPr>
      </w:pPr>
      <w:r>
        <w:rPr>
          <w:rFonts w:hint="eastAsia" w:ascii="宋体" w:hAnsi="宋体"/>
          <w:color w:val="auto"/>
          <w:sz w:val="32"/>
          <w:szCs w:val="32"/>
          <w:highlight w:val="none"/>
        </w:rPr>
        <w:t xml:space="preserve"> </w:t>
      </w:r>
    </w:p>
    <w:p w14:paraId="6FEDFD2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 一般约定</w:t>
      </w:r>
    </w:p>
    <w:p w14:paraId="6923C48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1.1词语定义</w:t>
      </w:r>
    </w:p>
    <w:p w14:paraId="1123ADA3">
      <w:pPr>
        <w:pStyle w:val="21"/>
        <w:keepNext w:val="0"/>
        <w:keepLines w:val="0"/>
        <w:pageBreakBefore w:val="0"/>
        <w:widowControl w:val="0"/>
        <w:kinsoku/>
        <w:wordWrap/>
        <w:overflowPunct/>
        <w:topLinePunct w:val="0"/>
        <w:autoSpaceDN/>
        <w:bidi w:val="0"/>
        <w:adjustRightInd/>
        <w:snapToGrid/>
        <w:ind w:firstLine="482" w:firstLineChars="200"/>
        <w:textAlignment w:val="auto"/>
        <w:rPr>
          <w:rFonts w:ascii="宋体"/>
          <w:color w:val="auto"/>
          <w:highlight w:val="none"/>
        </w:rPr>
      </w:pPr>
      <w:r>
        <w:rPr>
          <w:rFonts w:hint="eastAsia" w:ascii="宋体"/>
          <w:b/>
          <w:bCs/>
          <w:color w:val="auto"/>
          <w:highlight w:val="none"/>
        </w:rPr>
        <w:t>1.1.1  合同</w:t>
      </w:r>
    </w:p>
    <w:p w14:paraId="395930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1.1.1.6 目细化为：</w:t>
      </w:r>
    </w:p>
    <w:p w14:paraId="5350AE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技术规范：指本合同所约定的技术标准和要求，是合同文件的组成部分。通用合同条款中“技术标准和要求”一词具有相同含义。</w:t>
      </w:r>
    </w:p>
    <w:p w14:paraId="1F59F4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1.1.1.8 目细化为：</w:t>
      </w:r>
    </w:p>
    <w:p w14:paraId="0C53AD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已标价工程量清单：指构成合同文件组成部分的已标明价格、经算术性错误修正及其他错误修正（如有）且承包人已确认的最终的工程量清单，包括工程量清单说明、投标报价说明、计日工说明、其他说明及工程量清单各项表格（工程量清单表 5.1～表 5.5）。</w:t>
      </w:r>
    </w:p>
    <w:p w14:paraId="2693822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本项补充第 1.1.1.10 目：</w:t>
      </w:r>
    </w:p>
    <w:p w14:paraId="62A89B9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1.1.1.10 补遗书：指发出招标文件之后由招标人向已取得招标文件的投标人发出的、编号的对招标文件所作的澄清、修改书。</w:t>
      </w:r>
    </w:p>
    <w:p w14:paraId="17866681">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1.1.2 合同当事人和人员</w:t>
      </w:r>
    </w:p>
    <w:p w14:paraId="1B1B944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本项补充第 1.1.2.8 目：</w:t>
      </w:r>
    </w:p>
    <w:p w14:paraId="04E6DB3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1.1.2.8 承包人项目总工：指由承包人书面委派常驻现场负责管理本合同工程的总工程师或技术总负责人。</w:t>
      </w:r>
    </w:p>
    <w:p w14:paraId="3B3B2FC2">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1.1.3 工程和设备</w:t>
      </w:r>
    </w:p>
    <w:p w14:paraId="37125EC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1.1.3.4 目细化为：</w:t>
      </w:r>
    </w:p>
    <w:p w14:paraId="7D387B8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单位工程：指在建设项目中，根据签订的合同，具有独立施工条件的工程。</w:t>
      </w:r>
    </w:p>
    <w:p w14:paraId="5475CC4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1.1.3.10 目细化为：</w:t>
      </w:r>
    </w:p>
    <w:p w14:paraId="445485E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永久占地：指为实施本合同工程而需要的一切永久占用的土地，包括公路两侧路权范围内的用地。</w:t>
      </w:r>
    </w:p>
    <w:p w14:paraId="63D4292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1.1.3.11 目细化为：</w:t>
      </w:r>
    </w:p>
    <w:p w14:paraId="1FCD83F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临时占地：指为实施本合同工程而需要的一切临时占用的土地，包括施工所用的临时支线、便道、便桥和现场的临时出入通道，以及生产（办公）、生活等临时设施用地等。</w:t>
      </w:r>
    </w:p>
    <w:p w14:paraId="4ECF152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本项补充第 1.1.3.12 目、第 1.1.3.13 目：</w:t>
      </w:r>
    </w:p>
    <w:p w14:paraId="6FB207F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1.1.3.12 分部工程：指在单位工程中，按结构部位、路段长度及施工特点或施工任务划分的若干个工程。</w:t>
      </w:r>
    </w:p>
    <w:p w14:paraId="5B3364A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1.1.3.13 分项工程：指在分部工程中，按不同的施工方法、材料、工序及路段长度等划分的若干个工程。</w:t>
      </w:r>
    </w:p>
    <w:p w14:paraId="6AC9F1FB">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1.1.6 其他</w:t>
      </w:r>
      <w:r>
        <w:rPr>
          <w:rFonts w:hint="eastAsia" w:ascii="宋体" w:hAnsi="宋体"/>
          <w:color w:val="auto"/>
          <w:sz w:val="24"/>
          <w:szCs w:val="24"/>
          <w:highlight w:val="none"/>
        </w:rPr>
        <w:t xml:space="preserve"> </w:t>
      </w:r>
    </w:p>
    <w:p w14:paraId="2D7D692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本项补充第 1.1.6.2 目～第 1.1.6.9 目：</w:t>
      </w:r>
    </w:p>
    <w:p w14:paraId="081C536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1.1.6.2 竣工验收：指《公路工程竣（交）工验收办法》中的竣工验收。通用合同条款中“国家验收”一词具有相同含义。</w:t>
      </w:r>
    </w:p>
    <w:p w14:paraId="3F7763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1.1.6.3 交工：指《公路工程竣（交）工验收办法》中的交工。通用合同条款中“竣工”一词具有相同含义。</w:t>
      </w:r>
    </w:p>
    <w:p w14:paraId="705DA7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1.1.6.4 交工验收：指《公路工程竣（交）工验收办法》中的交工验收。通用合同条款中“竣工验收”一词具有相同含义。</w:t>
      </w:r>
    </w:p>
    <w:p w14:paraId="70D9B7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1.1.6.5 交工验收证书：指《公路工程竣（交）工验收办法》中的交工验收证书。通用合同条款中“工程接收证书”一词具有相同含义。</w:t>
      </w:r>
    </w:p>
    <w:p w14:paraId="74D7F75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1.1.6.6 转包：指承包人违反法律和不履行合同规定的责任和义务，将中标工程全部委托或以专业分包的名义将中标工程肢解后全部委托给其他施工企业施工的行为。</w:t>
      </w:r>
    </w:p>
    <w:p w14:paraId="195B322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1.1.6.7 专业分包：指承包人与具有相应资格的施工企业签订专业分包合同，由分包人承担承包人委托的分部工程、分项工程或适合专业化队伍施工的其他工程，整体结算，并能独立控制工程质量、施工进度、材料采购、生产安全的施工行为。</w:t>
      </w:r>
    </w:p>
    <w:p w14:paraId="4DC0254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1.1.6.8 劳务分包：指承包人与具有施工劳务资质的劳务企业签订劳务分包合同，由劳务企业提供劳务人员及机具，由承包人统一组织施工、统一控制工程质量、施工进度、材料采购、生产安全的施工行为。</w:t>
      </w:r>
    </w:p>
    <w:p w14:paraId="615C899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1.1.6.9 雇用民工：指承包人与具有相应劳动能力的自然人签订劳动合同，由承包人统一组织管理，从事分项工程施工或配套工程施工的行为。</w:t>
      </w:r>
    </w:p>
    <w:p w14:paraId="124EF2F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1.4 合同文件的优先顺序</w:t>
      </w:r>
    </w:p>
    <w:p w14:paraId="018B752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本款约定为：</w:t>
      </w:r>
    </w:p>
    <w:p w14:paraId="0BC553B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组成合同的各项文件应互相解释，互为说明。除项目专用合同条款另有约定外，解释合同文件的优先顺序如下：</w:t>
      </w:r>
    </w:p>
    <w:p w14:paraId="7041DCB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（1）合同协议书及各种合同附件（含评标期间和合同谈判过程中的澄清文件和补充资料）；</w:t>
      </w:r>
    </w:p>
    <w:p w14:paraId="662FA8E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（2）中标通知书；</w:t>
      </w:r>
    </w:p>
    <w:p w14:paraId="639413B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（3）投标函及投标函附录；</w:t>
      </w:r>
    </w:p>
    <w:p w14:paraId="48275AC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（4）项目专用合同条款；</w:t>
      </w:r>
    </w:p>
    <w:p w14:paraId="7E6F5EC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（5）公路工程专用合同条款；</w:t>
      </w:r>
    </w:p>
    <w:p w14:paraId="047C722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（6）通用合同条款；</w:t>
      </w:r>
    </w:p>
    <w:p w14:paraId="47F00DC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（7）工程量清单计量规则；</w:t>
      </w:r>
    </w:p>
    <w:p w14:paraId="3712B6F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（8）技术规范；</w:t>
      </w:r>
    </w:p>
    <w:p w14:paraId="23D5A65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（9）图纸；</w:t>
      </w:r>
    </w:p>
    <w:p w14:paraId="1AA8449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（10）已标价工程量清单；</w:t>
      </w:r>
    </w:p>
    <w:p w14:paraId="6365B38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（11）承包人有关人员、设备投入的承诺及投标文件中的施工组织设计；</w:t>
      </w:r>
    </w:p>
    <w:p w14:paraId="753FB3C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（12）其他合同文件。</w:t>
      </w:r>
    </w:p>
    <w:p w14:paraId="491704D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 合同协议书</w:t>
      </w:r>
    </w:p>
    <w:p w14:paraId="016142D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6EFB02A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制备本合同文件的费用由发包人承担。在合同协议书签订并生效之前，投标函和中标通知书将对双方具有约束力。</w:t>
      </w:r>
    </w:p>
    <w:p w14:paraId="255B56D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1.6 图纸和承包人文件</w:t>
      </w:r>
    </w:p>
    <w:p w14:paraId="06D27859">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1.6.1 图纸的提供</w:t>
      </w:r>
    </w:p>
    <w:p w14:paraId="7D3415A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7709DFC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监理人应在发出中标通知书之后 42 天内，向承包人免费提供由发包人或其委托的设计单位设计的施工图纸、技术规范和其他技术资料 2 份，并向承包人进行技术交底。承包人需要更多份数时，应自费复制。由于发包人未按时提供图纸造成工期延误的，按第 11.3 款的约定办理。</w:t>
      </w:r>
    </w:p>
    <w:p w14:paraId="53ED434D">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1.6.2 承包人提供的文件</w:t>
      </w:r>
    </w:p>
    <w:p w14:paraId="4AB289F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20D4E43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有下列情形之一的，承包人应免费向监理人提交相关部分工程的施工图纸 3 份，并附必要的计算书、技术资料，或施工工艺图、设备安装图及安装设备的使用和维护手册各 2 份供监理人批准。</w:t>
      </w:r>
    </w:p>
    <w:p w14:paraId="735A7C4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（1）为使第 1.6.1 项所述的施工图纸适合于经施工测量后的纵、横断面；</w:t>
      </w:r>
    </w:p>
    <w:p w14:paraId="0B9D489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（2）为使第 1.6.1 项所述的施工图纸适合于现场具体地形；</w:t>
      </w:r>
    </w:p>
    <w:p w14:paraId="082DD2E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（3）为使第 1.6.1 项所述的施工图纸适合于因尺寸与位置变化而引起局部变更；</w:t>
      </w:r>
    </w:p>
    <w:p w14:paraId="0E57A6E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（4）由于合同要求与施工需要。</w:t>
      </w:r>
    </w:p>
    <w:p w14:paraId="23E2984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此类图纸应按监理人规定的格式和图幅绘制。监理人在收到由承包人绘制的上述工程、工艺图纸、计算书和有关技术资料后 14 天内应予批准或提出修改要求，承包人应按监理人提出的要求作出修改，重新向监理人提交，监理人应在 7 天内批准或提出进一步的修改意见。</w:t>
      </w:r>
    </w:p>
    <w:p w14:paraId="16D30723">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1.6.4 图纸的错误</w:t>
      </w:r>
    </w:p>
    <w:p w14:paraId="74FA6AB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386A3D5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当承包人在查阅合同文件或在本合同工程实施过程中，发现有关的工程设计、技术规范、图纸或其他资料中的任何差错、遗漏或缺陷后，应及时通知监理人。监理人接到该通知后，应立即就此作出决定，并通知承包人和发包人。</w:t>
      </w:r>
    </w:p>
    <w:p w14:paraId="16480C4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1.9 严禁贿赂</w:t>
      </w:r>
    </w:p>
    <w:p w14:paraId="2D15B20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262E0FD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p>
    <w:p w14:paraId="2E2AC9E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 发包人义务</w:t>
      </w:r>
    </w:p>
    <w:p w14:paraId="1696C07F">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2.3 提供施工场地</w:t>
      </w:r>
    </w:p>
    <w:p w14:paraId="6A5C6E1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w:t>
      </w:r>
    </w:p>
    <w:p w14:paraId="320C77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发包人负责办理永久占地的征用及与之有关的拆迁赔偿手续并承担相关费用。承包人在按第 10 条规定提交施工进度计划的同时，应向监理人提交一份按施工先后次序所需的永久占地计划。监理人应在收到此计划后的 14 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以及拆迁赔偿手续，通知承包人使用， 以使承包人能够连续不间断地施工。由于承包人施工考虑不周或措施不当等原因而造成的超计划占地或拆迁等所发生的征用和赔偿费用，应由承包人承担。</w:t>
      </w:r>
    </w:p>
    <w:p w14:paraId="70E5D96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highlight w:val="none"/>
        </w:rPr>
      </w:pPr>
      <w:r>
        <w:rPr>
          <w:rFonts w:hint="eastAsia" w:ascii="宋体" w:hAnsi="宋体"/>
          <w:color w:val="auto"/>
          <w:sz w:val="24"/>
          <w:szCs w:val="24"/>
          <w:highlight w:val="none"/>
        </w:rPr>
        <w:t>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p>
    <w:p w14:paraId="6F18490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3. 监理人</w:t>
      </w:r>
    </w:p>
    <w:p w14:paraId="548E5E9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3.1 监理人的职责和权力</w:t>
      </w:r>
    </w:p>
    <w:p w14:paraId="7D2E95E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3.1.1 项补充：</w:t>
      </w:r>
    </w:p>
    <w:p w14:paraId="127E2B9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监理人在行使下列权力前需要经发包人事先批准：</w:t>
      </w:r>
    </w:p>
    <w:p w14:paraId="2E39468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（1）根据第 4.3 款，同意分包本工程的某些非关键性工作或者适合专业化队伍施工的专项工程；</w:t>
      </w:r>
    </w:p>
    <w:p w14:paraId="5C26D38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（2）确定第 4.11 款下产生的费用增加额； </w:t>
      </w:r>
    </w:p>
    <w:p w14:paraId="3FC1471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（3）根据第 11.1 款、第 12.3 款、第 12.4 款发布开工通知、暂停施工指示或复工通知；</w:t>
      </w:r>
    </w:p>
    <w:p w14:paraId="037451D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（4）决定第 11.3 款、第 11.4 款下的工期延长；</w:t>
      </w:r>
    </w:p>
    <w:p w14:paraId="767EC51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（5）审查批准技术方案或设计的变更；</w:t>
      </w:r>
    </w:p>
    <w:p w14:paraId="0604BA1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（6）根据第 15.3 款发出的变更指示，其单项工程变更或累计变更涉及的金额超过了项目专用合同条款数据表中规定的金额；</w:t>
      </w:r>
    </w:p>
    <w:p w14:paraId="177AB0C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（7）确定第 15.4 款下变更工作的单价；</w:t>
      </w:r>
    </w:p>
    <w:p w14:paraId="389CB32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（8）按照第 15.6 款决定有关暂列金额的使用；</w:t>
      </w:r>
    </w:p>
    <w:p w14:paraId="728F870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（9）确定第 15.8 款下的暂估价金额；</w:t>
      </w:r>
    </w:p>
    <w:p w14:paraId="44177E9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（10）确定第 23.1 款下的索赔额。</w:t>
      </w:r>
    </w:p>
    <w:p w14:paraId="20A93FC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 3.5 款商定或确定。</w:t>
      </w:r>
    </w:p>
    <w:p w14:paraId="0A320B8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3.5 商定或确定</w:t>
      </w:r>
    </w:p>
    <w:p w14:paraId="0D96FA9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3.5.1 项补充：</w:t>
      </w:r>
    </w:p>
    <w:p w14:paraId="4CF5166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如果这项商定或确定导致费用增加和（或）工期延长，或者涉及确定变更工程的价格，则总监理工程师在发出通知前，应征得发包人的同意。</w:t>
      </w:r>
    </w:p>
    <w:p w14:paraId="5F9986E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 承包人</w:t>
      </w:r>
    </w:p>
    <w:p w14:paraId="79FE11C8">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4.1 承包人的一般义务</w:t>
      </w:r>
    </w:p>
    <w:p w14:paraId="5A549AF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4.1.9 工程的维护和照管</w:t>
      </w:r>
    </w:p>
    <w:p w14:paraId="3A7488C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704FB03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p>
    <w:p w14:paraId="6F106E0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（2）在承包人负责照管与维护期间，如果本工程或材料、设备等发生损失或损</w:t>
      </w:r>
    </w:p>
    <w:p w14:paraId="0F5C303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害，除不可抗力原因之外，承包人均应自费弥补，并达到合同要求。承包人还应对按第 19 条规定而实施作业过程中由承包人造成的对工程的任何损失或损害负责。</w:t>
      </w:r>
    </w:p>
    <w:p w14:paraId="16B227D2">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4.1.10 其他义务</w:t>
      </w:r>
    </w:p>
    <w:p w14:paraId="5336ECE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47B397EA">
      <w:pPr>
        <w:keepNext w:val="0"/>
        <w:keepLines w:val="0"/>
        <w:pageBreakBefore w:val="0"/>
        <w:widowControl w:val="0"/>
        <w:numPr>
          <w:ilvl w:val="0"/>
          <w:numId w:val="8"/>
        </w:numPr>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临时占地由承包人向当地政府土地管理部门申请，并办理租用手续，承包人按有关规定直接支付其费用，发包人对此将予以协调。</w:t>
      </w:r>
    </w:p>
    <w:p w14:paraId="1343F5F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临时占地范围包括承包人驻地的办公室、食堂、宿舍、道路和机械设备停放场、材料堆放场地、弃土场、预制场、拌和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地面附着物（电力、电信、房屋、坟墓除外）的拆迁补偿等相关费用。除项目专用合同条款另有约定外，临时占地的租地费用实行总额包干，列入工程量清单第100章中由承包人按总额报价。</w:t>
      </w:r>
    </w:p>
    <w:p w14:paraId="3DB0575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临时占地退还前，承包人应自费恢复到临时占地使用前的状况。如因承包人撤离后未按要求对临时占地进行恢复或虽进行了恢复但未达到使用标准的，将由发包人委托第三方对其恢复，所发生的费用将从应付给承包人的任何款项内扣除。</w:t>
      </w:r>
    </w:p>
    <w:p w14:paraId="0B3A4EB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除项目专用合同条款另有约定外，承包人应承担并支付为获得本合同工程所需的石料、砂、砾石、黏土或其他当地材料等所发生的料场使用费及其他开支或补偿费。发包人应尽可能协助承包人办理料场租用手续及解决使用过程中的有关问题。</w:t>
      </w:r>
    </w:p>
    <w:p w14:paraId="07E4B1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承包人应严格遵守国家有关解决拖欠工程款和民工工资的法律、法规，及时支付工程中的材料、设备货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w:t>
      </w:r>
      <w:r>
        <w:rPr>
          <w:rFonts w:hint="eastAsia" w:ascii="宋体" w:hAnsi="宋体"/>
          <w:color w:val="auto"/>
          <w:sz w:val="24"/>
          <w:szCs w:val="24"/>
          <w:highlight w:val="none"/>
          <w:lang w:eastAsia="zh-CN"/>
        </w:rPr>
        <w:t>全国公路建设市场监督管理系统</w:t>
      </w:r>
      <w:r>
        <w:rPr>
          <w:rFonts w:hint="eastAsia" w:ascii="宋体" w:hAnsi="宋体"/>
          <w:color w:val="auto"/>
          <w:sz w:val="24"/>
          <w:szCs w:val="24"/>
          <w:highlight w:val="none"/>
          <w:lang w:val="en-US" w:eastAsia="zh-CN"/>
        </w:rPr>
        <w:t>（http：//glxy.mot.gov.cn）</w:t>
      </w:r>
      <w:r>
        <w:rPr>
          <w:rFonts w:hint="eastAsia" w:ascii="宋体" w:hAnsi="宋体"/>
          <w:color w:val="auto"/>
          <w:sz w:val="24"/>
          <w:szCs w:val="24"/>
          <w:highlight w:val="none"/>
        </w:rPr>
        <w:t>。</w:t>
      </w:r>
    </w:p>
    <w:p w14:paraId="1E85B32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w:t>
      </w:r>
    </w:p>
    <w:p w14:paraId="0977CE1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工资支付表应如实记录支付单位、支付时间、支付对象、支付数额、支付对象的身份证号和签字等信息。民工花名册和工资支付表应报监理人备查。</w:t>
      </w:r>
    </w:p>
    <w:p w14:paraId="087216C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承包人应分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民工工资（劳务费）专用账户应向人力资源社会保障部门和交通运输主管部门备案，并委托开户银行负责日常监管，确保专款专用。开户银行发现账户资金不足、被挪用等情况，应及时向人力资源社会保障部门和交通运输主管部门报告。</w:t>
      </w:r>
    </w:p>
    <w:p w14:paraId="4BB7935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承包人应列入工程量清单第 100 章中。</w:t>
      </w:r>
    </w:p>
    <w:p w14:paraId="507D852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（6）承包人应履行项目专用合同条款约定的其他义务。</w:t>
      </w:r>
    </w:p>
    <w:p w14:paraId="02217B6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4.2 履约保证金</w:t>
      </w:r>
    </w:p>
    <w:p w14:paraId="7C70853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4461800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承包人应保证其履约保证金在发包人签发交工验收证书且承包人按照合同约定缴纳质量保证金前一直有效。发包人应在收到承包人缴纳的质量保证金后28天内将履约保证金退还给承包人。</w:t>
      </w:r>
    </w:p>
    <w:p w14:paraId="7BA5089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承包人拒绝按照本合同约定缴纳质量保证金的，发包人有权从交工付款证书中扣留相应金额作为质量保证金，或者直接将履约保证金金额用于保证承包人在缺陷责任期内履行缺陷修复义务。</w:t>
      </w:r>
    </w:p>
    <w:p w14:paraId="66886F3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4.3分包</w:t>
      </w:r>
    </w:p>
    <w:p w14:paraId="5EC94F9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4.3.2 项～第 4.3.4 项细化为：</w:t>
      </w:r>
    </w:p>
    <w:p w14:paraId="01647CF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4.3.2 承包人不得将工程关键性工作分包给第三人。经发包人同意，承包人可将工程的其他部分或工作分包给第三人。分包包括专业分包和劳务分包。</w:t>
      </w:r>
    </w:p>
    <w:p w14:paraId="0F8CE0E1">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4.3.3 专业分包</w:t>
      </w:r>
    </w:p>
    <w:p w14:paraId="15A6D4A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在工程施工过程中，承包人进行专业分包必须遵守以下规定：</w:t>
      </w:r>
    </w:p>
    <w:p w14:paraId="11F9574A">
      <w:pPr>
        <w:keepNext w:val="0"/>
        <w:keepLines w:val="0"/>
        <w:pageBreakBefore w:val="0"/>
        <w:widowControl w:val="0"/>
        <w:numPr>
          <w:ilvl w:val="0"/>
          <w:numId w:val="9"/>
        </w:numPr>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允许专业分包的工程范围仅限于非关键性工程或者适合专业化队伍施工的专项工程。未列入投标文件的专项工程，承包人不得分包。但因工程变更增加了有特殊性技术要求、特殊工艺或者涉及专利保护等的专项工程，且按规定无须再进行招标的，由承包人提出书面申请，经发包人书面同意，可以分包。</w:t>
      </w:r>
    </w:p>
    <w:p w14:paraId="58A4A4A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（2）专业分包人的资格能力（含安全生产能力）应与其分包工程的标准和规模相适应，且应当具备如下条件：</w:t>
      </w:r>
    </w:p>
    <w:p w14:paraId="149FB2A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a.具有经工商登记的法人资格；</w:t>
      </w:r>
    </w:p>
    <w:p w14:paraId="46D9989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b.具有从事类似工程经验的管理与技术人员；</w:t>
      </w:r>
    </w:p>
    <w:p w14:paraId="3BCCCD4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c.具有（自有或租赁）分包工程所需的施工设备。 </w:t>
      </w:r>
    </w:p>
    <w:p w14:paraId="7C64BE5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承包人应向监理人提交专业分包人的资格能力证明材料，经监理人审查并报发包人批准后，可以将相应专业工程分包给该专业分包人。</w:t>
      </w:r>
    </w:p>
    <w:p w14:paraId="3E83C88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（3）专业分包工程不得再次分包。</w:t>
      </w:r>
    </w:p>
    <w:p w14:paraId="1B4EB48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承包人和专业分包人应当按照交通运输主管部门制定的统一格式依法签订专业分包合同，并履行合同约定的义务。专业分包合同必须遵循承包合同的各项原则，满足承包合同中的质量、安全、进度、环保以及其他技术、经济等要求。专业分包合同必须明确约定工程款支付条款、结算方式以及保证按期支付的相应措施，确保工程款的支付。承包人应在工程实施前，将经监理人审查同意后的分包合同报发包人备案。</w:t>
      </w:r>
    </w:p>
    <w:p w14:paraId="1FEC03E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专业分包人应当设立项目管理机构，对所分包工程的施工活动实施管理。项目管理机构应当具有与分包工程的规模、技术复杂程度相适应的技术、经济管理人员，其中项目负责人和技术、财务、计量、质量、安全等主要管理人员必须是专业分包人本单位人员。</w:t>
      </w:r>
    </w:p>
    <w:p w14:paraId="5B0BA21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承包人应当建立健全相关分包管理制度和台账，对专业分包工程的质量、安全、进度和专业分包人的行为等实施全过程管理，按照合同约定对专业分包工程的实施向发包人负责，并承担赔偿责任。专业分包合同不免除承包合同中规定的承包人的责任或者义务。</w:t>
      </w:r>
    </w:p>
    <w:p w14:paraId="44A6EBC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（7）专业分包人应当依据专业分包合同的约定，组织分包工程的施工，并对分包工程的质量、安全和进度等实施有效控制。专业分包人对其分包的工程向承包人负责，并就所分包的工程向发包人承担连带责任。</w:t>
      </w:r>
    </w:p>
    <w:p w14:paraId="47A62B0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8）承包人对施工现场安全负总责，并对专业分包人的安全生产进行培训和管理。专业分包人应将其专业分包工程的施工组织设计和施工安全方案报承包人备案。专业分包人对分包施工现场安全负责，发现事故隐患，应及时处理。</w:t>
      </w:r>
    </w:p>
    <w:p w14:paraId="5877061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违反上述规定之一者属违规分包。</w:t>
      </w:r>
    </w:p>
    <w:p w14:paraId="30C619C6">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4.3.4 劳务分包</w:t>
      </w:r>
    </w:p>
    <w:p w14:paraId="6FD8287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在工程施工过程中，承包人进行劳务分包必须遵守以下规定：</w:t>
      </w:r>
    </w:p>
    <w:p w14:paraId="010A39A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（1）劳务分包人应具有施工劳务资质。</w:t>
      </w:r>
    </w:p>
    <w:p w14:paraId="3B12CE0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（2）劳务分包应当依法签订劳务分包合同，劳务分包合同必须由承包人的法定</w:t>
      </w:r>
    </w:p>
    <w:p w14:paraId="553E595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代表人或其委托代理人与劳务分包人直接签订，不得由他人代签。承包人的项目经理部、项目经理、施工班组等不具备用工主体资格，不能与劳务分包人签订劳务分包合同。承包人应向发包人和监理人提交劳务分包合同副本并报项目所在地劳动保障部门备案。</w:t>
      </w:r>
    </w:p>
    <w:p w14:paraId="0C98E98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承包人雇用的劳务作业应加入到承包人的施工班组统一管理。有关施工质量、施工安全、施工进度、环境保护、技术方案、试验检测、材料保管与供应、机械设备等都必须由承包人管理与调配，不得以包代管。</w:t>
      </w:r>
    </w:p>
    <w:p w14:paraId="0EC1CD8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（4）承包人应当对劳务分包人员进行安全培训和管理，劳务分包人不得将其分包的劳务作业再次分包。</w:t>
      </w:r>
    </w:p>
    <w:p w14:paraId="734BEB1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违反上述规定之一者属违规分包。</w:t>
      </w:r>
    </w:p>
    <w:p w14:paraId="191426B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4.3.6 项、第 4.3.7 项：</w:t>
      </w:r>
    </w:p>
    <w:p w14:paraId="4A64F22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4.3.6 发包人对承包人与分包人之间的法律与经济纠纷不承担任何责任和义务。</w:t>
      </w:r>
    </w:p>
    <w:p w14:paraId="38AB317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4.3.7 本项目的各项分包工作均应遵守《公路工程施工分包管理办法》的有关规定。</w:t>
      </w:r>
    </w:p>
    <w:p w14:paraId="034A9B6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4.4 联合体</w:t>
      </w:r>
    </w:p>
    <w:p w14:paraId="7F0A56E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4.4.4 项：</w:t>
      </w:r>
    </w:p>
    <w:p w14:paraId="2C062FE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4.4.4 未经发包人事先同意，联合体的组成与结构不得变动。</w:t>
      </w:r>
    </w:p>
    <w:p w14:paraId="3BAC839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4.6承包人人员的管理</w:t>
      </w:r>
    </w:p>
    <w:p w14:paraId="2D5CBE4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4.6.3 项细化为：</w:t>
      </w:r>
    </w:p>
    <w:p w14:paraId="21D511C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w:t>
      </w:r>
    </w:p>
    <w:p w14:paraId="3D01AC5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4.6.5 项：</w:t>
      </w:r>
    </w:p>
    <w:p w14:paraId="5F06358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4.6.5 尽管承包人已按承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w:t>
      </w:r>
    </w:p>
    <w:p w14:paraId="29B0635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4.7 撤换承包人项目经理和其他人员</w:t>
      </w:r>
    </w:p>
    <w:p w14:paraId="7C00DC1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58260BB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对其项目经理和其他人员进行有效管理。监理人要求撤换不能胜任本职工作、行为不端或玩忽职守的承包人项目经理和其他人员的，承包人应予以撤换，同时委派经发包人与监理人同意的新的项目经理和其他人员。</w:t>
      </w:r>
    </w:p>
    <w:p w14:paraId="26A02311">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4.9 工程价款应专款专用</w:t>
      </w:r>
    </w:p>
    <w:p w14:paraId="716BC95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本款细化为： </w:t>
      </w:r>
    </w:p>
    <w:p w14:paraId="18850B7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p>
    <w:p w14:paraId="621E3B4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4.10 承包人现场查勘</w:t>
      </w:r>
    </w:p>
    <w:p w14:paraId="1C03D30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4.10.1 项细化为：</w:t>
      </w:r>
    </w:p>
    <w:p w14:paraId="5C7171D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提供的本合同工程的水文、地质、气象和料场分布、取土场、弃土场位置等资料均属于参考资料，并不构成合同文件的组成部分，承包人应对自己就上述资料的解释、推论和应用负责，发包人不对承包人据此作出的判断和决策承担任何责任。</w:t>
      </w:r>
    </w:p>
    <w:p w14:paraId="24842AA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4.11 不利物质条件</w:t>
      </w:r>
    </w:p>
    <w:p w14:paraId="56C3472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4.11.2 项细化为：</w:t>
      </w:r>
    </w:p>
    <w:p w14:paraId="7E00033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4.11.2 承包人遇到不可预见的不利物质条件时，应采取适应不利物质条件的合理措施继续施工，并及时通知监理人。监理人应当及时发出指示，指示构成变更的，按第 15 条约定办理。监理人没有发出指示的，承包人因采取合理措施而增加的费用和（或）工期延误，由发包人承担。</w:t>
      </w:r>
    </w:p>
    <w:p w14:paraId="4E52C72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4.11.3 项：</w:t>
      </w:r>
    </w:p>
    <w:p w14:paraId="65CF9926">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4.11.3 可预见的不利物质条件</w:t>
      </w:r>
    </w:p>
    <w:p w14:paraId="7E8DB51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（1）对于项目专用合同条款中已经明确指出的不利物质条件无论承包人是否有其经历和经验均视为承包人在接受合同时已预见其影响，并已在签约合同价中计入因其影响而可能发生的一切费用。</w:t>
      </w:r>
    </w:p>
    <w:p w14:paraId="12AC3F7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（2）对于项目专用合同条款未明确指出，但是在不利物质条件发生之前，监理人已经指示承包人有可能发生，但承包人未能及时采取有效措施，而导致的损失和后果均由承包人承担。</w:t>
      </w:r>
    </w:p>
    <w:p w14:paraId="527D1FD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 4.12 款、第 4.13 款：</w:t>
      </w:r>
    </w:p>
    <w:p w14:paraId="2CE616E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4.12 投标文件的完备性</w:t>
      </w:r>
    </w:p>
    <w:p w14:paraId="332DEB0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合同双方一致认为，承包人在递交投标文件前，对本合同工程的投标文件和已标价工程量清单中开列的单价和总额价已查明是正确的和完备的。投标的单价和总额价应已包括了合同中规定的承包人的全部义务（包括提供货物、材料、设备、服务的义务，并包括了暂列金额和暂估价范围内的额外工作的义务）以及为实施和完成本合同工程及其缺陷修复所必需的一切工作和条件。</w:t>
      </w:r>
    </w:p>
    <w:p w14:paraId="7FD813E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4.13 开展党建工作要求</w:t>
      </w:r>
    </w:p>
    <w:p w14:paraId="582830B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对于政府投资的国家高速公路项目，或承包人为国有控股或参股企业的，承包人应按规定在项目现场设立基层党组织。不满足上述情形的，承包人应创造条件使党员能够参加党组织生活并接受相应管理。</w:t>
      </w:r>
    </w:p>
    <w:p w14:paraId="49D0474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p>
    <w:p w14:paraId="76E8672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5. 材料和工程设备</w:t>
      </w:r>
    </w:p>
    <w:p w14:paraId="39FC9648">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5.2 发包人提供的材料和工程设备</w:t>
      </w:r>
    </w:p>
    <w:p w14:paraId="5C9215D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5.2.3 项补充：</w:t>
      </w:r>
    </w:p>
    <w:p w14:paraId="679B802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负责接收并按规定对材料进行抽样检验和对工程设备进行检验测试，若发现材料和工程设备存在缺陷，承包人应及时通知监理人，发包人应及时改正通知中指出的缺陷。承包人负责接收后的运输和保管，因承包人的原因发生丢失、损坏或进度拖延，由承包人承担相应责任。</w:t>
      </w:r>
    </w:p>
    <w:p w14:paraId="2DDA0FC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6. 施工设备和临时设施</w:t>
      </w:r>
    </w:p>
    <w:p w14:paraId="3A0DAB0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6.1 承包人提供的施工设备和临时设施</w:t>
      </w:r>
    </w:p>
    <w:p w14:paraId="568F90B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6.1.2 项约定为：</w:t>
      </w:r>
    </w:p>
    <w:p w14:paraId="6711C9A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承包人应自行承担修建临时设施的费用，需要临时占地的，应由承包人按第4.1.10 项（1）目的规定办理。</w:t>
      </w:r>
    </w:p>
    <w:p w14:paraId="4453542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6.3 要求承包人增加或更换施工设备</w:t>
      </w:r>
    </w:p>
    <w:p w14:paraId="3A8CC11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本款细化为： </w:t>
      </w:r>
    </w:p>
    <w:p w14:paraId="4824CAB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承诺的施工设备必须按时到达现场，不得拖延、缺短或任意更换。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w:t>
      </w:r>
    </w:p>
    <w:p w14:paraId="7C2824B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7. 交通运输</w:t>
      </w:r>
    </w:p>
    <w:p w14:paraId="3231B6B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7.1 道路通行权和场外设施</w:t>
      </w:r>
    </w:p>
    <w:p w14:paraId="0542E55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本款约定为： 承包人应根据合同工程的施工需要，负责办理取得出入施工场地的专用和临时道路的通行权，以及取得为工程建设所需修建场外设施的权利，并承担有关费用。 需要发包人协调时，发包人应协助承包人办理相关手续。</w:t>
      </w:r>
    </w:p>
    <w:p w14:paraId="18FA828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8. 测量放线</w:t>
      </w:r>
    </w:p>
    <w:p w14:paraId="6D43184F">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8.4 监理人使用施工控制网</w:t>
      </w:r>
    </w:p>
    <w:p w14:paraId="672695E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w:t>
      </w:r>
    </w:p>
    <w:p w14:paraId="758D983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经监理人批准，其他相关承包人也可免费使用施工控制网。</w:t>
      </w:r>
    </w:p>
    <w:p w14:paraId="39D4234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9. 施工安全、治安保卫和环境保护</w:t>
      </w:r>
    </w:p>
    <w:p w14:paraId="240DE87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9.2 承包人的施工安全责任</w:t>
      </w:r>
    </w:p>
    <w:p w14:paraId="000E8E0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9.2.1 项细化为：</w:t>
      </w:r>
    </w:p>
    <w:p w14:paraId="6A97961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448DEC3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承包人应根据本工程的实际安全施工要求，编制施工安全技术措施，并在签订合同协议书后 28 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p>
    <w:p w14:paraId="6C65F07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本项目需要编制专项施工方案的工程包括但不限于以下内容：</w:t>
      </w:r>
    </w:p>
    <w:p w14:paraId="3F45A40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（1）不良地质条件下有潜在危险性的土方、石方开挖；</w:t>
      </w:r>
    </w:p>
    <w:p w14:paraId="46FBCEA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（2）滑坡和高边坡处理；</w:t>
      </w:r>
    </w:p>
    <w:p w14:paraId="7E440E7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（3）桩基础、挡墙基础、深水基础及围堰工程；</w:t>
      </w:r>
    </w:p>
    <w:p w14:paraId="756D4A9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（4）桥梁工程中的梁、拱、柱等构件施工等；</w:t>
      </w:r>
    </w:p>
    <w:p w14:paraId="7E8BAD9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（5）隧道工程中的不良地质隧道、高瓦斯隧道等；</w:t>
      </w:r>
    </w:p>
    <w:p w14:paraId="2B77FDA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（6）水上工程中的打桩船作业、施工船作业、外海孤岛作业、边通航边施工作</w:t>
      </w:r>
    </w:p>
    <w:p w14:paraId="50136DF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业等；</w:t>
      </w:r>
    </w:p>
    <w:p w14:paraId="1DCBA9A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（7）水下工程中的水下焊接、混凝土浇筑、爆破工程等；</w:t>
      </w:r>
    </w:p>
    <w:p w14:paraId="019CD0B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（8）爆破工程；</w:t>
      </w:r>
    </w:p>
    <w:p w14:paraId="4CFA537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（9）大型临时工程中的大型支架、模板、便桥的架设与拆除；桥梁、码头的加固与拆除；</w:t>
      </w:r>
    </w:p>
    <w:p w14:paraId="402CD8A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（10）其他危险性较大的工程。</w:t>
      </w:r>
    </w:p>
    <w:p w14:paraId="422280C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监理人和发包人在检查中发现有安全问题或有违反安全管理规章制度的情况时，可视为承包人违约，应按第 22.1 款的规定办理。</w:t>
      </w:r>
    </w:p>
    <w:p w14:paraId="47CAB44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9.2.5 项细化为：</w:t>
      </w:r>
    </w:p>
    <w:p w14:paraId="1D8837D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除项目专用合同条款另有约定外，安全生产费用应为投标价（不含安全生产费及建筑工程一切险及第三者责任险的保险费）的 1.5%。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 3.5 款商定或确定。</w:t>
      </w:r>
    </w:p>
    <w:p w14:paraId="35644FB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9.2.8 项～第 9.2.11 项：</w:t>
      </w:r>
    </w:p>
    <w:p w14:paraId="4A2217E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9.2.8 承包人应充分关注和保障所有在现场工作的人员的安全，采取以下有效措施，使现场和本合同工程的实施保持有条不紊，以免使上述人员的安全受到威胁。</w:t>
      </w:r>
    </w:p>
    <w:p w14:paraId="7BDE0C1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（1）按《公路水运工程安全生产监督管理办法》规定的最低数量和资质条件配备专职安全生产管理人员；</w:t>
      </w:r>
    </w:p>
    <w:p w14:paraId="63C7BC3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p>
    <w:p w14:paraId="2BA257A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（3）所有施工机具设备和高空作业设备均应定期检查，并有安全员的签字记录；</w:t>
      </w:r>
    </w:p>
    <w:p w14:paraId="33A541C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（4）根据本合同各单位工程的施工特点，严格执行《公路水运工程安全生产监督管理办法》《公路工程施工安全技术规范》等有关规定。</w:t>
      </w:r>
    </w:p>
    <w:p w14:paraId="1EAFDF0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9.2.9 为了保护本合同工程免遭损坏，或为了现场附近和过往群众的安全与方便，在确有必要的时候和地方，或当监理人或有关主管部门要求时，承包人应自费提供照明、警卫、护栅、警告标志等安全防护设施。</w:t>
      </w:r>
    </w:p>
    <w:p w14:paraId="028274E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9.2.10 在通航水域施工时，承包人应与当地主管部门取得联系，设置必要的导航标志，及时发布航行通告，确保施工水域安全。</w:t>
      </w:r>
    </w:p>
    <w:p w14:paraId="2A7E25A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9.2.11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3EB7BA6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9.4环境保护</w:t>
      </w:r>
    </w:p>
    <w:p w14:paraId="72FBA54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9.4.7 项~第 9.4.11 项：</w:t>
      </w:r>
    </w:p>
    <w:p w14:paraId="4DD20D5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9.4.7 承包人应切实执行技术规范中有关环境保护方面的条款和规定。</w:t>
      </w:r>
    </w:p>
    <w:p w14:paraId="5FD2606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 150m 以内的施工现场，施工时间应加以控制。</w:t>
      </w:r>
    </w:p>
    <w:p w14:paraId="34DF191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（2）对于公路施工中粉尘污染的主要污染源―灰土拌和、施工车辆和筑路机械运行及运输产生的扬尘,应采取有效措施减轻其对施工现场的大气污染,保护人民健康，如：</w:t>
      </w:r>
    </w:p>
    <w:p w14:paraId="0A6D7CA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a.拌和设备应有较好的密封，或有防尘设备。</w:t>
      </w:r>
    </w:p>
    <w:p w14:paraId="40941F8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b.施工通道、沥青混凝土拌和站及灰土拌和站应经常进行洒水降尘。</w:t>
      </w:r>
    </w:p>
    <w:p w14:paraId="0C1221E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c.路面施工应注意保持水分，以免扬尘。</w:t>
      </w:r>
    </w:p>
    <w:p w14:paraId="2126EB1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d.隧道出渣和桥梁钻孔灌注桩施工时排出的泥浆要进行妥善处理，严禁向河流或农田排放。</w:t>
      </w:r>
    </w:p>
    <w:p w14:paraId="1E95B9B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（3）采取可靠措施保证原有交通的正常通行，维持沿线村镇的居民饮水、农田灌溉、生产生活用电及通信等管线的正常使用。</w:t>
      </w:r>
    </w:p>
    <w:p w14:paraId="4173270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9.4.8 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5906543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9.4.9 在施工期间，承包人应随时保持现场整洁，施工设备和材料、工程设备应整齐妥善存放和储存，废料与垃圾及不再需要的临时设施应及时从现场清除、拆除并运走。</w:t>
      </w:r>
    </w:p>
    <w:p w14:paraId="6392C50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9.4.10 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14:paraId="7F03EBD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9.4.11 承包人应严格按照国家有关法规要求，做好施工过程中的生态保护和水土保持工作。施工中要尽可能减少对原地面的扰动，减少对地面草木的破坏，需要爆破作业的，应按规定进行控爆设计。雨季填筑路基应随挖、随运、随填、随压，要完善施工中的临时排水系统，加强施工便道的管理。取（弃）土场必须先挡后弃，严禁在指定的取（弃）土场以外的地方乱挖乱弃。</w:t>
      </w:r>
    </w:p>
    <w:p w14:paraId="18473B7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10. 进度计划</w:t>
      </w:r>
    </w:p>
    <w:p w14:paraId="75E72371">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10.1 合同进度计划</w:t>
      </w:r>
    </w:p>
    <w:p w14:paraId="1A2C840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30C561F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承包人编制施工方案说明的内容见项目专用合同条款。</w:t>
      </w:r>
    </w:p>
    <w:p w14:paraId="18D6FE5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承包人向监理人报送施工进度计划和施工方案说明的期限：签订合同协议书后28 天之内。</w:t>
      </w:r>
    </w:p>
    <w:p w14:paraId="0805515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监理人应在14天内对承包人施工进度计划和施工方案说明予以批复或提出修改意见。</w:t>
      </w:r>
    </w:p>
    <w:p w14:paraId="25FAD57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合同进度计划应按照关键线路网络图和主要工作横道图两种形式分别编绘，并应包括每月预计完成的工作量和形象进度。</w:t>
      </w:r>
    </w:p>
    <w:p w14:paraId="0F11B75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10.2 合同进度计划的修订</w:t>
      </w:r>
    </w:p>
    <w:p w14:paraId="04BAD42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w:t>
      </w:r>
    </w:p>
    <w:p w14:paraId="19B26CB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承包人提交合同进度计划修订申请报告，并附有关措施和相关资料的期限：实际进度发生滞后的当月25日前。</w:t>
      </w:r>
    </w:p>
    <w:p w14:paraId="6BC88B5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监理人批复修订合同进度计划的期限：收到修订合同进度计划后14天内。</w:t>
      </w:r>
    </w:p>
    <w:p w14:paraId="632FE2D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 10.3 款、第 10.4 款：</w:t>
      </w:r>
    </w:p>
    <w:p w14:paraId="1E9B844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10.3 年度施工计划</w:t>
      </w:r>
    </w:p>
    <w:p w14:paraId="1570B229">
      <w:pPr>
        <w:keepNext w:val="0"/>
        <w:keepLines w:val="0"/>
        <w:pageBreakBefore w:val="0"/>
        <w:widowControl w:val="0"/>
        <w:kinsoku/>
        <w:wordWrap/>
        <w:overflowPunct/>
        <w:topLinePunct w:val="0"/>
        <w:autoSpaceDE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在每年11月底前，根据已同意的合同进度计划或其修订的计划，向监理人提交2份格式和内容符合监理人合理规定的下一年度的施工计划，以供审查。该计划应包括本年度估计完成的和下一年度预计完成的分项工程数量和工作量，以及为实施此计划将采取的措施。</w:t>
      </w:r>
    </w:p>
    <w:p w14:paraId="7AA3BF8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10.4 合同用款计划</w:t>
      </w:r>
    </w:p>
    <w:p w14:paraId="77D030B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在签订本合同协议书后28天之内，按招标文件中规定的格式，向监理人提交2份按合同规定承包人有权得到支付的详细的季度合同用款计划，以备监理人查阅。如果监理人提出要求，承包人还应按季度提交修订的合同用款计划。</w:t>
      </w:r>
    </w:p>
    <w:p w14:paraId="545F364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 开工和交工</w:t>
      </w:r>
    </w:p>
    <w:p w14:paraId="511A3C7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11.1 开工</w:t>
      </w:r>
    </w:p>
    <w:p w14:paraId="343AA3A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11.1.2 项补充：</w:t>
      </w:r>
    </w:p>
    <w:p w14:paraId="6AAAD9A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承包人应在分部工程开工前14天向监理人提交分部工程开工报审表，若承包人的开工准备、工作计划和质量控制方法是可接受的且已获得批准，则经监理人书面同意，分部工程才能开工。</w:t>
      </w:r>
    </w:p>
    <w:p w14:paraId="174C124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11.3 发包人的工期延误</w:t>
      </w:r>
    </w:p>
    <w:p w14:paraId="5F877BD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0A7370B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即使由于上述原因造成工期延误，如果受影响的工程并非处在工程施工进度网络计划的关键线路上，则承包人无权要求延长总工期。</w:t>
      </w:r>
    </w:p>
    <w:p w14:paraId="074BA848">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11.4 异常恶劣的气候条件</w:t>
      </w:r>
    </w:p>
    <w:p w14:paraId="148F819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w:t>
      </w:r>
    </w:p>
    <w:p w14:paraId="08E0A3C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异常气候是指项目所在地30年以上一遇的罕见气候现象（包括温度、降水、降雪、风等）。异常恶劣的气候条件在项目专用合同条款中作具体约定。</w:t>
      </w:r>
    </w:p>
    <w:p w14:paraId="0FC7C2C8">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11.5 承包人的工期延误</w:t>
      </w:r>
    </w:p>
    <w:p w14:paraId="7ABF980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14093C9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承包人应严格执行监理人批准的合同进度计划，对工作量计划和形象进度计划分别控制。除第11.3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6EDDCCE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如果承包人在接到监理人通知后的14天内，未能采取加快工程进度的措施，致使实际工程进度进一步滞后，或承包人虽采取了一些措施，仍无法按预计工期交工时，监理人应立即通知发包人。发包人在向承包人发出书面警告通知14天后，发包人可按第22.1款终止对承包人的雇用，也可将本合同工程中的一部分工作交由其他承包人或其他分包人完成。在不解除本合同规定的承包人责任和义务的同时，承包人应承担因此所增加的一切费用。</w:t>
      </w:r>
    </w:p>
    <w:p w14:paraId="0E03437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由于承包人原因造成工期延误，承包人应支付逾期交工违约金。逾期交工违约金的计算方法在项目专用合同条款数据表中约定，时间自预定的交工日期起到交工验收证书中写明的实际交工日期止（扣除已批准的延长工期），按天计算。逾期交工违约金累计金额最高不超过项目专用合同条款数据表中写明的限额。发包人可以从应付或到期应付给承包人的任何款项中或采用其他方法扣除此违约金。</w:t>
      </w:r>
    </w:p>
    <w:p w14:paraId="3521555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（4）承包人支付逾期交工违约金，不免除承包人完成工程及修补缺陷的义务。</w:t>
      </w:r>
    </w:p>
    <w:p w14:paraId="51CBF89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限额。</w:t>
      </w:r>
    </w:p>
    <w:p w14:paraId="5B654FA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11.6 工期提前</w:t>
      </w:r>
    </w:p>
    <w:p w14:paraId="54F9A79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36FFFAC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发包人不得随意要求承包人提前交工，承包人也不得随意提出提前交工的建议。如遇特殊情况，确需将工期提前的，发包人和承包人必须采取有效措施，确保工程质量。</w:t>
      </w:r>
    </w:p>
    <w:p w14:paraId="462BF74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如果承包人提前交工，发包人支付奖金的计算方法在项目专用合同条款数据表中约定，时间自交工验收证书中写明的实际交工日期起至预定的交工日期止，按天计算。但奖金最高限额不超过项目专用合同条款数据表中写明的限额。</w:t>
      </w:r>
    </w:p>
    <w:p w14:paraId="301ED2F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本条补充第11.7款：</w:t>
      </w:r>
    </w:p>
    <w:p w14:paraId="3C0D8C9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11.7 工作时间的限制</w:t>
      </w:r>
    </w:p>
    <w:p w14:paraId="3F9E512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承包人在夜间或国家规定的节假日进行永久工程的施工，应向监理人报告，以便监理人履行监理职责和义务。 </w:t>
      </w:r>
    </w:p>
    <w:p w14:paraId="28A7A7B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但是，为了抢救生命或保护财产，或为了工程的安全、质量而不可避免地短暂作业，则不必事先向监理人报告。但承包人应在事后立即向监理人报告。</w:t>
      </w:r>
    </w:p>
    <w:p w14:paraId="61CA492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本款规定不适用于习惯上或施工本身要求实行连续生产的作业。</w:t>
      </w:r>
    </w:p>
    <w:p w14:paraId="1C5587B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12. 暂停施工</w:t>
      </w:r>
    </w:p>
    <w:p w14:paraId="436C38F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12.1 承包人暂停施工的责任</w:t>
      </w:r>
    </w:p>
    <w:p w14:paraId="11EFC00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本款第（5）项细化为：</w:t>
      </w:r>
    </w:p>
    <w:p w14:paraId="42038E9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（5）现场气候条件导致的必要停工（第11.4款约定的异常恶劣的气候条件除外）；</w:t>
      </w:r>
    </w:p>
    <w:p w14:paraId="595E3B6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（6）项目专用合同条款可能约定的由承包人承担的其他暂停施工。</w:t>
      </w:r>
    </w:p>
    <w:p w14:paraId="261D3CD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13. 工程质量</w:t>
      </w:r>
    </w:p>
    <w:p w14:paraId="1394E0DF">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13.1 工程质量要求</w:t>
      </w:r>
    </w:p>
    <w:p w14:paraId="0C88FF8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13.1.1 项约定为：</w:t>
      </w:r>
    </w:p>
    <w:p w14:paraId="0315EE1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工程质量验收按技术规范及《公路</w:t>
      </w:r>
      <w:r>
        <w:rPr>
          <w:rFonts w:hint="eastAsia" w:ascii="宋体" w:hAnsi="宋体"/>
          <w:color w:val="auto"/>
          <w:sz w:val="24"/>
          <w:szCs w:val="24"/>
          <w:highlight w:val="none"/>
          <w:lang w:eastAsia="zh-CN"/>
        </w:rPr>
        <w:t>养护</w:t>
      </w:r>
      <w:r>
        <w:rPr>
          <w:rFonts w:hint="eastAsia" w:ascii="宋体" w:hAnsi="宋体"/>
          <w:color w:val="auto"/>
          <w:sz w:val="24"/>
          <w:szCs w:val="24"/>
          <w:highlight w:val="none"/>
        </w:rPr>
        <w:t>工程质量检验评定标准》执行。</w:t>
      </w:r>
    </w:p>
    <w:p w14:paraId="7D291ED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13.1.4 项、第 13.1.5 项：</w:t>
      </w:r>
    </w:p>
    <w:p w14:paraId="481CB68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13.1.4 发包人和承包人应严格遵守《关于严格落实公路工程质量责任制的若干意见》的相关规定，认真执行工程质量责任登记制度并按要求填写工程质量责任登记表。</w:t>
      </w:r>
    </w:p>
    <w:p w14:paraId="42C1964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13.1.5 本项目严格执行质量责任追究制度。质量事故处理实行“四不放过”原则：事故原因调查不清不放过；事故责任者没有受到教育不放过；没有防范措施不放过；相关责任人没受到处理不放过。</w:t>
      </w:r>
    </w:p>
    <w:p w14:paraId="450CA69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13.2 承包人的质量管理</w:t>
      </w:r>
    </w:p>
    <w:p w14:paraId="594156B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13.2.1 项补充：</w:t>
      </w:r>
    </w:p>
    <w:p w14:paraId="2264BEF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承包人提交工程质量保证措施文件的期限：签订合同协议书后28天之内。</w:t>
      </w:r>
    </w:p>
    <w:p w14:paraId="7402209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13.2.3 项～第 13.2.10 项：</w:t>
      </w:r>
    </w:p>
    <w:p w14:paraId="747D90A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13.2.3 公路工程施行质量责任终身制。承包人应当书面明确相应的项目负责人和质量负责人。承包人的相关人员按照国家法律法规和有关规定在工程合理使用年限内承担相应的质量责任。</w:t>
      </w:r>
    </w:p>
    <w:p w14:paraId="0DACAB9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13.2.4 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p>
    <w:p w14:paraId="09DF216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13.2.5 承包人对工程施工质量负责，应当按合同约定设立现场质量管理机构、配备工程技术人员和质量管理人员，落实工程施工质量责任制。</w:t>
      </w:r>
    </w:p>
    <w:p w14:paraId="58F22D7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13.2.6 承包人应当严格按照工程设计图纸、施工技术标准和合同约定施工，对原材料、混合料、构配件、工程实体、机电设备等进行检验；按规定施行班组自检、工序交接检、专职质检员检验的质量控制程序；对分项工程、分部工程和单位工程进行质量自评。检验或者自评不合格的，不得进入下道工序或者投入使用。</w:t>
      </w:r>
    </w:p>
    <w:p w14:paraId="50D4AC9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13.2.7 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p>
    <w:p w14:paraId="3DF2463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13.2.8 承包人应当按照合同约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p>
    <w:p w14:paraId="55DEA78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13.2.9 承包人应当依法规范分包行为，并对承担的工程质量负总责，分包单位对分包合同范围内的工程质量负责。</w:t>
      </w:r>
    </w:p>
    <w:p w14:paraId="0FA48B3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13.2.10 承包人驻工程现场机构应在现场驻地和重要的分部、分项工程施工现场设置明显的工程质量责任登记表公示牌。</w:t>
      </w:r>
    </w:p>
    <w:p w14:paraId="34168E7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13.4 监理人的质量检查</w:t>
      </w:r>
    </w:p>
    <w:p w14:paraId="3BE38D8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0BA9CA7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监理人及其委派的检验人员，应能进入工程现场，以及材料或工程设备的制造、加工或制配的车间和场所，包括不属于承包人的车间或场所进行检查，承包人应为此提供便利和协助。</w:t>
      </w:r>
    </w:p>
    <w:p w14:paraId="4F8B8B1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监理人可以将材料或工程设备的检查和检验委托给一家独立的有质量检验认证资格的检验单位。该独立检验单位的检验结果应视为监理人完成的。监理人应将这种委托的通知书不少于7天前交给承包人。</w:t>
      </w:r>
    </w:p>
    <w:p w14:paraId="6871FDF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13.5 工程隐蔽部位覆盖前的检查</w:t>
      </w:r>
    </w:p>
    <w:p w14:paraId="444AC50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13.5.1 项补充：</w:t>
      </w:r>
    </w:p>
    <w:p w14:paraId="00469AC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当监理人有指令时，承包人应对重要隐蔽工程进行拍摄或照相并应保证监理人有充分的机会对将要覆盖或掩蔽的工程进行检查和量测，特别是在基础以上的任一部分工程修筑之前，对该基础进行检查。</w:t>
      </w:r>
    </w:p>
    <w:p w14:paraId="566AD2D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13.6 清除不合格工程</w:t>
      </w:r>
    </w:p>
    <w:p w14:paraId="24B82DB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13.6.1 项细化为：</w:t>
      </w:r>
    </w:p>
    <w:p w14:paraId="12670D3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承包人使用不合格材料、工程设备，或采用不适当的施工工艺，或施工不当，造成工程不合格的，监理人可以随时发出指示，要求承包人立即采取措施进行替换、补救或拆除重建，直至达到合同要求的质量标准，由此增加的费用和（或）工期延误由承包人承担。</w:t>
      </w:r>
    </w:p>
    <w:p w14:paraId="5165233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（2）如果承包人未在规定时间内执行监理人的指示，发包人有权雇用他人执行，由此增加的费用和（或）工期延误由承包人承担。</w:t>
      </w:r>
    </w:p>
    <w:p w14:paraId="219C854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14. 试验和检验</w:t>
      </w:r>
    </w:p>
    <w:p w14:paraId="2B19EF1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 14.4 款：</w:t>
      </w:r>
    </w:p>
    <w:p w14:paraId="7138D78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14.4 试验和检验费用</w:t>
      </w:r>
    </w:p>
    <w:p w14:paraId="3D7DF41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1）承包人应负责提供合同和技术规范规定的试验和检验所需的全部样品，并承担其费用。</w:t>
      </w:r>
    </w:p>
    <w:p w14:paraId="62CDE99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（2）在合同中明确规定的试验和检验，包括无须在工程量清单中单独列项和已在工程量清单中单独列项的试验和检验，其试验和检验的费用由承包人承担。</w:t>
      </w:r>
    </w:p>
    <w:p w14:paraId="4AFA6C1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p>
    <w:p w14:paraId="49F1D80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 变更</w:t>
      </w:r>
    </w:p>
    <w:p w14:paraId="7E88550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15.1 变更的范围和内容</w:t>
      </w:r>
    </w:p>
    <w:p w14:paraId="59812ED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本款第（1）项细化为：</w:t>
      </w:r>
    </w:p>
    <w:p w14:paraId="520A3DA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（1）取消合同中任何一项工作，但被取消的工作不能转由发包人或其他人实施，由于承包人违约造成的情况除外；</w:t>
      </w:r>
    </w:p>
    <w:p w14:paraId="4D3F77C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15.3 变更程序</w:t>
      </w:r>
    </w:p>
    <w:p w14:paraId="2B022A6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15.3.4 项：</w:t>
      </w:r>
    </w:p>
    <w:p w14:paraId="145022F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15.3.4 设计变更程序应执行《公路工程设计变更管理办法》的相关规定。</w:t>
      </w:r>
    </w:p>
    <w:p w14:paraId="183E490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15.4 变更的估价原则</w:t>
      </w:r>
    </w:p>
    <w:p w14:paraId="13773A0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4A70B2E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除项目专用合同条款另有约定外，因变更引起的价格调整按照本款约定处理。</w:t>
      </w:r>
    </w:p>
    <w:p w14:paraId="195A4F6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15.4.1 如果取消某项工作，则该项工作的总额价不予支付。</w:t>
      </w:r>
    </w:p>
    <w:p w14:paraId="1782547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15.4.2 已标价工程量清单中有适用于变更工作的子目的，采用该子目的单价。</w:t>
      </w:r>
    </w:p>
    <w:p w14:paraId="15A7066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15.4.3 已标价工程量清单中无适用于变更工作的子目，但有类似子目的，可在合理范围内参照类似子目的单价，由监理人按第3.5款商定或确定变更工作的单价。</w:t>
      </w:r>
    </w:p>
    <w:p w14:paraId="333D66A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15.4.4 已标价工程量清单中无适用或类似子目的单价，可在综合考虑承包人在投标时所提供的单价分析表的基础上，由监理人按第3.5款商定或确定变更工作的单价。</w:t>
      </w:r>
    </w:p>
    <w:p w14:paraId="0EBD9EA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15.4.5 如果本工程的变更指示是因承包人过错、承包人违反合同或承包人责任造成的，则这种违约引起的任何额外费用应由承包人承担。</w:t>
      </w:r>
    </w:p>
    <w:p w14:paraId="0117EC91">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15.5 承包人的合理化建议</w:t>
      </w:r>
    </w:p>
    <w:p w14:paraId="1AEC327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15.5.2 项约定为：</w:t>
      </w:r>
    </w:p>
    <w:p w14:paraId="639BBAF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承包人提出的合理化建议缩短了工期，发包人按第 11.6 款的规定给予奖励。</w:t>
      </w:r>
    </w:p>
    <w:p w14:paraId="124BDA3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承包人提出的合理化建议降低了合同价格或者提高了工程经济效益的，发包人按项目专用合同条款数据表中规定的金额给予奖励。</w:t>
      </w:r>
    </w:p>
    <w:p w14:paraId="509F35F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15.6 暂列金额</w:t>
      </w:r>
    </w:p>
    <w:p w14:paraId="1FE3738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4EAF186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15.6.1 暂列金额应由监理人报发包人批准后指令全部或部分地使用，或者根本不予动用。</w:t>
      </w:r>
    </w:p>
    <w:p w14:paraId="7421655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15.6.2 对于经发包人批准的每一笔暂列金额，监理人有权向承包人发出实施工程或提供材料、工程设备或服务的指令。这些指令应由承包人完成，监理人应根据第15.4款约定的变更估价原则和第15.7款的规定，对合同价格进行相应调整。</w:t>
      </w:r>
    </w:p>
    <w:p w14:paraId="01B4FDE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15.6.3 当监理人提出要求时，承包人应提供有关暂列金额支出的所有报价单、发 票、凭证和账单或收据，除非该工作是根据已标价工程量清单列明的单价或总额价进行的估价。</w:t>
      </w:r>
    </w:p>
    <w:p w14:paraId="3553C51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16. 价格调整</w:t>
      </w:r>
    </w:p>
    <w:p w14:paraId="0D2FCEB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16.1 物价波动引起的价格调整</w:t>
      </w:r>
    </w:p>
    <w:p w14:paraId="660132B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本款约定为：</w:t>
      </w:r>
    </w:p>
    <w:p w14:paraId="4352B58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（1）除项目专用合同条款另有约定外，因物价波动引起的价格调整应按项目专用合同条款数据表的规定，按照第16.1.1项或第16.1.2项约定的原则处理；</w:t>
      </w:r>
    </w:p>
    <w:p w14:paraId="4DC085B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（2）在合同执行期间（包括工期拖延期间）由于人工、材料和设备价格的上涨而引起工程施工成本增加的风险由承包人自行承担，合同价格不会因此而调整。</w:t>
      </w:r>
    </w:p>
    <w:p w14:paraId="15EE8B5C">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16.1.1 采用价格指数调整价格差额</w:t>
      </w:r>
    </w:p>
    <w:p w14:paraId="0912ADF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16.1.1.1 价格调整公式</w:t>
      </w:r>
    </w:p>
    <w:p w14:paraId="050AA3C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价格调整公式后增加备注如下：</w:t>
      </w:r>
    </w:p>
    <w:p w14:paraId="1A83BB2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式中，A=1－（B</w:t>
      </w:r>
      <w:r>
        <w:rPr>
          <w:rFonts w:hint="eastAsia" w:ascii="宋体" w:hAnsi="宋体"/>
          <w:color w:val="auto"/>
          <w:sz w:val="18"/>
          <w:szCs w:val="18"/>
          <w:highlight w:val="none"/>
        </w:rPr>
        <w:t>1</w:t>
      </w:r>
      <w:r>
        <w:rPr>
          <w:rFonts w:hint="eastAsia" w:ascii="宋体" w:hAnsi="宋体"/>
          <w:color w:val="auto"/>
          <w:sz w:val="24"/>
          <w:szCs w:val="24"/>
          <w:highlight w:val="none"/>
        </w:rPr>
        <w:t>＋B</w:t>
      </w:r>
      <w:r>
        <w:rPr>
          <w:rFonts w:hint="eastAsia" w:ascii="宋体" w:hAnsi="宋体"/>
          <w:color w:val="auto"/>
          <w:sz w:val="18"/>
          <w:szCs w:val="18"/>
          <w:highlight w:val="none"/>
        </w:rPr>
        <w:t>2</w:t>
      </w:r>
      <w:r>
        <w:rPr>
          <w:rFonts w:hint="eastAsia" w:ascii="宋体" w:hAnsi="宋体"/>
          <w:color w:val="auto"/>
          <w:sz w:val="24"/>
          <w:szCs w:val="24"/>
          <w:highlight w:val="none"/>
        </w:rPr>
        <w:t>＋B</w:t>
      </w:r>
      <w:r>
        <w:rPr>
          <w:rFonts w:hint="eastAsia" w:ascii="宋体" w:hAnsi="宋体"/>
          <w:color w:val="auto"/>
          <w:sz w:val="18"/>
          <w:szCs w:val="18"/>
          <w:highlight w:val="none"/>
        </w:rPr>
        <w:t>3</w:t>
      </w:r>
      <w:r>
        <w:rPr>
          <w:rFonts w:hint="eastAsia" w:ascii="宋体" w:hAnsi="宋体"/>
          <w:color w:val="auto"/>
          <w:sz w:val="24"/>
          <w:szCs w:val="24"/>
          <w:highlight w:val="none"/>
        </w:rPr>
        <w:t>＋……＋B</w:t>
      </w:r>
      <w:r>
        <w:rPr>
          <w:rFonts w:hint="eastAsia" w:ascii="宋体" w:hAnsi="宋体"/>
          <w:color w:val="auto"/>
          <w:sz w:val="18"/>
          <w:szCs w:val="18"/>
          <w:highlight w:val="none"/>
        </w:rPr>
        <w:t>n</w:t>
      </w:r>
      <w:r>
        <w:rPr>
          <w:rFonts w:hint="eastAsia" w:ascii="宋体" w:hAnsi="宋体"/>
          <w:color w:val="auto"/>
          <w:sz w:val="24"/>
          <w:szCs w:val="24"/>
          <w:highlight w:val="none"/>
        </w:rPr>
        <w:t>）。</w:t>
      </w:r>
    </w:p>
    <w:p w14:paraId="6730D7B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本目最后一段文字细化为：</w:t>
      </w:r>
    </w:p>
    <w:p w14:paraId="621C728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在采用价格调整公式进行调价时，还应遵守以下规定：</w:t>
      </w:r>
    </w:p>
    <w:p w14:paraId="2B17263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以上价格调整公式中的各可调因子、定值权重，以及基本价格指数及其来源由发包人在投标函附录价格指数和权重表中约定。价格指数应首先采用国家或省、自治区、直辖市价格部门或统计部门提供的价格指数，缺乏上述价格指数时，可采用上述部门提供的价格代替。</w:t>
      </w:r>
    </w:p>
    <w:p w14:paraId="0352269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价格调整公式中的变值权重，由发包人根据项目实际情况测算确定范围，并在投标函附录价格指数和权重表中约定范围；承包人在投标时在此范围内填写各可调因子的权重，合同实施期间将按此权重进行调价。</w:t>
      </w:r>
    </w:p>
    <w:p w14:paraId="122E16C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17. 计量与支付</w:t>
      </w:r>
    </w:p>
    <w:p w14:paraId="7183BF2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17.1 计量</w:t>
      </w:r>
    </w:p>
    <w:p w14:paraId="218CF9F9">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17.1.2 计量方法</w:t>
      </w:r>
    </w:p>
    <w:p w14:paraId="242DE34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本项约定为：</w:t>
      </w:r>
    </w:p>
    <w:p w14:paraId="234B80E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工程的计量应以净值为准，除非项目专用合同条款另有约定。工程量清单中各个子目的具体计量方法按本合同文件工程量清单计量规则中的规定执行。</w:t>
      </w:r>
    </w:p>
    <w:p w14:paraId="2C716625">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17.1.4 单价子目的计量</w:t>
      </w:r>
    </w:p>
    <w:p w14:paraId="06ECD95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w:t>
      </w:r>
    </w:p>
    <w:p w14:paraId="25A3D0B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（7）承包人未在已标价工程量清单中填入单价或总额价的工程子目，将被认为其已包含在本合同的其他子目的单价和总额价中，发包人将不另行支付。</w:t>
      </w:r>
    </w:p>
    <w:p w14:paraId="1F03014F">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17.1.5 总价子目的计量</w:t>
      </w:r>
    </w:p>
    <w:p w14:paraId="73E8EE5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w:t>
      </w:r>
    </w:p>
    <w:p w14:paraId="6A783B1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本项目工程量清单中要求承包人以“总额”方式报价的子目，各子目的支付原则和支付进度按项目专用合同条款的规定执行。</w:t>
      </w:r>
    </w:p>
    <w:p w14:paraId="73336EA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17.2预付款</w:t>
      </w:r>
    </w:p>
    <w:p w14:paraId="45A44A34">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17.2.1预付款</w:t>
      </w:r>
    </w:p>
    <w:p w14:paraId="715508B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本项约定为：</w:t>
      </w:r>
    </w:p>
    <w:p w14:paraId="20411E5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预付款包括开工预付款和材料、设备预付款。具体额度和预付办法如下：</w:t>
      </w:r>
    </w:p>
    <w:p w14:paraId="5906075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（1）开工预付款的金额在项目专用合同条款数据表中约定。在承包人签订了合同协议书且承包人承诺的主要设备进场后，监理人应在当期进度付款证书中向承包人支付开工预付款。</w:t>
      </w:r>
    </w:p>
    <w:p w14:paraId="1373E49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承包人不得将该预付款用于与本工程无关的支出，监理人有权监督承包人对该项费用的使用，如经查实承包人滥用开工预付款，发包人有权立即向银行索赔履约保证金，并解除合同。</w:t>
      </w:r>
    </w:p>
    <w:p w14:paraId="4177F90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（2）材料、设备预付款按项目专用合同条款数据表中所列主要材料、设备单据费用（进口的材料、设备为到岸价，国内采购的为出厂价或销售价，地方材料为堆场价）的百分比支付。其预付条件为：</w:t>
      </w:r>
    </w:p>
    <w:p w14:paraId="1904BAB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a.材料、设备符合规范要求并经监理人认可；</w:t>
      </w:r>
    </w:p>
    <w:p w14:paraId="1FC0EFE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b.承包人已出具材料、设备费用凭证或支付单据；</w:t>
      </w:r>
    </w:p>
    <w:p w14:paraId="6F5994F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c.材料、设备已在现场交货，且存储良好，监理人认为材料、设备的存储方法符合要求。</w:t>
      </w:r>
    </w:p>
    <w:p w14:paraId="5F15666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则监理人应将此项金额作为材料、设备预付款计入下一次的进度付款证书中。在预计交工前3个月，将不再支付材料、设备预付款。</w:t>
      </w:r>
    </w:p>
    <w:p w14:paraId="0B29B406">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17.2.2 预付款保函</w:t>
      </w:r>
    </w:p>
    <w:p w14:paraId="00B39E3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52D2653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承包人无须向发包人提交预付款保函。发包人向承包人支付的预付款，应按照本合同第 17.2.1 项规定使用，承包人提交的履约保证金对预付款的正常使用承担保证责任。</w:t>
      </w:r>
    </w:p>
    <w:p w14:paraId="1102BF8F">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17.2.3 预付款的扣回与还清</w:t>
      </w:r>
    </w:p>
    <w:p w14:paraId="196E28C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本项约定为：</w:t>
      </w:r>
    </w:p>
    <w:p w14:paraId="70A3E84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开工预付款在进度付款证书的累计金额未达到签约合同价的30%之前不予扣回，在达到签约合同价30%之后，开始按工程进度以固定比例（即每完成签约合同价的1%，扣回开工预付款的2%）分期从各月的进度付款证书中扣回，全部金额在进度付款证书的累计金额达到签约合同价的80%时扣完。</w:t>
      </w:r>
    </w:p>
    <w:p w14:paraId="69A7C88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（2）当材料、设备已用于或安装在永久工程之中时，材料、设备预付款应从进度付款证书中扣回，扣回期不超过3个月。已经支付材料、设备预付款的材料、设备的所有权应属于发包人。</w:t>
      </w:r>
    </w:p>
    <w:p w14:paraId="0697B2D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17.3 工程进度付款</w:t>
      </w:r>
    </w:p>
    <w:p w14:paraId="4E0BE856">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17.3.3 进度付款证书和支付时间</w:t>
      </w:r>
    </w:p>
    <w:p w14:paraId="5280131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本项（1）目补充：</w:t>
      </w:r>
    </w:p>
    <w:p w14:paraId="2F8B901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410F52F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本项（2）目细化为：</w:t>
      </w:r>
    </w:p>
    <w:p w14:paraId="54C8426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发包人应在监理人收到进度付款申请单且承包人提交了合格的增值税专用发票后的28天内，将进度应付款支付给承包人。</w:t>
      </w:r>
    </w:p>
    <w:p w14:paraId="655D040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发包人不按期支付的，按项目专用合同条款数据表中约定的利率向承包人支付逾期付款违约金。违约金计算基数为发包人的全部未付款额，时间从应付而未付该款额之日算起（不计复利）。</w:t>
      </w:r>
    </w:p>
    <w:p w14:paraId="38CCDF7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17.3.5 项：</w:t>
      </w:r>
    </w:p>
    <w:p w14:paraId="33CB00EF">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17.3.5 农民工工资保证金</w:t>
      </w:r>
    </w:p>
    <w:p w14:paraId="060B029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（1）为确保施工过程中农民工工资实时、足额发放到位，承包人应按照项目专用合同条款约定的时间和金额缴存农民工工资保证金。</w:t>
      </w:r>
    </w:p>
    <w:p w14:paraId="68E6470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（2）农民工工资保证金可采用银行保函或现金、支票形式。采用银行保函时，出具保函的银行须具有相应担保能力，且按照发包人批准的格式出具，所需费用由承包人承担。</w:t>
      </w:r>
    </w:p>
    <w:p w14:paraId="7FB15FA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（3）农民工工资保证金的扣留条件、返还时间按照项目专用合同条款的约定执行。</w:t>
      </w:r>
    </w:p>
    <w:p w14:paraId="3013FEC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17.4质量保证金</w:t>
      </w:r>
    </w:p>
    <w:p w14:paraId="6B3F1B8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17.4.1 项、第 17.4.2 项细化为：</w:t>
      </w:r>
    </w:p>
    <w:p w14:paraId="4096202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17.4.1 交工验收证书签发后14天内，承包人应向发包人缴纳质量保证金。质量保证金可采用银行保函或现金、支票形式，金额应符合项目专用合同条款数据表的规定。采用银行保函时，出具保函的银行须具有相应担保能力，且按照发包人批准的格式出具，所需费用由承包人承担。</w:t>
      </w:r>
    </w:p>
    <w:p w14:paraId="0DCFD1F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质量保证金采用现金、支票形式提交的，发包人应在项目专用合同条款数据表中明确是否计付利息以及利息的计算方式。</w:t>
      </w:r>
    </w:p>
    <w:p w14:paraId="63A8A2A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17.4.2 在第 1.1.4.5 目约定的缺陷责任期满，且质量监督机构已按规定对工程质 量检测鉴定合格，承包人向发包人申请到期应返还承包人剩余的质量保证金金额，发包人应在14天内会同承包人按照合同约定的内容核实承包人是否完成缺陷责任。如无异议，发包人应当在核实后将剩余保证金返还承包人。</w:t>
      </w:r>
    </w:p>
    <w:p w14:paraId="0714576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17.5交工结算</w:t>
      </w:r>
    </w:p>
    <w:p w14:paraId="3B2E9CC0">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17.5.1交工付款申请单</w:t>
      </w:r>
    </w:p>
    <w:p w14:paraId="7B84A08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本项（1）目约定为：</w:t>
      </w:r>
    </w:p>
    <w:p w14:paraId="463D9BF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承包人向监理人提交交工付款申请单（包括相关证明材料）的份数在项目专用合同条款数据表中约定；期限：交工验收证书签发后42天内。</w:t>
      </w:r>
    </w:p>
    <w:p w14:paraId="2C1EF050">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17.5.2 交工付款证书及支付时间</w:t>
      </w:r>
    </w:p>
    <w:p w14:paraId="003CC82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本项（2）目细化为：</w:t>
      </w:r>
    </w:p>
    <w:p w14:paraId="28AB110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发包人应在监理人出具交工付款证书且承包人提交了合格的增值税专用发票后的14天内，将应支付款支付给承包人。发包人不按期支付的，按第 17.3.3（2）目的约定，将逾期付款违约金支付给承包人。</w:t>
      </w:r>
    </w:p>
    <w:p w14:paraId="2CA81FD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17.6 最终结清</w:t>
      </w:r>
    </w:p>
    <w:p w14:paraId="6C0EAA6F">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17.6.1 最终结清申请单</w:t>
      </w:r>
    </w:p>
    <w:p w14:paraId="715BAD9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本项（1）目约定为：</w:t>
      </w:r>
    </w:p>
    <w:p w14:paraId="3BEA5DC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承包人向监理人提交最终结清申请单（包括相关证明材料）的份数在项目专用合同条款数据表中约定；期限：缺陷责任期终止证书签发后28天内。</w:t>
      </w:r>
    </w:p>
    <w:p w14:paraId="18E9547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最终结清申请单中的总金额应认为是代表了根据合同规定应付给承包人的全部款项的最后结算。</w:t>
      </w:r>
    </w:p>
    <w:p w14:paraId="14454216">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17.6.2 最终结清证书和支付时</w:t>
      </w:r>
      <w:r>
        <w:rPr>
          <w:rFonts w:hint="eastAsia" w:ascii="宋体" w:hAnsi="宋体"/>
          <w:color w:val="auto"/>
          <w:sz w:val="24"/>
          <w:szCs w:val="24"/>
          <w:highlight w:val="none"/>
        </w:rPr>
        <w:t>间</w:t>
      </w:r>
    </w:p>
    <w:p w14:paraId="6F51C19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本项（2）目细化为：</w:t>
      </w:r>
    </w:p>
    <w:p w14:paraId="44D4FBB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（2）发包人应在监理人出具最终结清证书且承包人提交了合格的增值税专用发票后的14天内，将应支付款支付给承包人。发包人不按期支付的，按第 17.3.3（2）目的约定，将逾期付款违约金支付给承包人。</w:t>
      </w:r>
    </w:p>
    <w:p w14:paraId="2648A74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18. 交工验收</w:t>
      </w:r>
    </w:p>
    <w:p w14:paraId="012EBDE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18.2 交工验收申请报告</w:t>
      </w:r>
    </w:p>
    <w:p w14:paraId="398DDAD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本款第（2）项约定为： </w:t>
      </w:r>
    </w:p>
    <w:p w14:paraId="440C084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竣工资料的内容：承包人应按照《公路工程竣（交）工验收办法》和相关规定编制竣工资料。</w:t>
      </w:r>
    </w:p>
    <w:p w14:paraId="502E846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竣工资料的份数在项目专用合同条款数据表中约定。</w:t>
      </w:r>
    </w:p>
    <w:p w14:paraId="643B7B0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18.3 验收</w:t>
      </w:r>
    </w:p>
    <w:p w14:paraId="52C0476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18.3.2 项补充：</w:t>
      </w:r>
    </w:p>
    <w:p w14:paraId="21E3C15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交工验收由发包人主持，由发包人、监理人、质监、设计、施工、运营、管理养护等有关部门代表组成交工验收小组，对本项目的工程质量进行评定，并写出交工验收报告报交通运输主管部门备案。承包人应按发包人的要求提交竣工资料，完成交工验收准备工作。</w:t>
      </w:r>
    </w:p>
    <w:p w14:paraId="0DD8472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18.3.5 项约定为：</w:t>
      </w:r>
    </w:p>
    <w:p w14:paraId="27952A5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经验收合格工程的实际交工日期，以最终提交交工验收申请报告的日期为准，并在交工验收证书中写明。</w:t>
      </w:r>
    </w:p>
    <w:p w14:paraId="73ABC82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本款补充第18.3.7项：</w:t>
      </w:r>
    </w:p>
    <w:p w14:paraId="21DE1BD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18.3.7 组织办理交工验收和签发交工验收证书的费用由发包人承担。但按照第 18.3.4项规定达不到合格标准的交工验收费用由承包人承担。</w:t>
      </w:r>
    </w:p>
    <w:p w14:paraId="655ECEE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 18.9 款：</w:t>
      </w:r>
    </w:p>
    <w:p w14:paraId="229987B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18.9 竣工文件</w:t>
      </w:r>
    </w:p>
    <w:p w14:paraId="5A81532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承包人应按照《公路工程竣（交）工验收办法》的相关规定，在缺陷责任期内为竣工验收补充竣工资料，并在签发缺陷责任期终止证书之前提交。</w:t>
      </w:r>
    </w:p>
    <w:p w14:paraId="24C1A7D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19. 缺陷责任与保修责任</w:t>
      </w:r>
    </w:p>
    <w:p w14:paraId="17A6ABC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19.2 缺陷责任</w:t>
      </w:r>
    </w:p>
    <w:p w14:paraId="25C2D30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19.2.2 项补充：</w:t>
      </w:r>
    </w:p>
    <w:p w14:paraId="1F6817C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在缺陷责任期内，承包人应尽快完成在交工验收证书中写明的未完成工作，并完成对本工程缺陷的修复或监理人指令的修补工作。</w:t>
      </w:r>
    </w:p>
    <w:p w14:paraId="1E88611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19.5 承包人的进入权</w:t>
      </w:r>
    </w:p>
    <w:p w14:paraId="1C2F3D6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1CEA973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承包人在缺陷修复施工过程中，应服从管养单位的有关安全管理规定，由于承包人自身原因造成的人员伤亡、设备和材料的损毁及罚款等责任由承包人自负。</w:t>
      </w:r>
    </w:p>
    <w:p w14:paraId="7C37EED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19.7 保修责任</w:t>
      </w:r>
    </w:p>
    <w:p w14:paraId="30F3F0F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3BE85A7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58F5636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（2）在全部工程交工验收前，已经发包人提前验收的单位工程，其保修期的起算日期相应提前。</w:t>
      </w:r>
    </w:p>
    <w:p w14:paraId="3832C1B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（3）工程保修期终止后28天内，监理人签发保修期终止证书。</w:t>
      </w:r>
    </w:p>
    <w:p w14:paraId="36C9D61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（4）若承包人不履行保修义务和责任，则承包人应承担由于违约造成的法律后果，并由发包人将其违约行为上报省级交通运输主管部门，作为不良记录纳入</w:t>
      </w:r>
      <w:r>
        <w:rPr>
          <w:rFonts w:hint="eastAsia" w:ascii="宋体" w:hAnsi="宋体"/>
          <w:color w:val="auto"/>
          <w:sz w:val="24"/>
          <w:szCs w:val="24"/>
          <w:highlight w:val="none"/>
          <w:lang w:eastAsia="zh-CN"/>
        </w:rPr>
        <w:t>全国公路建设市场监督管理系统</w:t>
      </w:r>
      <w:r>
        <w:rPr>
          <w:rFonts w:hint="eastAsia" w:ascii="宋体" w:hAnsi="宋体"/>
          <w:color w:val="auto"/>
          <w:sz w:val="24"/>
          <w:szCs w:val="24"/>
          <w:highlight w:val="none"/>
          <w:lang w:val="en-US" w:eastAsia="zh-CN"/>
        </w:rPr>
        <w:t>（http：//glxy.mot.gov.cn）</w:t>
      </w:r>
      <w:r>
        <w:rPr>
          <w:rFonts w:hint="eastAsia" w:ascii="宋体" w:hAnsi="宋体"/>
          <w:color w:val="auto"/>
          <w:sz w:val="24"/>
          <w:szCs w:val="24"/>
          <w:highlight w:val="none"/>
        </w:rPr>
        <w:t>。</w:t>
      </w:r>
    </w:p>
    <w:p w14:paraId="0EA3D171">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20. 保险</w:t>
      </w:r>
    </w:p>
    <w:p w14:paraId="4FEAAD9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20.1工程保险</w:t>
      </w:r>
      <w:r>
        <w:rPr>
          <w:rFonts w:hint="eastAsia" w:ascii="宋体" w:hAnsi="宋体"/>
          <w:color w:val="auto"/>
          <w:sz w:val="24"/>
          <w:szCs w:val="24"/>
          <w:highlight w:val="none"/>
        </w:rPr>
        <w:t xml:space="preserve"> </w:t>
      </w:r>
    </w:p>
    <w:p w14:paraId="12C38A7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本款约定为：</w:t>
      </w:r>
    </w:p>
    <w:p w14:paraId="6E666D3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建筑工程一切险的投保内容：为本合同工程的永久工程、临时工程和设备及已运至施工工地用于永久工程的材料和设备所投的保险。</w:t>
      </w:r>
    </w:p>
    <w:p w14:paraId="00C3134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保险金额：工程量清单第100章（不含建筑工程一切险及第三者责任险的保险费）至第700章的合计金额。</w:t>
      </w:r>
    </w:p>
    <w:p w14:paraId="0920769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保险费率：在项目专用合同条款数据表中约定。</w:t>
      </w:r>
    </w:p>
    <w:p w14:paraId="4F9416F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保险期限：开工日起直至本合同工程签发缺陷责任期终止证书止（即合同工期＋缺陷责任期）。</w:t>
      </w:r>
    </w:p>
    <w:p w14:paraId="217788A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承包人应以发包人和承包人的共同名义投保建筑工程一切险。建筑工程一切险的保险费由承包人报价时列入工程量清单第100章内。发包人在接到保险单后，将按照保险单的费用直接向承包人支付。</w:t>
      </w:r>
    </w:p>
    <w:p w14:paraId="16BDD46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20.4 第三者责任险</w:t>
      </w:r>
    </w:p>
    <w:p w14:paraId="2CCF2CF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20.4.2 项补充：</w:t>
      </w:r>
    </w:p>
    <w:p w14:paraId="67926ED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第三者责任险的保险费由承包人报价时列入工程量清单第100章内。发包人在接到保险单后，将按照保险单的费用直接向承包人支付。</w:t>
      </w:r>
    </w:p>
    <w:p w14:paraId="507C777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20.5 其他保险</w:t>
      </w:r>
    </w:p>
    <w:p w14:paraId="10C6C99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本款约定为： </w:t>
      </w:r>
    </w:p>
    <w:p w14:paraId="4CA891B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承包人应为其施工设备等办理保险，其投保金额应足以现场重置。办理本款保险的一切费用均由承包人承担，并包括在工程量清单的单价及总额价中，发包人不单独支付。</w:t>
      </w:r>
    </w:p>
    <w:p w14:paraId="0CAA13B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20.6对各项保险的一般要求</w:t>
      </w:r>
    </w:p>
    <w:p w14:paraId="4226AD44">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20.6</w:t>
      </w:r>
      <w:r>
        <w:rPr>
          <w:rFonts w:hint="eastAsia" w:ascii="宋体" w:hAnsi="宋体"/>
          <w:b/>
          <w:bCs/>
          <w:color w:val="auto"/>
          <w:sz w:val="24"/>
          <w:szCs w:val="24"/>
          <w:highlight w:val="none"/>
          <w:lang w:val="en-US" w:eastAsia="zh-CN"/>
        </w:rPr>
        <w:t>.</w:t>
      </w:r>
      <w:r>
        <w:rPr>
          <w:rFonts w:hint="eastAsia" w:ascii="宋体" w:hAnsi="宋体"/>
          <w:b/>
          <w:bCs/>
          <w:color w:val="auto"/>
          <w:sz w:val="24"/>
          <w:szCs w:val="24"/>
          <w:highlight w:val="none"/>
        </w:rPr>
        <w:t>1保险凭证</w:t>
      </w:r>
      <w:r>
        <w:rPr>
          <w:rFonts w:hint="eastAsia" w:ascii="宋体" w:hAnsi="宋体"/>
          <w:color w:val="auto"/>
          <w:sz w:val="24"/>
          <w:szCs w:val="24"/>
          <w:highlight w:val="none"/>
        </w:rPr>
        <w:t xml:space="preserve"> </w:t>
      </w:r>
    </w:p>
    <w:p w14:paraId="2E460BF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本项约定为：</w:t>
      </w:r>
    </w:p>
    <w:p w14:paraId="4DC8219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承包人向发包人提交各项保险生效的证据和保险单副本的期限：开工后56天内。</w:t>
      </w:r>
    </w:p>
    <w:p w14:paraId="66D1E488">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20.6.3 持续保险</w:t>
      </w:r>
    </w:p>
    <w:p w14:paraId="08B350A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w:t>
      </w:r>
    </w:p>
    <w:p w14:paraId="3C13874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在整个合同期内，承包人应按合同条款规定保证足够的保险额。</w:t>
      </w:r>
    </w:p>
    <w:p w14:paraId="0176CBAC">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20.6.4 保险金不足的补偿</w:t>
      </w:r>
    </w:p>
    <w:p w14:paraId="03CD4A6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6720F97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保险金不足以补偿损失的（包括免赔额和超过赔偿限额的部分），应由承包人和（或）发包人按合同约定负责补偿。</w:t>
      </w:r>
    </w:p>
    <w:p w14:paraId="689BE493">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20.6.5 未按约定投保的补救</w:t>
      </w:r>
    </w:p>
    <w:p w14:paraId="70D4509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本项（2）目细化为：</w:t>
      </w:r>
    </w:p>
    <w:p w14:paraId="5EF6C23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由于负有投保义务的一方当事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负有投保义务的一方当事人支付。</w:t>
      </w:r>
    </w:p>
    <w:p w14:paraId="6DE7DE1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21. 不可抗力</w:t>
      </w:r>
    </w:p>
    <w:p w14:paraId="6B69BF9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21.1 不可抗力的确认</w:t>
      </w:r>
    </w:p>
    <w:p w14:paraId="271C71B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21.1.1 项细化为：</w:t>
      </w:r>
    </w:p>
    <w:p w14:paraId="01A02E9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不可抗力是指承包人和发包人在订立合同时不可预见，在工程施工过程中不可避免发生并不能克服的自然灾害和社会性突发事件。</w:t>
      </w:r>
    </w:p>
    <w:p w14:paraId="4DA497A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包括但不限于：</w:t>
      </w:r>
    </w:p>
    <w:p w14:paraId="01D4148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（1）地震、海啸、火山爆发、泥石流、暴雨（雪）、台风、龙卷风、水灾等自然灾害；</w:t>
      </w:r>
    </w:p>
    <w:p w14:paraId="731FC4C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（2）战争、骚乱、暴动，但纯属承包人或其分包人派遣与雇用的人员由于本合同工程施工原因引起者除外；</w:t>
      </w:r>
    </w:p>
    <w:p w14:paraId="10ACEFF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（3）核反应、辐射或放射性污染；</w:t>
      </w:r>
    </w:p>
    <w:p w14:paraId="540E3EC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（4）空中飞行物体坠落或非发包人或承包人责任造成的爆炸、火灾；</w:t>
      </w:r>
    </w:p>
    <w:p w14:paraId="688D474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（5）瘟疫；</w:t>
      </w:r>
    </w:p>
    <w:p w14:paraId="10D07FF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（6）项目专用合同条款约定的其他情形。</w:t>
      </w:r>
    </w:p>
    <w:p w14:paraId="4DAD5E5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21.3不可抗力后果及其处理</w:t>
      </w:r>
    </w:p>
    <w:p w14:paraId="066DA4D7">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21.3.4因不可抗力解除合同</w:t>
      </w:r>
    </w:p>
    <w:p w14:paraId="02ABE94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76A3BE9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p>
    <w:p w14:paraId="3908C58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22. 违约</w:t>
      </w:r>
    </w:p>
    <w:p w14:paraId="54EFE8B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22.1 承包人违约</w:t>
      </w:r>
    </w:p>
    <w:p w14:paraId="56E5CE05">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22.2.1 承包人违约的情形</w:t>
      </w:r>
    </w:p>
    <w:p w14:paraId="0A2C99A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本项（2）目细化为：</w:t>
      </w:r>
    </w:p>
    <w:p w14:paraId="615A44B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（2）承包人违反第5.3款或第6.4款的约定，未经监理人批准，私自将已按合同约定进入施工场地的施工设备、临时设施、材料或工程设备撤离施工场地；</w:t>
      </w:r>
    </w:p>
    <w:p w14:paraId="57BBDE4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本项（7）目细化为：</w:t>
      </w:r>
    </w:p>
    <w:p w14:paraId="7A0DACB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（7）承包人未能按期开工；</w:t>
      </w:r>
    </w:p>
    <w:p w14:paraId="4B5E7C7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（8）承包人违反第 4.6 款或第 6.3 款的规定，未按承诺或未按监理人的要求及时配备称职的主要管理人员、技术骨干或关键施工设备；</w:t>
      </w:r>
    </w:p>
    <w:p w14:paraId="73267E5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（9）经监理人和发包人检查，发现承包人有安全问题或有违反安全管理规章制度的情况；</w:t>
      </w:r>
    </w:p>
    <w:p w14:paraId="0FF2061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（10）承包人不按合同约定履行义务的其他情况。</w:t>
      </w:r>
    </w:p>
    <w:p w14:paraId="201EAB02">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22.1.2 对承包人违约的处理</w:t>
      </w:r>
    </w:p>
    <w:p w14:paraId="496D4D9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w:t>
      </w:r>
    </w:p>
    <w:p w14:paraId="390F3D7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（4）承包人发生第22.1.1项约定的违约情况时，无论发包人是否解除合同，发包人均有权向承包人课以项目专用合同条款中规定的违约金，并由发包人将其违约行为上报省级交通运输主管部门，作为不良记录纳入</w:t>
      </w:r>
      <w:r>
        <w:rPr>
          <w:rFonts w:hint="eastAsia" w:ascii="宋体" w:hAnsi="宋体"/>
          <w:color w:val="auto"/>
          <w:sz w:val="24"/>
          <w:szCs w:val="24"/>
          <w:highlight w:val="none"/>
          <w:lang w:eastAsia="zh-CN"/>
        </w:rPr>
        <w:t>全国公路建设市场监督管理系统</w:t>
      </w:r>
      <w:r>
        <w:rPr>
          <w:rFonts w:hint="eastAsia" w:ascii="宋体" w:hAnsi="宋体"/>
          <w:color w:val="auto"/>
          <w:sz w:val="24"/>
          <w:szCs w:val="24"/>
          <w:highlight w:val="none"/>
          <w:lang w:val="en-US" w:eastAsia="zh-CN"/>
        </w:rPr>
        <w:t>（http：//glxy.mot.gov.cn）</w:t>
      </w:r>
      <w:r>
        <w:rPr>
          <w:rFonts w:hint="eastAsia" w:ascii="宋体" w:hAnsi="宋体"/>
          <w:color w:val="auto"/>
          <w:sz w:val="24"/>
          <w:szCs w:val="24"/>
          <w:highlight w:val="none"/>
        </w:rPr>
        <w:t>。</w:t>
      </w:r>
    </w:p>
    <w:p w14:paraId="42A6BC0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22.2 发包人违约</w:t>
      </w:r>
    </w:p>
    <w:p w14:paraId="554AEBA1">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22.2.1 发包人违约的情形</w:t>
      </w:r>
    </w:p>
    <w:p w14:paraId="7E0B6DB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本项（5）目细化为：</w:t>
      </w:r>
    </w:p>
    <w:p w14:paraId="42E990C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（5）发包人无正当理由不按时返还履约保证金、质量保证金或农民工工资保证金的；</w:t>
      </w:r>
    </w:p>
    <w:p w14:paraId="08FDB59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（6）发包人不履行合同约定其他义务的。</w:t>
      </w:r>
    </w:p>
    <w:p w14:paraId="23B8F69A">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22.2.2 承包人有权暂停施工</w:t>
      </w:r>
    </w:p>
    <w:p w14:paraId="0C75496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7ABBB04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发生除第22.2.1（4）、（5）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461C6AD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发包人发生第 22.2.1（5）目的违约情况时，承包人可向发包人发出通知，要求发包人采取有效措施纠正违约行为。发包人收到承包人通知后的 28 天内仍不返还履约保证金、质量保证金或农民工工资保证金的，发包人应按项目专用合同条款的约定向承包人支付逾期返还保证金的违约金。</w:t>
      </w:r>
    </w:p>
    <w:p w14:paraId="1EE6FA3D">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22.2.4 解除合同后的付款</w:t>
      </w:r>
    </w:p>
    <w:p w14:paraId="1FA6BB4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本项（2）目细化为：</w:t>
      </w:r>
    </w:p>
    <w:p w14:paraId="06CD279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（2）承包人为该工程施工订购并已付款的材料、工程设备和其他物品的金额。发包人付款后，该材料、工程设备和其他物品归发包人所有；</w:t>
      </w:r>
    </w:p>
    <w:p w14:paraId="48C3373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23. 索赔</w:t>
      </w:r>
    </w:p>
    <w:p w14:paraId="17568B5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23.1 承包人索赔的提出</w:t>
      </w:r>
    </w:p>
    <w:p w14:paraId="2279A1A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本款第（4）项细化为：</w:t>
      </w:r>
    </w:p>
    <w:p w14:paraId="4326CDD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（4）在索赔事件影响结束后的28天内，承包人应向监理人递交最终索赔通知书，说明最终要求索赔的追加付款金额和（或）延长的工期，并附必要的记录和证明材料。</w:t>
      </w:r>
    </w:p>
    <w:p w14:paraId="7C6AC2C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23.2 承包人索赔处理程序</w:t>
      </w:r>
    </w:p>
    <w:p w14:paraId="5E1F745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本款第（2）项细化为：</w:t>
      </w:r>
    </w:p>
    <w:p w14:paraId="072B89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监理人应按第3.5款商定或确定追加的付款和（或）延长的工期，并在收到上述索赔通知书或有关索赔的进一步证明材料后的42天内，将索赔处理结果报发包人批准后答复承包人。如果承包人提出的索赔要求未能遵守第23.1（2）～（4）项的规定，则承包人只限于索赔由监理人按当时记录予以核实的那部分款额和（或）工期延长天数。</w:t>
      </w:r>
    </w:p>
    <w:p w14:paraId="0A02FE5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24. 争议的解决</w:t>
      </w:r>
    </w:p>
    <w:p w14:paraId="7901345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24.3 争议评审</w:t>
      </w:r>
    </w:p>
    <w:p w14:paraId="7F59447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24.3.1 项补充：</w:t>
      </w:r>
    </w:p>
    <w:p w14:paraId="60CDB80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争议评审组由3人或5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p>
    <w:p w14:paraId="1C79EBE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 24.4 款、第 24.5 款（适用于采用仲裁方式最终解决争议的项目）。</w:t>
      </w:r>
    </w:p>
    <w:p w14:paraId="6AF768D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24.4 仲裁</w:t>
      </w:r>
    </w:p>
    <w:p w14:paraId="08DE665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（1）对于未能友好解决或未能通过争议评审解决的争议，发包人或承包人任一方均有权提交给第 24.1 款约定的仲裁委员会仲裁。</w:t>
      </w:r>
    </w:p>
    <w:p w14:paraId="1DBE72B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仲裁可在交工之前或之后进行，但发包人、监理人和承包人各自的义务不得因在工程实施期间进行仲裁而有所改变。如果仲裁是在终止合同的情况下进行，则对合同工程应采取保护措施，措施费由败诉方承担。</w:t>
      </w:r>
    </w:p>
    <w:p w14:paraId="627E49A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（3）仲裁裁决是终局性的并对发包人和承包人双方具有约束力。</w:t>
      </w:r>
    </w:p>
    <w:p w14:paraId="08A6FCB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（4）全部仲裁费用应由败诉方承担；或按仲裁委员会裁决的比例分担。</w:t>
      </w:r>
    </w:p>
    <w:p w14:paraId="0CAB82A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24.5 仲裁的执行</w:t>
      </w:r>
    </w:p>
    <w:p w14:paraId="0E8C020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（1）任何一方不履行仲裁机构的裁决的，对方可以向有管辖权的人民法院申请执行。</w:t>
      </w:r>
    </w:p>
    <w:p w14:paraId="4A752A9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任何一方提出证据证明裁决有《中华人民共和国仲裁法》第五十八条规定情形之一的，可以向仲裁委员会所在地的中级人民法院申请撤销裁决。人民法院认定执行该裁决违背社会公共利益的，裁定不予执行。仲裁裁决被人民法院裁定不予执行的，当事人可以根据双方达成的书面仲裁协议重新申请仲裁，也可以向人民法院起诉。</w:t>
      </w:r>
    </w:p>
    <w:p w14:paraId="1023C872">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38B66264">
      <w:pPr>
        <w:pStyle w:val="13"/>
        <w:snapToGrid w:val="0"/>
        <w:spacing w:line="300" w:lineRule="auto"/>
        <w:rPr>
          <w:rFonts w:hint="eastAsia" w:hAnsi="宋体"/>
          <w:b/>
          <w:bCs/>
          <w:color w:val="auto"/>
          <w:sz w:val="44"/>
          <w:szCs w:val="44"/>
          <w:highlight w:val="none"/>
        </w:rPr>
      </w:pPr>
      <w:r>
        <w:rPr>
          <w:rFonts w:hint="eastAsia" w:hAnsi="宋体"/>
          <w:b/>
          <w:bCs/>
          <w:color w:val="auto"/>
          <w:sz w:val="44"/>
          <w:szCs w:val="44"/>
          <w:highlight w:val="none"/>
        </w:rPr>
        <w:t xml:space="preserve"> </w:t>
      </w:r>
    </w:p>
    <w:p w14:paraId="660859D5">
      <w:pPr>
        <w:pStyle w:val="10"/>
        <w:rPr>
          <w:rFonts w:hint="eastAsia" w:hAnsi="宋体"/>
          <w:b/>
          <w:bCs/>
          <w:color w:val="auto"/>
          <w:sz w:val="44"/>
          <w:szCs w:val="44"/>
          <w:highlight w:val="none"/>
        </w:rPr>
      </w:pPr>
    </w:p>
    <w:p w14:paraId="5C35561E">
      <w:pPr>
        <w:pStyle w:val="10"/>
        <w:rPr>
          <w:rFonts w:hint="eastAsia" w:hAnsi="宋体"/>
          <w:b/>
          <w:bCs/>
          <w:color w:val="auto"/>
          <w:sz w:val="44"/>
          <w:szCs w:val="44"/>
          <w:highlight w:val="none"/>
        </w:rPr>
      </w:pPr>
    </w:p>
    <w:p w14:paraId="5164DBCB">
      <w:pPr>
        <w:pStyle w:val="10"/>
        <w:rPr>
          <w:rFonts w:hint="eastAsia" w:hAnsi="宋体"/>
          <w:b/>
          <w:bCs/>
          <w:color w:val="auto"/>
          <w:sz w:val="44"/>
          <w:szCs w:val="44"/>
          <w:highlight w:val="none"/>
        </w:rPr>
      </w:pPr>
    </w:p>
    <w:p w14:paraId="02336C3A">
      <w:pPr>
        <w:pStyle w:val="10"/>
        <w:rPr>
          <w:rFonts w:hint="eastAsia" w:hAnsi="宋体"/>
          <w:b/>
          <w:bCs/>
          <w:color w:val="auto"/>
          <w:sz w:val="44"/>
          <w:szCs w:val="44"/>
          <w:highlight w:val="none"/>
        </w:rPr>
      </w:pPr>
    </w:p>
    <w:p w14:paraId="0AE1A06E">
      <w:pPr>
        <w:pStyle w:val="13"/>
        <w:snapToGrid w:val="0"/>
        <w:spacing w:line="300" w:lineRule="auto"/>
        <w:jc w:val="center"/>
        <w:rPr>
          <w:rFonts w:ascii="宋体" w:hAnsi="宋体"/>
          <w:b/>
          <w:bCs w:val="0"/>
          <w:color w:val="auto"/>
          <w:sz w:val="28"/>
          <w:szCs w:val="28"/>
          <w:highlight w:val="none"/>
        </w:rPr>
      </w:pPr>
      <w:r>
        <w:rPr>
          <w:rFonts w:hint="eastAsia" w:ascii="宋体" w:hAnsi="宋体"/>
          <w:b/>
          <w:bCs w:val="0"/>
          <w:color w:val="auto"/>
          <w:sz w:val="28"/>
          <w:szCs w:val="28"/>
          <w:highlight w:val="none"/>
        </w:rPr>
        <w:t>B.项目专用合同条款</w:t>
      </w:r>
    </w:p>
    <w:p w14:paraId="762F7C45">
      <w:pPr>
        <w:spacing w:line="520" w:lineRule="exact"/>
        <w:ind w:firstLine="482" w:firstLineChars="200"/>
        <w:jc w:val="left"/>
        <w:rPr>
          <w:rFonts w:ascii="宋体" w:hAnsi="宋体"/>
          <w:b/>
          <w:color w:val="auto"/>
          <w:sz w:val="24"/>
          <w:szCs w:val="24"/>
          <w:highlight w:val="none"/>
        </w:rPr>
      </w:pPr>
      <w:r>
        <w:rPr>
          <w:rFonts w:hint="eastAsia" w:ascii="宋体" w:hAnsi="宋体"/>
          <w:b/>
          <w:color w:val="auto"/>
          <w:sz w:val="24"/>
          <w:szCs w:val="24"/>
          <w:highlight w:val="none"/>
        </w:rPr>
        <w:t>说明：</w:t>
      </w:r>
    </w:p>
    <w:p w14:paraId="565088B3">
      <w:pPr>
        <w:spacing w:line="52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招标人在根据《公路工程标准施工招标文件》编制项目招标文件中的“项目专用合同条款”时，可根据招标项目的具体特点和实际需要，对“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内容，不得违反法律、行政法规的强制性规定和平等、自愿、公平和诚实信用原则。</w:t>
      </w:r>
    </w:p>
    <w:p w14:paraId="3E9A08D0">
      <w:pPr>
        <w:spacing w:line="520" w:lineRule="exact"/>
        <w:ind w:firstLine="600"/>
        <w:rPr>
          <w:rFonts w:ascii="宋体" w:hAnsi="宋体"/>
          <w:bCs/>
          <w:color w:val="auto"/>
          <w:sz w:val="24"/>
          <w:szCs w:val="24"/>
          <w:highlight w:val="none"/>
        </w:rPr>
      </w:pPr>
      <w:r>
        <w:rPr>
          <w:rFonts w:hint="eastAsia" w:ascii="宋体" w:hAnsi="宋体"/>
          <w:bCs/>
          <w:color w:val="auto"/>
          <w:sz w:val="24"/>
          <w:szCs w:val="24"/>
          <w:highlight w:val="none"/>
        </w:rPr>
        <w:t>2.项目专用合同条款的编号应与通用合同条款和公路工程专用合同款一致。</w:t>
      </w:r>
    </w:p>
    <w:p w14:paraId="7CFFA58C">
      <w:pPr>
        <w:spacing w:line="520" w:lineRule="exact"/>
        <w:ind w:firstLine="600"/>
        <w:rPr>
          <w:rFonts w:ascii="宋体" w:hAnsi="宋体"/>
          <w:bCs/>
          <w:color w:val="auto"/>
          <w:sz w:val="24"/>
          <w:szCs w:val="24"/>
          <w:highlight w:val="none"/>
        </w:rPr>
      </w:pPr>
      <w:r>
        <w:rPr>
          <w:rFonts w:hint="eastAsia" w:ascii="宋体" w:hAnsi="宋体"/>
          <w:bCs/>
          <w:color w:val="auto"/>
          <w:sz w:val="24"/>
          <w:szCs w:val="24"/>
          <w:highlight w:val="none"/>
        </w:rPr>
        <w:t>3.项目专用合同条款可对下列内容进行补充和细化：</w:t>
      </w:r>
    </w:p>
    <w:p w14:paraId="6926F636">
      <w:pPr>
        <w:spacing w:line="520" w:lineRule="exact"/>
        <w:ind w:firstLine="600"/>
        <w:rPr>
          <w:rFonts w:ascii="宋体" w:hAnsi="宋体"/>
          <w:bCs/>
          <w:color w:val="auto"/>
          <w:sz w:val="24"/>
          <w:szCs w:val="24"/>
          <w:highlight w:val="none"/>
        </w:rPr>
      </w:pPr>
      <w:r>
        <w:rPr>
          <w:rFonts w:hint="eastAsia" w:ascii="宋体" w:hAnsi="宋体"/>
          <w:bCs/>
          <w:color w:val="auto"/>
          <w:sz w:val="24"/>
          <w:szCs w:val="24"/>
          <w:highlight w:val="none"/>
        </w:rPr>
        <w:t>（1）“通用合同条款”中明确指出“专用合同条款”可对“通用合同条款”进行修改的内容（在“通用合同条款”中用“应按合同约定”“应按专用合同条款约定”“除合同另有约定外”“除专用合同条款另有约定外”“在专用合同条款中约定”等多种文字形式表达）；</w:t>
      </w:r>
    </w:p>
    <w:p w14:paraId="2CC4633E">
      <w:pPr>
        <w:spacing w:line="520" w:lineRule="exact"/>
        <w:ind w:firstLine="600"/>
        <w:rPr>
          <w:rFonts w:ascii="宋体" w:hAnsi="宋体"/>
          <w:bCs/>
          <w:color w:val="auto"/>
          <w:sz w:val="24"/>
          <w:szCs w:val="24"/>
          <w:highlight w:val="none"/>
        </w:rPr>
      </w:pPr>
      <w:r>
        <w:rPr>
          <w:rFonts w:hint="eastAsia" w:ascii="宋体" w:hAnsi="宋体"/>
          <w:bCs/>
          <w:color w:val="auto"/>
          <w:sz w:val="24"/>
          <w:szCs w:val="24"/>
          <w:highlight w:val="none"/>
        </w:rPr>
        <w:t>（2）“公路工程专用合同条款”中明确指出“项目专用合同条款”可对“公路工程专用合同条款”进行修改的内容（在“公路工程专用合同条款”中用“除项目专用合同条款另有约定外”“项目专用合同条款可能约定的”“项目专用合同条款约定的其他情形”等多种文字形式表达）。</w:t>
      </w:r>
    </w:p>
    <w:p w14:paraId="60D0A326">
      <w:pPr>
        <w:spacing w:line="520" w:lineRule="exact"/>
        <w:ind w:firstLine="600"/>
        <w:rPr>
          <w:rFonts w:ascii="宋体" w:hAnsi="宋体"/>
          <w:bCs/>
          <w:color w:val="auto"/>
          <w:sz w:val="28"/>
          <w:szCs w:val="28"/>
          <w:highlight w:val="none"/>
        </w:rPr>
      </w:pPr>
      <w:r>
        <w:rPr>
          <w:rFonts w:hint="eastAsia" w:ascii="宋体" w:hAnsi="宋体"/>
          <w:bCs/>
          <w:color w:val="auto"/>
          <w:sz w:val="24"/>
          <w:szCs w:val="24"/>
          <w:highlight w:val="none"/>
        </w:rPr>
        <w:t>（3）其他需要补充、细化的内容。</w:t>
      </w:r>
    </w:p>
    <w:p w14:paraId="560CFE54">
      <w:pPr>
        <w:spacing w:line="520" w:lineRule="exact"/>
        <w:jc w:val="center"/>
        <w:rPr>
          <w:rFonts w:ascii="宋体" w:hAnsi="宋体"/>
          <w:bCs/>
          <w:color w:val="auto"/>
          <w:sz w:val="36"/>
          <w:szCs w:val="36"/>
          <w:highlight w:val="none"/>
        </w:rPr>
      </w:pPr>
      <w:r>
        <w:rPr>
          <w:rFonts w:hint="eastAsia" w:ascii="宋体" w:hAnsi="宋体"/>
          <w:bCs/>
          <w:color w:val="auto"/>
          <w:sz w:val="36"/>
          <w:szCs w:val="36"/>
          <w:highlight w:val="none"/>
        </w:rPr>
        <w:t xml:space="preserve"> </w:t>
      </w:r>
    </w:p>
    <w:p w14:paraId="76CDEC6B">
      <w:pPr>
        <w:spacing w:line="520" w:lineRule="exact"/>
        <w:jc w:val="center"/>
        <w:rPr>
          <w:rFonts w:ascii="宋体" w:hAnsi="宋体"/>
          <w:bCs/>
          <w:color w:val="auto"/>
          <w:sz w:val="36"/>
          <w:szCs w:val="36"/>
          <w:highlight w:val="none"/>
        </w:rPr>
      </w:pPr>
      <w:r>
        <w:rPr>
          <w:rFonts w:hint="eastAsia" w:ascii="宋体" w:hAnsi="宋体"/>
          <w:bCs/>
          <w:color w:val="auto"/>
          <w:sz w:val="36"/>
          <w:szCs w:val="36"/>
          <w:highlight w:val="none"/>
        </w:rPr>
        <w:t xml:space="preserve"> </w:t>
      </w:r>
    </w:p>
    <w:p w14:paraId="47C50354">
      <w:pPr>
        <w:spacing w:line="520" w:lineRule="exact"/>
        <w:jc w:val="center"/>
        <w:rPr>
          <w:rFonts w:ascii="宋体" w:hAnsi="宋体"/>
          <w:bCs/>
          <w:color w:val="auto"/>
          <w:sz w:val="36"/>
          <w:szCs w:val="36"/>
          <w:highlight w:val="none"/>
        </w:rPr>
      </w:pPr>
      <w:r>
        <w:rPr>
          <w:rFonts w:hint="eastAsia" w:ascii="宋体" w:hAnsi="宋体"/>
          <w:bCs/>
          <w:color w:val="auto"/>
          <w:sz w:val="36"/>
          <w:szCs w:val="36"/>
          <w:highlight w:val="none"/>
        </w:rPr>
        <w:t xml:space="preserve"> </w:t>
      </w:r>
    </w:p>
    <w:p w14:paraId="3A9EA66C">
      <w:pPr>
        <w:spacing w:line="520" w:lineRule="exact"/>
        <w:jc w:val="center"/>
        <w:rPr>
          <w:rFonts w:ascii="宋体" w:hAnsi="宋体"/>
          <w:bCs/>
          <w:color w:val="auto"/>
          <w:sz w:val="36"/>
          <w:szCs w:val="36"/>
          <w:highlight w:val="none"/>
        </w:rPr>
      </w:pPr>
      <w:r>
        <w:rPr>
          <w:rFonts w:hint="eastAsia" w:ascii="宋体" w:hAnsi="宋体"/>
          <w:bCs/>
          <w:color w:val="auto"/>
          <w:sz w:val="36"/>
          <w:szCs w:val="36"/>
          <w:highlight w:val="none"/>
        </w:rPr>
        <w:t xml:space="preserve"> </w:t>
      </w:r>
    </w:p>
    <w:p w14:paraId="66D1BD22">
      <w:pPr>
        <w:keepNext w:val="0"/>
        <w:keepLines w:val="0"/>
        <w:pageBreakBefore w:val="0"/>
        <w:widowControl w:val="0"/>
        <w:kinsoku/>
        <w:wordWrap/>
        <w:overflowPunct/>
        <w:topLinePunct w:val="0"/>
        <w:autoSpaceDE/>
        <w:autoSpaceDN/>
        <w:bidi w:val="0"/>
        <w:adjustRightInd w:val="0"/>
        <w:snapToGrid w:val="0"/>
        <w:spacing w:after="0" w:afterLines="100"/>
        <w:jc w:val="center"/>
        <w:textAlignment w:val="auto"/>
        <w:rPr>
          <w:rFonts w:ascii="宋体" w:hAnsi="宋体"/>
          <w:color w:val="auto"/>
          <w:sz w:val="32"/>
          <w:szCs w:val="32"/>
          <w:highlight w:val="none"/>
        </w:rPr>
      </w:pPr>
      <w:r>
        <w:rPr>
          <w:rFonts w:hint="eastAsia" w:ascii="宋体" w:hAnsi="宋体"/>
          <w:color w:val="auto"/>
          <w:sz w:val="32"/>
          <w:szCs w:val="32"/>
          <w:highlight w:val="none"/>
        </w:rPr>
        <w:br w:type="page"/>
      </w:r>
      <w:r>
        <w:rPr>
          <w:rFonts w:hint="eastAsia" w:ascii="宋体" w:hAnsi="宋体"/>
          <w:b/>
          <w:bCs/>
          <w:color w:val="auto"/>
          <w:sz w:val="28"/>
          <w:szCs w:val="28"/>
          <w:highlight w:val="none"/>
        </w:rPr>
        <w:t>项目专用合同条款数据表</w:t>
      </w:r>
    </w:p>
    <w:p w14:paraId="2DBDFE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说明：本数据表是项目专用合同条款中适用于本项目的信息和数据的归纳与提示，是项目专用合同条款的组成部分。第</w:t>
      </w:r>
      <w:r>
        <w:rPr>
          <w:rFonts w:hint="eastAsia" w:ascii="宋体" w:hAnsi="宋体"/>
          <w:color w:val="auto"/>
          <w:sz w:val="24"/>
          <w:szCs w:val="24"/>
          <w:highlight w:val="none"/>
          <w:lang w:val="en-US" w:eastAsia="zh-CN"/>
        </w:rPr>
        <w:t>十</w:t>
      </w:r>
      <w:r>
        <w:rPr>
          <w:rFonts w:hint="eastAsia" w:ascii="宋体" w:hAnsi="宋体"/>
          <w:color w:val="auto"/>
          <w:sz w:val="24"/>
          <w:szCs w:val="24"/>
          <w:highlight w:val="none"/>
        </w:rPr>
        <w:t>章“投标文件格式”的投标函附录中的数据（供投标人确认）与本表所列有重复。编写招标文件的单位应仔细校核，不使数据出现差错或不一致。</w:t>
      </w:r>
    </w:p>
    <w:tbl>
      <w:tblPr>
        <w:tblStyle w:val="23"/>
        <w:tblW w:w="9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1229"/>
        <w:gridCol w:w="7707"/>
      </w:tblGrid>
      <w:tr w14:paraId="50F39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0C39EE5D">
            <w:pPr>
              <w:autoSpaceDE w:val="0"/>
              <w:adjustRightInd w:val="0"/>
              <w:snapToGrid w:val="0"/>
              <w:spacing w:line="360" w:lineRule="exact"/>
              <w:jc w:val="center"/>
              <w:rPr>
                <w:rFonts w:ascii="宋体" w:hAnsi="宋体"/>
                <w:b/>
                <w:color w:val="auto"/>
                <w:highlight w:val="none"/>
              </w:rPr>
            </w:pPr>
            <w:r>
              <w:rPr>
                <w:rFonts w:hint="eastAsia" w:ascii="宋体" w:hAnsi="宋体"/>
                <w:b/>
                <w:color w:val="auto"/>
                <w:highlight w:val="none"/>
              </w:rPr>
              <w:t>序号</w:t>
            </w:r>
          </w:p>
        </w:tc>
        <w:tc>
          <w:tcPr>
            <w:tcW w:w="1229" w:type="dxa"/>
            <w:tcBorders>
              <w:top w:val="single" w:color="auto" w:sz="4" w:space="0"/>
              <w:left w:val="single" w:color="auto" w:sz="4" w:space="0"/>
              <w:bottom w:val="single" w:color="auto" w:sz="4" w:space="0"/>
              <w:right w:val="single" w:color="auto" w:sz="4" w:space="0"/>
            </w:tcBorders>
            <w:noWrap/>
            <w:vAlign w:val="center"/>
          </w:tcPr>
          <w:p w14:paraId="59942714">
            <w:pPr>
              <w:autoSpaceDE w:val="0"/>
              <w:adjustRightInd w:val="0"/>
              <w:snapToGrid w:val="0"/>
              <w:spacing w:line="360" w:lineRule="exact"/>
              <w:jc w:val="center"/>
              <w:rPr>
                <w:rFonts w:ascii="宋体" w:hAnsi="宋体"/>
                <w:b/>
                <w:color w:val="auto"/>
                <w:highlight w:val="none"/>
              </w:rPr>
            </w:pPr>
            <w:r>
              <w:rPr>
                <w:rFonts w:hint="eastAsia" w:ascii="宋体" w:hAnsi="宋体"/>
                <w:b/>
                <w:color w:val="auto"/>
                <w:highlight w:val="none"/>
              </w:rPr>
              <w:t>条款号</w:t>
            </w:r>
          </w:p>
        </w:tc>
        <w:tc>
          <w:tcPr>
            <w:tcW w:w="7707" w:type="dxa"/>
            <w:tcBorders>
              <w:top w:val="single" w:color="auto" w:sz="4" w:space="0"/>
              <w:left w:val="single" w:color="auto" w:sz="4" w:space="0"/>
              <w:bottom w:val="single" w:color="auto" w:sz="4" w:space="0"/>
              <w:right w:val="single" w:color="auto" w:sz="4" w:space="0"/>
            </w:tcBorders>
            <w:noWrap/>
            <w:vAlign w:val="center"/>
          </w:tcPr>
          <w:p w14:paraId="55B90940">
            <w:pPr>
              <w:autoSpaceDE w:val="0"/>
              <w:adjustRightInd w:val="0"/>
              <w:snapToGrid w:val="0"/>
              <w:spacing w:line="360" w:lineRule="exact"/>
              <w:jc w:val="center"/>
              <w:rPr>
                <w:rFonts w:ascii="宋体" w:hAnsi="宋体"/>
                <w:b/>
                <w:color w:val="auto"/>
                <w:highlight w:val="none"/>
              </w:rPr>
            </w:pPr>
            <w:r>
              <w:rPr>
                <w:rFonts w:hint="eastAsia" w:ascii="宋体" w:hAnsi="宋体"/>
                <w:b/>
                <w:color w:val="auto"/>
                <w:highlight w:val="none"/>
              </w:rPr>
              <w:t>信息或数据</w:t>
            </w:r>
          </w:p>
        </w:tc>
      </w:tr>
      <w:tr w14:paraId="0D8E2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 w:type="dxa"/>
            <w:tcBorders>
              <w:top w:val="single" w:color="auto" w:sz="4" w:space="0"/>
              <w:left w:val="single" w:color="auto" w:sz="4" w:space="0"/>
              <w:bottom w:val="single" w:color="auto" w:sz="4" w:space="0"/>
              <w:right w:val="single" w:color="auto" w:sz="4" w:space="0"/>
            </w:tcBorders>
            <w:noWrap/>
            <w:vAlign w:val="center"/>
          </w:tcPr>
          <w:p w14:paraId="48FF87E2">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w:t>
            </w:r>
          </w:p>
        </w:tc>
        <w:tc>
          <w:tcPr>
            <w:tcW w:w="1229" w:type="dxa"/>
            <w:tcBorders>
              <w:top w:val="single" w:color="auto" w:sz="4" w:space="0"/>
              <w:left w:val="single" w:color="auto" w:sz="4" w:space="0"/>
              <w:bottom w:val="single" w:color="auto" w:sz="4" w:space="0"/>
              <w:right w:val="single" w:color="auto" w:sz="4" w:space="0"/>
            </w:tcBorders>
            <w:noWrap/>
            <w:vAlign w:val="center"/>
          </w:tcPr>
          <w:p w14:paraId="301192FF">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1.1.2.2</w:t>
            </w:r>
          </w:p>
        </w:tc>
        <w:tc>
          <w:tcPr>
            <w:tcW w:w="7707" w:type="dxa"/>
            <w:tcBorders>
              <w:top w:val="single" w:color="auto" w:sz="4" w:space="0"/>
              <w:left w:val="single" w:color="auto" w:sz="4" w:space="0"/>
              <w:bottom w:val="single" w:color="auto" w:sz="4" w:space="0"/>
              <w:right w:val="single" w:color="auto" w:sz="4" w:space="0"/>
            </w:tcBorders>
            <w:noWrap/>
            <w:vAlign w:val="center"/>
          </w:tcPr>
          <w:p w14:paraId="35FC7101">
            <w:pPr>
              <w:autoSpaceDE w:val="0"/>
              <w:adjustRightInd w:val="0"/>
              <w:snapToGrid w:val="0"/>
              <w:spacing w:line="360" w:lineRule="exact"/>
              <w:rPr>
                <w:rFonts w:hint="eastAsia" w:ascii="宋体" w:hAnsi="宋体" w:eastAsia="宋体"/>
                <w:color w:val="auto"/>
                <w:highlight w:val="none"/>
                <w:lang w:eastAsia="zh-CN"/>
              </w:rPr>
            </w:pPr>
            <w:r>
              <w:rPr>
                <w:rFonts w:hint="eastAsia" w:ascii="宋体" w:hAnsi="宋体"/>
                <w:color w:val="auto"/>
                <w:highlight w:val="none"/>
              </w:rPr>
              <w:t>发包人:</w:t>
            </w:r>
            <w:r>
              <w:rPr>
                <w:rFonts w:hint="eastAsia" w:ascii="宋体" w:hAnsi="宋体"/>
                <w:color w:val="auto"/>
                <w:highlight w:val="none"/>
                <w:lang w:eastAsia="zh-CN"/>
              </w:rPr>
              <w:t>汝南县公路事业发展中心</w:t>
            </w:r>
          </w:p>
          <w:p w14:paraId="295FF438">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 xml:space="preserve">地  址: </w:t>
            </w:r>
            <w:r>
              <w:rPr>
                <w:rFonts w:hint="eastAsia" w:ascii="宋体" w:hAnsi="宋体" w:eastAsia="宋体" w:cs="宋体"/>
                <w:color w:val="auto"/>
                <w:sz w:val="21"/>
                <w:szCs w:val="21"/>
                <w:highlight w:val="none"/>
                <w:lang w:val="en-US" w:eastAsia="zh-CN"/>
              </w:rPr>
              <w:t>汝南县梁祝大道</w:t>
            </w:r>
            <w:r>
              <w:rPr>
                <w:rFonts w:hint="eastAsia" w:ascii="宋体" w:hAnsi="宋体"/>
                <w:color w:val="auto"/>
                <w:highlight w:val="none"/>
              </w:rPr>
              <w:t xml:space="preserve">     邮编：463000</w:t>
            </w:r>
          </w:p>
        </w:tc>
      </w:tr>
      <w:tr w14:paraId="10401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D21220C">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w:t>
            </w:r>
          </w:p>
        </w:tc>
        <w:tc>
          <w:tcPr>
            <w:tcW w:w="1229" w:type="dxa"/>
            <w:tcBorders>
              <w:top w:val="single" w:color="auto" w:sz="4" w:space="0"/>
              <w:left w:val="single" w:color="auto" w:sz="4" w:space="0"/>
              <w:bottom w:val="single" w:color="auto" w:sz="4" w:space="0"/>
              <w:right w:val="single" w:color="auto" w:sz="4" w:space="0"/>
            </w:tcBorders>
            <w:noWrap/>
            <w:vAlign w:val="center"/>
          </w:tcPr>
          <w:p w14:paraId="1F72BB88">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1.1.2.6</w:t>
            </w:r>
          </w:p>
        </w:tc>
        <w:tc>
          <w:tcPr>
            <w:tcW w:w="7707" w:type="dxa"/>
            <w:tcBorders>
              <w:top w:val="single" w:color="auto" w:sz="4" w:space="0"/>
              <w:left w:val="single" w:color="auto" w:sz="4" w:space="0"/>
              <w:bottom w:val="single" w:color="auto" w:sz="4" w:space="0"/>
              <w:right w:val="single" w:color="auto" w:sz="4" w:space="0"/>
            </w:tcBorders>
            <w:noWrap/>
            <w:vAlign w:val="center"/>
          </w:tcPr>
          <w:p w14:paraId="185A563F">
            <w:pPr>
              <w:autoSpaceDE w:val="0"/>
              <w:adjustRightInd w:val="0"/>
              <w:snapToGrid w:val="0"/>
              <w:spacing w:line="360" w:lineRule="exact"/>
              <w:rPr>
                <w:rFonts w:hint="eastAsia" w:ascii="宋体" w:hAnsi="宋体"/>
                <w:color w:val="auto"/>
                <w:highlight w:val="none"/>
              </w:rPr>
            </w:pPr>
            <w:r>
              <w:rPr>
                <w:rFonts w:hint="eastAsia" w:ascii="宋体" w:hAnsi="宋体"/>
                <w:color w:val="auto"/>
                <w:highlight w:val="none"/>
              </w:rPr>
              <w:t>监理人：</w:t>
            </w:r>
            <w:r>
              <w:rPr>
                <w:rFonts w:hint="eastAsia" w:ascii="宋体" w:hAnsi="宋体"/>
                <w:color w:val="auto"/>
                <w:highlight w:val="none"/>
                <w:lang w:eastAsia="zh-CN"/>
              </w:rPr>
              <w:t>招标确定</w:t>
            </w:r>
            <w:r>
              <w:rPr>
                <w:rFonts w:hint="eastAsia" w:ascii="宋体" w:hAnsi="宋体"/>
                <w:color w:val="auto"/>
                <w:highlight w:val="none"/>
              </w:rPr>
              <w:t xml:space="preserve">       </w:t>
            </w:r>
          </w:p>
          <w:p w14:paraId="0F222B4C">
            <w:pPr>
              <w:autoSpaceDE w:val="0"/>
              <w:adjustRightInd w:val="0"/>
              <w:snapToGrid w:val="0"/>
              <w:spacing w:line="360" w:lineRule="exact"/>
              <w:rPr>
                <w:rFonts w:hint="eastAsia" w:ascii="宋体" w:hAnsi="宋体" w:eastAsia="宋体"/>
                <w:color w:val="auto"/>
                <w:highlight w:val="none"/>
                <w:lang w:eastAsia="zh-CN"/>
              </w:rPr>
            </w:pPr>
            <w:r>
              <w:rPr>
                <w:rFonts w:hint="eastAsia" w:ascii="宋体" w:hAnsi="宋体"/>
                <w:color w:val="auto"/>
                <w:highlight w:val="none"/>
              </w:rPr>
              <w:t>地  址：</w:t>
            </w:r>
            <w:r>
              <w:rPr>
                <w:rFonts w:hint="eastAsia" w:ascii="宋体" w:hAnsi="宋体"/>
                <w:color w:val="auto"/>
                <w:highlight w:val="none"/>
                <w:lang w:eastAsia="zh-CN"/>
              </w:rPr>
              <w:t>待定</w:t>
            </w:r>
            <w:r>
              <w:rPr>
                <w:rFonts w:hint="eastAsia" w:ascii="宋体" w:hAnsi="宋体"/>
                <w:color w:val="auto"/>
                <w:highlight w:val="none"/>
              </w:rPr>
              <w:t xml:space="preserve">                 邮编：</w:t>
            </w:r>
            <w:r>
              <w:rPr>
                <w:rFonts w:hint="eastAsia" w:ascii="宋体" w:hAnsi="宋体"/>
                <w:color w:val="auto"/>
                <w:highlight w:val="none"/>
                <w:lang w:eastAsia="zh-CN"/>
              </w:rPr>
              <w:t>待定</w:t>
            </w:r>
          </w:p>
        </w:tc>
      </w:tr>
      <w:tr w14:paraId="5DAC0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079E6699">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3</w:t>
            </w:r>
          </w:p>
        </w:tc>
        <w:tc>
          <w:tcPr>
            <w:tcW w:w="1229" w:type="dxa"/>
            <w:tcBorders>
              <w:top w:val="single" w:color="auto" w:sz="4" w:space="0"/>
              <w:left w:val="single" w:color="auto" w:sz="4" w:space="0"/>
              <w:bottom w:val="single" w:color="auto" w:sz="4" w:space="0"/>
              <w:right w:val="single" w:color="auto" w:sz="4" w:space="0"/>
            </w:tcBorders>
            <w:noWrap/>
            <w:vAlign w:val="center"/>
          </w:tcPr>
          <w:p w14:paraId="6B9A9760">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1.1.4.5</w:t>
            </w:r>
          </w:p>
        </w:tc>
        <w:tc>
          <w:tcPr>
            <w:tcW w:w="7707" w:type="dxa"/>
            <w:tcBorders>
              <w:top w:val="single" w:color="auto" w:sz="4" w:space="0"/>
              <w:left w:val="single" w:color="auto" w:sz="4" w:space="0"/>
              <w:bottom w:val="single" w:color="auto" w:sz="4" w:space="0"/>
              <w:right w:val="single" w:color="auto" w:sz="4" w:space="0"/>
            </w:tcBorders>
            <w:noWrap/>
            <w:vAlign w:val="center"/>
          </w:tcPr>
          <w:p w14:paraId="01964E4F">
            <w:pPr>
              <w:autoSpaceDE w:val="0"/>
              <w:spacing w:line="360" w:lineRule="exact"/>
              <w:rPr>
                <w:rFonts w:ascii="宋体" w:hAnsi="宋体"/>
                <w:color w:val="auto"/>
                <w:highlight w:val="none"/>
              </w:rPr>
            </w:pPr>
            <w:r>
              <w:rPr>
                <w:rFonts w:hint="eastAsia" w:ascii="宋体" w:hAnsi="宋体"/>
                <w:color w:val="auto"/>
                <w:highlight w:val="none"/>
              </w:rPr>
              <w:t>缺陷责任期：自实际交工日期起计算</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12</w:t>
            </w:r>
            <w:r>
              <w:rPr>
                <w:rFonts w:hint="eastAsia" w:ascii="宋体" w:hAnsi="宋体"/>
                <w:color w:val="auto"/>
                <w:highlight w:val="none"/>
                <w:u w:val="single"/>
              </w:rPr>
              <w:t xml:space="preserve"> </w:t>
            </w:r>
            <w:r>
              <w:rPr>
                <w:rFonts w:hint="eastAsia" w:ascii="宋体" w:hAnsi="宋体"/>
                <w:color w:val="auto"/>
                <w:highlight w:val="none"/>
              </w:rPr>
              <w:t xml:space="preserve">月。          </w:t>
            </w:r>
          </w:p>
        </w:tc>
      </w:tr>
      <w:tr w14:paraId="6DF98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342AC85B">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4</w:t>
            </w:r>
          </w:p>
        </w:tc>
        <w:tc>
          <w:tcPr>
            <w:tcW w:w="1229" w:type="dxa"/>
            <w:tcBorders>
              <w:top w:val="single" w:color="auto" w:sz="4" w:space="0"/>
              <w:left w:val="single" w:color="auto" w:sz="4" w:space="0"/>
              <w:bottom w:val="single" w:color="auto" w:sz="4" w:space="0"/>
              <w:right w:val="single" w:color="auto" w:sz="4" w:space="0"/>
            </w:tcBorders>
            <w:noWrap/>
            <w:vAlign w:val="center"/>
          </w:tcPr>
          <w:p w14:paraId="6E3C2C5E">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1.6.3</w:t>
            </w:r>
          </w:p>
        </w:tc>
        <w:tc>
          <w:tcPr>
            <w:tcW w:w="7707" w:type="dxa"/>
            <w:tcBorders>
              <w:top w:val="single" w:color="auto" w:sz="4" w:space="0"/>
              <w:left w:val="single" w:color="auto" w:sz="4" w:space="0"/>
              <w:bottom w:val="single" w:color="auto" w:sz="4" w:space="0"/>
              <w:right w:val="single" w:color="auto" w:sz="4" w:space="0"/>
            </w:tcBorders>
            <w:noWrap/>
            <w:vAlign w:val="center"/>
          </w:tcPr>
          <w:p w14:paraId="7E3C612C">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图纸需要修改和补充的，应由监理人取得发包人同意后，在该工程或工程相应部位施工前</w:t>
            </w:r>
            <w:r>
              <w:rPr>
                <w:rFonts w:hint="eastAsia" w:ascii="宋体" w:hAnsi="宋体"/>
                <w:color w:val="auto"/>
                <w:highlight w:val="none"/>
                <w:u w:val="single"/>
              </w:rPr>
              <w:t>7</w:t>
            </w:r>
            <w:r>
              <w:rPr>
                <w:rFonts w:hint="eastAsia" w:ascii="宋体" w:hAnsi="宋体"/>
                <w:color w:val="auto"/>
                <w:highlight w:val="none"/>
              </w:rPr>
              <w:t>天签发图纸修改图给承包人</w:t>
            </w:r>
          </w:p>
        </w:tc>
      </w:tr>
      <w:tr w14:paraId="2B25F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4BA07ACA">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5</w:t>
            </w:r>
          </w:p>
        </w:tc>
        <w:tc>
          <w:tcPr>
            <w:tcW w:w="1229" w:type="dxa"/>
            <w:tcBorders>
              <w:top w:val="single" w:color="auto" w:sz="4" w:space="0"/>
              <w:left w:val="single" w:color="auto" w:sz="4" w:space="0"/>
              <w:bottom w:val="single" w:color="auto" w:sz="4" w:space="0"/>
              <w:right w:val="single" w:color="auto" w:sz="4" w:space="0"/>
            </w:tcBorders>
            <w:noWrap/>
            <w:vAlign w:val="center"/>
          </w:tcPr>
          <w:p w14:paraId="0EB2BA2E">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3.1.1</w:t>
            </w:r>
          </w:p>
        </w:tc>
        <w:tc>
          <w:tcPr>
            <w:tcW w:w="7707" w:type="dxa"/>
            <w:tcBorders>
              <w:top w:val="single" w:color="auto" w:sz="4" w:space="0"/>
              <w:left w:val="single" w:color="auto" w:sz="4" w:space="0"/>
              <w:bottom w:val="single" w:color="auto" w:sz="4" w:space="0"/>
              <w:right w:val="single" w:color="auto" w:sz="4" w:space="0"/>
            </w:tcBorders>
            <w:noWrap/>
            <w:vAlign w:val="center"/>
          </w:tcPr>
          <w:p w14:paraId="457DEEC6">
            <w:pPr>
              <w:autoSpaceDE w:val="0"/>
              <w:adjustRightInd w:val="0"/>
              <w:snapToGrid w:val="0"/>
              <w:spacing w:line="360" w:lineRule="exact"/>
              <w:rPr>
                <w:rFonts w:hint="eastAsia" w:ascii="宋体" w:hAnsi="宋体" w:eastAsia="宋体"/>
                <w:color w:val="auto"/>
                <w:highlight w:val="none"/>
                <w:lang w:eastAsia="zh-CN"/>
              </w:rPr>
            </w:pPr>
            <w:r>
              <w:rPr>
                <w:rFonts w:hint="eastAsia" w:ascii="宋体" w:hAnsi="宋体"/>
                <w:color w:val="auto"/>
                <w:highlight w:val="none"/>
                <w:lang w:eastAsia="zh-CN"/>
              </w:rPr>
              <w:t>所有变更按相关规定处理</w:t>
            </w:r>
          </w:p>
        </w:tc>
      </w:tr>
      <w:tr w14:paraId="275E0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52BFBC48">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6</w:t>
            </w:r>
          </w:p>
        </w:tc>
        <w:tc>
          <w:tcPr>
            <w:tcW w:w="1229" w:type="dxa"/>
            <w:tcBorders>
              <w:top w:val="single" w:color="auto" w:sz="4" w:space="0"/>
              <w:left w:val="single" w:color="auto" w:sz="4" w:space="0"/>
              <w:bottom w:val="single" w:color="auto" w:sz="4" w:space="0"/>
              <w:right w:val="single" w:color="auto" w:sz="4" w:space="0"/>
            </w:tcBorders>
            <w:noWrap/>
            <w:vAlign w:val="center"/>
          </w:tcPr>
          <w:p w14:paraId="1C6A4ACA">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5.2.1</w:t>
            </w:r>
          </w:p>
        </w:tc>
        <w:tc>
          <w:tcPr>
            <w:tcW w:w="7707" w:type="dxa"/>
            <w:tcBorders>
              <w:top w:val="single" w:color="auto" w:sz="4" w:space="0"/>
              <w:left w:val="single" w:color="auto" w:sz="4" w:space="0"/>
              <w:bottom w:val="single" w:color="auto" w:sz="4" w:space="0"/>
              <w:right w:val="single" w:color="auto" w:sz="4" w:space="0"/>
            </w:tcBorders>
            <w:noWrap/>
            <w:vAlign w:val="center"/>
          </w:tcPr>
          <w:p w14:paraId="6B53C940">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发包人是否提供材料或工程设备：</w:t>
            </w:r>
            <w:r>
              <w:rPr>
                <w:rFonts w:hint="eastAsia" w:ascii="宋体" w:hAnsi="宋体"/>
                <w:color w:val="auto"/>
                <w:highlight w:val="none"/>
                <w:u w:val="single"/>
              </w:rPr>
              <w:t xml:space="preserve"> 否 </w:t>
            </w:r>
          </w:p>
        </w:tc>
      </w:tr>
      <w:tr w14:paraId="5CA80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5DA72B67">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7</w:t>
            </w:r>
          </w:p>
        </w:tc>
        <w:tc>
          <w:tcPr>
            <w:tcW w:w="1229" w:type="dxa"/>
            <w:tcBorders>
              <w:top w:val="single" w:color="auto" w:sz="4" w:space="0"/>
              <w:left w:val="single" w:color="auto" w:sz="4" w:space="0"/>
              <w:bottom w:val="single" w:color="auto" w:sz="4" w:space="0"/>
              <w:right w:val="single" w:color="auto" w:sz="4" w:space="0"/>
            </w:tcBorders>
            <w:noWrap/>
            <w:vAlign w:val="center"/>
          </w:tcPr>
          <w:p w14:paraId="09412B5E">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6.2</w:t>
            </w:r>
          </w:p>
        </w:tc>
        <w:tc>
          <w:tcPr>
            <w:tcW w:w="7707" w:type="dxa"/>
            <w:tcBorders>
              <w:top w:val="single" w:color="auto" w:sz="4" w:space="0"/>
              <w:left w:val="single" w:color="auto" w:sz="4" w:space="0"/>
              <w:bottom w:val="single" w:color="auto" w:sz="4" w:space="0"/>
              <w:right w:val="single" w:color="auto" w:sz="4" w:space="0"/>
            </w:tcBorders>
            <w:noWrap/>
            <w:vAlign w:val="center"/>
          </w:tcPr>
          <w:p w14:paraId="437D26B4">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发包人是否提供施工设备和临时设施：</w:t>
            </w:r>
            <w:r>
              <w:rPr>
                <w:rFonts w:hint="eastAsia" w:ascii="宋体" w:hAnsi="宋体"/>
                <w:color w:val="auto"/>
                <w:highlight w:val="none"/>
                <w:u w:val="single"/>
              </w:rPr>
              <w:t xml:space="preserve"> 否 </w:t>
            </w:r>
          </w:p>
        </w:tc>
      </w:tr>
      <w:tr w14:paraId="05D6C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 w:type="dxa"/>
            <w:tcBorders>
              <w:top w:val="single" w:color="auto" w:sz="4" w:space="0"/>
              <w:left w:val="single" w:color="auto" w:sz="4" w:space="0"/>
              <w:bottom w:val="single" w:color="auto" w:sz="4" w:space="0"/>
              <w:right w:val="single" w:color="auto" w:sz="4" w:space="0"/>
            </w:tcBorders>
            <w:noWrap/>
            <w:vAlign w:val="center"/>
          </w:tcPr>
          <w:p w14:paraId="50A8CA1C">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8</w:t>
            </w:r>
          </w:p>
        </w:tc>
        <w:tc>
          <w:tcPr>
            <w:tcW w:w="1229" w:type="dxa"/>
            <w:tcBorders>
              <w:top w:val="single" w:color="auto" w:sz="4" w:space="0"/>
              <w:left w:val="single" w:color="auto" w:sz="4" w:space="0"/>
              <w:bottom w:val="single" w:color="auto" w:sz="4" w:space="0"/>
              <w:right w:val="single" w:color="auto" w:sz="4" w:space="0"/>
            </w:tcBorders>
            <w:noWrap/>
            <w:vAlign w:val="center"/>
          </w:tcPr>
          <w:p w14:paraId="2017F959">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8.1.1</w:t>
            </w:r>
          </w:p>
        </w:tc>
        <w:tc>
          <w:tcPr>
            <w:tcW w:w="7707" w:type="dxa"/>
            <w:tcBorders>
              <w:top w:val="single" w:color="auto" w:sz="4" w:space="0"/>
              <w:left w:val="single" w:color="auto" w:sz="4" w:space="0"/>
              <w:bottom w:val="single" w:color="auto" w:sz="4" w:space="0"/>
              <w:right w:val="single" w:color="auto" w:sz="4" w:space="0"/>
            </w:tcBorders>
            <w:noWrap/>
            <w:vAlign w:val="center"/>
          </w:tcPr>
          <w:p w14:paraId="2B575DF5">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发包人提供测量基准点、基准线和水准点及其书面资料的期限：</w:t>
            </w:r>
            <w:r>
              <w:rPr>
                <w:rFonts w:hint="eastAsia" w:ascii="宋体" w:hAnsi="宋体"/>
                <w:color w:val="auto"/>
                <w:highlight w:val="none"/>
                <w:u w:val="single"/>
              </w:rPr>
              <w:t xml:space="preserve">开工日期7天前 </w:t>
            </w:r>
          </w:p>
          <w:p w14:paraId="4E041A3C">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承包人将施工控制网资料报送监理人审批的期限：</w:t>
            </w:r>
            <w:r>
              <w:rPr>
                <w:rFonts w:hint="eastAsia" w:ascii="宋体" w:hAnsi="宋体"/>
                <w:color w:val="auto"/>
                <w:highlight w:val="none"/>
                <w:u w:val="single"/>
              </w:rPr>
              <w:t xml:space="preserve">承包人在与发包人签订合同协议后的28天内提交给监理人 </w:t>
            </w:r>
          </w:p>
        </w:tc>
      </w:tr>
      <w:tr w14:paraId="24079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F4C753B">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9</w:t>
            </w:r>
          </w:p>
        </w:tc>
        <w:tc>
          <w:tcPr>
            <w:tcW w:w="1229" w:type="dxa"/>
            <w:tcBorders>
              <w:top w:val="single" w:color="auto" w:sz="4" w:space="0"/>
              <w:left w:val="single" w:color="auto" w:sz="4" w:space="0"/>
              <w:bottom w:val="single" w:color="auto" w:sz="4" w:space="0"/>
              <w:right w:val="single" w:color="auto" w:sz="4" w:space="0"/>
            </w:tcBorders>
            <w:noWrap/>
            <w:vAlign w:val="center"/>
          </w:tcPr>
          <w:p w14:paraId="15FA22CB">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11.5（3）</w:t>
            </w:r>
          </w:p>
        </w:tc>
        <w:tc>
          <w:tcPr>
            <w:tcW w:w="7707" w:type="dxa"/>
            <w:tcBorders>
              <w:top w:val="single" w:color="auto" w:sz="4" w:space="0"/>
              <w:left w:val="single" w:color="auto" w:sz="4" w:space="0"/>
              <w:bottom w:val="single" w:color="auto" w:sz="4" w:space="0"/>
              <w:right w:val="single" w:color="auto" w:sz="4" w:space="0"/>
            </w:tcBorders>
            <w:noWrap/>
            <w:vAlign w:val="center"/>
          </w:tcPr>
          <w:p w14:paraId="146EA865">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逾期交工违约金：人民币</w:t>
            </w:r>
            <w:r>
              <w:rPr>
                <w:rFonts w:hint="eastAsia" w:ascii="宋体" w:hAnsi="宋体"/>
                <w:color w:val="auto"/>
                <w:highlight w:val="none"/>
                <w:u w:val="single"/>
              </w:rPr>
              <w:t xml:space="preserve"> 5000</w:t>
            </w:r>
            <w:r>
              <w:rPr>
                <w:rFonts w:hint="eastAsia" w:ascii="宋体" w:hAnsi="宋体"/>
                <w:color w:val="auto"/>
                <w:highlight w:val="none"/>
              </w:rPr>
              <w:t>元/天</w:t>
            </w:r>
          </w:p>
        </w:tc>
      </w:tr>
      <w:tr w14:paraId="0376E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259EC89">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10</w:t>
            </w:r>
          </w:p>
        </w:tc>
        <w:tc>
          <w:tcPr>
            <w:tcW w:w="1229" w:type="dxa"/>
            <w:tcBorders>
              <w:top w:val="single" w:color="auto" w:sz="4" w:space="0"/>
              <w:left w:val="single" w:color="auto" w:sz="4" w:space="0"/>
              <w:bottom w:val="single" w:color="auto" w:sz="4" w:space="0"/>
              <w:right w:val="single" w:color="auto" w:sz="4" w:space="0"/>
            </w:tcBorders>
            <w:noWrap/>
            <w:vAlign w:val="center"/>
          </w:tcPr>
          <w:p w14:paraId="3D42F53F">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11.5（3）</w:t>
            </w:r>
          </w:p>
        </w:tc>
        <w:tc>
          <w:tcPr>
            <w:tcW w:w="7707" w:type="dxa"/>
            <w:tcBorders>
              <w:top w:val="single" w:color="auto" w:sz="4" w:space="0"/>
              <w:left w:val="single" w:color="auto" w:sz="4" w:space="0"/>
              <w:bottom w:val="single" w:color="auto" w:sz="4" w:space="0"/>
              <w:right w:val="single" w:color="auto" w:sz="4" w:space="0"/>
            </w:tcBorders>
            <w:noWrap/>
            <w:vAlign w:val="center"/>
          </w:tcPr>
          <w:p w14:paraId="65F15575">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逾期交工违约金限额：</w:t>
            </w:r>
            <w:r>
              <w:rPr>
                <w:rFonts w:hint="eastAsia" w:ascii="宋体" w:hAnsi="宋体"/>
                <w:color w:val="auto"/>
                <w:highlight w:val="none"/>
                <w:u w:val="single"/>
              </w:rPr>
              <w:t>10%</w:t>
            </w:r>
            <w:r>
              <w:rPr>
                <w:rFonts w:hint="eastAsia" w:ascii="宋体" w:hAnsi="宋体"/>
                <w:color w:val="auto"/>
                <w:highlight w:val="none"/>
              </w:rPr>
              <w:t>签约合同价</w:t>
            </w:r>
          </w:p>
        </w:tc>
      </w:tr>
      <w:tr w14:paraId="7D5E5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2DE2DFAE">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11</w:t>
            </w:r>
          </w:p>
        </w:tc>
        <w:tc>
          <w:tcPr>
            <w:tcW w:w="1229" w:type="dxa"/>
            <w:tcBorders>
              <w:top w:val="single" w:color="auto" w:sz="4" w:space="0"/>
              <w:left w:val="single" w:color="auto" w:sz="4" w:space="0"/>
              <w:bottom w:val="single" w:color="auto" w:sz="4" w:space="0"/>
              <w:right w:val="single" w:color="auto" w:sz="4" w:space="0"/>
            </w:tcBorders>
            <w:noWrap/>
            <w:vAlign w:val="center"/>
          </w:tcPr>
          <w:p w14:paraId="53B24DD8">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11.6</w:t>
            </w:r>
          </w:p>
        </w:tc>
        <w:tc>
          <w:tcPr>
            <w:tcW w:w="7707" w:type="dxa"/>
            <w:tcBorders>
              <w:top w:val="single" w:color="auto" w:sz="4" w:space="0"/>
              <w:left w:val="single" w:color="auto" w:sz="4" w:space="0"/>
              <w:bottom w:val="single" w:color="auto" w:sz="4" w:space="0"/>
              <w:right w:val="single" w:color="auto" w:sz="4" w:space="0"/>
            </w:tcBorders>
            <w:noWrap/>
            <w:vAlign w:val="center"/>
          </w:tcPr>
          <w:p w14:paraId="4FA38131">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提前交工的奖金：不适用</w:t>
            </w:r>
          </w:p>
        </w:tc>
      </w:tr>
      <w:tr w14:paraId="7194B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02322607">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12</w:t>
            </w:r>
          </w:p>
        </w:tc>
        <w:tc>
          <w:tcPr>
            <w:tcW w:w="1229" w:type="dxa"/>
            <w:tcBorders>
              <w:top w:val="single" w:color="auto" w:sz="4" w:space="0"/>
              <w:left w:val="single" w:color="auto" w:sz="4" w:space="0"/>
              <w:bottom w:val="single" w:color="auto" w:sz="4" w:space="0"/>
              <w:right w:val="single" w:color="auto" w:sz="4" w:space="0"/>
            </w:tcBorders>
            <w:noWrap/>
            <w:vAlign w:val="center"/>
          </w:tcPr>
          <w:p w14:paraId="7F9A957C">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11.6</w:t>
            </w:r>
          </w:p>
        </w:tc>
        <w:tc>
          <w:tcPr>
            <w:tcW w:w="7707" w:type="dxa"/>
            <w:tcBorders>
              <w:top w:val="single" w:color="auto" w:sz="4" w:space="0"/>
              <w:left w:val="single" w:color="auto" w:sz="4" w:space="0"/>
              <w:bottom w:val="single" w:color="auto" w:sz="4" w:space="0"/>
              <w:right w:val="single" w:color="auto" w:sz="4" w:space="0"/>
            </w:tcBorders>
            <w:noWrap/>
            <w:vAlign w:val="center"/>
          </w:tcPr>
          <w:p w14:paraId="6EEDB2B3">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提前交工的奖金限额：不适用</w:t>
            </w:r>
          </w:p>
        </w:tc>
      </w:tr>
      <w:tr w14:paraId="77F14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4B57D8F3">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13</w:t>
            </w:r>
          </w:p>
        </w:tc>
        <w:tc>
          <w:tcPr>
            <w:tcW w:w="1229" w:type="dxa"/>
            <w:tcBorders>
              <w:top w:val="single" w:color="auto" w:sz="4" w:space="0"/>
              <w:left w:val="single" w:color="auto" w:sz="4" w:space="0"/>
              <w:bottom w:val="single" w:color="auto" w:sz="4" w:space="0"/>
              <w:right w:val="single" w:color="auto" w:sz="4" w:space="0"/>
            </w:tcBorders>
            <w:noWrap/>
            <w:vAlign w:val="center"/>
          </w:tcPr>
          <w:p w14:paraId="4434FDED">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15.5.2</w:t>
            </w:r>
          </w:p>
        </w:tc>
        <w:tc>
          <w:tcPr>
            <w:tcW w:w="7707" w:type="dxa"/>
            <w:tcBorders>
              <w:top w:val="single" w:color="auto" w:sz="4" w:space="0"/>
              <w:left w:val="single" w:color="auto" w:sz="4" w:space="0"/>
              <w:bottom w:val="single" w:color="auto" w:sz="4" w:space="0"/>
              <w:right w:val="single" w:color="auto" w:sz="4" w:space="0"/>
            </w:tcBorders>
            <w:noWrap/>
            <w:vAlign w:val="center"/>
          </w:tcPr>
          <w:p w14:paraId="1F0F29EF">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承包人提出的合理化建议降低了合同价格或者提高了工程经济效益的，发包人按所节约成本的</w:t>
            </w:r>
            <w:r>
              <w:rPr>
                <w:rFonts w:hint="eastAsia" w:ascii="宋体" w:hAnsi="宋体"/>
                <w:color w:val="auto"/>
                <w:highlight w:val="none"/>
                <w:u w:val="single"/>
              </w:rPr>
              <w:t>0</w:t>
            </w:r>
            <w:r>
              <w:rPr>
                <w:rFonts w:hint="eastAsia" w:ascii="宋体" w:hAnsi="宋体"/>
                <w:color w:val="auto"/>
                <w:highlight w:val="none"/>
              </w:rPr>
              <w:t>%或增加收益的</w:t>
            </w:r>
            <w:r>
              <w:rPr>
                <w:rFonts w:hint="eastAsia" w:ascii="宋体" w:hAnsi="宋体"/>
                <w:color w:val="auto"/>
                <w:highlight w:val="none"/>
                <w:u w:val="single"/>
              </w:rPr>
              <w:t>0</w:t>
            </w:r>
            <w:r>
              <w:rPr>
                <w:rFonts w:hint="eastAsia" w:ascii="宋体" w:hAnsi="宋体"/>
                <w:color w:val="auto"/>
                <w:highlight w:val="none"/>
              </w:rPr>
              <w:t>%给予奖励</w:t>
            </w:r>
          </w:p>
        </w:tc>
      </w:tr>
      <w:tr w14:paraId="38C6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52F11605">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14</w:t>
            </w:r>
          </w:p>
        </w:tc>
        <w:tc>
          <w:tcPr>
            <w:tcW w:w="1229" w:type="dxa"/>
            <w:tcBorders>
              <w:top w:val="single" w:color="auto" w:sz="4" w:space="0"/>
              <w:left w:val="single" w:color="auto" w:sz="4" w:space="0"/>
              <w:bottom w:val="single" w:color="auto" w:sz="4" w:space="0"/>
              <w:right w:val="single" w:color="auto" w:sz="4" w:space="0"/>
            </w:tcBorders>
            <w:noWrap/>
            <w:vAlign w:val="center"/>
          </w:tcPr>
          <w:p w14:paraId="52334D15">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16.1</w:t>
            </w:r>
          </w:p>
        </w:tc>
        <w:tc>
          <w:tcPr>
            <w:tcW w:w="7707" w:type="dxa"/>
            <w:tcBorders>
              <w:top w:val="single" w:color="auto" w:sz="4" w:space="0"/>
              <w:left w:val="single" w:color="auto" w:sz="4" w:space="0"/>
              <w:bottom w:val="single" w:color="auto" w:sz="4" w:space="0"/>
              <w:right w:val="single" w:color="auto" w:sz="4" w:space="0"/>
            </w:tcBorders>
            <w:noWrap/>
            <w:vAlign w:val="center"/>
          </w:tcPr>
          <w:p w14:paraId="3141C482">
            <w:pPr>
              <w:autoSpaceDE w:val="0"/>
              <w:adjustRightInd w:val="0"/>
              <w:snapToGrid w:val="0"/>
              <w:spacing w:line="360" w:lineRule="exact"/>
              <w:rPr>
                <w:rFonts w:ascii="宋体" w:hAnsi="宋体"/>
                <w:color w:val="auto"/>
                <w:highlight w:val="none"/>
              </w:rPr>
            </w:pPr>
            <w:r>
              <w:rPr>
                <w:rFonts w:hint="eastAsia" w:ascii="MS Mincho" w:hAnsi="MS Mincho" w:eastAsia="MS Mincho" w:cs="MS Mincho"/>
                <w:color w:val="auto"/>
                <w:highlight w:val="none"/>
              </w:rPr>
              <w:t>☑</w:t>
            </w:r>
            <w:r>
              <w:rPr>
                <w:rFonts w:hint="eastAsia" w:ascii="宋体" w:hAnsi="宋体"/>
                <w:color w:val="auto"/>
                <w:highlight w:val="none"/>
              </w:rPr>
              <w:t>合同期内不调价</w:t>
            </w:r>
          </w:p>
        </w:tc>
      </w:tr>
      <w:tr w14:paraId="281AC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397CEE53">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15</w:t>
            </w:r>
          </w:p>
        </w:tc>
        <w:tc>
          <w:tcPr>
            <w:tcW w:w="1229" w:type="dxa"/>
            <w:tcBorders>
              <w:top w:val="single" w:color="auto" w:sz="4" w:space="0"/>
              <w:left w:val="single" w:color="auto" w:sz="4" w:space="0"/>
              <w:bottom w:val="single" w:color="auto" w:sz="4" w:space="0"/>
              <w:right w:val="single" w:color="auto" w:sz="4" w:space="0"/>
            </w:tcBorders>
            <w:noWrap/>
            <w:vAlign w:val="center"/>
          </w:tcPr>
          <w:p w14:paraId="11EF30C5">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17.2.1（1）</w:t>
            </w:r>
          </w:p>
        </w:tc>
        <w:tc>
          <w:tcPr>
            <w:tcW w:w="7707" w:type="dxa"/>
            <w:tcBorders>
              <w:top w:val="single" w:color="auto" w:sz="4" w:space="0"/>
              <w:left w:val="single" w:color="auto" w:sz="4" w:space="0"/>
              <w:bottom w:val="single" w:color="auto" w:sz="4" w:space="0"/>
              <w:right w:val="single" w:color="auto" w:sz="4" w:space="0"/>
            </w:tcBorders>
            <w:noWrap/>
            <w:vAlign w:val="center"/>
          </w:tcPr>
          <w:p w14:paraId="56B73437">
            <w:pPr>
              <w:autoSpaceDE w:val="0"/>
              <w:adjustRightInd w:val="0"/>
              <w:snapToGrid w:val="0"/>
              <w:spacing w:line="360" w:lineRule="exact"/>
              <w:rPr>
                <w:rFonts w:hint="eastAsia" w:ascii="宋体" w:hAnsi="宋体" w:eastAsia="宋体"/>
                <w:color w:val="auto"/>
                <w:highlight w:val="none"/>
                <w:lang w:eastAsia="zh-CN"/>
              </w:rPr>
            </w:pPr>
            <w:r>
              <w:rPr>
                <w:rFonts w:hint="eastAsia" w:ascii="宋体" w:hAnsi="宋体"/>
                <w:color w:val="auto"/>
                <w:highlight w:val="none"/>
              </w:rPr>
              <w:t>开工预付款比例：</w:t>
            </w:r>
            <w:r>
              <w:rPr>
                <w:rFonts w:hint="eastAsia" w:ascii="宋体" w:hAnsi="宋体"/>
                <w:color w:val="auto"/>
                <w:highlight w:val="none"/>
                <w:u w:val="single"/>
                <w:lang w:val="en-US" w:eastAsia="zh-CN"/>
              </w:rPr>
              <w:t>/</w:t>
            </w:r>
          </w:p>
        </w:tc>
      </w:tr>
      <w:tr w14:paraId="41BFC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66236B97">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16</w:t>
            </w:r>
          </w:p>
        </w:tc>
        <w:tc>
          <w:tcPr>
            <w:tcW w:w="1229" w:type="dxa"/>
            <w:tcBorders>
              <w:top w:val="single" w:color="auto" w:sz="4" w:space="0"/>
              <w:left w:val="single" w:color="auto" w:sz="4" w:space="0"/>
              <w:bottom w:val="single" w:color="auto" w:sz="4" w:space="0"/>
              <w:right w:val="single" w:color="auto" w:sz="4" w:space="0"/>
            </w:tcBorders>
            <w:noWrap/>
            <w:vAlign w:val="center"/>
          </w:tcPr>
          <w:p w14:paraId="1A90F37B">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17.2.1（2）</w:t>
            </w:r>
          </w:p>
        </w:tc>
        <w:tc>
          <w:tcPr>
            <w:tcW w:w="7707" w:type="dxa"/>
            <w:tcBorders>
              <w:top w:val="single" w:color="auto" w:sz="4" w:space="0"/>
              <w:left w:val="single" w:color="auto" w:sz="4" w:space="0"/>
              <w:bottom w:val="single" w:color="auto" w:sz="4" w:space="0"/>
              <w:right w:val="single" w:color="auto" w:sz="4" w:space="0"/>
            </w:tcBorders>
            <w:noWrap/>
            <w:vAlign w:val="center"/>
          </w:tcPr>
          <w:p w14:paraId="75A9FE3D">
            <w:pPr>
              <w:autoSpaceDE w:val="0"/>
              <w:adjustRightInd w:val="0"/>
              <w:snapToGrid w:val="0"/>
              <w:spacing w:line="360" w:lineRule="exact"/>
              <w:rPr>
                <w:rFonts w:hint="eastAsia" w:ascii="宋体" w:hAnsi="宋体" w:eastAsia="宋体"/>
                <w:color w:val="auto"/>
                <w:highlight w:val="none"/>
                <w:lang w:eastAsia="zh-CN"/>
              </w:rPr>
            </w:pPr>
            <w:r>
              <w:rPr>
                <w:rFonts w:hint="eastAsia" w:ascii="宋体" w:hAnsi="宋体"/>
                <w:color w:val="auto"/>
                <w:highlight w:val="none"/>
              </w:rPr>
              <w:t>材料、设备预付款比例：</w:t>
            </w:r>
            <w:r>
              <w:rPr>
                <w:rFonts w:hint="eastAsia" w:ascii="宋体" w:hAnsi="宋体"/>
                <w:color w:val="auto"/>
                <w:highlight w:val="none"/>
                <w:u w:val="single"/>
                <w:lang w:val="en-US" w:eastAsia="zh-CN"/>
              </w:rPr>
              <w:t>/</w:t>
            </w:r>
          </w:p>
        </w:tc>
      </w:tr>
      <w:tr w14:paraId="6810C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CF2CA8A">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w:t>
            </w:r>
          </w:p>
        </w:tc>
        <w:tc>
          <w:tcPr>
            <w:tcW w:w="1229" w:type="dxa"/>
            <w:tcBorders>
              <w:top w:val="single" w:color="auto" w:sz="4" w:space="0"/>
              <w:left w:val="single" w:color="auto" w:sz="4" w:space="0"/>
              <w:bottom w:val="single" w:color="auto" w:sz="4" w:space="0"/>
              <w:right w:val="single" w:color="auto" w:sz="4" w:space="0"/>
            </w:tcBorders>
            <w:noWrap/>
            <w:vAlign w:val="center"/>
          </w:tcPr>
          <w:p w14:paraId="07B96B7B">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17.3.2</w:t>
            </w:r>
          </w:p>
        </w:tc>
        <w:tc>
          <w:tcPr>
            <w:tcW w:w="7707" w:type="dxa"/>
            <w:tcBorders>
              <w:top w:val="single" w:color="auto" w:sz="4" w:space="0"/>
              <w:left w:val="single" w:color="auto" w:sz="4" w:space="0"/>
              <w:bottom w:val="single" w:color="auto" w:sz="4" w:space="0"/>
              <w:right w:val="single" w:color="auto" w:sz="4" w:space="0"/>
            </w:tcBorders>
            <w:noWrap/>
            <w:vAlign w:val="center"/>
          </w:tcPr>
          <w:p w14:paraId="6B2E64D3">
            <w:pPr>
              <w:pStyle w:val="43"/>
              <w:autoSpaceDN/>
              <w:spacing w:line="360" w:lineRule="exact"/>
              <w:jc w:val="both"/>
              <w:rPr>
                <w:rFonts w:hAnsi="宋体" w:cs="Times New Roman"/>
                <w:color w:val="auto"/>
                <w:sz w:val="21"/>
                <w:szCs w:val="21"/>
                <w:highlight w:val="none"/>
              </w:rPr>
            </w:pPr>
            <w:r>
              <w:rPr>
                <w:rFonts w:hint="eastAsia" w:hAnsi="宋体" w:cs="Times New Roman"/>
                <w:color w:val="auto"/>
                <w:sz w:val="21"/>
                <w:szCs w:val="21"/>
                <w:highlight w:val="none"/>
              </w:rPr>
              <w:t>承包人在每个付款周期末向监理人提交进度付款申请单的份数：</w:t>
            </w:r>
            <w:r>
              <w:rPr>
                <w:rFonts w:hint="eastAsia" w:hAnsi="宋体" w:cs="Times New Roman"/>
                <w:color w:val="auto"/>
                <w:sz w:val="21"/>
                <w:szCs w:val="21"/>
                <w:highlight w:val="none"/>
                <w:u w:val="single"/>
              </w:rPr>
              <w:t xml:space="preserve"> 6 </w:t>
            </w:r>
            <w:r>
              <w:rPr>
                <w:rFonts w:hint="eastAsia" w:hAnsi="宋体" w:cs="Times New Roman"/>
                <w:color w:val="auto"/>
                <w:sz w:val="21"/>
                <w:szCs w:val="21"/>
                <w:highlight w:val="none"/>
              </w:rPr>
              <w:t>份</w:t>
            </w:r>
          </w:p>
        </w:tc>
      </w:tr>
      <w:tr w14:paraId="388FB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67A8FE88">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18</w:t>
            </w:r>
          </w:p>
        </w:tc>
        <w:tc>
          <w:tcPr>
            <w:tcW w:w="1229" w:type="dxa"/>
            <w:tcBorders>
              <w:top w:val="single" w:color="auto" w:sz="4" w:space="0"/>
              <w:left w:val="single" w:color="auto" w:sz="4" w:space="0"/>
              <w:bottom w:val="single" w:color="auto" w:sz="4" w:space="0"/>
              <w:right w:val="single" w:color="auto" w:sz="4" w:space="0"/>
            </w:tcBorders>
            <w:noWrap/>
            <w:vAlign w:val="center"/>
          </w:tcPr>
          <w:p w14:paraId="1D640BA7">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17.3.3（1）</w:t>
            </w:r>
          </w:p>
        </w:tc>
        <w:tc>
          <w:tcPr>
            <w:tcW w:w="7707" w:type="dxa"/>
            <w:tcBorders>
              <w:top w:val="single" w:color="auto" w:sz="4" w:space="0"/>
              <w:left w:val="single" w:color="auto" w:sz="4" w:space="0"/>
              <w:bottom w:val="single" w:color="auto" w:sz="4" w:space="0"/>
              <w:right w:val="single" w:color="auto" w:sz="4" w:space="0"/>
            </w:tcBorders>
            <w:noWrap/>
            <w:vAlign w:val="center"/>
          </w:tcPr>
          <w:p w14:paraId="1F5448A4">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进度付款申请证书最低限额：人民币</w:t>
            </w:r>
            <w:r>
              <w:rPr>
                <w:rFonts w:hint="eastAsia" w:ascii="宋体" w:hAnsi="宋体"/>
                <w:color w:val="auto"/>
                <w:highlight w:val="none"/>
                <w:u w:val="single"/>
                <w:lang w:val="en-US" w:eastAsia="zh-CN"/>
              </w:rPr>
              <w:t>1000</w:t>
            </w:r>
            <w:r>
              <w:rPr>
                <w:rFonts w:hint="eastAsia" w:ascii="宋体" w:hAnsi="宋体"/>
                <w:color w:val="auto"/>
                <w:highlight w:val="none"/>
              </w:rPr>
              <w:t>万元</w:t>
            </w:r>
          </w:p>
        </w:tc>
      </w:tr>
      <w:tr w14:paraId="4DD74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2204961B">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19</w:t>
            </w:r>
          </w:p>
        </w:tc>
        <w:tc>
          <w:tcPr>
            <w:tcW w:w="1229" w:type="dxa"/>
            <w:tcBorders>
              <w:top w:val="single" w:color="auto" w:sz="4" w:space="0"/>
              <w:left w:val="single" w:color="auto" w:sz="4" w:space="0"/>
              <w:bottom w:val="single" w:color="auto" w:sz="4" w:space="0"/>
              <w:right w:val="single" w:color="auto" w:sz="4" w:space="0"/>
            </w:tcBorders>
            <w:noWrap/>
            <w:vAlign w:val="center"/>
          </w:tcPr>
          <w:p w14:paraId="33740D93">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17.3.3（2）</w:t>
            </w:r>
          </w:p>
        </w:tc>
        <w:tc>
          <w:tcPr>
            <w:tcW w:w="7707" w:type="dxa"/>
            <w:tcBorders>
              <w:top w:val="single" w:color="auto" w:sz="4" w:space="0"/>
              <w:left w:val="single" w:color="auto" w:sz="4" w:space="0"/>
              <w:bottom w:val="single" w:color="auto" w:sz="4" w:space="0"/>
              <w:right w:val="single" w:color="auto" w:sz="4" w:space="0"/>
            </w:tcBorders>
            <w:noWrap/>
            <w:vAlign w:val="center"/>
          </w:tcPr>
          <w:p w14:paraId="6D87A925">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逾期付款违约金的利率：</w:t>
            </w:r>
            <w:r>
              <w:rPr>
                <w:rFonts w:hint="eastAsia" w:ascii="宋体" w:hAnsi="宋体"/>
                <w:color w:val="auto"/>
                <w:highlight w:val="none"/>
                <w:u w:val="single"/>
              </w:rPr>
              <w:t>按同期贷款市场报价利率（LPR）一年期利率计算。</w:t>
            </w:r>
          </w:p>
        </w:tc>
      </w:tr>
      <w:tr w14:paraId="16490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25BF9521">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20</w:t>
            </w:r>
          </w:p>
        </w:tc>
        <w:tc>
          <w:tcPr>
            <w:tcW w:w="1229" w:type="dxa"/>
            <w:tcBorders>
              <w:top w:val="single" w:color="auto" w:sz="4" w:space="0"/>
              <w:left w:val="single" w:color="auto" w:sz="4" w:space="0"/>
              <w:bottom w:val="single" w:color="auto" w:sz="4" w:space="0"/>
              <w:right w:val="single" w:color="auto" w:sz="4" w:space="0"/>
            </w:tcBorders>
            <w:noWrap/>
            <w:vAlign w:val="center"/>
          </w:tcPr>
          <w:p w14:paraId="66A7F20A">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17.4.1</w:t>
            </w:r>
          </w:p>
        </w:tc>
        <w:tc>
          <w:tcPr>
            <w:tcW w:w="7707" w:type="dxa"/>
            <w:tcBorders>
              <w:top w:val="single" w:color="auto" w:sz="4" w:space="0"/>
              <w:left w:val="single" w:color="auto" w:sz="4" w:space="0"/>
              <w:bottom w:val="single" w:color="auto" w:sz="4" w:space="0"/>
              <w:right w:val="single" w:color="auto" w:sz="4" w:space="0"/>
            </w:tcBorders>
            <w:noWrap/>
            <w:vAlign w:val="center"/>
          </w:tcPr>
          <w:p w14:paraId="0F274079">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质量保证金金额：</w:t>
            </w:r>
            <w:r>
              <w:rPr>
                <w:rFonts w:hint="eastAsia" w:ascii="宋体" w:hAnsi="宋体"/>
                <w:color w:val="auto"/>
                <w:highlight w:val="none"/>
                <w:u w:val="single"/>
              </w:rPr>
              <w:t xml:space="preserve"> 3  </w:t>
            </w:r>
            <w:r>
              <w:rPr>
                <w:rFonts w:hint="eastAsia" w:ascii="宋体" w:hAnsi="宋体"/>
                <w:color w:val="auto"/>
                <w:highlight w:val="none"/>
              </w:rPr>
              <w:t>%合同价格</w:t>
            </w:r>
          </w:p>
          <w:p w14:paraId="6C96F12C">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质量保证金是否计付利息：否</w:t>
            </w:r>
          </w:p>
        </w:tc>
      </w:tr>
      <w:tr w14:paraId="34306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838D7B5">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21</w:t>
            </w:r>
          </w:p>
        </w:tc>
        <w:tc>
          <w:tcPr>
            <w:tcW w:w="1229" w:type="dxa"/>
            <w:tcBorders>
              <w:top w:val="single" w:color="auto" w:sz="4" w:space="0"/>
              <w:left w:val="single" w:color="auto" w:sz="4" w:space="0"/>
              <w:bottom w:val="single" w:color="auto" w:sz="4" w:space="0"/>
              <w:right w:val="single" w:color="auto" w:sz="4" w:space="0"/>
            </w:tcBorders>
            <w:noWrap/>
            <w:vAlign w:val="center"/>
          </w:tcPr>
          <w:p w14:paraId="2B05AAB2">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17.5.1（1）</w:t>
            </w:r>
          </w:p>
        </w:tc>
        <w:tc>
          <w:tcPr>
            <w:tcW w:w="7707" w:type="dxa"/>
            <w:tcBorders>
              <w:top w:val="single" w:color="auto" w:sz="4" w:space="0"/>
              <w:left w:val="single" w:color="auto" w:sz="4" w:space="0"/>
              <w:bottom w:val="single" w:color="auto" w:sz="4" w:space="0"/>
              <w:right w:val="single" w:color="auto" w:sz="4" w:space="0"/>
            </w:tcBorders>
            <w:noWrap/>
            <w:vAlign w:val="center"/>
          </w:tcPr>
          <w:p w14:paraId="5B424242">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承包人向监理人提交交工付款申请单（包括相关证明材料）的份数：</w:t>
            </w:r>
            <w:r>
              <w:rPr>
                <w:rFonts w:hint="eastAsia" w:ascii="宋体" w:hAnsi="宋体"/>
                <w:color w:val="auto"/>
                <w:highlight w:val="none"/>
                <w:u w:val="single"/>
              </w:rPr>
              <w:t xml:space="preserve"> 6</w:t>
            </w:r>
            <w:r>
              <w:rPr>
                <w:rFonts w:hint="eastAsia" w:ascii="宋体" w:hAnsi="宋体"/>
                <w:color w:val="auto"/>
                <w:highlight w:val="none"/>
              </w:rPr>
              <w:t>份</w:t>
            </w:r>
          </w:p>
        </w:tc>
      </w:tr>
      <w:tr w14:paraId="3C727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5A8753D2">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22</w:t>
            </w:r>
          </w:p>
        </w:tc>
        <w:tc>
          <w:tcPr>
            <w:tcW w:w="1229" w:type="dxa"/>
            <w:tcBorders>
              <w:top w:val="single" w:color="auto" w:sz="4" w:space="0"/>
              <w:left w:val="single" w:color="auto" w:sz="4" w:space="0"/>
              <w:bottom w:val="single" w:color="auto" w:sz="4" w:space="0"/>
              <w:right w:val="single" w:color="auto" w:sz="4" w:space="0"/>
            </w:tcBorders>
            <w:noWrap/>
            <w:vAlign w:val="center"/>
          </w:tcPr>
          <w:p w14:paraId="42B04563">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17.6.1（1）</w:t>
            </w:r>
          </w:p>
        </w:tc>
        <w:tc>
          <w:tcPr>
            <w:tcW w:w="7707" w:type="dxa"/>
            <w:tcBorders>
              <w:top w:val="single" w:color="auto" w:sz="4" w:space="0"/>
              <w:left w:val="single" w:color="auto" w:sz="4" w:space="0"/>
              <w:bottom w:val="single" w:color="auto" w:sz="4" w:space="0"/>
              <w:right w:val="single" w:color="auto" w:sz="4" w:space="0"/>
            </w:tcBorders>
            <w:noWrap/>
            <w:vAlign w:val="center"/>
          </w:tcPr>
          <w:p w14:paraId="66A7EF1B">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承包人向监理人提交最终结清申请单（包括相关证明材料）的份数：</w:t>
            </w:r>
            <w:r>
              <w:rPr>
                <w:rFonts w:hint="eastAsia" w:ascii="宋体" w:hAnsi="宋体"/>
                <w:color w:val="auto"/>
                <w:highlight w:val="none"/>
                <w:u w:val="single"/>
              </w:rPr>
              <w:t xml:space="preserve"> 6 </w:t>
            </w:r>
            <w:r>
              <w:rPr>
                <w:rFonts w:hint="eastAsia" w:ascii="宋体" w:hAnsi="宋体"/>
                <w:color w:val="auto"/>
                <w:highlight w:val="none"/>
              </w:rPr>
              <w:t>份</w:t>
            </w:r>
          </w:p>
        </w:tc>
      </w:tr>
      <w:tr w14:paraId="79FEF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38A45AA2">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23</w:t>
            </w:r>
          </w:p>
        </w:tc>
        <w:tc>
          <w:tcPr>
            <w:tcW w:w="1229" w:type="dxa"/>
            <w:tcBorders>
              <w:top w:val="single" w:color="auto" w:sz="4" w:space="0"/>
              <w:left w:val="single" w:color="auto" w:sz="4" w:space="0"/>
              <w:bottom w:val="single" w:color="auto" w:sz="4" w:space="0"/>
              <w:right w:val="single" w:color="auto" w:sz="4" w:space="0"/>
            </w:tcBorders>
            <w:noWrap/>
            <w:vAlign w:val="center"/>
          </w:tcPr>
          <w:p w14:paraId="68633BF9">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18.2（2）</w:t>
            </w:r>
          </w:p>
        </w:tc>
        <w:tc>
          <w:tcPr>
            <w:tcW w:w="7707" w:type="dxa"/>
            <w:tcBorders>
              <w:top w:val="single" w:color="auto" w:sz="4" w:space="0"/>
              <w:left w:val="single" w:color="auto" w:sz="4" w:space="0"/>
              <w:bottom w:val="single" w:color="auto" w:sz="4" w:space="0"/>
              <w:right w:val="single" w:color="auto" w:sz="4" w:space="0"/>
            </w:tcBorders>
            <w:noWrap/>
            <w:vAlign w:val="center"/>
          </w:tcPr>
          <w:p w14:paraId="405F5872">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竣工资料的份数：</w:t>
            </w:r>
            <w:r>
              <w:rPr>
                <w:rFonts w:hint="eastAsia" w:ascii="宋体" w:hAnsi="宋体"/>
                <w:color w:val="auto"/>
                <w:highlight w:val="none"/>
                <w:u w:val="single"/>
              </w:rPr>
              <w:t>2</w:t>
            </w:r>
            <w:r>
              <w:rPr>
                <w:rFonts w:hint="eastAsia" w:ascii="宋体" w:hAnsi="宋体"/>
                <w:color w:val="auto"/>
                <w:highlight w:val="none"/>
              </w:rPr>
              <w:t>份</w:t>
            </w:r>
          </w:p>
        </w:tc>
      </w:tr>
      <w:tr w14:paraId="616CD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4CD7DF6F">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24</w:t>
            </w:r>
          </w:p>
        </w:tc>
        <w:tc>
          <w:tcPr>
            <w:tcW w:w="1229" w:type="dxa"/>
            <w:tcBorders>
              <w:top w:val="single" w:color="auto" w:sz="4" w:space="0"/>
              <w:left w:val="single" w:color="auto" w:sz="4" w:space="0"/>
              <w:bottom w:val="single" w:color="auto" w:sz="4" w:space="0"/>
              <w:right w:val="single" w:color="auto" w:sz="4" w:space="0"/>
            </w:tcBorders>
            <w:noWrap/>
            <w:vAlign w:val="center"/>
          </w:tcPr>
          <w:p w14:paraId="084D67D9">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18.5.1</w:t>
            </w:r>
          </w:p>
        </w:tc>
        <w:tc>
          <w:tcPr>
            <w:tcW w:w="7707" w:type="dxa"/>
            <w:tcBorders>
              <w:top w:val="single" w:color="auto" w:sz="4" w:space="0"/>
              <w:left w:val="single" w:color="auto" w:sz="4" w:space="0"/>
              <w:bottom w:val="single" w:color="auto" w:sz="4" w:space="0"/>
              <w:right w:val="single" w:color="auto" w:sz="4" w:space="0"/>
            </w:tcBorders>
            <w:noWrap/>
            <w:vAlign w:val="center"/>
          </w:tcPr>
          <w:p w14:paraId="5CDB7856">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单位工程或工程设备是否需投入施工期运行：</w:t>
            </w:r>
            <w:r>
              <w:rPr>
                <w:rFonts w:hint="eastAsia" w:ascii="宋体" w:hAnsi="宋体"/>
                <w:color w:val="auto"/>
                <w:highlight w:val="none"/>
                <w:u w:val="single"/>
              </w:rPr>
              <w:t>否</w:t>
            </w:r>
          </w:p>
        </w:tc>
      </w:tr>
      <w:tr w14:paraId="4A4BC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11EBD18">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25</w:t>
            </w:r>
          </w:p>
        </w:tc>
        <w:tc>
          <w:tcPr>
            <w:tcW w:w="1229" w:type="dxa"/>
            <w:tcBorders>
              <w:top w:val="single" w:color="auto" w:sz="4" w:space="0"/>
              <w:left w:val="single" w:color="auto" w:sz="4" w:space="0"/>
              <w:bottom w:val="single" w:color="auto" w:sz="4" w:space="0"/>
              <w:right w:val="single" w:color="auto" w:sz="4" w:space="0"/>
            </w:tcBorders>
            <w:noWrap/>
            <w:vAlign w:val="center"/>
          </w:tcPr>
          <w:p w14:paraId="284396A5">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18.6.1</w:t>
            </w:r>
          </w:p>
        </w:tc>
        <w:tc>
          <w:tcPr>
            <w:tcW w:w="7707" w:type="dxa"/>
            <w:tcBorders>
              <w:top w:val="single" w:color="auto" w:sz="4" w:space="0"/>
              <w:left w:val="single" w:color="auto" w:sz="4" w:space="0"/>
              <w:bottom w:val="single" w:color="auto" w:sz="4" w:space="0"/>
              <w:right w:val="single" w:color="auto" w:sz="4" w:space="0"/>
            </w:tcBorders>
            <w:noWrap/>
            <w:vAlign w:val="center"/>
          </w:tcPr>
          <w:p w14:paraId="4564B4E1">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本工程及工程设备是否进行试运行：</w:t>
            </w:r>
            <w:r>
              <w:rPr>
                <w:rFonts w:hint="eastAsia" w:ascii="宋体" w:hAnsi="宋体"/>
                <w:color w:val="auto"/>
                <w:highlight w:val="none"/>
                <w:u w:val="single"/>
              </w:rPr>
              <w:t>否</w:t>
            </w:r>
          </w:p>
        </w:tc>
      </w:tr>
      <w:tr w14:paraId="4867B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DBC17AA">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26</w:t>
            </w:r>
          </w:p>
        </w:tc>
        <w:tc>
          <w:tcPr>
            <w:tcW w:w="1229" w:type="dxa"/>
            <w:tcBorders>
              <w:top w:val="single" w:color="auto" w:sz="4" w:space="0"/>
              <w:left w:val="single" w:color="auto" w:sz="4" w:space="0"/>
              <w:bottom w:val="single" w:color="auto" w:sz="4" w:space="0"/>
              <w:right w:val="single" w:color="auto" w:sz="4" w:space="0"/>
            </w:tcBorders>
            <w:noWrap/>
            <w:vAlign w:val="center"/>
          </w:tcPr>
          <w:p w14:paraId="6EF3292D">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19.7（1）</w:t>
            </w:r>
          </w:p>
        </w:tc>
        <w:tc>
          <w:tcPr>
            <w:tcW w:w="7707" w:type="dxa"/>
            <w:tcBorders>
              <w:top w:val="single" w:color="auto" w:sz="4" w:space="0"/>
              <w:left w:val="single" w:color="auto" w:sz="4" w:space="0"/>
              <w:bottom w:val="single" w:color="auto" w:sz="4" w:space="0"/>
              <w:right w:val="single" w:color="auto" w:sz="4" w:space="0"/>
            </w:tcBorders>
            <w:noWrap/>
            <w:vAlign w:val="center"/>
          </w:tcPr>
          <w:p w14:paraId="0B6825DB">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保修期：</w:t>
            </w:r>
            <w:r>
              <w:rPr>
                <w:rFonts w:hint="eastAsia" w:ascii="宋体" w:hAnsi="宋体"/>
                <w:color w:val="auto"/>
                <w:highlight w:val="none"/>
                <w:u w:val="single"/>
              </w:rPr>
              <w:t>不适用</w:t>
            </w:r>
          </w:p>
        </w:tc>
      </w:tr>
      <w:tr w14:paraId="386AD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686D04A2">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27</w:t>
            </w:r>
          </w:p>
        </w:tc>
        <w:tc>
          <w:tcPr>
            <w:tcW w:w="1229" w:type="dxa"/>
            <w:tcBorders>
              <w:top w:val="single" w:color="auto" w:sz="4" w:space="0"/>
              <w:left w:val="single" w:color="auto" w:sz="4" w:space="0"/>
              <w:bottom w:val="single" w:color="auto" w:sz="4" w:space="0"/>
              <w:right w:val="single" w:color="auto" w:sz="4" w:space="0"/>
            </w:tcBorders>
            <w:noWrap/>
            <w:vAlign w:val="center"/>
          </w:tcPr>
          <w:p w14:paraId="77FEDE7D">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20.1</w:t>
            </w:r>
          </w:p>
        </w:tc>
        <w:tc>
          <w:tcPr>
            <w:tcW w:w="7707" w:type="dxa"/>
            <w:tcBorders>
              <w:top w:val="single" w:color="auto" w:sz="4" w:space="0"/>
              <w:left w:val="single" w:color="auto" w:sz="4" w:space="0"/>
              <w:bottom w:val="single" w:color="auto" w:sz="4" w:space="0"/>
              <w:right w:val="single" w:color="auto" w:sz="4" w:space="0"/>
            </w:tcBorders>
            <w:noWrap/>
            <w:vAlign w:val="center"/>
          </w:tcPr>
          <w:p w14:paraId="6934FF09">
            <w:pPr>
              <w:autoSpaceDE w:val="0"/>
              <w:adjustRightInd w:val="0"/>
              <w:snapToGrid w:val="0"/>
              <w:spacing w:line="360" w:lineRule="exact"/>
              <w:rPr>
                <w:rFonts w:ascii="宋体" w:hAnsi="宋体"/>
                <w:color w:val="auto"/>
                <w:highlight w:val="none"/>
              </w:rPr>
            </w:pPr>
            <w:r>
              <w:rPr>
                <w:rFonts w:hint="eastAsia" w:ascii="宋体" w:hAnsi="宋体"/>
                <w:color w:val="auto"/>
                <w:highlight w:val="none"/>
                <w:lang w:eastAsia="zh-CN"/>
              </w:rPr>
              <w:t>建筑</w:t>
            </w:r>
            <w:r>
              <w:rPr>
                <w:rFonts w:hint="eastAsia" w:ascii="宋体" w:hAnsi="宋体"/>
                <w:color w:val="auto"/>
                <w:highlight w:val="none"/>
              </w:rPr>
              <w:t>工程一切险的保险费率：</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3</w:t>
            </w:r>
            <w:r>
              <w:rPr>
                <w:rFonts w:hint="eastAsia" w:ascii="宋体" w:hAnsi="宋体"/>
                <w:color w:val="auto"/>
                <w:highlight w:val="none"/>
                <w:u w:val="single"/>
              </w:rPr>
              <w:t xml:space="preserve"> </w:t>
            </w:r>
            <w:r>
              <w:rPr>
                <w:rFonts w:hint="eastAsia" w:ascii="宋体" w:hAnsi="宋体"/>
                <w:color w:val="auto"/>
                <w:highlight w:val="none"/>
              </w:rPr>
              <w:t>‰</w:t>
            </w:r>
          </w:p>
        </w:tc>
      </w:tr>
      <w:tr w14:paraId="04590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120D6E1">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28</w:t>
            </w:r>
          </w:p>
        </w:tc>
        <w:tc>
          <w:tcPr>
            <w:tcW w:w="1229" w:type="dxa"/>
            <w:tcBorders>
              <w:top w:val="single" w:color="auto" w:sz="4" w:space="0"/>
              <w:left w:val="single" w:color="auto" w:sz="4" w:space="0"/>
              <w:bottom w:val="single" w:color="auto" w:sz="4" w:space="0"/>
              <w:right w:val="single" w:color="auto" w:sz="4" w:space="0"/>
            </w:tcBorders>
            <w:noWrap/>
            <w:vAlign w:val="center"/>
          </w:tcPr>
          <w:p w14:paraId="2A266286">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20.4.2</w:t>
            </w:r>
          </w:p>
        </w:tc>
        <w:tc>
          <w:tcPr>
            <w:tcW w:w="7707" w:type="dxa"/>
            <w:tcBorders>
              <w:top w:val="single" w:color="auto" w:sz="4" w:space="0"/>
              <w:left w:val="single" w:color="auto" w:sz="4" w:space="0"/>
              <w:bottom w:val="single" w:color="auto" w:sz="4" w:space="0"/>
              <w:right w:val="single" w:color="auto" w:sz="4" w:space="0"/>
            </w:tcBorders>
            <w:noWrap/>
            <w:vAlign w:val="center"/>
          </w:tcPr>
          <w:p w14:paraId="0667908D">
            <w:pPr>
              <w:autoSpaceDE w:val="0"/>
              <w:adjustRightInd w:val="0"/>
              <w:snapToGrid w:val="0"/>
              <w:spacing w:line="360" w:lineRule="exact"/>
              <w:rPr>
                <w:rFonts w:ascii="宋体" w:hAnsi="宋体"/>
                <w:color w:val="auto"/>
                <w:highlight w:val="none"/>
              </w:rPr>
            </w:pPr>
            <w:r>
              <w:rPr>
                <w:rFonts w:hint="eastAsia" w:ascii="宋体" w:hAnsi="宋体"/>
                <w:color w:val="auto"/>
                <w:highlight w:val="none"/>
              </w:rPr>
              <w:t>第三者责任的最低投保金额：</w:t>
            </w:r>
            <w:r>
              <w:rPr>
                <w:rFonts w:hint="eastAsia" w:ascii="宋体" w:hAnsi="宋体"/>
                <w:color w:val="auto"/>
                <w:highlight w:val="none"/>
                <w:u w:val="single"/>
              </w:rPr>
              <w:t xml:space="preserve"> 100 </w:t>
            </w:r>
            <w:r>
              <w:rPr>
                <w:rFonts w:hint="eastAsia" w:ascii="宋体" w:hAnsi="宋体"/>
                <w:color w:val="auto"/>
                <w:highlight w:val="none"/>
              </w:rPr>
              <w:t>万元人民币，事故次数不限（不计免赔额）保险费率：</w:t>
            </w:r>
            <w:r>
              <w:rPr>
                <w:rFonts w:hint="eastAsia" w:ascii="宋体" w:hAnsi="宋体"/>
                <w:color w:val="auto"/>
                <w:highlight w:val="none"/>
                <w:u w:val="single"/>
              </w:rPr>
              <w:t xml:space="preserve"> 3 </w:t>
            </w:r>
            <w:r>
              <w:rPr>
                <w:rFonts w:hint="eastAsia" w:ascii="宋体" w:hAnsi="宋体"/>
                <w:color w:val="auto"/>
                <w:highlight w:val="none"/>
              </w:rPr>
              <w:t>‰</w:t>
            </w:r>
          </w:p>
        </w:tc>
      </w:tr>
      <w:tr w14:paraId="5E2A9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5354DC59">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29</w:t>
            </w:r>
          </w:p>
        </w:tc>
        <w:tc>
          <w:tcPr>
            <w:tcW w:w="1229" w:type="dxa"/>
            <w:tcBorders>
              <w:top w:val="single" w:color="auto" w:sz="4" w:space="0"/>
              <w:left w:val="single" w:color="auto" w:sz="4" w:space="0"/>
              <w:bottom w:val="single" w:color="auto" w:sz="4" w:space="0"/>
              <w:right w:val="single" w:color="auto" w:sz="4" w:space="0"/>
            </w:tcBorders>
            <w:noWrap/>
            <w:vAlign w:val="center"/>
          </w:tcPr>
          <w:p w14:paraId="50563304">
            <w:pPr>
              <w:autoSpaceDE w:val="0"/>
              <w:adjustRightInd w:val="0"/>
              <w:snapToGrid w:val="0"/>
              <w:spacing w:line="360" w:lineRule="exact"/>
              <w:jc w:val="center"/>
              <w:rPr>
                <w:rFonts w:ascii="宋体" w:hAnsi="宋体"/>
                <w:color w:val="auto"/>
                <w:highlight w:val="none"/>
              </w:rPr>
            </w:pPr>
            <w:r>
              <w:rPr>
                <w:rFonts w:hint="eastAsia" w:ascii="宋体" w:hAnsi="宋体"/>
                <w:color w:val="auto"/>
                <w:highlight w:val="none"/>
              </w:rPr>
              <w:t>24.1</w:t>
            </w:r>
          </w:p>
        </w:tc>
        <w:tc>
          <w:tcPr>
            <w:tcW w:w="7707" w:type="dxa"/>
            <w:tcBorders>
              <w:top w:val="single" w:color="auto" w:sz="4" w:space="0"/>
              <w:left w:val="single" w:color="auto" w:sz="4" w:space="0"/>
              <w:bottom w:val="single" w:color="auto" w:sz="4" w:space="0"/>
              <w:right w:val="single" w:color="auto" w:sz="4" w:space="0"/>
            </w:tcBorders>
            <w:noWrap/>
            <w:vAlign w:val="center"/>
          </w:tcPr>
          <w:p w14:paraId="2AE2C261">
            <w:pPr>
              <w:autoSpaceDE w:val="0"/>
              <w:adjustRightInd w:val="0"/>
              <w:snapToGrid w:val="0"/>
              <w:spacing w:line="360" w:lineRule="exact"/>
              <w:rPr>
                <w:rFonts w:hint="eastAsia" w:ascii="宋体" w:hAnsi="宋体" w:eastAsia="宋体"/>
                <w:color w:val="auto"/>
                <w:highlight w:val="none"/>
                <w:u w:val="single"/>
                <w:lang w:eastAsia="zh-CN"/>
              </w:rPr>
            </w:pPr>
            <w:r>
              <w:rPr>
                <w:rFonts w:hint="eastAsia" w:ascii="宋体" w:hAnsi="宋体"/>
                <w:color w:val="auto"/>
                <w:highlight w:val="none"/>
              </w:rPr>
              <w:t>争议的最终解决方式：</w:t>
            </w:r>
            <w:r>
              <w:rPr>
                <w:rFonts w:hint="eastAsia" w:ascii="宋体" w:hAnsi="宋体"/>
                <w:color w:val="auto"/>
                <w:highlight w:val="none"/>
                <w:u w:val="single"/>
              </w:rPr>
              <w:t>诉讼</w:t>
            </w:r>
          </w:p>
        </w:tc>
      </w:tr>
    </w:tbl>
    <w:p w14:paraId="1C9E64E7">
      <w:pPr>
        <w:adjustRightInd w:val="0"/>
        <w:snapToGrid w:val="0"/>
        <w:spacing w:beforeLines="50" w:afterLines="50" w:line="360" w:lineRule="auto"/>
        <w:rPr>
          <w:rFonts w:ascii="宋体" w:hAnsi="宋体"/>
          <w:color w:val="auto"/>
          <w:sz w:val="28"/>
          <w:szCs w:val="28"/>
          <w:highlight w:val="none"/>
        </w:rPr>
      </w:pPr>
      <w:r>
        <w:rPr>
          <w:rFonts w:hint="eastAsia" w:ascii="宋体" w:hAnsi="宋体"/>
          <w:color w:val="auto"/>
          <w:sz w:val="28"/>
          <w:szCs w:val="28"/>
          <w:highlight w:val="none"/>
        </w:rPr>
        <w:t xml:space="preserve"> </w:t>
      </w:r>
    </w:p>
    <w:p w14:paraId="5450AD8D">
      <w:pPr>
        <w:autoSpaceDE w:val="0"/>
        <w:adjustRightInd w:val="0"/>
        <w:snapToGrid w:val="0"/>
        <w:spacing w:beforeLines="50" w:afterLines="50" w:line="348" w:lineRule="auto"/>
        <w:jc w:val="center"/>
        <w:rPr>
          <w:rFonts w:ascii="宋体" w:hAnsi="宋体"/>
          <w:color w:val="auto"/>
          <w:sz w:val="32"/>
          <w:szCs w:val="32"/>
          <w:highlight w:val="none"/>
        </w:rPr>
      </w:pPr>
      <w:r>
        <w:rPr>
          <w:rFonts w:hint="eastAsia" w:ascii="宋体" w:hAnsi="宋体"/>
          <w:color w:val="auto"/>
          <w:sz w:val="28"/>
          <w:szCs w:val="28"/>
          <w:highlight w:val="none"/>
        </w:rPr>
        <w:br w:type="page"/>
      </w:r>
      <w:r>
        <w:rPr>
          <w:rFonts w:hint="eastAsia" w:ascii="宋体" w:hAnsi="宋体"/>
          <w:b/>
          <w:bCs/>
          <w:color w:val="auto"/>
          <w:sz w:val="28"/>
          <w:szCs w:val="28"/>
          <w:highlight w:val="none"/>
        </w:rPr>
        <w:t>项目专用合同条款</w:t>
      </w:r>
    </w:p>
    <w:p w14:paraId="400B5685">
      <w:pPr>
        <w:keepNext w:val="0"/>
        <w:keepLines w:val="0"/>
        <w:pageBreakBefore w:val="0"/>
        <w:widowControl w:val="0"/>
        <w:kinsoku/>
        <w:wordWrap/>
        <w:overflowPunct/>
        <w:topLinePunct w:val="0"/>
        <w:autoSpaceDE w:val="0"/>
        <w:autoSpaceDN/>
        <w:bidi w:val="0"/>
        <w:adjustRightInd w:val="0"/>
        <w:snapToGrid w:val="0"/>
        <w:spacing w:after="0" w:afterLines="100" w:line="40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说明：本部分所列的项目专用合同条款是对“公路工程专用合同条款”中规定必须在项目专用合同条款中明确的内容的集中，招标人编制的“项目专用合同条款”不限于本部分所列内容。</w:t>
      </w:r>
    </w:p>
    <w:p w14:paraId="1B0AD8D0">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4.1 承包人的一般义务</w:t>
      </w:r>
    </w:p>
    <w:p w14:paraId="42E1D919">
      <w:pPr>
        <w:keepNext w:val="0"/>
        <w:keepLines w:val="0"/>
        <w:pageBreakBefore w:val="0"/>
        <w:widowControl w:val="0"/>
        <w:kinsoku/>
        <w:wordWrap/>
        <w:overflowPunct/>
        <w:topLinePunct w:val="0"/>
        <w:autoSpaceDE w:val="0"/>
        <w:autoSpaceDN/>
        <w:bidi w:val="0"/>
        <w:adjustRightInd w:val="0"/>
        <w:snapToGrid w:val="0"/>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4.1.10 其他义务</w:t>
      </w:r>
    </w:p>
    <w:p w14:paraId="78077DC0">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（4）承包人应履行的其他义务：</w:t>
      </w:r>
      <w:r>
        <w:rPr>
          <w:rFonts w:hint="eastAsia" w:ascii="宋体" w:hAnsi="宋体"/>
          <w:color w:val="auto"/>
          <w:sz w:val="24"/>
          <w:szCs w:val="24"/>
          <w:highlight w:val="none"/>
          <w:u w:val="single"/>
        </w:rPr>
        <w:t>承包人应主动维护发包人和监理人的一切合法权利，不得损害发包人和监理人的利益</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rPr>
        <w:tab/>
      </w:r>
    </w:p>
    <w:p w14:paraId="6F3EDE82">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u w:val="single"/>
        </w:rPr>
      </w:pPr>
      <w:r>
        <w:rPr>
          <w:rFonts w:hint="eastAsia" w:ascii="宋体" w:hAnsi="宋体"/>
          <w:color w:val="auto"/>
          <w:sz w:val="24"/>
          <w:szCs w:val="24"/>
          <w:highlight w:val="none"/>
        </w:rPr>
        <w:t>4.11 不利物质条件</w:t>
      </w:r>
    </w:p>
    <w:p w14:paraId="0FC2B490">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4.11.1 不利物质条件的范围：</w:t>
      </w:r>
      <w:r>
        <w:rPr>
          <w:rFonts w:hint="eastAsia" w:ascii="宋体" w:hAnsi="宋体"/>
          <w:color w:val="auto"/>
          <w:sz w:val="24"/>
          <w:szCs w:val="24"/>
          <w:highlight w:val="none"/>
          <w:u w:val="single"/>
        </w:rPr>
        <w:t xml:space="preserve"> 山体滑坡和泥石流，软弱路基和高填方沉降，地下水影响和溶洞涌流、流沙</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rPr>
        <w:t xml:space="preserve"> </w:t>
      </w:r>
    </w:p>
    <w:p w14:paraId="48AC9754">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10.1 合同进度计划</w:t>
      </w:r>
    </w:p>
    <w:p w14:paraId="63B74C33">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承包人编制施工方案的内容：</w:t>
      </w:r>
      <w:r>
        <w:rPr>
          <w:rFonts w:hint="eastAsia" w:ascii="宋体" w:hAnsi="宋体"/>
          <w:color w:val="auto"/>
          <w:sz w:val="24"/>
          <w:szCs w:val="24"/>
          <w:highlight w:val="none"/>
          <w:u w:val="single"/>
        </w:rPr>
        <w:t xml:space="preserve"> 按照部颁公路工程施工技术操作规程和资格后审文件中规定的机械设备型号编制的符合本工程特点的详细的施工组织设计内容实施</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rPr>
        <w:tab/>
      </w:r>
    </w:p>
    <w:p w14:paraId="42AB79AF">
      <w:pPr>
        <w:pStyle w:val="11"/>
        <w:keepNext w:val="0"/>
        <w:keepLines w:val="0"/>
        <w:pageBreakBefore w:val="0"/>
        <w:widowControl w:val="0"/>
        <w:kinsoku/>
        <w:wordWrap/>
        <w:overflowPunct/>
        <w:topLinePunct w:val="0"/>
        <w:autoSpaceDE w:val="0"/>
        <w:autoSpaceDN/>
        <w:bidi w:val="0"/>
        <w:spacing w:line="360" w:lineRule="auto"/>
        <w:ind w:firstLine="0" w:firstLineChars="0"/>
        <w:jc w:val="both"/>
        <w:textAlignment w:val="auto"/>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11.4 异常恶劣的气候条件</w:t>
      </w:r>
    </w:p>
    <w:p w14:paraId="36D4FFF5">
      <w:pPr>
        <w:pStyle w:val="11"/>
        <w:keepNext w:val="0"/>
        <w:keepLines w:val="0"/>
        <w:pageBreakBefore w:val="0"/>
        <w:widowControl w:val="0"/>
        <w:kinsoku/>
        <w:wordWrap/>
        <w:overflowPunct/>
        <w:topLinePunct w:val="0"/>
        <w:autoSpaceDE w:val="0"/>
        <w:autoSpaceDN/>
        <w:bidi w:val="0"/>
        <w:spacing w:line="360" w:lineRule="auto"/>
        <w:ind w:firstLine="480" w:firstLineChars="200"/>
        <w:jc w:val="both"/>
        <w:textAlignment w:val="auto"/>
        <w:rPr>
          <w:rFonts w:ascii="宋体" w:hAnsi="宋体" w:eastAsia="宋体"/>
          <w:b w:val="0"/>
          <w:bCs/>
          <w:color w:val="auto"/>
          <w:sz w:val="24"/>
          <w:szCs w:val="24"/>
          <w:highlight w:val="none"/>
          <w:u w:val="single"/>
        </w:rPr>
      </w:pPr>
      <w:r>
        <w:rPr>
          <w:rFonts w:hint="eastAsia" w:ascii="宋体" w:hAnsi="宋体" w:eastAsia="宋体"/>
          <w:b w:val="0"/>
          <w:bCs/>
          <w:color w:val="auto"/>
          <w:sz w:val="24"/>
          <w:szCs w:val="24"/>
          <w:highlight w:val="none"/>
        </w:rPr>
        <w:t>异常恶劣的气候条件的范围：</w:t>
      </w:r>
      <w:r>
        <w:rPr>
          <w:rFonts w:hint="eastAsia" w:ascii="宋体" w:hAnsi="宋体" w:eastAsia="宋体"/>
          <w:b w:val="0"/>
          <w:bCs/>
          <w:color w:val="auto"/>
          <w:sz w:val="24"/>
          <w:szCs w:val="24"/>
          <w:highlight w:val="none"/>
          <w:u w:val="single"/>
        </w:rPr>
        <w:t xml:space="preserve"> / </w:t>
      </w:r>
    </w:p>
    <w:p w14:paraId="5866B130">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12.1 承包人暂停</w:t>
      </w:r>
      <w:r>
        <w:rPr>
          <w:rFonts w:hint="eastAsia" w:ascii="宋体" w:hAnsi="宋体"/>
          <w:color w:val="auto"/>
          <w:sz w:val="24"/>
          <w:szCs w:val="24"/>
          <w:highlight w:val="none"/>
          <w:lang w:eastAsia="zh-CN"/>
        </w:rPr>
        <w:t>施</w:t>
      </w:r>
      <w:r>
        <w:rPr>
          <w:rFonts w:hint="eastAsia" w:ascii="宋体" w:hAnsi="宋体"/>
          <w:color w:val="auto"/>
          <w:sz w:val="24"/>
          <w:szCs w:val="24"/>
          <w:highlight w:val="none"/>
        </w:rPr>
        <w:t xml:space="preserve">工的责任  </w:t>
      </w:r>
    </w:p>
    <w:p w14:paraId="5BE1D3A3">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12.1（6）由承包人承担的其他暂停施工</w:t>
      </w:r>
      <w:r>
        <w:rPr>
          <w:rFonts w:hint="eastAsia" w:ascii="宋体" w:hAnsi="宋体"/>
          <w:color w:val="auto"/>
          <w:sz w:val="24"/>
          <w:szCs w:val="24"/>
          <w:highlight w:val="none"/>
          <w:u w:val="single"/>
        </w:rPr>
        <w:t>影响分项工程进度计划的按照11.5项处罚</w:t>
      </w:r>
      <w:r>
        <w:rPr>
          <w:rFonts w:hint="eastAsia" w:ascii="宋体" w:hAnsi="宋体"/>
          <w:color w:val="auto"/>
          <w:sz w:val="24"/>
          <w:szCs w:val="24"/>
          <w:highlight w:val="none"/>
          <w:u w:val="single"/>
          <w:lang w:eastAsia="zh-CN"/>
        </w:rPr>
        <w:t>。</w:t>
      </w:r>
    </w:p>
    <w:p w14:paraId="559A2181">
      <w:pPr>
        <w:pStyle w:val="11"/>
        <w:keepNext w:val="0"/>
        <w:keepLines w:val="0"/>
        <w:pageBreakBefore w:val="0"/>
        <w:widowControl w:val="0"/>
        <w:tabs>
          <w:tab w:val="center" w:pos="4538"/>
        </w:tabs>
        <w:kinsoku/>
        <w:wordWrap/>
        <w:overflowPunct/>
        <w:topLinePunct w:val="0"/>
        <w:autoSpaceDE w:val="0"/>
        <w:autoSpaceDN/>
        <w:bidi w:val="0"/>
        <w:spacing w:line="360" w:lineRule="auto"/>
        <w:ind w:firstLine="0" w:firstLineChars="0"/>
        <w:jc w:val="both"/>
        <w:textAlignment w:val="auto"/>
        <w:rPr>
          <w:rFonts w:hint="eastAsia" w:ascii="宋体" w:hAnsi="宋体" w:eastAsia="宋体"/>
          <w:b w:val="0"/>
          <w:bCs/>
          <w:color w:val="auto"/>
          <w:sz w:val="24"/>
          <w:szCs w:val="24"/>
          <w:highlight w:val="none"/>
          <w:lang w:eastAsia="zh-CN"/>
        </w:rPr>
      </w:pPr>
      <w:r>
        <w:rPr>
          <w:rFonts w:hint="eastAsia" w:ascii="宋体" w:hAnsi="宋体" w:eastAsia="宋体"/>
          <w:b w:val="0"/>
          <w:bCs/>
          <w:color w:val="auto"/>
          <w:sz w:val="24"/>
          <w:szCs w:val="24"/>
          <w:highlight w:val="none"/>
        </w:rPr>
        <w:t>17.1 计量</w:t>
      </w:r>
      <w:r>
        <w:rPr>
          <w:rFonts w:hint="eastAsia" w:ascii="宋体" w:hAnsi="宋体" w:eastAsia="宋体"/>
          <w:b w:val="0"/>
          <w:bCs/>
          <w:color w:val="auto"/>
          <w:sz w:val="24"/>
          <w:szCs w:val="24"/>
          <w:highlight w:val="none"/>
          <w:lang w:eastAsia="zh-CN"/>
        </w:rPr>
        <w:tab/>
      </w:r>
    </w:p>
    <w:p w14:paraId="32F67575">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17.1.5 本项目工程量清单中总额价子目的支付原则和支付进度：</w:t>
      </w:r>
      <w:r>
        <w:rPr>
          <w:rFonts w:hint="eastAsia" w:ascii="宋体" w:hAnsi="宋体"/>
          <w:color w:val="auto"/>
          <w:sz w:val="24"/>
          <w:szCs w:val="24"/>
          <w:highlight w:val="none"/>
          <w:u w:val="single"/>
        </w:rPr>
        <w:t>按通用条款</w:t>
      </w:r>
      <w:r>
        <w:rPr>
          <w:rFonts w:hint="eastAsia" w:ascii="宋体" w:hAnsi="宋体"/>
          <w:color w:val="auto"/>
          <w:sz w:val="24"/>
          <w:szCs w:val="24"/>
          <w:highlight w:val="none"/>
          <w:u w:val="single"/>
          <w:lang w:eastAsia="zh-CN"/>
        </w:rPr>
        <w:t>。</w:t>
      </w:r>
    </w:p>
    <w:p w14:paraId="54482EF0">
      <w:pPr>
        <w:pStyle w:val="11"/>
        <w:keepNext w:val="0"/>
        <w:keepLines w:val="0"/>
        <w:pageBreakBefore w:val="0"/>
        <w:widowControl w:val="0"/>
        <w:kinsoku/>
        <w:wordWrap/>
        <w:overflowPunct/>
        <w:topLinePunct w:val="0"/>
        <w:autoSpaceDE w:val="0"/>
        <w:autoSpaceDN/>
        <w:bidi w:val="0"/>
        <w:spacing w:line="360" w:lineRule="auto"/>
        <w:ind w:firstLine="0" w:firstLineChars="0"/>
        <w:jc w:val="both"/>
        <w:textAlignment w:val="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17.3 工程进度付款</w:t>
      </w:r>
    </w:p>
    <w:p w14:paraId="144EB853">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关于付款周期的约定：完成工程量的50%支付至工程总价款的</w:t>
      </w:r>
      <w:r>
        <w:rPr>
          <w:rFonts w:hint="eastAsia" w:ascii="宋体" w:hAnsi="宋体" w:cs="Times New Roman"/>
          <w:color w:val="auto"/>
          <w:kern w:val="2"/>
          <w:sz w:val="24"/>
          <w:szCs w:val="24"/>
          <w:highlight w:val="none"/>
          <w:lang w:val="en-US" w:eastAsia="zh-CN" w:bidi="ar-SA"/>
        </w:rPr>
        <w:t>20</w:t>
      </w:r>
      <w:r>
        <w:rPr>
          <w:rFonts w:hint="eastAsia" w:ascii="宋体" w:hAnsi="宋体" w:eastAsia="宋体" w:cs="Times New Roman"/>
          <w:color w:val="auto"/>
          <w:kern w:val="2"/>
          <w:sz w:val="24"/>
          <w:szCs w:val="24"/>
          <w:highlight w:val="none"/>
          <w:lang w:val="en-US" w:eastAsia="zh-CN" w:bidi="ar-SA"/>
        </w:rPr>
        <w:t>%；竣工验收合格后支付至工程结算总价的97%。剩余工程结算总价的3%作为工程质保金，待质保期满后一次性付清（最终以招标人与中标人签定的合同条款为准）。</w:t>
      </w:r>
    </w:p>
    <w:p w14:paraId="3EC31341">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农民工工资保证金的缴存时间：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开工报告批复之日起20个工作日内</w:t>
      </w:r>
      <w:r>
        <w:rPr>
          <w:rFonts w:hint="eastAsia" w:ascii="宋体" w:hAnsi="宋体"/>
          <w:color w:val="auto"/>
          <w:sz w:val="24"/>
          <w:szCs w:val="24"/>
          <w:highlight w:val="none"/>
          <w:u w:val="single"/>
          <w:lang w:val="en-US" w:eastAsia="zh-CN"/>
        </w:rPr>
        <w:t xml:space="preserve">. </w:t>
      </w:r>
    </w:p>
    <w:p w14:paraId="7F73C7EE">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农民工工资保证金的缴存金额：</w:t>
      </w:r>
      <w:r>
        <w:rPr>
          <w:rFonts w:hint="eastAsia" w:ascii="宋体" w:hAnsi="宋体"/>
          <w:color w:val="auto"/>
          <w:sz w:val="24"/>
          <w:szCs w:val="24"/>
          <w:highlight w:val="none"/>
          <w:u w:val="single"/>
          <w:lang w:val="en-US" w:eastAsia="zh-CN"/>
        </w:rPr>
        <w:t xml:space="preserve"> 签约合同价的2%。 </w:t>
      </w:r>
    </w:p>
    <w:p w14:paraId="340CDAA1">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农民工工资保证金的扣留条件：</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存在拖欠农民工工资的情况。</w:t>
      </w:r>
      <w:r>
        <w:rPr>
          <w:rFonts w:hint="eastAsia" w:ascii="宋体" w:hAnsi="宋体"/>
          <w:color w:val="auto"/>
          <w:sz w:val="24"/>
          <w:szCs w:val="24"/>
          <w:highlight w:val="none"/>
          <w:u w:val="single"/>
        </w:rPr>
        <w:t xml:space="preserve"> </w:t>
      </w:r>
    </w:p>
    <w:p w14:paraId="534CA7E2">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eastAsia" w:ascii="宋体" w:hAnsi="宋体"/>
          <w:color w:val="auto"/>
          <w:sz w:val="24"/>
          <w:szCs w:val="24"/>
          <w:highlight w:val="none"/>
          <w:u w:val="single"/>
        </w:rPr>
      </w:pPr>
      <w:r>
        <w:rPr>
          <w:rFonts w:hint="eastAsia" w:ascii="宋体" w:hAnsi="宋体"/>
          <w:color w:val="auto"/>
          <w:sz w:val="24"/>
          <w:szCs w:val="24"/>
          <w:highlight w:val="none"/>
        </w:rPr>
        <w:t>农民工工资保证金的返还时间：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按照</w:t>
      </w:r>
      <w:r>
        <w:rPr>
          <w:rFonts w:hint="eastAsia" w:ascii="宋体" w:hAnsi="宋体"/>
          <w:color w:val="auto"/>
          <w:sz w:val="24"/>
          <w:szCs w:val="24"/>
          <w:highlight w:val="none"/>
          <w:u w:val="single"/>
        </w:rPr>
        <w:t>人社部发〔2021〕65号</w:t>
      </w:r>
      <w:r>
        <w:rPr>
          <w:rFonts w:hint="eastAsia" w:ascii="宋体" w:hAnsi="宋体"/>
          <w:color w:val="auto"/>
          <w:sz w:val="24"/>
          <w:szCs w:val="24"/>
          <w:highlight w:val="none"/>
          <w:u w:val="single"/>
          <w:lang w:eastAsia="zh-CN"/>
        </w:rPr>
        <w:t>《工程建设领域农民工工资保证金规定》执行。</w:t>
      </w:r>
      <w:r>
        <w:rPr>
          <w:rFonts w:hint="eastAsia" w:ascii="宋体" w:hAnsi="宋体"/>
          <w:color w:val="auto"/>
          <w:sz w:val="24"/>
          <w:szCs w:val="24"/>
          <w:highlight w:val="none"/>
          <w:u w:val="single"/>
        </w:rPr>
        <w:t xml:space="preserve"> </w:t>
      </w:r>
    </w:p>
    <w:p w14:paraId="6DBFA3FE">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21.1不可抗力的确认</w:t>
      </w:r>
    </w:p>
    <w:p w14:paraId="5C7BDCAB">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21.1.1（6）不可抗力的其他形式：</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w:t>
      </w:r>
      <w:r>
        <w:rPr>
          <w:rFonts w:hint="eastAsia" w:ascii="宋体" w:hAnsi="宋体"/>
          <w:color w:val="auto"/>
          <w:sz w:val="24"/>
          <w:szCs w:val="24"/>
          <w:highlight w:val="none"/>
          <w:u w:val="single"/>
        </w:rPr>
        <w:tab/>
      </w:r>
    </w:p>
    <w:p w14:paraId="2D37458F">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22.1 承包人违约</w:t>
      </w:r>
    </w:p>
    <w:p w14:paraId="301B2A1D">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22.1.2 当承包人发生第22.1.1项约定的违约情况时，发包人有权向承包人课以违约金，具体约定如下：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w:t>
      </w:r>
      <w:r>
        <w:rPr>
          <w:rFonts w:hint="eastAsia" w:ascii="宋体" w:hAnsi="宋体"/>
          <w:color w:val="auto"/>
          <w:sz w:val="24"/>
          <w:szCs w:val="24"/>
          <w:highlight w:val="none"/>
          <w:u w:val="single"/>
        </w:rPr>
        <w:tab/>
      </w:r>
    </w:p>
    <w:p w14:paraId="101A8172">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22.2 发包人违约</w:t>
      </w:r>
    </w:p>
    <w:p w14:paraId="7315D8B6">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22.2.2 发包人无正当理由不按时返还履约保证金、质量保证金或农民工工资保证金的，发包人应向承包人支付的违约金如下：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w:t>
      </w:r>
      <w:r>
        <w:rPr>
          <w:rFonts w:hint="eastAsia" w:ascii="宋体" w:hAnsi="宋体"/>
          <w:color w:val="auto"/>
          <w:sz w:val="24"/>
          <w:szCs w:val="24"/>
          <w:highlight w:val="none"/>
          <w:u w:val="single"/>
        </w:rPr>
        <w:tab/>
      </w:r>
    </w:p>
    <w:p w14:paraId="7FC21A06">
      <w:pPr>
        <w:pStyle w:val="13"/>
        <w:snapToGrid w:val="0"/>
        <w:spacing w:line="300" w:lineRule="auto"/>
        <w:jc w:val="center"/>
        <w:outlineLvl w:val="1"/>
        <w:rPr>
          <w:rFonts w:hAnsi="宋体"/>
          <w:b/>
          <w:bCs/>
          <w:color w:val="auto"/>
          <w:sz w:val="44"/>
          <w:szCs w:val="44"/>
          <w:highlight w:val="none"/>
        </w:rPr>
      </w:pPr>
      <w:r>
        <w:rPr>
          <w:rFonts w:hint="eastAsia" w:hAnsi="宋体"/>
          <w:bCs/>
          <w:color w:val="auto"/>
          <w:sz w:val="36"/>
          <w:szCs w:val="36"/>
          <w:highlight w:val="none"/>
        </w:rPr>
        <w:br w:type="page"/>
      </w:r>
      <w:bookmarkStart w:id="413" w:name="_Toc391"/>
      <w:bookmarkEnd w:id="413"/>
      <w:bookmarkStart w:id="414" w:name="_Toc16683"/>
      <w:r>
        <w:rPr>
          <w:rStyle w:val="66"/>
          <w:rFonts w:hint="eastAsia" w:ascii="宋体" w:hAnsi="宋体" w:eastAsia="宋体"/>
          <w:b/>
          <w:bCs/>
          <w:color w:val="auto"/>
          <w:sz w:val="44"/>
          <w:szCs w:val="44"/>
          <w:highlight w:val="none"/>
        </w:rPr>
        <w:t>第三节  合同附件格式</w:t>
      </w:r>
      <w:bookmarkEnd w:id="414"/>
    </w:p>
    <w:p w14:paraId="4D6F8830">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3A1D837A">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2E13C20B">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50807577">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2C431F29">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2C6F9178">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6AA85AA4">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45F0B233">
      <w:pPr>
        <w:pStyle w:val="13"/>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7F2C1354">
      <w:pPr>
        <w:adjustRightInd w:val="0"/>
        <w:snapToGrid w:val="0"/>
        <w:spacing w:beforeLines="100" w:afterLines="100" w:line="360" w:lineRule="auto"/>
        <w:rPr>
          <w:rFonts w:ascii="宋体" w:hAnsi="宋体"/>
          <w:color w:val="auto"/>
          <w:sz w:val="32"/>
          <w:szCs w:val="32"/>
          <w:highlight w:val="none"/>
        </w:rPr>
      </w:pPr>
      <w:r>
        <w:rPr>
          <w:rFonts w:hint="eastAsia" w:ascii="宋体" w:hAnsi="宋体"/>
          <w:color w:val="auto"/>
          <w:sz w:val="32"/>
          <w:szCs w:val="32"/>
          <w:highlight w:val="none"/>
        </w:rPr>
        <w:t xml:space="preserve"> </w:t>
      </w:r>
    </w:p>
    <w:p w14:paraId="65E0A5E0">
      <w:pPr>
        <w:adjustRightInd w:val="0"/>
        <w:snapToGrid w:val="0"/>
        <w:spacing w:line="360" w:lineRule="auto"/>
        <w:rPr>
          <w:rFonts w:ascii="宋体" w:hAnsi="宋体"/>
          <w:color w:val="auto"/>
          <w:sz w:val="24"/>
          <w:szCs w:val="24"/>
          <w:highlight w:val="none"/>
        </w:rPr>
      </w:pPr>
      <w:r>
        <w:rPr>
          <w:rFonts w:hint="eastAsia" w:ascii="宋体" w:hAnsi="宋体"/>
          <w:b/>
          <w:color w:val="auto"/>
          <w:sz w:val="24"/>
          <w:szCs w:val="24"/>
          <w:highlight w:val="none"/>
        </w:rPr>
        <w:br w:type="page"/>
      </w:r>
      <w:r>
        <w:rPr>
          <w:rFonts w:hint="eastAsia" w:ascii="宋体" w:hAnsi="宋体"/>
          <w:b/>
          <w:bCs/>
          <w:color w:val="auto"/>
          <w:sz w:val="24"/>
          <w:szCs w:val="24"/>
          <w:highlight w:val="none"/>
        </w:rPr>
        <w:t>附件一 合同协议书</w:t>
      </w:r>
    </w:p>
    <w:p w14:paraId="3D8F03C3">
      <w:pPr>
        <w:keepNext w:val="0"/>
        <w:keepLines w:val="0"/>
        <w:pageBreakBefore w:val="0"/>
        <w:widowControl w:val="0"/>
        <w:kinsoku/>
        <w:wordWrap/>
        <w:overflowPunct/>
        <w:topLinePunct w:val="0"/>
        <w:autoSpaceDE/>
        <w:autoSpaceDN/>
        <w:bidi w:val="0"/>
        <w:adjustRightInd w:val="0"/>
        <w:snapToGrid w:val="0"/>
        <w:spacing w:beforeLines="100" w:afterLines="100" w:line="360" w:lineRule="auto"/>
        <w:jc w:val="center"/>
        <w:textAlignment w:val="auto"/>
        <w:rPr>
          <w:rFonts w:ascii="宋体" w:hAnsi="宋体"/>
          <w:b/>
          <w:bCs/>
          <w:color w:val="auto"/>
          <w:sz w:val="28"/>
          <w:szCs w:val="28"/>
          <w:highlight w:val="none"/>
        </w:rPr>
      </w:pPr>
      <w:r>
        <w:rPr>
          <w:rFonts w:hint="eastAsia" w:ascii="宋体" w:hAnsi="宋体"/>
          <w:b/>
          <w:bCs/>
          <w:color w:val="auto"/>
          <w:sz w:val="28"/>
          <w:szCs w:val="28"/>
          <w:highlight w:val="none"/>
        </w:rPr>
        <w:t>合同协议书</w:t>
      </w:r>
    </w:p>
    <w:p w14:paraId="79D4FC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（发包人名称，以下简称“发包人”）为实施</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（项目名称），已接受</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（承包人名称，以下简称“承包人”）对该项目</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标段施工的投标。发包人和承包人共同达成如下协议。</w:t>
      </w:r>
    </w:p>
    <w:p w14:paraId="3A9DBF3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标段由K</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至K</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十</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，长约</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km，公路等级为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，设计速度为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路面。有</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立交</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处；特大桥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座，计长</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m,大中桥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座，计长</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m；隧道</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座，计长</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m以及其他构造物工程等。</w:t>
      </w:r>
    </w:p>
    <w:p w14:paraId="31AE30B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2．下列文件应视为构成合同文件的组成部分：</w:t>
      </w:r>
    </w:p>
    <w:p w14:paraId="3F8599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（1）本协议书及各种合同附件（含评标期间和合同谈判过程中的澄清文件和补充资料）；</w:t>
      </w:r>
    </w:p>
    <w:p w14:paraId="1C72FC49">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（2）中标通知书；</w:t>
      </w:r>
    </w:p>
    <w:p w14:paraId="7628EC66">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（3）投标函及投标函附录；</w:t>
      </w:r>
    </w:p>
    <w:p w14:paraId="079640DD">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（4）项目专用合同条款；</w:t>
      </w:r>
    </w:p>
    <w:p w14:paraId="3D1DC551">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（5）公路工程专用合同条款；</w:t>
      </w:r>
    </w:p>
    <w:p w14:paraId="119B21AB">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（6）通用合同条款；</w:t>
      </w:r>
    </w:p>
    <w:p w14:paraId="2613B92C">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（7）工程量清单计量规则；</w:t>
      </w:r>
    </w:p>
    <w:p w14:paraId="79FD3812">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（8）技术规范；</w:t>
      </w:r>
    </w:p>
    <w:p w14:paraId="0242052E">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（9）图纸；</w:t>
      </w:r>
    </w:p>
    <w:p w14:paraId="7CD64726">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（10）已标价工程量清单；</w:t>
      </w:r>
    </w:p>
    <w:p w14:paraId="7D8E7F70">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（11）承包人有关人员、设备投入的承诺及投标文件中的施工组织设计；</w:t>
      </w:r>
    </w:p>
    <w:p w14:paraId="77A8CC82">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（12）其他合同文件。</w:t>
      </w:r>
    </w:p>
    <w:p w14:paraId="4830AB26">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上述合同文件互相补充和解释。如果合同文件之间存在矛盾或不一致之处，以上述文件的排列顺序在先者为准。</w:t>
      </w:r>
    </w:p>
    <w:p w14:paraId="7CEB4791">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3．根据工程量清单所列的预计数量和单价或总额价计算的签约合同价：人民币（大写）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元（￥</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135A3005">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4．承包人项目经理：</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。承包人项目总工：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180B62B1">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5．工程质量符合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标准。工程安全目标：</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p>
    <w:p w14:paraId="54EE8499">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6．承包人承诺按合同约定承担工程的实施、完成及缺陷修复。</w:t>
      </w:r>
    </w:p>
    <w:p w14:paraId="21994560">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7．发包人承诺按合同约定的条件、时间和方式向承包人支付合同价款。</w:t>
      </w:r>
    </w:p>
    <w:p w14:paraId="387978AC">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8．承包人应按照监理人指示开工，工期为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日历天。</w:t>
      </w:r>
    </w:p>
    <w:p w14:paraId="3EC790C4">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9．本协议书在承包人提供履约担保后，由双方法定代表人或其委托代理人签署与加盖公章后生效。全部工程完工后经交工验收合格、缺陷责任期满签发缺陷责任终止证书后失效。</w:t>
      </w:r>
    </w:p>
    <w:p w14:paraId="43696A3B">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10．本协议书正本二份、副本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份，合同双方各执正本一份，副本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份，当正本与副本的内容不一致时，以正本为准。</w:t>
      </w:r>
    </w:p>
    <w:p w14:paraId="404E89FA">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11．合同未尽事宜，双方另行签订补充协议。补充协议是合同的组成部分。</w:t>
      </w:r>
    </w:p>
    <w:p w14:paraId="6BF6639E">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627C342B">
      <w:pPr>
        <w:autoSpaceDE w:val="0"/>
        <w:adjustRightInd w:val="0"/>
        <w:snapToGrid w:val="0"/>
        <w:spacing w:line="360" w:lineRule="auto"/>
        <w:ind w:right="-693" w:rightChars="-330"/>
        <w:rPr>
          <w:rFonts w:ascii="宋体" w:hAnsi="宋体"/>
          <w:color w:val="auto"/>
          <w:sz w:val="24"/>
          <w:szCs w:val="24"/>
          <w:highlight w:val="none"/>
        </w:rPr>
      </w:pPr>
      <w:r>
        <w:rPr>
          <w:rFonts w:hint="eastAsia" w:ascii="宋体" w:hAnsi="宋体"/>
          <w:color w:val="auto"/>
          <w:sz w:val="24"/>
          <w:szCs w:val="24"/>
          <w:highlight w:val="none"/>
        </w:rPr>
        <w:t>发包人：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（盖单位公章）  承包人：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（盖单位公章）</w:t>
      </w:r>
    </w:p>
    <w:p w14:paraId="1E27B01F">
      <w:pPr>
        <w:autoSpaceDE w:val="0"/>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  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w:t>
      </w:r>
    </w:p>
    <w:p w14:paraId="72127A05">
      <w:pPr>
        <w:autoSpaceDE w:val="0"/>
        <w:adjustRightInd w:val="0"/>
        <w:snapToGrid w:val="0"/>
        <w:spacing w:line="360" w:lineRule="auto"/>
        <w:ind w:firstLine="1680" w:firstLineChars="7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0977F961">
      <w:pPr>
        <w:adjustRightInd w:val="0"/>
        <w:snapToGrid w:val="0"/>
        <w:spacing w:line="360" w:lineRule="auto"/>
        <w:ind w:firstLine="480" w:firstLineChars="200"/>
        <w:rPr>
          <w:rFonts w:ascii="宋体" w:hAnsi="宋体"/>
          <w:color w:val="auto"/>
          <w:sz w:val="24"/>
          <w:szCs w:val="24"/>
          <w:highlight w:val="none"/>
        </w:rPr>
      </w:pPr>
    </w:p>
    <w:p w14:paraId="0A3DB107">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29BF1DFD">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24BC639F">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44A5A736">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338F1F2C">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6E76FA72">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7A146F70">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3DAD0E98">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0BD31FBC">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00C5F120">
      <w:pPr>
        <w:adjustRightInd w:val="0"/>
        <w:snapToGrid w:val="0"/>
        <w:spacing w:line="360" w:lineRule="auto"/>
        <w:rPr>
          <w:rFonts w:hint="eastAsia" w:ascii="宋体" w:hAnsi="宋体"/>
          <w:color w:val="auto"/>
          <w:sz w:val="24"/>
          <w:szCs w:val="24"/>
          <w:highlight w:val="none"/>
        </w:rPr>
      </w:pPr>
    </w:p>
    <w:p w14:paraId="52689F85">
      <w:pPr>
        <w:adjustRightInd w:val="0"/>
        <w:snapToGrid w:val="0"/>
        <w:spacing w:line="360" w:lineRule="auto"/>
        <w:rPr>
          <w:rFonts w:hint="eastAsia" w:ascii="宋体" w:hAnsi="宋体"/>
          <w:color w:val="auto"/>
          <w:sz w:val="24"/>
          <w:szCs w:val="24"/>
          <w:highlight w:val="none"/>
        </w:rPr>
      </w:pPr>
    </w:p>
    <w:p w14:paraId="1DF203E7">
      <w:pPr>
        <w:adjustRightInd w:val="0"/>
        <w:snapToGrid w:val="0"/>
        <w:spacing w:line="360" w:lineRule="auto"/>
        <w:rPr>
          <w:rFonts w:hint="eastAsia" w:ascii="宋体" w:hAnsi="宋体"/>
          <w:color w:val="auto"/>
          <w:sz w:val="24"/>
          <w:szCs w:val="24"/>
          <w:highlight w:val="none"/>
        </w:rPr>
      </w:pPr>
    </w:p>
    <w:p w14:paraId="67FB19D6">
      <w:pPr>
        <w:adjustRightInd w:val="0"/>
        <w:snapToGrid w:val="0"/>
        <w:spacing w:line="360" w:lineRule="auto"/>
        <w:rPr>
          <w:rFonts w:hint="eastAsia" w:ascii="宋体" w:hAnsi="宋体"/>
          <w:color w:val="auto"/>
          <w:sz w:val="24"/>
          <w:szCs w:val="24"/>
          <w:highlight w:val="none"/>
        </w:rPr>
      </w:pPr>
    </w:p>
    <w:p w14:paraId="17FAE219">
      <w:pPr>
        <w:adjustRightInd w:val="0"/>
        <w:snapToGrid w:val="0"/>
        <w:spacing w:line="360" w:lineRule="auto"/>
        <w:rPr>
          <w:rFonts w:hint="eastAsia" w:ascii="宋体" w:hAnsi="宋体"/>
          <w:color w:val="auto"/>
          <w:sz w:val="24"/>
          <w:szCs w:val="24"/>
          <w:highlight w:val="none"/>
        </w:rPr>
      </w:pPr>
    </w:p>
    <w:p w14:paraId="07BE5CB7">
      <w:pPr>
        <w:adjustRightInd w:val="0"/>
        <w:snapToGrid w:val="0"/>
        <w:spacing w:line="360" w:lineRule="auto"/>
        <w:rPr>
          <w:rFonts w:hint="eastAsia" w:ascii="宋体" w:hAnsi="宋体"/>
          <w:color w:val="auto"/>
          <w:sz w:val="24"/>
          <w:szCs w:val="24"/>
          <w:highlight w:val="none"/>
        </w:rPr>
      </w:pPr>
    </w:p>
    <w:p w14:paraId="4F6CCA3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附件二 廉政合同</w:t>
      </w:r>
    </w:p>
    <w:p w14:paraId="0B251D05">
      <w:pPr>
        <w:keepNext w:val="0"/>
        <w:keepLines w:val="0"/>
        <w:pageBreakBefore w:val="0"/>
        <w:widowControl w:val="0"/>
        <w:kinsoku/>
        <w:wordWrap/>
        <w:overflowPunct/>
        <w:topLinePunct w:val="0"/>
        <w:autoSpaceDE/>
        <w:autoSpaceDN/>
        <w:bidi w:val="0"/>
        <w:adjustRightInd w:val="0"/>
        <w:snapToGrid w:val="0"/>
        <w:spacing w:after="0" w:afterLines="50" w:line="240" w:lineRule="auto"/>
        <w:jc w:val="center"/>
        <w:textAlignment w:val="auto"/>
        <w:rPr>
          <w:rFonts w:ascii="宋体" w:hAnsi="宋体"/>
          <w:color w:val="auto"/>
          <w:sz w:val="28"/>
          <w:szCs w:val="28"/>
          <w:highlight w:val="none"/>
        </w:rPr>
      </w:pPr>
      <w:r>
        <w:rPr>
          <w:rFonts w:hint="eastAsia" w:ascii="宋体" w:hAnsi="宋体"/>
          <w:b/>
          <w:bCs/>
          <w:color w:val="auto"/>
          <w:sz w:val="28"/>
          <w:szCs w:val="28"/>
          <w:highlight w:val="none"/>
        </w:rPr>
        <w:t>廉 政 合 同</w:t>
      </w:r>
    </w:p>
    <w:p w14:paraId="7CA4A8F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（项目名称）的项目法人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（项目法人名称，以下简称“发包人”）与该项目</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标段的施工单位（施工单位，以下简称“承包人”），特订立如下合同。</w:t>
      </w:r>
    </w:p>
    <w:p w14:paraId="0D4230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1．发包人和承包人双方的权利和义务</w:t>
      </w:r>
    </w:p>
    <w:p w14:paraId="7CA7E9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（1）严格遵守党的政策规定和国家有关法律法规及交通部的有关规定。</w:t>
      </w:r>
    </w:p>
    <w:p w14:paraId="79DECA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（2）严格执行</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标段施工的合同文件，自觉按合同办事。</w:t>
      </w:r>
    </w:p>
    <w:p w14:paraId="5D9005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（3）双方的业务活动坚持公开、公正、诚信、透明的原则（法律认定的商业秘密和合同文件另有规定除外），不得损害国家和集体利益，违反工程建设管理规章制度。</w:t>
      </w:r>
    </w:p>
    <w:p w14:paraId="60600B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（4）建立健全廉政制度，开展廉政教育，设立廉政告示牌，公布举报电话，监督并认真查处违法违纪行为。</w:t>
      </w:r>
    </w:p>
    <w:p w14:paraId="3EEBBC8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（5）发现对方在业务活动中有违反廉政规定的行为，有及时提醒对方纠正的权利和义务。</w:t>
      </w:r>
    </w:p>
    <w:p w14:paraId="7F0E7FA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（6）发现对方严重违反本合同义务条款的行为，有向其上级有关部门举报、建议给予处理并要求告知处理结果的权利；</w:t>
      </w:r>
    </w:p>
    <w:p w14:paraId="37B2C31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2．发包人的义务</w:t>
      </w:r>
    </w:p>
    <w:p w14:paraId="5807AD5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（1）发包人及其工作人员不得索要或接受承包人的礼金、有价证券和贵重物品，不得</w:t>
      </w:r>
      <w:r>
        <w:rPr>
          <w:rFonts w:hint="eastAsia" w:ascii="宋体" w:hAnsi="宋体"/>
          <w:color w:val="auto"/>
          <w:sz w:val="24"/>
          <w:szCs w:val="24"/>
          <w:highlight w:val="none"/>
          <w:lang w:eastAsia="zh-CN"/>
        </w:rPr>
        <w:t>让</w:t>
      </w:r>
      <w:r>
        <w:rPr>
          <w:rFonts w:hint="eastAsia" w:ascii="宋体" w:hAnsi="宋体"/>
          <w:color w:val="auto"/>
          <w:sz w:val="24"/>
          <w:szCs w:val="24"/>
          <w:highlight w:val="none"/>
        </w:rPr>
        <w:t>承包人报销任何应由发包人或发包人工作人员个人支付的费用等。</w:t>
      </w:r>
    </w:p>
    <w:p w14:paraId="5AD82E4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（2）发包人工作人员不得参加承包人安排的超标准宴请和娱乐活动；不得接受承包人提供的通讯工具、交通工具和高档办公用品等。</w:t>
      </w:r>
    </w:p>
    <w:p w14:paraId="142CF5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（3）发包人及其工作人员不得要求或者接受承包人为其住房装修、婚丧嫁娶活动、配偶子女的工作安排以及出国出境、旅游等提供方便等。</w:t>
      </w:r>
    </w:p>
    <w:p w14:paraId="5C5F1B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（4）发包人工作人员及其配偶、子女不得从事与发包</w:t>
      </w:r>
      <w:r>
        <w:rPr>
          <w:rFonts w:hint="eastAsia" w:ascii="宋体" w:hAnsi="宋体"/>
          <w:color w:val="auto"/>
          <w:sz w:val="24"/>
          <w:szCs w:val="24"/>
          <w:highlight w:val="none"/>
          <w:lang w:eastAsia="zh-CN"/>
        </w:rPr>
        <w:t>人</w:t>
      </w:r>
      <w:r>
        <w:rPr>
          <w:rFonts w:hint="eastAsia" w:ascii="宋体" w:hAnsi="宋体"/>
          <w:color w:val="auto"/>
          <w:sz w:val="24"/>
          <w:szCs w:val="24"/>
          <w:highlight w:val="none"/>
        </w:rPr>
        <w:t>工程有关的材料设备供应、工程分包、劳务等经济活动等。</w:t>
      </w:r>
    </w:p>
    <w:p w14:paraId="3880D71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（5）发包人及其工作人员不得以任何理由向承包人推荐分包单位或推销材料，不得要求承包人购买合同规定外的材料和设备。</w:t>
      </w:r>
    </w:p>
    <w:p w14:paraId="56FD98C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（6）发包人工作人员要秉公办事，不准营私舞弊，不准利用职权从事各种个人有偿中介活动和安排个人施工队伍。</w:t>
      </w:r>
    </w:p>
    <w:p w14:paraId="70A50B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3．承包人的义务</w:t>
      </w:r>
    </w:p>
    <w:p w14:paraId="17C498D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（1）承包人不得以任何理由向发包人及其工作人员行贿或馈赠礼金、有价证券、贵重礼品。</w:t>
      </w:r>
    </w:p>
    <w:p w14:paraId="6F8C11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（2）承包人不得以任何名义为发包人及其工作人员报销应由发包人单位或个人支付的任何费用。</w:t>
      </w:r>
    </w:p>
    <w:p w14:paraId="57C53C6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（3）承包人不得以任何理由安排发包人工作人员参加超标准宴请及娱乐活动。</w:t>
      </w:r>
    </w:p>
    <w:p w14:paraId="286B7B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（4）承包人不得为发包人单位和个人购置或提供通讯工具、交通工具和高档办公用品等。</w:t>
      </w:r>
    </w:p>
    <w:p w14:paraId="7F80BD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4．违约责任</w:t>
      </w:r>
    </w:p>
    <w:p w14:paraId="18C310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（1）发包人及其工作人员违反本合同第1、2条，按管理权限，依据有关规定给予党纪、政纪或组织处理；涉嫌犯罪的，移交司法机关追究刑事责任；给承包人单位造成经济损失的，应予以赔偿。</w:t>
      </w:r>
    </w:p>
    <w:p w14:paraId="0D94543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承包人及其工作人员违反本合同第1、3条，按管理权限，依据有关规定给予党纪、政纪或组织处理；给发包人单位造成经济损失的，应予以赔偿；情节严重的，发包人建议交通工程建设主管部门给予承包人一至三年内不得进入其主管的交通工程建设市场的处罚。</w:t>
      </w:r>
    </w:p>
    <w:p w14:paraId="4D3849B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7D08C0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6．本合同有效期为发包人和承包人签署之日起至该工程项目竣工验收后止。</w:t>
      </w:r>
    </w:p>
    <w:p w14:paraId="607C51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7．本合同作为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标段施工合同的附件，与工程施工合同具有同等的法律效力，经合同双方签署立即生效。</w:t>
      </w:r>
    </w:p>
    <w:p w14:paraId="712F3D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8．本合同一式四份，由发包人和承包人双方各执一份，送交发包人和承包人的监督单位各一份。</w:t>
      </w:r>
    </w:p>
    <w:p w14:paraId="5064E43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发包人：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  承包人：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w:t>
      </w:r>
    </w:p>
    <w:p w14:paraId="2BEE04E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  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w:t>
      </w:r>
    </w:p>
    <w:p w14:paraId="5FBBC410">
      <w:pPr>
        <w:keepNext w:val="0"/>
        <w:keepLines w:val="0"/>
        <w:pageBreakBefore w:val="0"/>
        <w:widowControl w:val="0"/>
        <w:kinsoku/>
        <w:wordWrap/>
        <w:overflowPunct/>
        <w:topLinePunct w:val="0"/>
        <w:autoSpaceDE/>
        <w:autoSpaceDN/>
        <w:bidi w:val="0"/>
        <w:adjustRightInd w:val="0"/>
        <w:snapToGrid w:val="0"/>
        <w:spacing w:line="360" w:lineRule="auto"/>
        <w:ind w:firstLine="2160" w:firstLineChars="900"/>
        <w:textAlignment w:val="auto"/>
        <w:rPr>
          <w:rFonts w:ascii="宋体" w:hAnsi="宋体"/>
          <w:color w:val="auto"/>
          <w:sz w:val="24"/>
          <w:szCs w:val="24"/>
          <w:highlight w:val="none"/>
        </w:rPr>
      </w:pPr>
      <w:r>
        <w:rPr>
          <w:rFonts w:hint="eastAsia" w:ascii="宋体" w:hAnsi="宋体"/>
          <w:color w:val="auto"/>
          <w:sz w:val="24"/>
          <w:szCs w:val="24"/>
          <w:highlight w:val="none"/>
        </w:rPr>
        <w:t>_____年____月____日                  _____年_____月____日</w:t>
      </w:r>
    </w:p>
    <w:p w14:paraId="209082A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发包人监督单位：</w:t>
      </w:r>
      <w:r>
        <w:rPr>
          <w:rFonts w:hint="eastAsia" w:ascii="宋体" w:hAnsi="宋体"/>
          <w:color w:val="auto"/>
          <w:sz w:val="24"/>
          <w:szCs w:val="24"/>
          <w:highlight w:val="none"/>
          <w:u w:val="single"/>
        </w:rPr>
        <w:t>（全称）（盖单位章）</w:t>
      </w:r>
      <w:r>
        <w:rPr>
          <w:rFonts w:hint="eastAsia" w:ascii="宋体" w:hAnsi="宋体"/>
          <w:color w:val="auto"/>
          <w:sz w:val="24"/>
          <w:szCs w:val="24"/>
          <w:highlight w:val="none"/>
        </w:rPr>
        <w:t xml:space="preserve">    </w:t>
      </w:r>
      <w:r>
        <w:rPr>
          <w:rFonts w:hint="eastAsia" w:ascii="宋体" w:hAnsi="宋体"/>
          <w:color w:val="auto"/>
          <w:sz w:val="24"/>
          <w:szCs w:val="24"/>
          <w:highlight w:val="none"/>
          <w:u w:val="none"/>
        </w:rPr>
        <w:t>承包人监督单位：</w:t>
      </w:r>
      <w:r>
        <w:rPr>
          <w:rFonts w:hint="eastAsia" w:ascii="宋体" w:hAnsi="宋体"/>
          <w:color w:val="auto"/>
          <w:sz w:val="24"/>
          <w:szCs w:val="24"/>
          <w:highlight w:val="none"/>
          <w:u w:val="single"/>
        </w:rPr>
        <w:t>（全称）（盖单位章）</w:t>
      </w:r>
      <w:r>
        <w:rPr>
          <w:rFonts w:hint="eastAsia" w:ascii="宋体" w:hAnsi="宋体"/>
          <w:color w:val="auto"/>
          <w:sz w:val="24"/>
          <w:szCs w:val="24"/>
          <w:highlight w:val="none"/>
        </w:rPr>
        <w:br w:type="page"/>
      </w:r>
      <w:r>
        <w:rPr>
          <w:rFonts w:hint="eastAsia" w:ascii="宋体" w:hAnsi="宋体"/>
          <w:b/>
          <w:bCs/>
          <w:color w:val="auto"/>
          <w:sz w:val="24"/>
          <w:szCs w:val="24"/>
          <w:highlight w:val="none"/>
        </w:rPr>
        <w:t>附件三 安全生产合同</w:t>
      </w:r>
    </w:p>
    <w:p w14:paraId="2B1F3AEF">
      <w:pPr>
        <w:autoSpaceDE w:val="0"/>
        <w:adjustRightInd w:val="0"/>
        <w:snapToGrid w:val="0"/>
        <w:spacing w:afterLines="50" w:line="331" w:lineRule="auto"/>
        <w:jc w:val="center"/>
        <w:rPr>
          <w:rFonts w:ascii="宋体" w:hAnsi="宋体"/>
          <w:color w:val="auto"/>
          <w:sz w:val="28"/>
          <w:szCs w:val="28"/>
          <w:highlight w:val="none"/>
        </w:rPr>
      </w:pPr>
      <w:r>
        <w:rPr>
          <w:rFonts w:hint="eastAsia" w:ascii="宋体" w:hAnsi="宋体"/>
          <w:b/>
          <w:bCs/>
          <w:color w:val="auto"/>
          <w:sz w:val="28"/>
          <w:szCs w:val="28"/>
          <w:highlight w:val="none"/>
        </w:rPr>
        <w:t>安全生产合同</w:t>
      </w:r>
    </w:p>
    <w:p w14:paraId="1420866D">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为在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标段施工合同的实施过程中创造安全、高效的施工环境，切实搞好本项目的安全管理工作，本项目发包人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（发包人名称，以下简称“发包人”）与承包人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（承包人名称，以下简称“承包人” ）特此签订安全生产合同。</w:t>
      </w:r>
    </w:p>
    <w:p w14:paraId="6AEE962D">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1、发包人职责</w:t>
      </w:r>
    </w:p>
    <w:p w14:paraId="6476426F">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（1）严格遵守国家有关安全生产的法律法规，认真执行工程承包合同中的有关安全要求。</w:t>
      </w:r>
    </w:p>
    <w:p w14:paraId="2F01DBCF">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（2）按照“安全第一、预防为主”和坚持“管生产必须管安全”的原则进行安全生产管理，做到生产与安全工作同时计划、布置、检查、总结和评比。</w:t>
      </w:r>
    </w:p>
    <w:p w14:paraId="63040E57">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（3）重要的安全设施必须坚持与主体工程“三同时”的原则，即：同时设计、审批，同时施工，同时验收，投入使用。</w:t>
      </w:r>
    </w:p>
    <w:p w14:paraId="2B879E18">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（4）定期召开安全生产调度会，及时传达中央及地方有关安全生产的精神。</w:t>
      </w:r>
    </w:p>
    <w:p w14:paraId="01E0D9CC">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（5）组织对承包人施工现场安全生产检查，监督承包人及时处理发现的各种安全隐患。</w:t>
      </w:r>
    </w:p>
    <w:p w14:paraId="15E8079E">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2、承包人职责</w:t>
      </w:r>
    </w:p>
    <w:p w14:paraId="63A734EE">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p>
    <w:p w14:paraId="75F6FBCA">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4F5D03F2">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52FBBEAE">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（4）承包人在任何时候都应采取各种合理的预防措施，防止其员工发生任何违法、违禁、暴力或妨碍治安的行为。</w:t>
      </w:r>
    </w:p>
    <w:p w14:paraId="6B19AD6C">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101FB09A">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78153B8D">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（7）操作人员上岗，必须按规定穿戴防护用品。施工负责人和安全检查员应随时检查劳动防护用品的穿戴情况，不按规定穿戴防护用品的人员不得上岗。</w:t>
      </w:r>
    </w:p>
    <w:p w14:paraId="57453091">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（8）所有施工机具设备和高空作业的设备均应定期检查，并有安全员的签字记录，保证其经常处于完好状态；不合格的机具、设备和劳动保护用品严禁使用。</w:t>
      </w:r>
    </w:p>
    <w:p w14:paraId="0859D55A">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（9）施工中采用新技术、新工艺、新设备、新材料时，必须制定相应的安全技术措施，施工现场必须具有相关的安全标志牌。</w:t>
      </w:r>
    </w:p>
    <w:p w14:paraId="46F264C2">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承包人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p>
    <w:p w14:paraId="2ECEA9CA">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（11）安全生产费用按照《公路水运工程安全生产监督管理办法》的规定使用和管理。</w:t>
      </w:r>
    </w:p>
    <w:p w14:paraId="2FDFAA34">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3、违约责任</w:t>
      </w:r>
    </w:p>
    <w:p w14:paraId="1762D73B">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如因发包人或承包人违约造成安全事故，将依法追究责任。</w:t>
      </w:r>
    </w:p>
    <w:p w14:paraId="37B55162">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4、本合同由双方法定代表人或其授权的代理人签署与加盖公章后生效，全部工程竣工验收后失效。</w:t>
      </w:r>
    </w:p>
    <w:p w14:paraId="15684852">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5、本合同正本二份，副本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份，合同双方各执正本一份，副本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份，当正本与副本的内容不一致时，以正本为准。</w:t>
      </w:r>
    </w:p>
    <w:p w14:paraId="23D346F4">
      <w:pPr>
        <w:pStyle w:val="21"/>
        <w:ind w:firstLine="240"/>
        <w:rPr>
          <w:rFonts w:ascii="宋体"/>
          <w:color w:val="auto"/>
          <w:highlight w:val="none"/>
        </w:rPr>
      </w:pPr>
      <w:r>
        <w:rPr>
          <w:rFonts w:hint="eastAsia" w:ascii="宋体"/>
          <w:color w:val="auto"/>
          <w:highlight w:val="none"/>
        </w:rPr>
        <w:t xml:space="preserve"> </w:t>
      </w:r>
    </w:p>
    <w:p w14:paraId="0BEDBE79">
      <w:pPr>
        <w:rPr>
          <w:rFonts w:ascii="宋体" w:hAnsi="宋体"/>
          <w:color w:val="auto"/>
          <w:highlight w:val="none"/>
        </w:rPr>
      </w:pPr>
      <w:r>
        <w:rPr>
          <w:rFonts w:hint="eastAsia" w:ascii="宋体" w:hAnsi="宋体"/>
          <w:color w:val="auto"/>
          <w:highlight w:val="none"/>
        </w:rPr>
        <w:t xml:space="preserve"> </w:t>
      </w:r>
    </w:p>
    <w:p w14:paraId="47A7AE87">
      <w:pPr>
        <w:autoSpaceDE w:val="0"/>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发包人：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    承包人：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w:t>
      </w:r>
    </w:p>
    <w:p w14:paraId="47655EBE">
      <w:pPr>
        <w:autoSpaceDE w:val="0"/>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法定代表人或其委托代理人：___（签字）   法定代表人或其委托代理人：___（签字）</w:t>
      </w:r>
    </w:p>
    <w:p w14:paraId="7B54F3A7">
      <w:pPr>
        <w:autoSpaceDE w:val="0"/>
        <w:adjustRightInd w:val="0"/>
        <w:snapToGrid w:val="0"/>
        <w:spacing w:line="360" w:lineRule="auto"/>
        <w:ind w:firstLine="2160" w:firstLineChars="9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年___月___日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年___月___日</w:t>
      </w:r>
    </w:p>
    <w:p w14:paraId="61C14C53">
      <w:pPr>
        <w:pStyle w:val="21"/>
        <w:ind w:firstLine="240"/>
        <w:rPr>
          <w:rFonts w:ascii="宋体"/>
          <w:color w:val="auto"/>
          <w:highlight w:val="none"/>
        </w:rPr>
      </w:pPr>
      <w:r>
        <w:rPr>
          <w:rFonts w:hint="eastAsia" w:ascii="宋体"/>
          <w:color w:val="auto"/>
          <w:highlight w:val="none"/>
        </w:rPr>
        <w:t xml:space="preserve"> </w:t>
      </w:r>
    </w:p>
    <w:p w14:paraId="1153A800">
      <w:pPr>
        <w:rPr>
          <w:rFonts w:ascii="宋体" w:hAnsi="宋体"/>
          <w:color w:val="auto"/>
          <w:sz w:val="24"/>
          <w:szCs w:val="24"/>
          <w:highlight w:val="none"/>
        </w:rPr>
      </w:pPr>
      <w:r>
        <w:rPr>
          <w:rFonts w:hint="eastAsia" w:ascii="宋体" w:hAnsi="宋体"/>
          <w:color w:val="auto"/>
          <w:sz w:val="24"/>
          <w:szCs w:val="24"/>
          <w:highlight w:val="none"/>
        </w:rPr>
        <w:t xml:space="preserve"> </w:t>
      </w:r>
    </w:p>
    <w:p w14:paraId="4B539814">
      <w:pPr>
        <w:pStyle w:val="21"/>
        <w:ind w:firstLine="240"/>
        <w:rPr>
          <w:rFonts w:ascii="宋体"/>
          <w:color w:val="auto"/>
          <w:highlight w:val="none"/>
        </w:rPr>
      </w:pPr>
      <w:r>
        <w:rPr>
          <w:rFonts w:hint="eastAsia" w:ascii="宋体"/>
          <w:color w:val="auto"/>
          <w:highlight w:val="none"/>
        </w:rPr>
        <w:t xml:space="preserve"> </w:t>
      </w:r>
    </w:p>
    <w:p w14:paraId="16714973">
      <w:pPr>
        <w:rPr>
          <w:rFonts w:ascii="宋体" w:hAnsi="宋体"/>
          <w:color w:val="auto"/>
          <w:sz w:val="24"/>
          <w:szCs w:val="24"/>
          <w:highlight w:val="none"/>
        </w:rPr>
      </w:pPr>
      <w:r>
        <w:rPr>
          <w:rFonts w:hint="eastAsia" w:ascii="宋体" w:hAnsi="宋体"/>
          <w:color w:val="auto"/>
          <w:sz w:val="24"/>
          <w:szCs w:val="24"/>
          <w:highlight w:val="none"/>
        </w:rPr>
        <w:t xml:space="preserve"> </w:t>
      </w:r>
    </w:p>
    <w:p w14:paraId="6670051C">
      <w:pPr>
        <w:pStyle w:val="21"/>
        <w:ind w:firstLine="240"/>
        <w:rPr>
          <w:rFonts w:ascii="宋体"/>
          <w:color w:val="auto"/>
          <w:highlight w:val="none"/>
        </w:rPr>
      </w:pPr>
      <w:r>
        <w:rPr>
          <w:rFonts w:hint="eastAsia" w:ascii="宋体"/>
          <w:color w:val="auto"/>
          <w:highlight w:val="none"/>
        </w:rPr>
        <w:t xml:space="preserve"> </w:t>
      </w:r>
    </w:p>
    <w:p w14:paraId="053345B3">
      <w:pPr>
        <w:rPr>
          <w:rFonts w:ascii="宋体" w:hAnsi="宋体"/>
          <w:color w:val="auto"/>
          <w:sz w:val="24"/>
          <w:szCs w:val="24"/>
          <w:highlight w:val="none"/>
        </w:rPr>
      </w:pPr>
      <w:r>
        <w:rPr>
          <w:rFonts w:hint="eastAsia" w:ascii="宋体" w:hAnsi="宋体"/>
          <w:color w:val="auto"/>
          <w:sz w:val="24"/>
          <w:szCs w:val="24"/>
          <w:highlight w:val="none"/>
        </w:rPr>
        <w:t xml:space="preserve"> </w:t>
      </w:r>
    </w:p>
    <w:p w14:paraId="3419A59C">
      <w:pPr>
        <w:pStyle w:val="21"/>
        <w:ind w:firstLine="240"/>
        <w:rPr>
          <w:rFonts w:ascii="宋体"/>
          <w:color w:val="auto"/>
          <w:highlight w:val="none"/>
        </w:rPr>
      </w:pPr>
      <w:r>
        <w:rPr>
          <w:rFonts w:hint="eastAsia" w:ascii="宋体"/>
          <w:color w:val="auto"/>
          <w:highlight w:val="none"/>
        </w:rPr>
        <w:t xml:space="preserve"> </w:t>
      </w:r>
    </w:p>
    <w:p w14:paraId="18B6C173">
      <w:pPr>
        <w:rPr>
          <w:rFonts w:ascii="宋体" w:hAnsi="宋体"/>
          <w:color w:val="auto"/>
          <w:sz w:val="24"/>
          <w:szCs w:val="24"/>
          <w:highlight w:val="none"/>
        </w:rPr>
      </w:pPr>
      <w:r>
        <w:rPr>
          <w:rFonts w:hint="eastAsia" w:ascii="宋体" w:hAnsi="宋体"/>
          <w:color w:val="auto"/>
          <w:sz w:val="24"/>
          <w:szCs w:val="24"/>
          <w:highlight w:val="none"/>
        </w:rPr>
        <w:t xml:space="preserve"> </w:t>
      </w:r>
    </w:p>
    <w:p w14:paraId="44218386">
      <w:pPr>
        <w:pStyle w:val="21"/>
        <w:ind w:firstLine="240"/>
        <w:rPr>
          <w:rFonts w:ascii="宋体"/>
          <w:color w:val="auto"/>
          <w:highlight w:val="none"/>
        </w:rPr>
      </w:pPr>
      <w:r>
        <w:rPr>
          <w:rFonts w:hint="eastAsia" w:ascii="宋体"/>
          <w:color w:val="auto"/>
          <w:highlight w:val="none"/>
        </w:rPr>
        <w:t xml:space="preserve"> </w:t>
      </w:r>
    </w:p>
    <w:p w14:paraId="625EBF24">
      <w:pPr>
        <w:rPr>
          <w:rFonts w:ascii="宋体" w:hAnsi="宋体"/>
          <w:color w:val="auto"/>
          <w:sz w:val="24"/>
          <w:szCs w:val="24"/>
          <w:highlight w:val="none"/>
        </w:rPr>
      </w:pPr>
      <w:r>
        <w:rPr>
          <w:rFonts w:hint="eastAsia" w:ascii="宋体" w:hAnsi="宋体"/>
          <w:color w:val="auto"/>
          <w:sz w:val="24"/>
          <w:szCs w:val="24"/>
          <w:highlight w:val="none"/>
        </w:rPr>
        <w:t xml:space="preserve"> </w:t>
      </w:r>
    </w:p>
    <w:p w14:paraId="481E8E50">
      <w:pPr>
        <w:pStyle w:val="21"/>
        <w:ind w:firstLine="240"/>
        <w:rPr>
          <w:rFonts w:ascii="宋体"/>
          <w:color w:val="auto"/>
          <w:highlight w:val="none"/>
        </w:rPr>
      </w:pPr>
      <w:r>
        <w:rPr>
          <w:rFonts w:hint="eastAsia" w:ascii="宋体"/>
          <w:color w:val="auto"/>
          <w:highlight w:val="none"/>
        </w:rPr>
        <w:t xml:space="preserve"> </w:t>
      </w:r>
    </w:p>
    <w:p w14:paraId="5F320CD2">
      <w:pPr>
        <w:rPr>
          <w:rFonts w:ascii="宋体" w:hAnsi="宋体"/>
          <w:color w:val="auto"/>
          <w:sz w:val="24"/>
          <w:szCs w:val="24"/>
          <w:highlight w:val="none"/>
        </w:rPr>
      </w:pPr>
      <w:r>
        <w:rPr>
          <w:rFonts w:hint="eastAsia" w:ascii="宋体" w:hAnsi="宋体"/>
          <w:color w:val="auto"/>
          <w:sz w:val="24"/>
          <w:szCs w:val="24"/>
          <w:highlight w:val="none"/>
        </w:rPr>
        <w:t xml:space="preserve"> </w:t>
      </w:r>
    </w:p>
    <w:p w14:paraId="1D2FEA76">
      <w:pPr>
        <w:pStyle w:val="21"/>
        <w:ind w:firstLine="240"/>
        <w:rPr>
          <w:rFonts w:ascii="宋体"/>
          <w:color w:val="auto"/>
          <w:highlight w:val="none"/>
        </w:rPr>
      </w:pPr>
      <w:r>
        <w:rPr>
          <w:rFonts w:hint="eastAsia" w:ascii="宋体"/>
          <w:color w:val="auto"/>
          <w:highlight w:val="none"/>
        </w:rPr>
        <w:t xml:space="preserve"> </w:t>
      </w:r>
    </w:p>
    <w:p w14:paraId="1F7C0C2A">
      <w:pPr>
        <w:rPr>
          <w:rFonts w:ascii="宋体" w:hAnsi="宋体"/>
          <w:color w:val="auto"/>
          <w:sz w:val="24"/>
          <w:szCs w:val="24"/>
          <w:highlight w:val="none"/>
        </w:rPr>
      </w:pPr>
      <w:r>
        <w:rPr>
          <w:rFonts w:hint="eastAsia" w:ascii="宋体" w:hAnsi="宋体"/>
          <w:color w:val="auto"/>
          <w:sz w:val="24"/>
          <w:szCs w:val="24"/>
          <w:highlight w:val="none"/>
        </w:rPr>
        <w:t xml:space="preserve"> </w:t>
      </w:r>
    </w:p>
    <w:p w14:paraId="41B5EF73">
      <w:pPr>
        <w:pStyle w:val="21"/>
        <w:ind w:firstLine="240"/>
        <w:rPr>
          <w:rFonts w:ascii="宋体"/>
          <w:color w:val="auto"/>
          <w:highlight w:val="none"/>
        </w:rPr>
      </w:pPr>
      <w:r>
        <w:rPr>
          <w:rFonts w:hint="eastAsia" w:ascii="宋体"/>
          <w:color w:val="auto"/>
          <w:highlight w:val="none"/>
        </w:rPr>
        <w:t xml:space="preserve"> </w:t>
      </w:r>
    </w:p>
    <w:p w14:paraId="5A5F747E">
      <w:pPr>
        <w:rPr>
          <w:rFonts w:ascii="宋体" w:hAnsi="宋体"/>
          <w:color w:val="auto"/>
          <w:sz w:val="24"/>
          <w:szCs w:val="24"/>
          <w:highlight w:val="none"/>
        </w:rPr>
      </w:pPr>
      <w:r>
        <w:rPr>
          <w:rFonts w:hint="eastAsia" w:ascii="宋体" w:hAnsi="宋体"/>
          <w:color w:val="auto"/>
          <w:sz w:val="24"/>
          <w:szCs w:val="24"/>
          <w:highlight w:val="none"/>
        </w:rPr>
        <w:t xml:space="preserve"> </w:t>
      </w:r>
    </w:p>
    <w:p w14:paraId="39983DEB">
      <w:pPr>
        <w:pStyle w:val="21"/>
        <w:ind w:firstLine="240"/>
        <w:rPr>
          <w:rFonts w:ascii="宋体"/>
          <w:color w:val="auto"/>
          <w:highlight w:val="none"/>
        </w:rPr>
      </w:pPr>
      <w:r>
        <w:rPr>
          <w:rFonts w:hint="eastAsia" w:ascii="宋体"/>
          <w:color w:val="auto"/>
          <w:highlight w:val="none"/>
        </w:rPr>
        <w:t xml:space="preserve"> </w:t>
      </w:r>
    </w:p>
    <w:p w14:paraId="434A221B">
      <w:pPr>
        <w:rPr>
          <w:rFonts w:ascii="宋体" w:hAnsi="宋体"/>
          <w:color w:val="auto"/>
          <w:sz w:val="24"/>
          <w:szCs w:val="24"/>
          <w:highlight w:val="none"/>
        </w:rPr>
      </w:pPr>
      <w:r>
        <w:rPr>
          <w:rFonts w:hint="eastAsia" w:ascii="宋体" w:hAnsi="宋体"/>
          <w:color w:val="auto"/>
          <w:sz w:val="24"/>
          <w:szCs w:val="24"/>
          <w:highlight w:val="none"/>
        </w:rPr>
        <w:t xml:space="preserve"> </w:t>
      </w:r>
    </w:p>
    <w:p w14:paraId="2818F0B9">
      <w:pPr>
        <w:pStyle w:val="21"/>
        <w:ind w:firstLine="240"/>
        <w:rPr>
          <w:rFonts w:ascii="宋体"/>
          <w:color w:val="auto"/>
          <w:highlight w:val="none"/>
        </w:rPr>
      </w:pPr>
      <w:r>
        <w:rPr>
          <w:rFonts w:hint="eastAsia" w:ascii="宋体"/>
          <w:color w:val="auto"/>
          <w:highlight w:val="none"/>
        </w:rPr>
        <w:t xml:space="preserve"> </w:t>
      </w:r>
    </w:p>
    <w:p w14:paraId="23A00C6C">
      <w:pPr>
        <w:rPr>
          <w:rFonts w:ascii="宋体" w:hAnsi="宋体"/>
          <w:color w:val="auto"/>
          <w:sz w:val="24"/>
          <w:szCs w:val="24"/>
          <w:highlight w:val="none"/>
        </w:rPr>
      </w:pPr>
      <w:r>
        <w:rPr>
          <w:rFonts w:hint="eastAsia" w:ascii="宋体" w:hAnsi="宋体"/>
          <w:color w:val="auto"/>
          <w:sz w:val="24"/>
          <w:szCs w:val="24"/>
          <w:highlight w:val="none"/>
        </w:rPr>
        <w:t xml:space="preserve"> </w:t>
      </w:r>
    </w:p>
    <w:p w14:paraId="25D0469B">
      <w:pPr>
        <w:pStyle w:val="21"/>
        <w:ind w:firstLine="240"/>
        <w:rPr>
          <w:rFonts w:ascii="宋体"/>
          <w:color w:val="auto"/>
          <w:highlight w:val="none"/>
        </w:rPr>
      </w:pPr>
      <w:r>
        <w:rPr>
          <w:rFonts w:hint="eastAsia" w:ascii="宋体"/>
          <w:color w:val="auto"/>
          <w:highlight w:val="none"/>
        </w:rPr>
        <w:t xml:space="preserve"> </w:t>
      </w:r>
    </w:p>
    <w:p w14:paraId="3491B09D">
      <w:pPr>
        <w:rPr>
          <w:rFonts w:ascii="宋体" w:hAnsi="宋体"/>
          <w:color w:val="auto"/>
          <w:sz w:val="24"/>
          <w:szCs w:val="24"/>
          <w:highlight w:val="none"/>
        </w:rPr>
      </w:pPr>
      <w:r>
        <w:rPr>
          <w:rFonts w:hint="eastAsia" w:ascii="宋体" w:hAnsi="宋体"/>
          <w:color w:val="auto"/>
          <w:sz w:val="24"/>
          <w:szCs w:val="24"/>
          <w:highlight w:val="none"/>
        </w:rPr>
        <w:t xml:space="preserve"> </w:t>
      </w:r>
    </w:p>
    <w:p w14:paraId="279BFEB7">
      <w:pPr>
        <w:pStyle w:val="21"/>
        <w:ind w:firstLine="240"/>
        <w:rPr>
          <w:rFonts w:ascii="宋体"/>
          <w:color w:val="auto"/>
          <w:highlight w:val="none"/>
        </w:rPr>
      </w:pPr>
      <w:r>
        <w:rPr>
          <w:rFonts w:hint="eastAsia" w:ascii="宋体"/>
          <w:color w:val="auto"/>
          <w:highlight w:val="none"/>
        </w:rPr>
        <w:t xml:space="preserve"> </w:t>
      </w:r>
    </w:p>
    <w:p w14:paraId="3E186815">
      <w:pPr>
        <w:rPr>
          <w:rFonts w:ascii="宋体" w:hAnsi="宋体"/>
          <w:color w:val="auto"/>
          <w:sz w:val="24"/>
          <w:szCs w:val="24"/>
          <w:highlight w:val="none"/>
        </w:rPr>
      </w:pPr>
      <w:r>
        <w:rPr>
          <w:rFonts w:hint="eastAsia" w:ascii="宋体" w:hAnsi="宋体"/>
          <w:color w:val="auto"/>
          <w:sz w:val="24"/>
          <w:szCs w:val="24"/>
          <w:highlight w:val="none"/>
        </w:rPr>
        <w:t xml:space="preserve"> </w:t>
      </w:r>
    </w:p>
    <w:p w14:paraId="47B25838">
      <w:pPr>
        <w:pStyle w:val="21"/>
        <w:ind w:firstLine="240"/>
        <w:rPr>
          <w:rFonts w:ascii="宋体"/>
          <w:color w:val="auto"/>
          <w:highlight w:val="none"/>
        </w:rPr>
      </w:pPr>
      <w:r>
        <w:rPr>
          <w:rFonts w:hint="eastAsia" w:ascii="宋体"/>
          <w:color w:val="auto"/>
          <w:highlight w:val="none"/>
        </w:rPr>
        <w:t xml:space="preserve"> </w:t>
      </w:r>
    </w:p>
    <w:p w14:paraId="4CCC5192">
      <w:pPr>
        <w:rPr>
          <w:rFonts w:ascii="宋体" w:hAnsi="宋体"/>
          <w:color w:val="auto"/>
          <w:sz w:val="24"/>
          <w:szCs w:val="24"/>
          <w:highlight w:val="none"/>
        </w:rPr>
      </w:pPr>
      <w:r>
        <w:rPr>
          <w:rFonts w:hint="eastAsia" w:ascii="宋体" w:hAnsi="宋体"/>
          <w:color w:val="auto"/>
          <w:sz w:val="24"/>
          <w:szCs w:val="24"/>
          <w:highlight w:val="none"/>
        </w:rPr>
        <w:t xml:space="preserve"> </w:t>
      </w:r>
    </w:p>
    <w:p w14:paraId="68AB276E">
      <w:pPr>
        <w:adjustRightInd w:val="0"/>
        <w:snapToGrid w:val="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 </w:t>
      </w:r>
      <w:r>
        <w:rPr>
          <w:rFonts w:hint="eastAsia" w:ascii="宋体" w:hAnsi="宋体"/>
          <w:b/>
          <w:color w:val="auto"/>
          <w:sz w:val="24"/>
          <w:szCs w:val="24"/>
          <w:highlight w:val="none"/>
        </w:rPr>
        <w:t>附件</w:t>
      </w:r>
      <w:r>
        <w:rPr>
          <w:rFonts w:hint="eastAsia" w:ascii="宋体" w:hAnsi="宋体"/>
          <w:b/>
          <w:color w:val="auto"/>
          <w:sz w:val="24"/>
          <w:szCs w:val="24"/>
          <w:highlight w:val="none"/>
          <w:lang w:eastAsia="zh-CN"/>
        </w:rPr>
        <w:t>四</w:t>
      </w:r>
      <w:r>
        <w:rPr>
          <w:rFonts w:hint="eastAsia" w:ascii="宋体" w:hAnsi="宋体"/>
          <w:b/>
          <w:color w:val="auto"/>
          <w:sz w:val="24"/>
          <w:szCs w:val="24"/>
          <w:highlight w:val="none"/>
        </w:rPr>
        <w:t xml:space="preserve"> 项目经理委任书</w:t>
      </w:r>
    </w:p>
    <w:p w14:paraId="09611002">
      <w:pPr>
        <w:adjustRightInd w:val="0"/>
        <w:snapToGrid w:val="0"/>
        <w:spacing w:line="360" w:lineRule="auto"/>
        <w:jc w:val="center"/>
        <w:rPr>
          <w:rFonts w:ascii="宋体" w:hAnsi="宋体"/>
          <w:color w:val="auto"/>
          <w:sz w:val="28"/>
          <w:szCs w:val="28"/>
          <w:highlight w:val="none"/>
          <w:u w:val="single"/>
        </w:rPr>
      </w:pPr>
      <w:r>
        <w:rPr>
          <w:rFonts w:hint="eastAsia" w:ascii="宋体" w:hAnsi="宋体"/>
          <w:color w:val="auto"/>
          <w:sz w:val="28"/>
          <w:szCs w:val="28"/>
          <w:highlight w:val="none"/>
          <w:u w:val="single"/>
        </w:rPr>
        <w:t>（承包人全称）</w:t>
      </w:r>
    </w:p>
    <w:p w14:paraId="486C24F6">
      <w:pPr>
        <w:adjustRightInd w:val="0"/>
        <w:snapToGrid w:val="0"/>
        <w:spacing w:line="360" w:lineRule="auto"/>
        <w:jc w:val="center"/>
        <w:rPr>
          <w:rFonts w:ascii="宋体" w:hAnsi="宋体"/>
          <w:color w:val="auto"/>
          <w:sz w:val="24"/>
          <w:szCs w:val="24"/>
          <w:highlight w:val="none"/>
        </w:rPr>
      </w:pPr>
      <w:r>
        <w:rPr>
          <w:rFonts w:hint="eastAsia" w:ascii="宋体" w:hAnsi="宋体"/>
          <w:color w:val="auto"/>
          <w:sz w:val="28"/>
          <w:szCs w:val="28"/>
          <w:highlight w:val="none"/>
          <w:u w:val="single"/>
        </w:rPr>
        <w:t>（合同工程名称）</w:t>
      </w:r>
      <w:r>
        <w:rPr>
          <w:rFonts w:hint="eastAsia" w:ascii="宋体" w:hAnsi="宋体"/>
          <w:color w:val="auto"/>
          <w:sz w:val="28"/>
          <w:szCs w:val="28"/>
          <w:highlight w:val="none"/>
        </w:rPr>
        <w:t>项目经理委任书</w:t>
      </w:r>
    </w:p>
    <w:p w14:paraId="4044CA91">
      <w:pPr>
        <w:adjustRightInd w:val="0"/>
        <w:snapToGrid w:val="0"/>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 xml:space="preserve"> </w:t>
      </w:r>
    </w:p>
    <w:p w14:paraId="4A9EDEE5">
      <w:pPr>
        <w:adjustRightInd w:val="0"/>
        <w:snapToGrid w:val="0"/>
        <w:spacing w:line="360" w:lineRule="auto"/>
        <w:jc w:val="left"/>
        <w:rPr>
          <w:rFonts w:ascii="宋体" w:hAnsi="宋体"/>
          <w:color w:val="auto"/>
          <w:sz w:val="24"/>
          <w:szCs w:val="24"/>
          <w:highlight w:val="none"/>
        </w:rPr>
      </w:pPr>
      <w:r>
        <w:rPr>
          <w:rFonts w:hint="eastAsia" w:ascii="宋体" w:hAnsi="宋体"/>
          <w:color w:val="auto"/>
          <w:sz w:val="24"/>
          <w:szCs w:val="24"/>
          <w:highlight w:val="none"/>
        </w:rPr>
        <w:t>致：</w:t>
      </w:r>
      <w:r>
        <w:rPr>
          <w:rFonts w:hint="eastAsia" w:ascii="宋体" w:hAnsi="宋体"/>
          <w:color w:val="auto"/>
          <w:sz w:val="24"/>
          <w:szCs w:val="24"/>
          <w:highlight w:val="none"/>
          <w:u w:val="single"/>
        </w:rPr>
        <w:t>（发包人全称）</w:t>
      </w:r>
    </w:p>
    <w:p w14:paraId="72010F8B">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u w:val="single"/>
        </w:rPr>
        <w:t xml:space="preserve">  （承包人全称）  </w:t>
      </w:r>
      <w:r>
        <w:rPr>
          <w:rFonts w:hint="eastAsia" w:ascii="宋体" w:hAnsi="宋体"/>
          <w:color w:val="auto"/>
          <w:sz w:val="24"/>
          <w:szCs w:val="24"/>
          <w:highlight w:val="none"/>
        </w:rPr>
        <w:t>法定代表人</w:t>
      </w:r>
      <w:r>
        <w:rPr>
          <w:rFonts w:hint="eastAsia" w:ascii="宋体" w:hAnsi="宋体"/>
          <w:color w:val="auto"/>
          <w:sz w:val="24"/>
          <w:szCs w:val="24"/>
          <w:highlight w:val="none"/>
          <w:u w:val="single"/>
        </w:rPr>
        <w:t xml:space="preserve">  （职务、姓名）  </w:t>
      </w:r>
      <w:r>
        <w:rPr>
          <w:rFonts w:hint="eastAsia" w:ascii="宋体" w:hAnsi="宋体"/>
          <w:color w:val="auto"/>
          <w:sz w:val="24"/>
          <w:szCs w:val="24"/>
          <w:highlight w:val="none"/>
        </w:rPr>
        <w:t>代表本单位委任</w:t>
      </w:r>
      <w:r>
        <w:rPr>
          <w:rFonts w:hint="eastAsia" w:ascii="宋体" w:hAnsi="宋体"/>
          <w:color w:val="auto"/>
          <w:sz w:val="24"/>
          <w:szCs w:val="24"/>
          <w:highlight w:val="none"/>
          <w:u w:val="single"/>
        </w:rPr>
        <w:t xml:space="preserve">  （职务、姓名）  </w:t>
      </w:r>
      <w:r>
        <w:rPr>
          <w:rFonts w:hint="eastAsia" w:ascii="宋体" w:hAnsi="宋体"/>
          <w:color w:val="auto"/>
          <w:sz w:val="24"/>
          <w:szCs w:val="24"/>
          <w:highlight w:val="none"/>
        </w:rPr>
        <w:t>为</w:t>
      </w:r>
      <w:r>
        <w:rPr>
          <w:rFonts w:hint="eastAsia" w:ascii="宋体" w:hAnsi="宋体"/>
          <w:color w:val="auto"/>
          <w:sz w:val="24"/>
          <w:szCs w:val="24"/>
          <w:highlight w:val="none"/>
          <w:u w:val="single"/>
        </w:rPr>
        <w:t xml:space="preserve">  （合同工程名称）  </w:t>
      </w:r>
      <w:r>
        <w:rPr>
          <w:rFonts w:hint="eastAsia" w:ascii="宋体" w:hAnsi="宋体"/>
          <w:color w:val="auto"/>
          <w:sz w:val="24"/>
          <w:szCs w:val="24"/>
          <w:highlight w:val="none"/>
        </w:rPr>
        <w:t>的项目经理。凡本合同执行中的有关技术、工程进度、现场管理、质量检验、结算与支付等方面工作，由</w:t>
      </w:r>
      <w:r>
        <w:rPr>
          <w:rFonts w:hint="eastAsia" w:ascii="宋体" w:hAnsi="宋体"/>
          <w:color w:val="auto"/>
          <w:sz w:val="24"/>
          <w:szCs w:val="24"/>
          <w:highlight w:val="none"/>
          <w:u w:val="single"/>
        </w:rPr>
        <w:t xml:space="preserve">   （姓名）  </w:t>
      </w:r>
      <w:r>
        <w:rPr>
          <w:rFonts w:hint="eastAsia" w:ascii="宋体" w:hAnsi="宋体"/>
          <w:color w:val="auto"/>
          <w:sz w:val="24"/>
          <w:szCs w:val="24"/>
          <w:highlight w:val="none"/>
        </w:rPr>
        <w:t>代表本单位全面负责。</w:t>
      </w:r>
    </w:p>
    <w:p w14:paraId="49C0B4F0">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43447FE5">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6D9843F0">
      <w:pPr>
        <w:adjustRightInd w:val="0"/>
        <w:snapToGrid w:val="0"/>
        <w:spacing w:line="360" w:lineRule="auto"/>
        <w:ind w:firstLine="4800" w:firstLineChars="2000"/>
        <w:rPr>
          <w:rFonts w:ascii="宋体" w:hAnsi="宋体"/>
          <w:color w:val="auto"/>
          <w:sz w:val="24"/>
          <w:szCs w:val="24"/>
          <w:highlight w:val="none"/>
        </w:rPr>
      </w:pPr>
      <w:r>
        <w:rPr>
          <w:rFonts w:hint="eastAsia" w:ascii="宋体" w:hAnsi="宋体"/>
          <w:color w:val="auto"/>
          <w:sz w:val="24"/>
          <w:szCs w:val="24"/>
          <w:highlight w:val="none"/>
        </w:rPr>
        <w:t xml:space="preserve">承 包 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（盖单位章） </w:t>
      </w:r>
    </w:p>
    <w:p w14:paraId="2CF5B380">
      <w:pPr>
        <w:adjustRightInd w:val="0"/>
        <w:snapToGrid w:val="0"/>
        <w:spacing w:line="360" w:lineRule="auto"/>
        <w:ind w:firstLine="4800" w:firstLineChars="2000"/>
        <w:rPr>
          <w:rFonts w:ascii="宋体" w:hAnsi="宋体"/>
          <w:color w:val="auto"/>
          <w:sz w:val="24"/>
          <w:szCs w:val="24"/>
          <w:highlight w:val="none"/>
        </w:rPr>
      </w:pPr>
      <w:r>
        <w:rPr>
          <w:rFonts w:hint="eastAsia" w:ascii="宋体" w:hAnsi="宋体"/>
          <w:color w:val="auto"/>
          <w:sz w:val="24"/>
          <w:szCs w:val="24"/>
          <w:highlight w:val="none"/>
        </w:rPr>
        <w:t>法定代表人：</w:t>
      </w:r>
      <w:r>
        <w:rPr>
          <w:rFonts w:hint="eastAsia" w:ascii="宋体" w:hAnsi="宋体"/>
          <w:color w:val="auto"/>
          <w:sz w:val="24"/>
          <w:szCs w:val="24"/>
          <w:highlight w:val="none"/>
          <w:u w:val="single"/>
        </w:rPr>
        <w:t xml:space="preserve">       （职务）       </w:t>
      </w:r>
    </w:p>
    <w:p w14:paraId="1AAA8F26">
      <w:pPr>
        <w:adjustRightInd w:val="0"/>
        <w:snapToGrid w:val="0"/>
        <w:spacing w:line="360" w:lineRule="auto"/>
        <w:ind w:firstLine="6240" w:firstLineChars="2600"/>
        <w:rPr>
          <w:rFonts w:ascii="宋体" w:hAnsi="宋体"/>
          <w:color w:val="auto"/>
          <w:sz w:val="24"/>
          <w:szCs w:val="24"/>
          <w:highlight w:val="none"/>
          <w:u w:val="single"/>
        </w:rPr>
      </w:pPr>
      <w:r>
        <w:rPr>
          <w:rFonts w:hint="eastAsia" w:ascii="宋体" w:hAnsi="宋体"/>
          <w:color w:val="auto"/>
          <w:sz w:val="24"/>
          <w:szCs w:val="24"/>
          <w:highlight w:val="none"/>
          <w:u w:val="single"/>
        </w:rPr>
        <w:t xml:space="preserve">       （姓名）       </w:t>
      </w:r>
    </w:p>
    <w:p w14:paraId="71F07AFC">
      <w:pPr>
        <w:adjustRightInd w:val="0"/>
        <w:snapToGrid w:val="0"/>
        <w:spacing w:line="360" w:lineRule="auto"/>
        <w:ind w:firstLine="6240" w:firstLineChars="2600"/>
        <w:rPr>
          <w:rFonts w:ascii="宋体" w:hAnsi="宋体"/>
          <w:color w:val="auto"/>
          <w:sz w:val="24"/>
          <w:szCs w:val="24"/>
          <w:highlight w:val="none"/>
        </w:rPr>
      </w:pPr>
      <w:r>
        <w:rPr>
          <w:rFonts w:hint="eastAsia" w:ascii="宋体" w:hAnsi="宋体"/>
          <w:color w:val="auto"/>
          <w:sz w:val="24"/>
          <w:szCs w:val="24"/>
          <w:highlight w:val="none"/>
          <w:u w:val="single"/>
        </w:rPr>
        <w:t xml:space="preserve">       （签字）       </w:t>
      </w:r>
    </w:p>
    <w:p w14:paraId="60844395">
      <w:pPr>
        <w:adjustRightInd w:val="0"/>
        <w:snapToGrid w:val="0"/>
        <w:spacing w:line="360" w:lineRule="auto"/>
        <w:ind w:firstLine="6960" w:firstLineChars="29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138D4F4A">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4E0C54BC">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799FDFAF">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抄送：</w:t>
      </w:r>
      <w:r>
        <w:rPr>
          <w:rFonts w:hint="eastAsia" w:ascii="宋体" w:hAnsi="宋体"/>
          <w:color w:val="auto"/>
          <w:sz w:val="24"/>
          <w:szCs w:val="24"/>
          <w:highlight w:val="none"/>
          <w:u w:val="single"/>
        </w:rPr>
        <w:t xml:space="preserve">   （监理人）   </w:t>
      </w:r>
    </w:p>
    <w:p w14:paraId="50054215">
      <w:pPr>
        <w:adjustRightInd w:val="0"/>
        <w:snapToGrid w:val="0"/>
        <w:spacing w:line="360" w:lineRule="auto"/>
        <w:rPr>
          <w:rFonts w:ascii="宋体" w:hAnsi="宋体"/>
          <w:b/>
          <w:bCs/>
          <w:color w:val="auto"/>
          <w:sz w:val="24"/>
          <w:szCs w:val="24"/>
          <w:highlight w:val="none"/>
        </w:rPr>
      </w:pPr>
      <w:r>
        <w:rPr>
          <w:rFonts w:hint="eastAsia" w:ascii="宋体" w:hAnsi="宋体"/>
          <w:color w:val="auto"/>
          <w:sz w:val="24"/>
          <w:szCs w:val="24"/>
          <w:highlight w:val="none"/>
        </w:rPr>
        <w:br w:type="page"/>
      </w:r>
      <w:r>
        <w:rPr>
          <w:rFonts w:hint="eastAsia" w:ascii="宋体" w:hAnsi="宋体"/>
          <w:b/>
          <w:bCs/>
          <w:color w:val="auto"/>
          <w:sz w:val="24"/>
          <w:szCs w:val="24"/>
          <w:highlight w:val="none"/>
        </w:rPr>
        <w:t>附件</w:t>
      </w:r>
      <w:r>
        <w:rPr>
          <w:rFonts w:hint="eastAsia" w:ascii="宋体" w:hAnsi="宋体"/>
          <w:b/>
          <w:bCs/>
          <w:color w:val="auto"/>
          <w:sz w:val="24"/>
          <w:szCs w:val="24"/>
          <w:highlight w:val="none"/>
          <w:lang w:eastAsia="zh-CN"/>
        </w:rPr>
        <w:t>五</w:t>
      </w:r>
      <w:r>
        <w:rPr>
          <w:rFonts w:hint="eastAsia" w:ascii="宋体" w:hAnsi="宋体"/>
          <w:b/>
          <w:bCs/>
          <w:color w:val="auto"/>
          <w:sz w:val="24"/>
          <w:szCs w:val="24"/>
          <w:highlight w:val="none"/>
        </w:rPr>
        <w:t xml:space="preserve"> 履约保证金格式</w:t>
      </w:r>
    </w:p>
    <w:p w14:paraId="281F3723">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如采用银行保函，格式如下。</w:t>
      </w:r>
    </w:p>
    <w:p w14:paraId="06DF83D7">
      <w:pPr>
        <w:adjustRightInd w:val="0"/>
        <w:snapToGrid w:val="0"/>
        <w:spacing w:beforeLines="100" w:afterLines="100" w:line="360" w:lineRule="auto"/>
        <w:jc w:val="center"/>
        <w:rPr>
          <w:rFonts w:ascii="宋体" w:hAnsi="宋体"/>
          <w:color w:val="auto"/>
          <w:sz w:val="32"/>
          <w:szCs w:val="32"/>
          <w:highlight w:val="none"/>
        </w:rPr>
      </w:pPr>
      <w:r>
        <w:rPr>
          <w:rFonts w:hint="eastAsia" w:ascii="宋体" w:hAnsi="宋体"/>
          <w:color w:val="auto"/>
          <w:sz w:val="32"/>
          <w:szCs w:val="32"/>
          <w:highlight w:val="none"/>
        </w:rPr>
        <w:t>履约保证金</w:t>
      </w:r>
    </w:p>
    <w:p w14:paraId="4D71B2FE">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（发包人名称）：</w:t>
      </w:r>
    </w:p>
    <w:p w14:paraId="45C301BC">
      <w:pPr>
        <w:pStyle w:val="21"/>
        <w:ind w:firstLine="240"/>
        <w:rPr>
          <w:rFonts w:ascii="宋体"/>
          <w:color w:val="auto"/>
          <w:highlight w:val="none"/>
        </w:rPr>
      </w:pPr>
      <w:r>
        <w:rPr>
          <w:rFonts w:hint="eastAsia" w:ascii="宋体"/>
          <w:color w:val="auto"/>
          <w:highlight w:val="none"/>
        </w:rPr>
        <w:t xml:space="preserve"> </w:t>
      </w:r>
    </w:p>
    <w:p w14:paraId="6EB2EB05">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鉴于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（发包人名称，以下简称“发包人”）接受</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（承包人名称，以下称“承包人”）于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标段施工的投标。我方愿意无条件地、不可撤销地就承包人履行与你方订立的合同，向你方提供担保。</w:t>
      </w:r>
    </w:p>
    <w:p w14:paraId="3311C2AB">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1．担保金额人民币（大写）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元（￥</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05A981C5">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2．担保有效期自发包人与承包人签订的合同生效之日起至发包人签发交工验收证书且承包人按照合同约定缴纳质量保证金之日止。</w:t>
      </w:r>
    </w:p>
    <w:p w14:paraId="60FFA017">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3．在本担保有效期内，因承包人违反合同约定的义务给你方造成经济损失时，我方在收到你方以书面形式提出的在担保金额内的赔偿要求后，在7天内无条件支付，无须你方出具证明或陈述理由。</w:t>
      </w:r>
    </w:p>
    <w:p w14:paraId="36FFE69B">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4．发包人和承包人按合同条款第15条变更合同时，无论我方是否收到该变更，我方承担本担保规定的义务不变。</w:t>
      </w:r>
    </w:p>
    <w:p w14:paraId="55856406">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4D9C189A">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77E69BA7">
      <w:pPr>
        <w:adjustRightInd w:val="0"/>
        <w:snapToGrid w:val="0"/>
        <w:spacing w:line="360" w:lineRule="auto"/>
        <w:ind w:firstLine="3840" w:firstLineChars="1600"/>
        <w:rPr>
          <w:rFonts w:ascii="宋体" w:hAnsi="宋体"/>
          <w:color w:val="auto"/>
          <w:sz w:val="24"/>
          <w:szCs w:val="24"/>
          <w:highlight w:val="none"/>
        </w:rPr>
      </w:pPr>
      <w:r>
        <w:rPr>
          <w:rFonts w:hint="eastAsia" w:ascii="宋体" w:hAnsi="宋体"/>
          <w:color w:val="auto"/>
          <w:sz w:val="24"/>
          <w:szCs w:val="24"/>
          <w:highlight w:val="none"/>
        </w:rPr>
        <w:t>担保人名称：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w:t>
      </w:r>
    </w:p>
    <w:p w14:paraId="7A7B6022">
      <w:pPr>
        <w:adjustRightInd w:val="0"/>
        <w:snapToGrid w:val="0"/>
        <w:spacing w:line="360" w:lineRule="auto"/>
        <w:ind w:firstLine="3835" w:firstLineChars="1598"/>
        <w:rPr>
          <w:rFonts w:ascii="宋体" w:hAnsi="宋体"/>
          <w:color w:val="auto"/>
          <w:sz w:val="24"/>
          <w:szCs w:val="24"/>
          <w:highlight w:val="none"/>
        </w:rPr>
      </w:pPr>
      <w:r>
        <w:rPr>
          <w:rFonts w:hint="eastAsia" w:ascii="宋体" w:hAnsi="宋体"/>
          <w:color w:val="auto"/>
          <w:sz w:val="24"/>
          <w:szCs w:val="24"/>
          <w:highlight w:val="none"/>
        </w:rPr>
        <w:t>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w:t>
      </w:r>
    </w:p>
    <w:p w14:paraId="62851B08">
      <w:pPr>
        <w:adjustRightInd w:val="0"/>
        <w:snapToGrid w:val="0"/>
        <w:spacing w:line="360" w:lineRule="auto"/>
        <w:ind w:firstLine="3835" w:firstLineChars="1598"/>
        <w:rPr>
          <w:rFonts w:ascii="宋体" w:hAnsi="宋体"/>
          <w:color w:val="auto"/>
          <w:sz w:val="24"/>
          <w:szCs w:val="24"/>
          <w:highlight w:val="none"/>
          <w:u w:val="singl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 xml:space="preserve">                                 </w:t>
      </w:r>
    </w:p>
    <w:p w14:paraId="04262B76">
      <w:pPr>
        <w:adjustRightInd w:val="0"/>
        <w:snapToGrid w:val="0"/>
        <w:spacing w:line="360" w:lineRule="auto"/>
        <w:ind w:firstLine="3835" w:firstLineChars="1598"/>
        <w:rPr>
          <w:rFonts w:ascii="宋体" w:hAnsi="宋体"/>
          <w:color w:val="auto"/>
          <w:sz w:val="24"/>
          <w:szCs w:val="24"/>
          <w:highlight w:val="none"/>
          <w:u w:val="single"/>
        </w:rPr>
      </w:pPr>
      <w:r>
        <w:rPr>
          <w:rFonts w:hint="eastAsia" w:ascii="宋体" w:hAnsi="宋体"/>
          <w:color w:val="auto"/>
          <w:sz w:val="24"/>
          <w:szCs w:val="24"/>
          <w:highlight w:val="none"/>
        </w:rPr>
        <w:t>邮政编码：</w:t>
      </w:r>
      <w:r>
        <w:rPr>
          <w:rFonts w:hint="eastAsia" w:ascii="宋体" w:hAnsi="宋体"/>
          <w:color w:val="auto"/>
          <w:sz w:val="24"/>
          <w:szCs w:val="24"/>
          <w:highlight w:val="none"/>
          <w:u w:val="single"/>
        </w:rPr>
        <w:t xml:space="preserve">                                 </w:t>
      </w:r>
    </w:p>
    <w:p w14:paraId="17AABD93">
      <w:pPr>
        <w:adjustRightInd w:val="0"/>
        <w:snapToGrid w:val="0"/>
        <w:spacing w:line="360" w:lineRule="auto"/>
        <w:ind w:firstLine="3835" w:firstLineChars="1598"/>
        <w:rPr>
          <w:rFonts w:ascii="宋体" w:hAnsi="宋体"/>
          <w:color w:val="auto"/>
          <w:sz w:val="24"/>
          <w:szCs w:val="24"/>
          <w:highlight w:val="none"/>
          <w:u w:val="single"/>
        </w:rPr>
      </w:pPr>
      <w:r>
        <w:rPr>
          <w:rFonts w:hint="eastAsia" w:ascii="宋体" w:hAnsi="宋体"/>
          <w:color w:val="auto"/>
          <w:sz w:val="24"/>
          <w:szCs w:val="24"/>
          <w:highlight w:val="none"/>
        </w:rPr>
        <w:t>电    话：</w:t>
      </w:r>
      <w:r>
        <w:rPr>
          <w:rFonts w:hint="eastAsia" w:ascii="宋体" w:hAnsi="宋体"/>
          <w:color w:val="auto"/>
          <w:sz w:val="24"/>
          <w:szCs w:val="24"/>
          <w:highlight w:val="none"/>
          <w:u w:val="single"/>
        </w:rPr>
        <w:t xml:space="preserve">                                 </w:t>
      </w:r>
    </w:p>
    <w:p w14:paraId="07513F2D">
      <w:pPr>
        <w:adjustRightInd w:val="0"/>
        <w:snapToGrid w:val="0"/>
        <w:spacing w:line="360" w:lineRule="auto"/>
        <w:ind w:firstLine="3835" w:firstLineChars="1598"/>
        <w:rPr>
          <w:rFonts w:ascii="宋体" w:hAnsi="宋体"/>
          <w:color w:val="auto"/>
          <w:sz w:val="24"/>
          <w:szCs w:val="24"/>
          <w:highlight w:val="none"/>
          <w:u w:val="single"/>
        </w:rPr>
      </w:pPr>
      <w:r>
        <w:rPr>
          <w:rFonts w:hint="eastAsia" w:ascii="宋体" w:hAnsi="宋体"/>
          <w:color w:val="auto"/>
          <w:sz w:val="24"/>
          <w:szCs w:val="24"/>
          <w:highlight w:val="none"/>
        </w:rPr>
        <w:t>传    真：</w:t>
      </w:r>
      <w:r>
        <w:rPr>
          <w:rFonts w:hint="eastAsia" w:ascii="宋体" w:hAnsi="宋体"/>
          <w:color w:val="auto"/>
          <w:sz w:val="24"/>
          <w:szCs w:val="24"/>
          <w:highlight w:val="none"/>
          <w:u w:val="single"/>
        </w:rPr>
        <w:t xml:space="preserve">                                 </w:t>
      </w:r>
    </w:p>
    <w:p w14:paraId="08825C80">
      <w:pPr>
        <w:adjustRightInd w:val="0"/>
        <w:snapToGrid w:val="0"/>
        <w:spacing w:line="360" w:lineRule="auto"/>
        <w:ind w:firstLine="6960" w:firstLineChars="29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0EA498B9">
      <w:pPr>
        <w:pStyle w:val="13"/>
        <w:autoSpaceDE w:val="0"/>
        <w:snapToGrid w:val="0"/>
        <w:spacing w:line="400" w:lineRule="exact"/>
        <w:ind w:firstLine="3360" w:firstLineChars="1400"/>
        <w:jc w:val="left"/>
        <w:rPr>
          <w:rFonts w:hAnsi="宋体"/>
          <w:color w:val="auto"/>
          <w:sz w:val="24"/>
          <w:szCs w:val="24"/>
          <w:highlight w:val="none"/>
        </w:rPr>
      </w:pPr>
      <w:r>
        <w:rPr>
          <w:rFonts w:hint="eastAsia" w:ascii="宋体" w:hAnsi="宋体"/>
          <w:color w:val="auto"/>
          <w:sz w:val="24"/>
          <w:szCs w:val="24"/>
          <w:highlight w:val="none"/>
        </w:rPr>
        <w:br w:type="page"/>
      </w:r>
    </w:p>
    <w:p w14:paraId="1EFF44A5">
      <w:pPr>
        <w:keepNext w:val="0"/>
        <w:keepLines w:val="0"/>
        <w:pageBreakBefore w:val="0"/>
        <w:widowControl w:val="0"/>
        <w:kinsoku/>
        <w:wordWrap/>
        <w:overflowPunct/>
        <w:topLinePunct w:val="0"/>
        <w:autoSpaceDE/>
        <w:autoSpaceDN/>
        <w:bidi w:val="0"/>
        <w:adjustRightInd w:val="0"/>
        <w:snapToGrid w:val="0"/>
        <w:spacing w:before="0" w:beforeLines="1800" w:line="360" w:lineRule="auto"/>
        <w:jc w:val="center"/>
        <w:textAlignment w:val="auto"/>
        <w:rPr>
          <w:rFonts w:ascii="宋体" w:hAnsi="宋体"/>
          <w:color w:val="auto"/>
          <w:sz w:val="48"/>
          <w:szCs w:val="48"/>
          <w:highlight w:val="none"/>
        </w:rPr>
      </w:pPr>
      <w:bookmarkStart w:id="415" w:name="_Toc23375"/>
      <w:bookmarkEnd w:id="415"/>
      <w:r>
        <w:rPr>
          <w:rFonts w:hint="eastAsia" w:ascii="宋体" w:hAnsi="宋体"/>
          <w:b/>
          <w:bCs/>
          <w:color w:val="auto"/>
          <w:sz w:val="48"/>
          <w:szCs w:val="48"/>
          <w:highlight w:val="none"/>
        </w:rPr>
        <w:t>第</w:t>
      </w:r>
      <w:r>
        <w:rPr>
          <w:rFonts w:hint="eastAsia" w:ascii="宋体" w:hAnsi="宋体"/>
          <w:b/>
          <w:bCs/>
          <w:color w:val="auto"/>
          <w:sz w:val="48"/>
          <w:szCs w:val="48"/>
          <w:highlight w:val="none"/>
          <w:lang w:val="en-US" w:eastAsia="zh-CN"/>
        </w:rPr>
        <w:t>六</w:t>
      </w:r>
      <w:r>
        <w:rPr>
          <w:rFonts w:hint="eastAsia" w:ascii="宋体" w:hAnsi="宋体"/>
          <w:b/>
          <w:bCs/>
          <w:color w:val="auto"/>
          <w:sz w:val="48"/>
          <w:szCs w:val="48"/>
          <w:highlight w:val="none"/>
        </w:rPr>
        <w:t>章  工程量清单（另册）</w:t>
      </w:r>
    </w:p>
    <w:p w14:paraId="78825888">
      <w:pPr>
        <w:adjustRightInd w:val="0"/>
        <w:snapToGrid w:val="0"/>
        <w:spacing w:line="360" w:lineRule="auto"/>
        <w:jc w:val="center"/>
        <w:rPr>
          <w:rFonts w:ascii="宋体" w:hAnsi="宋体"/>
          <w:color w:val="auto"/>
          <w:sz w:val="30"/>
          <w:szCs w:val="30"/>
          <w:highlight w:val="none"/>
        </w:rPr>
      </w:pPr>
      <w:r>
        <w:rPr>
          <w:rFonts w:hint="eastAsia" w:ascii="宋体" w:hAnsi="宋体"/>
          <w:color w:val="auto"/>
          <w:sz w:val="30"/>
          <w:szCs w:val="30"/>
          <w:highlight w:val="none"/>
        </w:rPr>
        <w:t xml:space="preserve"> </w:t>
      </w:r>
    </w:p>
    <w:p w14:paraId="3CEDE743">
      <w:pPr>
        <w:autoSpaceDE w:val="0"/>
        <w:autoSpaceDN w:val="0"/>
        <w:adjustRightInd w:val="0"/>
        <w:spacing w:line="360" w:lineRule="auto"/>
        <w:rPr>
          <w:rFonts w:ascii="宋体" w:hAnsi="宋体"/>
          <w:color w:val="auto"/>
          <w:sz w:val="32"/>
          <w:szCs w:val="32"/>
          <w:highlight w:val="none"/>
        </w:rPr>
      </w:pPr>
      <w:r>
        <w:rPr>
          <w:rFonts w:hint="eastAsia" w:ascii="宋体" w:hAnsi="宋体"/>
          <w:color w:val="auto"/>
          <w:sz w:val="32"/>
          <w:szCs w:val="32"/>
          <w:highlight w:val="none"/>
        </w:rPr>
        <w:t xml:space="preserve"> </w:t>
      </w:r>
    </w:p>
    <w:p w14:paraId="2302B97B">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color w:val="auto"/>
          <w:sz w:val="24"/>
          <w:szCs w:val="24"/>
          <w:highlight w:val="none"/>
        </w:rPr>
      </w:pPr>
      <w:r>
        <w:rPr>
          <w:rFonts w:hint="eastAsia" w:ascii="宋体" w:hAnsi="宋体"/>
          <w:color w:val="auto"/>
          <w:sz w:val="28"/>
          <w:szCs w:val="28"/>
          <w:highlight w:val="none"/>
        </w:rPr>
        <w:br w:type="page"/>
      </w:r>
      <w:r>
        <w:rPr>
          <w:rFonts w:hint="eastAsia" w:ascii="宋体" w:hAnsi="宋体"/>
          <w:b/>
          <w:bCs/>
          <w:color w:val="auto"/>
          <w:sz w:val="24"/>
          <w:szCs w:val="24"/>
          <w:highlight w:val="none"/>
        </w:rPr>
        <w:t>1. 工程量清单说明</w:t>
      </w:r>
    </w:p>
    <w:p w14:paraId="7993D14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1.1 本工程量清单是根据招标文件中包括的有合同约束力的工程量清单计量规则、图纸以及有关工程量清单的国家标准、行业标准、合同条款中约定的其他规则编制。约定计量规则中没有的子目，其工程量按照有合同约束力的图纸所标示尺寸的理论净量计算。计量采用中华人民共和国法定计量单位。</w:t>
      </w:r>
    </w:p>
    <w:p w14:paraId="14325C2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1.2 本工程量清单应与招标文件中的投标人须知、通用合同条款、专用合同条款、工程量清单计量规则、技术规范及图纸等一起阅读和理解。</w:t>
      </w:r>
    </w:p>
    <w:p w14:paraId="24BA60F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1.3 本工程量清单中所列工程数量是估算的或设计的预计数量，仅作为投标报价的共同基础，不能作为最终结算与支付的依据。实际支付应按实际完成的工程量，由承包人按工程量清单计量规则规定的计量方法，以监理人认可的尺寸、断面计量，按本工程量清单的单价和总额价计算支付金额；或根据具体情况，按合同条款第15.4款的规定，按监理人确定的单价或总额价计算支付额。</w:t>
      </w:r>
    </w:p>
    <w:p w14:paraId="70BEFEA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1.4 工程量清单各章是按</w:t>
      </w:r>
      <w:r>
        <w:rPr>
          <w:rFonts w:hint="eastAsia" w:ascii="宋体" w:hAnsi="宋体"/>
          <w:color w:val="auto"/>
          <w:sz w:val="24"/>
          <w:szCs w:val="24"/>
          <w:highlight w:val="none"/>
          <w:lang w:val="en-US" w:eastAsia="zh-CN"/>
        </w:rPr>
        <w:t>第九</w:t>
      </w:r>
      <w:r>
        <w:rPr>
          <w:rFonts w:hint="eastAsia" w:ascii="宋体" w:hAnsi="宋体"/>
          <w:color w:val="auto"/>
          <w:sz w:val="24"/>
          <w:szCs w:val="24"/>
          <w:highlight w:val="none"/>
        </w:rPr>
        <w:t>章“工程量清单计量规则”、第</w:t>
      </w:r>
      <w:r>
        <w:rPr>
          <w:rFonts w:hint="eastAsia" w:ascii="宋体" w:hAnsi="宋体"/>
          <w:color w:val="auto"/>
          <w:sz w:val="24"/>
          <w:szCs w:val="24"/>
          <w:highlight w:val="none"/>
          <w:lang w:val="en-US" w:eastAsia="zh-CN"/>
        </w:rPr>
        <w:t>八</w:t>
      </w:r>
      <w:r>
        <w:rPr>
          <w:rFonts w:hint="eastAsia" w:ascii="宋体" w:hAnsi="宋体"/>
          <w:color w:val="auto"/>
          <w:sz w:val="24"/>
          <w:szCs w:val="24"/>
          <w:highlight w:val="none"/>
        </w:rPr>
        <w:t>章“技术规范”的相应章次编号的，因此，工程量清单中各章的工程子目的范围与计量等应与“工程量清单计量规则”、“技术规范”相应章节的范围、计量与支付条款结合起来理解或解释。</w:t>
      </w:r>
    </w:p>
    <w:p w14:paraId="242A6E9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 对作业和材料的一般说明或规定，未重复写入工程量清单内，在给工程量清单各子目标价前，应参阅第</w:t>
      </w:r>
      <w:r>
        <w:rPr>
          <w:rFonts w:hint="eastAsia" w:ascii="宋体" w:hAnsi="宋体"/>
          <w:color w:val="auto"/>
          <w:sz w:val="24"/>
          <w:szCs w:val="24"/>
          <w:highlight w:val="none"/>
          <w:lang w:val="en-US" w:eastAsia="zh-CN"/>
        </w:rPr>
        <w:t>八</w:t>
      </w:r>
      <w:r>
        <w:rPr>
          <w:rFonts w:hint="eastAsia" w:ascii="宋体" w:hAnsi="宋体"/>
          <w:color w:val="auto"/>
          <w:sz w:val="24"/>
          <w:szCs w:val="24"/>
          <w:highlight w:val="none"/>
        </w:rPr>
        <w:t>章“技术规范”的有关内容。</w:t>
      </w:r>
    </w:p>
    <w:p w14:paraId="5E5C5F0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1.6 工程量清单中所列工程量的变动，丝毫不会降低或影响合同条款的效力，也不免除承包人按规定的标准进行施工和修复缺陷的责任。</w:t>
      </w:r>
    </w:p>
    <w:p w14:paraId="2FF0644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1.7 图纸中所列的工程数量表及数量汇总表仅是提供资料，不是工程量清单的外延。当图纸与工程量清单所列数量不一致时，以工程量清单所列数量作为报价的依据。</w:t>
      </w:r>
    </w:p>
    <w:p w14:paraId="3CF8A219">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b/>
          <w:bCs/>
          <w:color w:val="auto"/>
          <w:sz w:val="24"/>
          <w:szCs w:val="24"/>
          <w:highlight w:val="none"/>
        </w:rPr>
      </w:pPr>
      <w:r>
        <w:rPr>
          <w:rFonts w:hint="eastAsia" w:ascii="宋体" w:hAnsi="宋体"/>
          <w:b/>
          <w:bCs/>
          <w:color w:val="auto"/>
          <w:sz w:val="24"/>
          <w:szCs w:val="24"/>
          <w:highlight w:val="none"/>
        </w:rPr>
        <w:t>2. 投标报价说明</w:t>
      </w:r>
    </w:p>
    <w:p w14:paraId="017A48B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2.1 工程量清单中的每一子目须填入单价或价格，且只允许有一个报价。</w:t>
      </w:r>
    </w:p>
    <w:p w14:paraId="3AAFF47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2.2 除非合同另有规定，工程量清单中有标价的单价和总额价均已包括了为实施和完成合同工程所需的劳务、材料、机械、质检（自检）、安装、缺陷修复、管理、保险、税费、利润等费用，以及合同明示或暗示的所有责任、义务和一般风险。</w:t>
      </w:r>
    </w:p>
    <w:p w14:paraId="4FF6A4C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2.3 工程量清单中投标人没有填入单价或价格的子目，其费用视为已分摊在工程量清单中其他相关子目的单价或价格之中。承包人必须按监理人指令完成工程量清单中未填入单价或价格的子目，但不能得到结算与支付。</w:t>
      </w:r>
    </w:p>
    <w:p w14:paraId="0BD0F113">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2.4 符合合同条款规定的全部费用应认为已被计入有标价的工程量清单所列各子目之中，未列子目不予计量的工作，其费用应视为已分摊在本合同工程的有关子目的单价或总额价之中。</w:t>
      </w:r>
    </w:p>
    <w:p w14:paraId="01673753">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2.5 承包人用于本合同工程的各类装备的提供、运输、维护、拆卸、拼装等支付的费用，已包括在工程量清单的单价与总额价之中。</w:t>
      </w:r>
    </w:p>
    <w:p w14:paraId="49D385F4">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2.6 工程量清单中各项金额均以人民币（元）结算。</w:t>
      </w:r>
    </w:p>
    <w:p w14:paraId="40518196">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2.7 暂列金额（不含计日工总额）的数量及拟用子目的说明：</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w:t>
      </w:r>
    </w:p>
    <w:p w14:paraId="594C3B6B">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2.8 暂估价的数量及拟用子目的说明：</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w:t>
      </w:r>
    </w:p>
    <w:p w14:paraId="124BF5ED">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b/>
          <w:bCs/>
          <w:color w:val="auto"/>
          <w:kern w:val="0"/>
          <w:sz w:val="24"/>
          <w:szCs w:val="24"/>
          <w:highlight w:val="none"/>
        </w:rPr>
      </w:pPr>
      <w:r>
        <w:rPr>
          <w:rFonts w:hint="eastAsia" w:ascii="宋体" w:hAnsi="宋体"/>
          <w:b/>
          <w:bCs/>
          <w:color w:val="auto"/>
          <w:kern w:val="0"/>
          <w:sz w:val="24"/>
          <w:szCs w:val="24"/>
          <w:highlight w:val="none"/>
        </w:rPr>
        <w:t>3. 计日工说明</w:t>
      </w:r>
    </w:p>
    <w:p w14:paraId="3F8205AD">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b/>
          <w:bCs/>
          <w:color w:val="auto"/>
          <w:kern w:val="0"/>
          <w:sz w:val="24"/>
          <w:szCs w:val="24"/>
          <w:highlight w:val="none"/>
        </w:rPr>
      </w:pPr>
      <w:r>
        <w:rPr>
          <w:rFonts w:hint="eastAsia" w:ascii="宋体" w:hAnsi="宋体"/>
          <w:b/>
          <w:bCs/>
          <w:color w:val="auto"/>
          <w:kern w:val="0"/>
          <w:sz w:val="24"/>
          <w:szCs w:val="24"/>
          <w:highlight w:val="none"/>
        </w:rPr>
        <w:t>3.1 总则</w:t>
      </w:r>
    </w:p>
    <w:p w14:paraId="2F20FB74">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（1）本说明应参照通用合同条款第15.7款一并理解。</w:t>
      </w:r>
    </w:p>
    <w:p w14:paraId="428449F9">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（2）未经监理人书面指令，任何工程不得按计日工施工；接到监理人按计日工施工的书面指令，承包人也不得拒绝。</w:t>
      </w:r>
    </w:p>
    <w:p w14:paraId="395E5C24">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3）投标人应在计日工单价表中填列计日工子目的基本单价或租价，该基本单价或租价适用于监理人指令的任何数量的计日工的结算与支付。计日工的劳务、材料和施工机械由招标人（或发包人）列出正常的估计数量，投标人报出单价，计算出计日工总额后列入工程量清单汇总表中并进入评标价。</w:t>
      </w:r>
    </w:p>
    <w:p w14:paraId="697EB12E">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（4）计日工不调价。</w:t>
      </w:r>
    </w:p>
    <w:p w14:paraId="133F2A43">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b/>
          <w:bCs/>
          <w:color w:val="auto"/>
          <w:kern w:val="0"/>
          <w:sz w:val="24"/>
          <w:szCs w:val="24"/>
          <w:highlight w:val="none"/>
        </w:rPr>
      </w:pPr>
      <w:r>
        <w:rPr>
          <w:rFonts w:hint="eastAsia" w:ascii="宋体" w:hAnsi="宋体"/>
          <w:b/>
          <w:bCs/>
          <w:color w:val="auto"/>
          <w:kern w:val="0"/>
          <w:sz w:val="24"/>
          <w:szCs w:val="24"/>
          <w:highlight w:val="none"/>
        </w:rPr>
        <w:t>3.2 计日工劳务</w:t>
      </w:r>
    </w:p>
    <w:p w14:paraId="6C732B07">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1）在计算应付给承包人的计日工工资时，工时应从工人到达施工现场，并开始从事指定的工作算起，到返回原出发地点为止，扣去用餐和休息的时间。只有直接从事指定的工作，且能胜任该工作的工人才能计工，随同工人一起做工的班长应计算在内，但不包括领工（工长）和其他质检管理人员。</w:t>
      </w:r>
    </w:p>
    <w:p w14:paraId="6176072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（2）承包人可以得到用于计日工劳务的全部工时的支付，此支付按承包人填报的“计日工劳务单价表”所列单价计算，该单价应包括基本单价及承包人的管理费、税费、利润等所有附加费，说明如下：</w:t>
      </w:r>
    </w:p>
    <w:p w14:paraId="42ED2627">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a.劳务基本单价包括：承包人劳务的全部直接费用，如：工资、加班费、津贴、福利费及劳动保护费等。</w:t>
      </w:r>
    </w:p>
    <w:p w14:paraId="092C13C5">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b.承包人的利润、管理、质检、保险、税费；易耗品的使用，水电及照明费，工作台、脚手架、临时设施费，手动机具与工具的使用及维修，以及上述各项伴随而来的费用。</w:t>
      </w:r>
    </w:p>
    <w:p w14:paraId="45FE013D">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b/>
          <w:bCs/>
          <w:color w:val="auto"/>
          <w:sz w:val="24"/>
          <w:szCs w:val="24"/>
          <w:highlight w:val="none"/>
        </w:rPr>
      </w:pPr>
      <w:r>
        <w:rPr>
          <w:rFonts w:hint="eastAsia" w:ascii="宋体" w:hAnsi="宋体"/>
          <w:b/>
          <w:bCs/>
          <w:color w:val="auto"/>
          <w:kern w:val="0"/>
          <w:sz w:val="24"/>
          <w:szCs w:val="24"/>
          <w:highlight w:val="none"/>
        </w:rPr>
        <w:t>3.3 计日工材料</w:t>
      </w:r>
    </w:p>
    <w:p w14:paraId="1A5539D6">
      <w:pPr>
        <w:pStyle w:val="43"/>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承包人可以得到计日工使用的材料费用（上述3.2款已计入劳务费内的材料费用除外）的支付，此费用按承包人“计日工材料单价表”中所填报的单价计算，该单价应包括基本单价及承包人的管理费、税费、利润等所有附加费，说明如下：</w:t>
      </w:r>
    </w:p>
    <w:p w14:paraId="0EC07CA2">
      <w:pPr>
        <w:pStyle w:val="43"/>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（1）材料基本单价按供货价加运杂费（到达承包人现场仓库）、保险费、仓库管理费以及运输损耗等计算；</w:t>
      </w:r>
    </w:p>
    <w:p w14:paraId="19A7F653">
      <w:pPr>
        <w:pStyle w:val="43"/>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（2）承包人的利润、管理、质检、保险、税费及其他附加费；</w:t>
      </w:r>
    </w:p>
    <w:p w14:paraId="6FD3CB3C">
      <w:pPr>
        <w:pStyle w:val="43"/>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（3）从现场运至使用地点的人工费和施工机械使用费不包括在上述基本单价内。</w:t>
      </w:r>
    </w:p>
    <w:p w14:paraId="649BC9D2">
      <w:pPr>
        <w:pStyle w:val="43"/>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Ansi="宋体"/>
          <w:b/>
          <w:bCs/>
          <w:color w:val="auto"/>
          <w:sz w:val="24"/>
          <w:szCs w:val="24"/>
          <w:highlight w:val="none"/>
        </w:rPr>
      </w:pPr>
      <w:r>
        <w:rPr>
          <w:rFonts w:hint="eastAsia" w:hAnsi="宋体"/>
          <w:b/>
          <w:bCs/>
          <w:color w:val="auto"/>
          <w:sz w:val="24"/>
          <w:szCs w:val="24"/>
          <w:highlight w:val="none"/>
        </w:rPr>
        <w:t>3.4 计日工施工机械</w:t>
      </w:r>
    </w:p>
    <w:p w14:paraId="25B0268E">
      <w:pPr>
        <w:pStyle w:val="43"/>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1）承包人可以得到用于计日工作业的施工机械费用的支付，该费用按承包人填报的“计日工施工机械单价表”中的租价计算。该租价应包括施工机械的折旧、利息、维修、保养、零配件、油燃料、保险和其他消耗品的费用以及全部有关使用这些机械的管理费、税费、利润和司机与助手的劳务费等费用。</w:t>
      </w:r>
    </w:p>
    <w:p w14:paraId="42A6EB8A">
      <w:pPr>
        <w:pStyle w:val="43"/>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2）在计日工作业中，承包人计算所用的施工机械费用时，应按实际工作小时支付。除非经监理人的同意，计算的工作小时才能将施工机械从现场某处运到监理人指令的计日工作业的另一现场往返运送时间包括在内。</w:t>
      </w:r>
    </w:p>
    <w:p w14:paraId="7A6E9E18">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 其他说明</w:t>
      </w:r>
    </w:p>
    <w:p w14:paraId="13E4C928">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2984F3F9">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772B9BD7">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0C4B69E0">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42D63A72">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69AB4FCF">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3EDC0EDC">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5F0341B0">
      <w:pPr>
        <w:keepNext w:val="0"/>
        <w:keepLines w:val="0"/>
        <w:pageBreakBefore w:val="0"/>
        <w:widowControl w:val="0"/>
        <w:kinsoku/>
        <w:wordWrap/>
        <w:overflowPunct/>
        <w:topLinePunct w:val="0"/>
        <w:autoSpaceDE/>
        <w:autoSpaceDN/>
        <w:bidi w:val="0"/>
        <w:adjustRightInd/>
        <w:snapToGrid/>
        <w:spacing w:before="0" w:beforeLines="1800"/>
        <w:jc w:val="both"/>
        <w:textAlignment w:val="auto"/>
        <w:rPr>
          <w:rFonts w:hint="eastAsia" w:ascii="宋体" w:hAnsi="宋体"/>
          <w:b/>
          <w:color w:val="auto"/>
          <w:kern w:val="44"/>
          <w:sz w:val="52"/>
          <w:szCs w:val="52"/>
          <w:highlight w:val="none"/>
        </w:rPr>
      </w:pPr>
    </w:p>
    <w:p w14:paraId="227DB037">
      <w:pPr>
        <w:keepNext w:val="0"/>
        <w:keepLines w:val="0"/>
        <w:pageBreakBefore w:val="0"/>
        <w:widowControl w:val="0"/>
        <w:kinsoku/>
        <w:wordWrap/>
        <w:overflowPunct/>
        <w:topLinePunct w:val="0"/>
        <w:autoSpaceDE/>
        <w:autoSpaceDN/>
        <w:bidi w:val="0"/>
        <w:adjustRightInd/>
        <w:snapToGrid/>
        <w:spacing w:before="0" w:beforeLines="1700"/>
        <w:jc w:val="center"/>
        <w:textAlignment w:val="auto"/>
        <w:rPr>
          <w:rFonts w:ascii="宋体" w:hAnsi="宋体"/>
          <w:b/>
          <w:color w:val="auto"/>
          <w:kern w:val="44"/>
          <w:sz w:val="52"/>
          <w:szCs w:val="52"/>
          <w:highlight w:val="none"/>
        </w:rPr>
      </w:pPr>
      <w:r>
        <w:rPr>
          <w:rFonts w:hint="eastAsia" w:ascii="宋体" w:hAnsi="宋体" w:cs="Times New Roman"/>
          <w:b/>
          <w:bCs/>
          <w:color w:val="auto"/>
          <w:sz w:val="56"/>
          <w:szCs w:val="56"/>
          <w:highlight w:val="none"/>
          <w:lang w:eastAsia="zh-CN"/>
        </w:rPr>
        <w:t>第  二  卷</w:t>
      </w:r>
    </w:p>
    <w:p w14:paraId="4899DA90">
      <w:pPr>
        <w:autoSpaceDE w:val="0"/>
        <w:autoSpaceDN w:val="0"/>
        <w:adjustRightInd w:val="0"/>
        <w:spacing w:line="360" w:lineRule="auto"/>
        <w:ind w:firstLine="720" w:firstLineChars="200"/>
        <w:jc w:val="center"/>
        <w:rPr>
          <w:rFonts w:hint="eastAsia" w:ascii="宋体" w:hAnsi="宋体"/>
          <w:color w:val="auto"/>
          <w:sz w:val="48"/>
          <w:szCs w:val="48"/>
          <w:highlight w:val="none"/>
        </w:rPr>
      </w:pPr>
      <w:r>
        <w:rPr>
          <w:rFonts w:hint="eastAsia" w:ascii="宋体" w:hAnsi="宋体"/>
          <w:color w:val="auto"/>
          <w:sz w:val="36"/>
          <w:szCs w:val="36"/>
          <w:highlight w:val="none"/>
        </w:rPr>
        <w:br w:type="page"/>
      </w:r>
      <w:bookmarkStart w:id="416" w:name="_Toc6011"/>
      <w:bookmarkEnd w:id="416"/>
    </w:p>
    <w:p w14:paraId="492A2DDF">
      <w:pPr>
        <w:pStyle w:val="2"/>
        <w:keepNext/>
        <w:keepLines/>
        <w:pageBreakBefore w:val="0"/>
        <w:widowControl w:val="0"/>
        <w:kinsoku/>
        <w:wordWrap/>
        <w:overflowPunct/>
        <w:topLinePunct w:val="0"/>
        <w:autoSpaceDE/>
        <w:autoSpaceDN/>
        <w:bidi w:val="0"/>
        <w:adjustRightInd/>
        <w:snapToGrid/>
        <w:spacing w:before="0" w:beforeLines="1700"/>
        <w:jc w:val="center"/>
        <w:textAlignment w:val="auto"/>
        <w:rPr>
          <w:rFonts w:ascii="宋体" w:hAnsi="宋体"/>
          <w:color w:val="auto"/>
          <w:sz w:val="48"/>
          <w:szCs w:val="48"/>
          <w:highlight w:val="none"/>
        </w:rPr>
      </w:pPr>
      <w:r>
        <w:rPr>
          <w:rFonts w:hint="eastAsia" w:ascii="宋体" w:hAnsi="宋体"/>
          <w:color w:val="auto"/>
          <w:sz w:val="48"/>
          <w:szCs w:val="48"/>
          <w:highlight w:val="none"/>
        </w:rPr>
        <w:t>第</w:t>
      </w:r>
      <w:r>
        <w:rPr>
          <w:rFonts w:hint="eastAsia" w:ascii="宋体" w:hAnsi="宋体"/>
          <w:color w:val="auto"/>
          <w:sz w:val="48"/>
          <w:szCs w:val="48"/>
          <w:highlight w:val="none"/>
          <w:lang w:val="en-US" w:eastAsia="zh-CN"/>
        </w:rPr>
        <w:t>七</w:t>
      </w:r>
      <w:r>
        <w:rPr>
          <w:rFonts w:hint="eastAsia" w:ascii="宋体" w:hAnsi="宋体"/>
          <w:color w:val="auto"/>
          <w:sz w:val="48"/>
          <w:szCs w:val="48"/>
          <w:highlight w:val="none"/>
        </w:rPr>
        <w:t>章  图纸（另册）</w:t>
      </w:r>
    </w:p>
    <w:p w14:paraId="77993D5A">
      <w:pPr>
        <w:autoSpaceDE w:val="0"/>
        <w:autoSpaceDN w:val="0"/>
        <w:adjustRightInd w:val="0"/>
        <w:spacing w:line="360" w:lineRule="auto"/>
        <w:ind w:firstLine="883" w:firstLineChars="200"/>
        <w:jc w:val="center"/>
        <w:rPr>
          <w:rFonts w:ascii="宋体" w:hAnsi="宋体"/>
          <w:color w:val="auto"/>
          <w:sz w:val="36"/>
          <w:szCs w:val="36"/>
          <w:highlight w:val="none"/>
        </w:rPr>
      </w:pPr>
      <w:r>
        <w:rPr>
          <w:rFonts w:hint="eastAsia" w:ascii="宋体" w:hAnsi="宋体"/>
          <w:b/>
          <w:bCs/>
          <w:color w:val="auto"/>
          <w:sz w:val="44"/>
          <w:szCs w:val="44"/>
          <w:highlight w:val="none"/>
        </w:rPr>
        <w:br w:type="page"/>
      </w:r>
    </w:p>
    <w:p w14:paraId="6B6F65F6">
      <w:pPr>
        <w:keepNext w:val="0"/>
        <w:keepLines w:val="0"/>
        <w:pageBreakBefore w:val="0"/>
        <w:widowControl w:val="0"/>
        <w:kinsoku/>
        <w:wordWrap/>
        <w:overflowPunct/>
        <w:topLinePunct w:val="0"/>
        <w:autoSpaceDE w:val="0"/>
        <w:autoSpaceDN w:val="0"/>
        <w:bidi w:val="0"/>
        <w:adjustRightInd w:val="0"/>
        <w:snapToGrid/>
        <w:spacing w:before="0" w:beforeLines="1800" w:line="360" w:lineRule="auto"/>
        <w:jc w:val="both"/>
        <w:textAlignment w:val="auto"/>
        <w:rPr>
          <w:rFonts w:hint="eastAsia" w:ascii="宋体" w:hAnsi="宋体" w:cs="Times New Roman"/>
          <w:b/>
          <w:bCs/>
          <w:color w:val="auto"/>
          <w:sz w:val="56"/>
          <w:szCs w:val="56"/>
          <w:highlight w:val="none"/>
          <w:lang w:eastAsia="zh-CN"/>
        </w:rPr>
      </w:pPr>
    </w:p>
    <w:p w14:paraId="172E4FB4">
      <w:pPr>
        <w:keepNext w:val="0"/>
        <w:keepLines w:val="0"/>
        <w:pageBreakBefore w:val="0"/>
        <w:widowControl w:val="0"/>
        <w:kinsoku/>
        <w:wordWrap/>
        <w:overflowPunct/>
        <w:topLinePunct w:val="0"/>
        <w:autoSpaceDE w:val="0"/>
        <w:autoSpaceDN w:val="0"/>
        <w:bidi w:val="0"/>
        <w:adjustRightInd w:val="0"/>
        <w:snapToGrid/>
        <w:spacing w:before="0" w:beforeLines="1700" w:line="360" w:lineRule="auto"/>
        <w:jc w:val="center"/>
        <w:textAlignment w:val="auto"/>
        <w:rPr>
          <w:rFonts w:hint="eastAsia" w:ascii="宋体" w:hAnsi="宋体" w:cs="Times New Roman"/>
          <w:b/>
          <w:bCs/>
          <w:color w:val="auto"/>
          <w:sz w:val="56"/>
          <w:szCs w:val="56"/>
          <w:highlight w:val="none"/>
          <w:lang w:eastAsia="zh-CN"/>
        </w:rPr>
      </w:pPr>
      <w:r>
        <w:rPr>
          <w:rFonts w:hint="eastAsia" w:ascii="宋体" w:hAnsi="宋体" w:cs="Times New Roman"/>
          <w:b/>
          <w:bCs/>
          <w:color w:val="auto"/>
          <w:sz w:val="56"/>
          <w:szCs w:val="56"/>
          <w:highlight w:val="none"/>
          <w:lang w:eastAsia="zh-CN"/>
        </w:rPr>
        <w:t>第  三  卷</w:t>
      </w:r>
    </w:p>
    <w:p w14:paraId="15DE7DD1">
      <w:pPr>
        <w:autoSpaceDE w:val="0"/>
        <w:autoSpaceDN w:val="0"/>
        <w:adjustRightInd w:val="0"/>
        <w:spacing w:line="360" w:lineRule="auto"/>
        <w:ind w:firstLine="720" w:firstLineChars="200"/>
        <w:jc w:val="center"/>
        <w:rPr>
          <w:rFonts w:ascii="宋体" w:hAnsi="宋体"/>
          <w:color w:val="auto"/>
          <w:sz w:val="48"/>
          <w:szCs w:val="48"/>
          <w:highlight w:val="none"/>
        </w:rPr>
      </w:pPr>
      <w:r>
        <w:rPr>
          <w:rFonts w:hint="eastAsia" w:ascii="宋体" w:hAnsi="宋体"/>
          <w:color w:val="auto"/>
          <w:sz w:val="36"/>
          <w:szCs w:val="36"/>
          <w:highlight w:val="none"/>
        </w:rPr>
        <w:br w:type="page"/>
      </w:r>
      <w:bookmarkStart w:id="417" w:name="_Toc21024"/>
      <w:bookmarkEnd w:id="417"/>
    </w:p>
    <w:p w14:paraId="3B62BE93">
      <w:pPr>
        <w:pStyle w:val="2"/>
        <w:keepNext/>
        <w:keepLines/>
        <w:pageBreakBefore w:val="0"/>
        <w:widowControl w:val="0"/>
        <w:kinsoku/>
        <w:wordWrap/>
        <w:overflowPunct/>
        <w:topLinePunct w:val="0"/>
        <w:autoSpaceDE/>
        <w:autoSpaceDN/>
        <w:bidi w:val="0"/>
        <w:adjustRightInd/>
        <w:snapToGrid/>
        <w:spacing w:before="0" w:beforeLines="1600" w:line="360" w:lineRule="auto"/>
        <w:jc w:val="center"/>
        <w:textAlignment w:val="auto"/>
        <w:rPr>
          <w:rFonts w:ascii="宋体" w:hAnsi="宋体"/>
          <w:color w:val="auto"/>
          <w:sz w:val="48"/>
          <w:szCs w:val="48"/>
          <w:highlight w:val="none"/>
        </w:rPr>
      </w:pPr>
      <w:r>
        <w:rPr>
          <w:rFonts w:hint="eastAsia" w:ascii="宋体" w:hAnsi="宋体"/>
          <w:color w:val="auto"/>
          <w:sz w:val="48"/>
          <w:szCs w:val="48"/>
          <w:highlight w:val="none"/>
        </w:rPr>
        <w:t>第</w:t>
      </w:r>
      <w:r>
        <w:rPr>
          <w:rFonts w:hint="eastAsia" w:ascii="宋体" w:hAnsi="宋体"/>
          <w:color w:val="auto"/>
          <w:sz w:val="48"/>
          <w:szCs w:val="48"/>
          <w:highlight w:val="none"/>
          <w:lang w:val="en-US" w:eastAsia="zh-CN"/>
        </w:rPr>
        <w:t>八</w:t>
      </w:r>
      <w:r>
        <w:rPr>
          <w:rFonts w:hint="eastAsia" w:ascii="宋体" w:hAnsi="宋体"/>
          <w:color w:val="auto"/>
          <w:sz w:val="48"/>
          <w:szCs w:val="48"/>
          <w:highlight w:val="none"/>
        </w:rPr>
        <w:t>章  技术规范</w:t>
      </w:r>
    </w:p>
    <w:p w14:paraId="2CA8263F">
      <w:pPr>
        <w:jc w:val="center"/>
        <w:rPr>
          <w:rFonts w:ascii="宋体" w:hAnsi="宋体"/>
          <w:color w:val="auto"/>
          <w:sz w:val="28"/>
          <w:szCs w:val="28"/>
          <w:highlight w:val="none"/>
        </w:rPr>
      </w:pPr>
      <w:bookmarkStart w:id="418" w:name="_Hlt233718691"/>
      <w:bookmarkEnd w:id="418"/>
      <w:r>
        <w:rPr>
          <w:rFonts w:hint="eastAsia" w:ascii="宋体" w:hAnsi="宋体"/>
          <w:color w:val="auto"/>
          <w:sz w:val="28"/>
          <w:szCs w:val="28"/>
          <w:highlight w:val="none"/>
        </w:rPr>
        <w:t>技术规范依据中华人民共和国交通运输部《公路工程标准施工招标文件（2018年版）》和施工图纸总说明执行。</w:t>
      </w:r>
    </w:p>
    <w:p w14:paraId="760A0148">
      <w:pPr>
        <w:adjustRightInd w:val="0"/>
        <w:snapToGrid w:val="0"/>
        <w:spacing w:line="360" w:lineRule="auto"/>
        <w:jc w:val="left"/>
        <w:rPr>
          <w:rFonts w:ascii="宋体" w:hAnsi="宋体"/>
          <w:b/>
          <w:color w:val="auto"/>
          <w:sz w:val="44"/>
          <w:szCs w:val="44"/>
          <w:highlight w:val="none"/>
        </w:rPr>
      </w:pPr>
      <w:r>
        <w:rPr>
          <w:rFonts w:hint="eastAsia" w:ascii="宋体" w:hAnsi="宋体"/>
          <w:b/>
          <w:color w:val="auto"/>
          <w:sz w:val="44"/>
          <w:szCs w:val="44"/>
          <w:highlight w:val="none"/>
        </w:rPr>
        <w:t xml:space="preserve"> </w:t>
      </w:r>
    </w:p>
    <w:p w14:paraId="025FA903">
      <w:pPr>
        <w:autoSpaceDE w:val="0"/>
        <w:autoSpaceDN w:val="0"/>
        <w:adjustRightInd w:val="0"/>
        <w:spacing w:line="360" w:lineRule="auto"/>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59C7A2BE">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1A883C77">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190A4A0C">
      <w:pPr>
        <w:autoSpaceDE w:val="0"/>
        <w:autoSpaceDN w:val="0"/>
        <w:adjustRightInd w:val="0"/>
        <w:spacing w:line="360" w:lineRule="auto"/>
        <w:jc w:val="center"/>
        <w:rPr>
          <w:rFonts w:ascii="宋体" w:hAnsi="宋体"/>
          <w:bCs/>
          <w:color w:val="auto"/>
          <w:sz w:val="36"/>
          <w:szCs w:val="36"/>
          <w:highlight w:val="none"/>
        </w:rPr>
      </w:pPr>
      <w:r>
        <w:rPr>
          <w:rFonts w:hint="eastAsia" w:ascii="宋体" w:hAnsi="宋体"/>
          <w:bCs/>
          <w:color w:val="auto"/>
          <w:sz w:val="36"/>
          <w:szCs w:val="36"/>
          <w:highlight w:val="none"/>
        </w:rPr>
        <w:br w:type="page"/>
      </w:r>
    </w:p>
    <w:p w14:paraId="15711E51">
      <w:pPr>
        <w:keepNext w:val="0"/>
        <w:keepLines w:val="0"/>
        <w:pageBreakBefore w:val="0"/>
        <w:widowControl w:val="0"/>
        <w:kinsoku/>
        <w:wordWrap/>
        <w:overflowPunct/>
        <w:topLinePunct w:val="0"/>
        <w:autoSpaceDE w:val="0"/>
        <w:autoSpaceDN w:val="0"/>
        <w:bidi w:val="0"/>
        <w:adjustRightInd w:val="0"/>
        <w:snapToGrid/>
        <w:spacing w:before="0" w:beforeLines="1550" w:line="360" w:lineRule="auto"/>
        <w:jc w:val="center"/>
        <w:textAlignment w:val="auto"/>
        <w:rPr>
          <w:rFonts w:ascii="宋体" w:hAnsi="宋体"/>
          <w:color w:val="auto"/>
          <w:spacing w:val="12"/>
          <w:sz w:val="24"/>
          <w:szCs w:val="24"/>
          <w:highlight w:val="none"/>
        </w:rPr>
      </w:pPr>
      <w:bookmarkStart w:id="419" w:name="_Toc26593"/>
      <w:bookmarkEnd w:id="419"/>
      <w:r>
        <w:rPr>
          <w:rFonts w:hint="eastAsia" w:ascii="宋体" w:hAnsi="宋体"/>
          <w:b/>
          <w:bCs/>
          <w:color w:val="auto"/>
          <w:sz w:val="48"/>
          <w:szCs w:val="48"/>
          <w:highlight w:val="none"/>
        </w:rPr>
        <w:t>第</w:t>
      </w:r>
      <w:r>
        <w:rPr>
          <w:rFonts w:hint="eastAsia" w:ascii="宋体" w:hAnsi="宋体"/>
          <w:b/>
          <w:bCs/>
          <w:color w:val="auto"/>
          <w:sz w:val="48"/>
          <w:szCs w:val="48"/>
          <w:highlight w:val="none"/>
          <w:lang w:val="en-US" w:eastAsia="zh-CN"/>
        </w:rPr>
        <w:t>九</w:t>
      </w:r>
      <w:r>
        <w:rPr>
          <w:rFonts w:hint="eastAsia" w:ascii="宋体" w:hAnsi="宋体"/>
          <w:b/>
          <w:bCs/>
          <w:color w:val="auto"/>
          <w:sz w:val="48"/>
          <w:szCs w:val="48"/>
          <w:highlight w:val="none"/>
        </w:rPr>
        <w:t>章  工程量清单计量规则</w:t>
      </w:r>
    </w:p>
    <w:p w14:paraId="48FB7AB7">
      <w:pPr>
        <w:autoSpaceDE w:val="0"/>
        <w:autoSpaceDN w:val="0"/>
        <w:adjustRightInd w:val="0"/>
        <w:spacing w:line="360" w:lineRule="auto"/>
        <w:jc w:val="center"/>
        <w:rPr>
          <w:rFonts w:ascii="宋体" w:hAnsi="宋体"/>
          <w:color w:val="auto"/>
          <w:spacing w:val="12"/>
          <w:sz w:val="28"/>
          <w:szCs w:val="28"/>
          <w:highlight w:val="none"/>
        </w:rPr>
      </w:pPr>
      <w:r>
        <w:rPr>
          <w:rFonts w:hint="eastAsia" w:ascii="宋体" w:hAnsi="宋体"/>
          <w:color w:val="auto"/>
          <w:spacing w:val="12"/>
          <w:sz w:val="28"/>
          <w:szCs w:val="28"/>
          <w:highlight w:val="none"/>
        </w:rPr>
        <w:t>有关本项目工程量清单的计量与支付方法参照《公路工程标准施工招标文件（2018年版）》计量与支付规则执行。</w:t>
      </w:r>
    </w:p>
    <w:p w14:paraId="32CD73AF">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7CE69EE6">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18042DB7">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0256BFF3">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7137D858">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46333AB4">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403708A2">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3CDFD75E">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524EA71D">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69871493">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3D865608">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7E5A9023">
      <w:pPr>
        <w:autoSpaceDE w:val="0"/>
        <w:autoSpaceDN w:val="0"/>
        <w:adjustRightInd w:val="0"/>
        <w:spacing w:line="360" w:lineRule="auto"/>
        <w:jc w:val="center"/>
        <w:rPr>
          <w:rFonts w:ascii="宋体" w:hAnsi="宋体"/>
          <w:color w:val="auto"/>
          <w:spacing w:val="12"/>
          <w:sz w:val="24"/>
          <w:szCs w:val="24"/>
          <w:highlight w:val="none"/>
        </w:rPr>
      </w:pPr>
    </w:p>
    <w:p w14:paraId="1BB22AA8">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6723DFC3">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525378E2">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3BA79B6F">
      <w:pPr>
        <w:keepNext w:val="0"/>
        <w:keepLines w:val="0"/>
        <w:pageBreakBefore w:val="0"/>
        <w:widowControl w:val="0"/>
        <w:kinsoku/>
        <w:wordWrap/>
        <w:overflowPunct/>
        <w:topLinePunct w:val="0"/>
        <w:autoSpaceDE w:val="0"/>
        <w:autoSpaceDN w:val="0"/>
        <w:bidi w:val="0"/>
        <w:adjustRightInd w:val="0"/>
        <w:snapToGrid/>
        <w:spacing w:before="0" w:beforeLines="1800" w:line="360" w:lineRule="auto"/>
        <w:jc w:val="both"/>
        <w:textAlignment w:val="auto"/>
        <w:rPr>
          <w:rFonts w:hint="eastAsia" w:ascii="宋体" w:hAnsi="宋体" w:cs="Times New Roman"/>
          <w:b/>
          <w:bCs/>
          <w:color w:val="auto"/>
          <w:sz w:val="56"/>
          <w:szCs w:val="56"/>
          <w:highlight w:val="none"/>
          <w:lang w:eastAsia="zh-CN"/>
        </w:rPr>
      </w:pPr>
    </w:p>
    <w:p w14:paraId="1094A197">
      <w:pPr>
        <w:keepNext w:val="0"/>
        <w:keepLines w:val="0"/>
        <w:pageBreakBefore w:val="0"/>
        <w:widowControl w:val="0"/>
        <w:kinsoku/>
        <w:wordWrap/>
        <w:overflowPunct/>
        <w:topLinePunct w:val="0"/>
        <w:autoSpaceDE w:val="0"/>
        <w:autoSpaceDN w:val="0"/>
        <w:bidi w:val="0"/>
        <w:adjustRightInd w:val="0"/>
        <w:snapToGrid/>
        <w:spacing w:before="0" w:beforeLines="1700" w:line="360" w:lineRule="auto"/>
        <w:jc w:val="center"/>
        <w:textAlignment w:val="auto"/>
        <w:rPr>
          <w:rFonts w:ascii="宋体" w:hAnsi="宋体"/>
          <w:color w:val="auto"/>
          <w:sz w:val="36"/>
          <w:szCs w:val="36"/>
          <w:highlight w:val="none"/>
        </w:rPr>
      </w:pPr>
      <w:r>
        <w:rPr>
          <w:rFonts w:hint="eastAsia" w:ascii="宋体" w:hAnsi="宋体" w:cs="Times New Roman"/>
          <w:b/>
          <w:bCs/>
          <w:color w:val="auto"/>
          <w:sz w:val="56"/>
          <w:szCs w:val="56"/>
          <w:highlight w:val="none"/>
          <w:lang w:eastAsia="zh-CN"/>
        </w:rPr>
        <w:t>第  四  卷</w:t>
      </w:r>
      <w:r>
        <w:rPr>
          <w:rFonts w:hint="eastAsia" w:ascii="宋体" w:hAnsi="宋体"/>
          <w:color w:val="auto"/>
          <w:sz w:val="36"/>
          <w:szCs w:val="36"/>
          <w:highlight w:val="none"/>
        </w:rPr>
        <w:br w:type="page"/>
      </w:r>
    </w:p>
    <w:p w14:paraId="48C7F803">
      <w:pPr>
        <w:pStyle w:val="2"/>
        <w:keepNext/>
        <w:keepLines/>
        <w:pageBreakBefore w:val="0"/>
        <w:widowControl w:val="0"/>
        <w:kinsoku/>
        <w:wordWrap/>
        <w:overflowPunct/>
        <w:topLinePunct w:val="0"/>
        <w:autoSpaceDE/>
        <w:autoSpaceDN/>
        <w:bidi w:val="0"/>
        <w:adjustRightInd/>
        <w:snapToGrid/>
        <w:spacing w:before="0" w:beforeLines="1700"/>
        <w:jc w:val="center"/>
        <w:textAlignment w:val="auto"/>
        <w:rPr>
          <w:rFonts w:ascii="宋体" w:hAnsi="宋体"/>
          <w:color w:val="auto"/>
          <w:sz w:val="48"/>
          <w:szCs w:val="48"/>
          <w:highlight w:val="none"/>
        </w:rPr>
      </w:pPr>
      <w:bookmarkStart w:id="420" w:name="_Toc23553"/>
      <w:bookmarkEnd w:id="420"/>
      <w:r>
        <w:rPr>
          <w:rFonts w:hint="eastAsia" w:ascii="宋体" w:hAnsi="宋体"/>
          <w:color w:val="auto"/>
          <w:sz w:val="48"/>
          <w:szCs w:val="48"/>
          <w:highlight w:val="none"/>
        </w:rPr>
        <w:t>第</w:t>
      </w:r>
      <w:r>
        <w:rPr>
          <w:rFonts w:hint="eastAsia" w:ascii="宋体" w:hAnsi="宋体"/>
          <w:color w:val="auto"/>
          <w:sz w:val="48"/>
          <w:szCs w:val="48"/>
          <w:highlight w:val="none"/>
          <w:lang w:val="en-US" w:eastAsia="zh-CN"/>
        </w:rPr>
        <w:t>十</w:t>
      </w:r>
      <w:r>
        <w:rPr>
          <w:rFonts w:hint="eastAsia" w:ascii="宋体" w:hAnsi="宋体"/>
          <w:color w:val="auto"/>
          <w:sz w:val="48"/>
          <w:szCs w:val="48"/>
          <w:highlight w:val="none"/>
        </w:rPr>
        <w:t>章  投标文件格式</w:t>
      </w:r>
    </w:p>
    <w:p w14:paraId="2F503709">
      <w:pPr>
        <w:spacing w:line="440" w:lineRule="exact"/>
        <w:rPr>
          <w:rFonts w:ascii="宋体" w:hAnsi="宋体" w:eastAsia="宋体" w:cs="宋体"/>
          <w:color w:val="auto"/>
          <w:sz w:val="20"/>
          <w:szCs w:val="20"/>
          <w:highlight w:val="none"/>
        </w:rPr>
      </w:pPr>
      <w:bookmarkStart w:id="421" w:name="_Toc132601564"/>
      <w:bookmarkEnd w:id="421"/>
      <w:r>
        <w:rPr>
          <w:rFonts w:hint="eastAsia" w:ascii="宋体" w:hAnsi="宋体"/>
          <w:b/>
          <w:bCs/>
          <w:color w:val="auto"/>
          <w:sz w:val="44"/>
          <w:szCs w:val="44"/>
          <w:highlight w:val="none"/>
        </w:rPr>
        <w:br w:type="page"/>
      </w:r>
    </w:p>
    <w:p w14:paraId="78EA201B">
      <w:pPr>
        <w:keepLines w:val="0"/>
        <w:pageBreakBefore w:val="0"/>
        <w:widowControl w:val="0"/>
        <w:kinsoku/>
        <w:wordWrap w:val="0"/>
        <w:overflowPunct/>
        <w:topLinePunct w:val="0"/>
        <w:autoSpaceDE/>
        <w:autoSpaceDN/>
        <w:bidi w:val="0"/>
        <w:snapToGrid/>
        <w:spacing w:before="7" w:line="240" w:lineRule="auto"/>
        <w:rPr>
          <w:rFonts w:ascii="宋体" w:hAnsi="宋体" w:eastAsia="宋体" w:cs="宋体"/>
          <w:color w:val="auto"/>
          <w:sz w:val="14"/>
          <w:szCs w:val="14"/>
          <w:highlight w:val="none"/>
        </w:rPr>
      </w:pPr>
    </w:p>
    <w:p w14:paraId="569D7D28">
      <w:pPr>
        <w:pStyle w:val="5"/>
        <w:keepLines w:val="0"/>
        <w:pageBreakBefore w:val="0"/>
        <w:widowControl w:val="0"/>
        <w:tabs>
          <w:tab w:val="left" w:pos="3216"/>
        </w:tabs>
        <w:kinsoku/>
        <w:wordWrap w:val="0"/>
        <w:overflowPunct/>
        <w:topLinePunct w:val="0"/>
        <w:autoSpaceDE/>
        <w:autoSpaceDN/>
        <w:bidi w:val="0"/>
        <w:snapToGrid/>
        <w:spacing w:line="240" w:lineRule="auto"/>
        <w:ind w:right="0" w:firstLine="594" w:firstLineChars="200"/>
        <w:jc w:val="left"/>
        <w:rPr>
          <w:color w:val="auto"/>
          <w:sz w:val="30"/>
          <w:szCs w:val="30"/>
          <w:highlight w:val="none"/>
          <w:u w:val="none"/>
        </w:rPr>
      </w:pPr>
      <w:r>
        <w:rPr>
          <w:rFonts w:ascii="Times New Roman" w:hAnsi="Times New Roman" w:eastAsia="Times New Roman" w:cs="Times New Roman"/>
          <w:color w:val="auto"/>
          <w:w w:val="99"/>
          <w:sz w:val="30"/>
          <w:szCs w:val="30"/>
          <w:highlight w:val="none"/>
          <w:u w:val="single" w:color="000000"/>
        </w:rPr>
        <w:t xml:space="preserve"> </w:t>
      </w:r>
      <w:r>
        <w:rPr>
          <w:rFonts w:ascii="Times New Roman" w:hAnsi="Times New Roman" w:eastAsia="Times New Roman" w:cs="Times New Roman"/>
          <w:color w:val="auto"/>
          <w:sz w:val="30"/>
          <w:szCs w:val="30"/>
          <w:highlight w:val="none"/>
          <w:u w:val="single" w:color="000000"/>
        </w:rPr>
        <w:tab/>
      </w:r>
      <w:r>
        <w:rPr>
          <w:rFonts w:hint="eastAsia" w:ascii="Times New Roman" w:hAnsi="Times New Roman" w:eastAsia="宋体" w:cs="Times New Roman"/>
          <w:color w:val="auto"/>
          <w:sz w:val="30"/>
          <w:szCs w:val="30"/>
          <w:highlight w:val="none"/>
          <w:u w:val="single" w:color="000000"/>
          <w:lang w:val="en-US" w:eastAsia="zh-CN"/>
        </w:rPr>
        <w:t xml:space="preserve">   </w:t>
      </w:r>
      <w:r>
        <w:rPr>
          <w:color w:val="auto"/>
          <w:sz w:val="30"/>
          <w:szCs w:val="30"/>
          <w:highlight w:val="none"/>
          <w:u w:val="none"/>
        </w:rPr>
        <w:t>省（自治区、直辖市）</w:t>
      </w:r>
    </w:p>
    <w:p w14:paraId="74FDB848">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0"/>
          <w:szCs w:val="30"/>
          <w:highlight w:val="none"/>
        </w:rPr>
      </w:pPr>
    </w:p>
    <w:p w14:paraId="51965461">
      <w:pPr>
        <w:keepLines w:val="0"/>
        <w:pageBreakBefore w:val="0"/>
        <w:widowControl w:val="0"/>
        <w:kinsoku/>
        <w:wordWrap w:val="0"/>
        <w:overflowPunct/>
        <w:topLinePunct w:val="0"/>
        <w:autoSpaceDE/>
        <w:autoSpaceDN/>
        <w:bidi w:val="0"/>
        <w:snapToGrid/>
        <w:spacing w:before="6" w:line="240" w:lineRule="auto"/>
        <w:rPr>
          <w:rFonts w:ascii="黑体" w:hAnsi="黑体" w:eastAsia="黑体" w:cs="黑体"/>
          <w:color w:val="auto"/>
          <w:sz w:val="30"/>
          <w:szCs w:val="30"/>
          <w:highlight w:val="none"/>
        </w:rPr>
      </w:pPr>
    </w:p>
    <w:p w14:paraId="5F462F16">
      <w:pPr>
        <w:pStyle w:val="10"/>
        <w:keepLines w:val="0"/>
        <w:pageBreakBefore w:val="0"/>
        <w:widowControl w:val="0"/>
        <w:tabs>
          <w:tab w:val="left" w:pos="2212"/>
          <w:tab w:val="left" w:pos="4918"/>
        </w:tabs>
        <w:kinsoku/>
        <w:wordWrap w:val="0"/>
        <w:overflowPunct/>
        <w:topLinePunct w:val="0"/>
        <w:autoSpaceDE/>
        <w:autoSpaceDN/>
        <w:bidi w:val="0"/>
        <w:snapToGrid/>
        <w:spacing w:before="26" w:line="240" w:lineRule="auto"/>
        <w:ind w:left="0" w:right="53"/>
        <w:jc w:val="center"/>
        <w:rPr>
          <w:rFonts w:ascii="黑体" w:hAnsi="黑体" w:eastAsia="黑体" w:cs="黑体"/>
          <w:color w:val="auto"/>
          <w:highlight w:val="none"/>
        </w:rPr>
      </w:pPr>
      <w:r>
        <w:rPr>
          <w:rFonts w:ascii="Times New Roman" w:hAnsi="Times New Roman" w:eastAsia="Times New Roman" w:cs="Times New Roman"/>
          <w:color w:val="auto"/>
          <w:sz w:val="30"/>
          <w:szCs w:val="30"/>
          <w:highlight w:val="none"/>
          <w:u w:val="single" w:color="000000"/>
        </w:rPr>
        <w:t xml:space="preserve"> </w:t>
      </w:r>
      <w:r>
        <w:rPr>
          <w:rFonts w:ascii="Times New Roman" w:hAnsi="Times New Roman" w:eastAsia="Times New Roman" w:cs="Times New Roman"/>
          <w:color w:val="auto"/>
          <w:sz w:val="30"/>
          <w:szCs w:val="30"/>
          <w:highlight w:val="none"/>
          <w:u w:val="single" w:color="000000"/>
        </w:rPr>
        <w:tab/>
      </w:r>
      <w:r>
        <w:rPr>
          <w:rFonts w:ascii="黑体" w:hAnsi="黑体" w:eastAsia="黑体" w:cs="黑体"/>
          <w:color w:val="auto"/>
          <w:sz w:val="30"/>
          <w:szCs w:val="30"/>
          <w:highlight w:val="none"/>
        </w:rPr>
        <w:t>（项目名称）</w:t>
      </w:r>
      <w:r>
        <w:rPr>
          <w:rFonts w:ascii="Times New Roman" w:hAnsi="Times New Roman" w:eastAsia="Times New Roman" w:cs="Times New Roman"/>
          <w:color w:val="auto"/>
          <w:sz w:val="30"/>
          <w:szCs w:val="30"/>
          <w:highlight w:val="none"/>
          <w:u w:val="single" w:color="000000"/>
        </w:rPr>
        <w:tab/>
      </w:r>
      <w:r>
        <w:rPr>
          <w:rFonts w:ascii="黑体" w:hAnsi="黑体" w:eastAsia="黑体" w:cs="黑体"/>
          <w:color w:val="auto"/>
          <w:sz w:val="30"/>
          <w:szCs w:val="30"/>
          <w:highlight w:val="none"/>
        </w:rPr>
        <w:t>标段施工招标</w:t>
      </w:r>
    </w:p>
    <w:p w14:paraId="680A72F9">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077D3AE9">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1F9364AA">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0FF4BCCF">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6DA18D9F">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36AE948C">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2A019D21">
      <w:pPr>
        <w:keepLines w:val="0"/>
        <w:pageBreakBefore w:val="0"/>
        <w:widowControl w:val="0"/>
        <w:kinsoku/>
        <w:wordWrap w:val="0"/>
        <w:overflowPunct/>
        <w:topLinePunct w:val="0"/>
        <w:autoSpaceDE/>
        <w:autoSpaceDN/>
        <w:bidi w:val="0"/>
        <w:snapToGrid/>
        <w:spacing w:before="3" w:line="240" w:lineRule="auto"/>
        <w:rPr>
          <w:rFonts w:ascii="黑体" w:hAnsi="黑体" w:eastAsia="黑体" w:cs="黑体"/>
          <w:color w:val="auto"/>
          <w:sz w:val="19"/>
          <w:szCs w:val="19"/>
          <w:highlight w:val="none"/>
        </w:rPr>
      </w:pPr>
    </w:p>
    <w:p w14:paraId="4EF4E3B6">
      <w:pPr>
        <w:keepLines w:val="0"/>
        <w:pageBreakBefore w:val="0"/>
        <w:widowControl w:val="0"/>
        <w:tabs>
          <w:tab w:val="left" w:pos="1497"/>
          <w:tab w:val="left" w:pos="2937"/>
          <w:tab w:val="left" w:pos="4377"/>
        </w:tabs>
        <w:kinsoku/>
        <w:wordWrap w:val="0"/>
        <w:overflowPunct/>
        <w:topLinePunct w:val="0"/>
        <w:autoSpaceDE/>
        <w:autoSpaceDN/>
        <w:bidi w:val="0"/>
        <w:snapToGrid/>
        <w:spacing w:before="0"/>
        <w:ind w:left="56" w:right="0" w:firstLine="0"/>
        <w:jc w:val="center"/>
        <w:rPr>
          <w:rFonts w:ascii="黑体" w:hAnsi="黑体" w:eastAsia="黑体" w:cs="黑体"/>
          <w:color w:val="auto"/>
          <w:sz w:val="72"/>
          <w:szCs w:val="72"/>
          <w:highlight w:val="none"/>
        </w:rPr>
      </w:pPr>
      <w:bookmarkStart w:id="422" w:name="_bookmark287"/>
      <w:bookmarkEnd w:id="422"/>
      <w:r>
        <w:rPr>
          <w:rFonts w:ascii="黑体" w:hAnsi="黑体" w:eastAsia="黑体" w:cs="黑体"/>
          <w:color w:val="auto"/>
          <w:sz w:val="72"/>
          <w:szCs w:val="72"/>
          <w:highlight w:val="none"/>
        </w:rPr>
        <w:t>投</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标</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文</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件</w:t>
      </w:r>
    </w:p>
    <w:p w14:paraId="0AFE11AE">
      <w:pPr>
        <w:pStyle w:val="4"/>
        <w:keepLines w:val="0"/>
        <w:pageBreakBefore w:val="0"/>
        <w:widowControl w:val="0"/>
        <w:kinsoku/>
        <w:wordWrap w:val="0"/>
        <w:overflowPunct/>
        <w:topLinePunct w:val="0"/>
        <w:autoSpaceDE/>
        <w:autoSpaceDN/>
        <w:bidi w:val="0"/>
        <w:snapToGrid/>
        <w:spacing w:before="526" w:line="240" w:lineRule="auto"/>
        <w:ind w:left="59" w:right="3"/>
        <w:jc w:val="center"/>
        <w:rPr>
          <w:color w:val="auto"/>
          <w:highlight w:val="none"/>
        </w:rPr>
      </w:pPr>
      <w:r>
        <w:rPr>
          <w:color w:val="auto"/>
          <w:highlight w:val="none"/>
        </w:rPr>
        <w:t>（商务及技术文件）</w:t>
      </w:r>
    </w:p>
    <w:p w14:paraId="0744FD96">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61ED6C83">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54A82A5A">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3584FF8F">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1444AD43">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6F1AD4A0">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185648DF">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601CAC0C">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16F59490">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343F9F63">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3465054F">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57A0BD1B">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70557BA1">
      <w:pPr>
        <w:keepLines w:val="0"/>
        <w:pageBreakBefore w:val="0"/>
        <w:widowControl w:val="0"/>
        <w:kinsoku/>
        <w:wordWrap w:val="0"/>
        <w:overflowPunct/>
        <w:topLinePunct w:val="0"/>
        <w:autoSpaceDE/>
        <w:autoSpaceDN/>
        <w:bidi w:val="0"/>
        <w:snapToGrid/>
        <w:spacing w:before="7" w:line="240" w:lineRule="auto"/>
        <w:rPr>
          <w:rFonts w:ascii="黑体" w:hAnsi="黑体" w:eastAsia="黑体" w:cs="黑体"/>
          <w:color w:val="auto"/>
          <w:sz w:val="28"/>
          <w:szCs w:val="28"/>
          <w:highlight w:val="none"/>
        </w:rPr>
      </w:pPr>
    </w:p>
    <w:p w14:paraId="667ABAA0">
      <w:pPr>
        <w:keepLines w:val="0"/>
        <w:pageBreakBefore w:val="0"/>
        <w:widowControl w:val="0"/>
        <w:tabs>
          <w:tab w:val="left" w:pos="5940"/>
        </w:tabs>
        <w:kinsoku/>
        <w:wordWrap w:val="0"/>
        <w:overflowPunct/>
        <w:topLinePunct w:val="0"/>
        <w:autoSpaceDE/>
        <w:autoSpaceDN/>
        <w:bidi w:val="0"/>
        <w:snapToGrid/>
        <w:spacing w:before="0"/>
        <w:ind w:left="59" w:right="0" w:firstLine="0"/>
        <w:jc w:val="center"/>
        <w:rPr>
          <w:rFonts w:ascii="黑体" w:hAnsi="黑体" w:eastAsia="黑体" w:cs="黑体"/>
          <w:color w:val="auto"/>
          <w:sz w:val="28"/>
          <w:szCs w:val="28"/>
          <w:highlight w:val="none"/>
        </w:rPr>
      </w:pPr>
      <w:r>
        <w:rPr>
          <w:rFonts w:ascii="黑体" w:hAnsi="黑体" w:eastAsia="黑体" w:cs="黑体"/>
          <w:color w:val="auto"/>
          <w:sz w:val="28"/>
          <w:szCs w:val="28"/>
          <w:highlight w:val="none"/>
        </w:rPr>
        <w:t>投标人：</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（盖单位章）</w:t>
      </w:r>
    </w:p>
    <w:p w14:paraId="58CDC96C">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8"/>
          <w:szCs w:val="28"/>
          <w:highlight w:val="none"/>
        </w:rPr>
      </w:pPr>
    </w:p>
    <w:p w14:paraId="26E8151D">
      <w:pPr>
        <w:keepLines w:val="0"/>
        <w:pageBreakBefore w:val="0"/>
        <w:widowControl w:val="0"/>
        <w:kinsoku/>
        <w:wordWrap w:val="0"/>
        <w:overflowPunct/>
        <w:topLinePunct w:val="0"/>
        <w:autoSpaceDE/>
        <w:autoSpaceDN/>
        <w:bidi w:val="0"/>
        <w:snapToGrid/>
        <w:spacing w:before="3" w:line="240" w:lineRule="auto"/>
        <w:rPr>
          <w:rFonts w:ascii="黑体" w:hAnsi="黑体" w:eastAsia="黑体" w:cs="黑体"/>
          <w:color w:val="auto"/>
          <w:sz w:val="28"/>
          <w:szCs w:val="28"/>
          <w:highlight w:val="none"/>
        </w:rPr>
      </w:pPr>
    </w:p>
    <w:p w14:paraId="75E337C8">
      <w:pPr>
        <w:keepLines w:val="0"/>
        <w:pageBreakBefore w:val="0"/>
        <w:widowControl w:val="0"/>
        <w:tabs>
          <w:tab w:val="left" w:pos="3250"/>
          <w:tab w:val="left" w:pos="4652"/>
          <w:tab w:val="left" w:pos="6190"/>
        </w:tabs>
        <w:kinsoku/>
        <w:wordWrap w:val="0"/>
        <w:overflowPunct/>
        <w:topLinePunct w:val="0"/>
        <w:autoSpaceDE/>
        <w:autoSpaceDN/>
        <w:bidi w:val="0"/>
        <w:snapToGrid/>
        <w:spacing w:before="14"/>
        <w:ind w:left="2132" w:right="0" w:firstLine="0"/>
        <w:jc w:val="left"/>
        <w:rPr>
          <w:rFonts w:ascii="黑体" w:hAnsi="黑体" w:eastAsia="黑体" w:cs="黑体"/>
          <w:color w:val="auto"/>
          <w:sz w:val="28"/>
          <w:szCs w:val="28"/>
          <w:highlight w:val="none"/>
        </w:rPr>
      </w:pPr>
      <w:r>
        <w:rPr>
          <w:rFonts w:ascii="Times New Roman" w:hAnsi="Times New Roman" w:eastAsia="Times New Roman" w:cs="Times New Roman"/>
          <w:color w:val="auto"/>
          <w:w w:val="100"/>
          <w:sz w:val="28"/>
          <w:szCs w:val="28"/>
          <w:highlight w:val="none"/>
          <w:u w:val="single" w:color="000000"/>
        </w:rPr>
        <w:t xml:space="preserve"> </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年</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月</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日</w:t>
      </w:r>
    </w:p>
    <w:p w14:paraId="09A75F0A">
      <w:pPr>
        <w:pStyle w:val="21"/>
        <w:rPr>
          <w:rFonts w:ascii="黑体" w:hAnsi="黑体" w:eastAsia="黑体" w:cs="黑体"/>
          <w:color w:val="auto"/>
          <w:sz w:val="28"/>
          <w:szCs w:val="28"/>
          <w:highlight w:val="none"/>
        </w:rPr>
      </w:pPr>
    </w:p>
    <w:p w14:paraId="01D5FEB9">
      <w:pPr>
        <w:rPr>
          <w:rFonts w:ascii="黑体" w:hAnsi="黑体" w:eastAsia="黑体" w:cs="黑体"/>
          <w:color w:val="auto"/>
          <w:sz w:val="28"/>
          <w:szCs w:val="28"/>
          <w:highlight w:val="none"/>
        </w:rPr>
      </w:pPr>
    </w:p>
    <w:p w14:paraId="1967AF91">
      <w:pPr>
        <w:pStyle w:val="21"/>
        <w:rPr>
          <w:color w:val="auto"/>
          <w:highlight w:val="none"/>
        </w:rPr>
      </w:pPr>
    </w:p>
    <w:p w14:paraId="09D53DD7">
      <w:pPr>
        <w:rPr>
          <w:rFonts w:ascii="黑体" w:hAnsi="黑体" w:eastAsia="黑体" w:cs="黑体"/>
          <w:color w:val="auto"/>
          <w:sz w:val="28"/>
          <w:szCs w:val="28"/>
          <w:highlight w:val="none"/>
        </w:rPr>
      </w:pPr>
    </w:p>
    <w:p w14:paraId="09354AB5">
      <w:pPr>
        <w:keepLines w:val="0"/>
        <w:pageBreakBefore w:val="0"/>
        <w:widowControl w:val="0"/>
        <w:kinsoku/>
        <w:wordWrap w:val="0"/>
        <w:overflowPunct/>
        <w:topLinePunct w:val="0"/>
        <w:autoSpaceDE/>
        <w:autoSpaceDN/>
        <w:bidi w:val="0"/>
        <w:snapToGrid/>
        <w:spacing w:line="440" w:lineRule="exact"/>
        <w:jc w:val="center"/>
        <w:rPr>
          <w:rFonts w:ascii="宋体" w:hAnsi="宋体"/>
          <w:bCs/>
          <w:color w:val="auto"/>
          <w:sz w:val="32"/>
          <w:szCs w:val="32"/>
          <w:highlight w:val="none"/>
        </w:rPr>
      </w:pPr>
      <w:bookmarkStart w:id="423" w:name="_Toc152042577"/>
      <w:r>
        <w:rPr>
          <w:rFonts w:hint="eastAsia" w:ascii="宋体" w:hAnsi="宋体"/>
          <w:b/>
          <w:bCs w:val="0"/>
          <w:color w:val="auto"/>
          <w:sz w:val="32"/>
          <w:szCs w:val="32"/>
          <w:highlight w:val="none"/>
        </w:rPr>
        <w:t>目     录</w:t>
      </w:r>
      <w:bookmarkEnd w:id="423"/>
    </w:p>
    <w:p w14:paraId="0102BED8">
      <w:pPr>
        <w:keepLines w:val="0"/>
        <w:pageBreakBefore w:val="0"/>
        <w:widowControl w:val="0"/>
        <w:kinsoku/>
        <w:wordWrap w:val="0"/>
        <w:overflowPunct/>
        <w:topLinePunct w:val="0"/>
        <w:autoSpaceDE/>
        <w:autoSpaceDN/>
        <w:bidi w:val="0"/>
        <w:snapToGrid/>
        <w:rPr>
          <w:rFonts w:ascii="宋体" w:hAnsi="宋体"/>
          <w:color w:val="auto"/>
          <w:sz w:val="28"/>
          <w:szCs w:val="28"/>
          <w:highlight w:val="none"/>
        </w:rPr>
      </w:pPr>
      <w:r>
        <w:rPr>
          <w:rFonts w:hint="eastAsia" w:ascii="宋体" w:hAnsi="宋体"/>
          <w:color w:val="auto"/>
          <w:sz w:val="28"/>
          <w:szCs w:val="28"/>
          <w:highlight w:val="none"/>
        </w:rPr>
        <w:t xml:space="preserve"> </w:t>
      </w:r>
    </w:p>
    <w:p w14:paraId="5A7C91C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bookmarkStart w:id="424" w:name="_Toc6489"/>
      <w:bookmarkEnd w:id="424"/>
      <w:r>
        <w:rPr>
          <w:rFonts w:hint="eastAsia" w:ascii="宋体" w:hAnsi="宋体" w:cs="宋体"/>
          <w:color w:val="auto"/>
          <w:kern w:val="0"/>
          <w:sz w:val="24"/>
          <w:szCs w:val="24"/>
          <w:highlight w:val="none"/>
        </w:rPr>
        <w:t>一、投标函及投标函附录</w:t>
      </w:r>
    </w:p>
    <w:p w14:paraId="78C8C3C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二、授权委托书或法定代表人身份证明</w:t>
      </w:r>
    </w:p>
    <w:p w14:paraId="3847614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三、投标保证金</w:t>
      </w:r>
    </w:p>
    <w:p w14:paraId="11CC8E3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四、施工组织设计</w:t>
      </w:r>
    </w:p>
    <w:p w14:paraId="5890A6E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五、项目管理机构</w:t>
      </w:r>
    </w:p>
    <w:p w14:paraId="60F2765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六、资格审查资料</w:t>
      </w:r>
    </w:p>
    <w:p w14:paraId="0CB4A39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ascii="宋体" w:hAnsi="宋体"/>
          <w:b/>
          <w:bCs/>
          <w:color w:val="auto"/>
          <w:sz w:val="24"/>
          <w:szCs w:val="24"/>
          <w:highlight w:val="none"/>
        </w:rPr>
      </w:pPr>
      <w:r>
        <w:rPr>
          <w:rFonts w:hint="eastAsia" w:ascii="宋体" w:hAnsi="宋体" w:cs="宋体"/>
          <w:color w:val="auto"/>
          <w:kern w:val="0"/>
          <w:sz w:val="24"/>
          <w:szCs w:val="24"/>
          <w:highlight w:val="none"/>
        </w:rPr>
        <w:t>七、其他资料</w:t>
      </w:r>
      <w:r>
        <w:rPr>
          <w:rFonts w:hint="eastAsia" w:ascii="宋体" w:hAnsi="宋体"/>
          <w:b/>
          <w:bCs/>
          <w:color w:val="auto"/>
          <w:sz w:val="24"/>
          <w:szCs w:val="24"/>
          <w:highlight w:val="none"/>
        </w:rPr>
        <w:t xml:space="preserve"> </w:t>
      </w:r>
    </w:p>
    <w:p w14:paraId="77D0ED97">
      <w:pPr>
        <w:rPr>
          <w:color w:val="auto"/>
          <w:highlight w:val="none"/>
        </w:rPr>
      </w:pPr>
    </w:p>
    <w:p w14:paraId="585D2361">
      <w:pPr>
        <w:pStyle w:val="21"/>
        <w:rPr>
          <w:color w:val="auto"/>
          <w:highlight w:val="none"/>
        </w:rPr>
      </w:pPr>
    </w:p>
    <w:p w14:paraId="30F38E93">
      <w:pPr>
        <w:rPr>
          <w:color w:val="auto"/>
          <w:highlight w:val="none"/>
        </w:rPr>
      </w:pPr>
    </w:p>
    <w:p w14:paraId="518511AB">
      <w:pPr>
        <w:pStyle w:val="21"/>
        <w:rPr>
          <w:color w:val="auto"/>
          <w:highlight w:val="none"/>
        </w:rPr>
      </w:pPr>
    </w:p>
    <w:p w14:paraId="538FABA8">
      <w:pPr>
        <w:rPr>
          <w:color w:val="auto"/>
          <w:highlight w:val="none"/>
        </w:rPr>
      </w:pPr>
    </w:p>
    <w:p w14:paraId="7BDF5559">
      <w:pPr>
        <w:pStyle w:val="21"/>
        <w:rPr>
          <w:color w:val="auto"/>
          <w:highlight w:val="none"/>
        </w:rPr>
      </w:pPr>
    </w:p>
    <w:p w14:paraId="31001FD1">
      <w:pPr>
        <w:rPr>
          <w:color w:val="auto"/>
          <w:highlight w:val="none"/>
        </w:rPr>
      </w:pPr>
    </w:p>
    <w:p w14:paraId="05A37342">
      <w:pPr>
        <w:pStyle w:val="21"/>
        <w:rPr>
          <w:color w:val="auto"/>
          <w:highlight w:val="none"/>
        </w:rPr>
      </w:pPr>
    </w:p>
    <w:p w14:paraId="3F43688B">
      <w:pPr>
        <w:rPr>
          <w:color w:val="auto"/>
          <w:highlight w:val="none"/>
        </w:rPr>
      </w:pPr>
    </w:p>
    <w:p w14:paraId="0F5591AB">
      <w:pPr>
        <w:pStyle w:val="21"/>
        <w:rPr>
          <w:color w:val="auto"/>
          <w:highlight w:val="none"/>
        </w:rPr>
      </w:pPr>
    </w:p>
    <w:p w14:paraId="4CDA794C">
      <w:pPr>
        <w:rPr>
          <w:color w:val="auto"/>
          <w:highlight w:val="none"/>
        </w:rPr>
      </w:pPr>
    </w:p>
    <w:p w14:paraId="5B655D42">
      <w:pPr>
        <w:pStyle w:val="21"/>
        <w:rPr>
          <w:color w:val="auto"/>
          <w:highlight w:val="none"/>
        </w:rPr>
      </w:pPr>
    </w:p>
    <w:p w14:paraId="41E3C773">
      <w:pPr>
        <w:rPr>
          <w:color w:val="auto"/>
          <w:highlight w:val="none"/>
        </w:rPr>
      </w:pPr>
    </w:p>
    <w:p w14:paraId="3D6D626F">
      <w:pPr>
        <w:pStyle w:val="21"/>
        <w:rPr>
          <w:color w:val="auto"/>
          <w:highlight w:val="none"/>
        </w:rPr>
      </w:pPr>
    </w:p>
    <w:p w14:paraId="1D59721C">
      <w:pPr>
        <w:rPr>
          <w:color w:val="auto"/>
          <w:highlight w:val="none"/>
        </w:rPr>
      </w:pPr>
    </w:p>
    <w:p w14:paraId="1B12CBD4">
      <w:pPr>
        <w:pStyle w:val="21"/>
        <w:rPr>
          <w:color w:val="auto"/>
          <w:highlight w:val="none"/>
        </w:rPr>
      </w:pPr>
    </w:p>
    <w:p w14:paraId="254F2DFD">
      <w:pPr>
        <w:rPr>
          <w:color w:val="auto"/>
          <w:highlight w:val="none"/>
        </w:rPr>
      </w:pPr>
    </w:p>
    <w:p w14:paraId="7376084B">
      <w:pPr>
        <w:pStyle w:val="21"/>
        <w:rPr>
          <w:color w:val="auto"/>
          <w:highlight w:val="none"/>
        </w:rPr>
      </w:pPr>
    </w:p>
    <w:p w14:paraId="246393CA">
      <w:pPr>
        <w:rPr>
          <w:color w:val="auto"/>
          <w:highlight w:val="none"/>
        </w:rPr>
      </w:pPr>
    </w:p>
    <w:p w14:paraId="21EEE929">
      <w:pPr>
        <w:pStyle w:val="21"/>
        <w:rPr>
          <w:color w:val="auto"/>
          <w:highlight w:val="none"/>
        </w:rPr>
      </w:pPr>
    </w:p>
    <w:p w14:paraId="3CAED985">
      <w:pPr>
        <w:rPr>
          <w:color w:val="auto"/>
          <w:highlight w:val="none"/>
        </w:rPr>
      </w:pPr>
    </w:p>
    <w:p w14:paraId="6A086236">
      <w:pPr>
        <w:pStyle w:val="21"/>
        <w:rPr>
          <w:color w:val="auto"/>
          <w:highlight w:val="none"/>
        </w:rPr>
      </w:pPr>
    </w:p>
    <w:p w14:paraId="7D23B11F">
      <w:pPr>
        <w:rPr>
          <w:color w:val="auto"/>
          <w:highlight w:val="none"/>
        </w:rPr>
      </w:pPr>
    </w:p>
    <w:p w14:paraId="2A205F04">
      <w:pPr>
        <w:pStyle w:val="21"/>
        <w:rPr>
          <w:color w:val="auto"/>
          <w:highlight w:val="none"/>
        </w:rPr>
      </w:pPr>
    </w:p>
    <w:p w14:paraId="6BCDCEFF">
      <w:pPr>
        <w:rPr>
          <w:color w:val="auto"/>
          <w:highlight w:val="none"/>
        </w:rPr>
      </w:pPr>
    </w:p>
    <w:p w14:paraId="4AB5EEB3">
      <w:pPr>
        <w:pStyle w:val="21"/>
        <w:rPr>
          <w:color w:val="auto"/>
          <w:highlight w:val="none"/>
        </w:rPr>
      </w:pPr>
    </w:p>
    <w:p w14:paraId="657D110A">
      <w:pPr>
        <w:keepLines w:val="0"/>
        <w:pageBreakBefore w:val="0"/>
        <w:widowControl w:val="0"/>
        <w:kinsoku/>
        <w:wordWrap w:val="0"/>
        <w:overflowPunct/>
        <w:topLinePunct w:val="0"/>
        <w:autoSpaceDE/>
        <w:autoSpaceDN/>
        <w:bidi w:val="0"/>
        <w:adjustRightInd w:val="0"/>
        <w:snapToGrid/>
        <w:spacing w:line="400" w:lineRule="exact"/>
        <w:ind w:right="-34" w:rightChars="-16"/>
        <w:jc w:val="center"/>
        <w:outlineLvl w:val="1"/>
        <w:rPr>
          <w:rFonts w:ascii="宋体" w:hAnsi="宋体" w:cs="宋体"/>
          <w:b/>
          <w:color w:val="auto"/>
          <w:kern w:val="0"/>
          <w:sz w:val="30"/>
          <w:szCs w:val="30"/>
          <w:highlight w:val="none"/>
        </w:rPr>
      </w:pPr>
      <w:bookmarkStart w:id="425" w:name="_Toc500864537"/>
      <w:bookmarkStart w:id="426" w:name="_Toc37422282"/>
      <w:bookmarkStart w:id="427" w:name="_Toc431367135"/>
      <w:bookmarkStart w:id="428" w:name="_Toc37746998"/>
      <w:bookmarkStart w:id="429" w:name="_Toc7056"/>
      <w:bookmarkStart w:id="430" w:name="_Toc32572"/>
      <w:r>
        <w:rPr>
          <w:rFonts w:hint="eastAsia" w:ascii="宋体" w:hAnsi="宋体" w:cs="宋体"/>
          <w:b/>
          <w:color w:val="auto"/>
          <w:kern w:val="0"/>
          <w:sz w:val="30"/>
          <w:szCs w:val="30"/>
          <w:highlight w:val="none"/>
        </w:rPr>
        <w:t>一、投标函及投标函附录</w:t>
      </w:r>
      <w:bookmarkEnd w:id="425"/>
      <w:bookmarkEnd w:id="426"/>
      <w:bookmarkEnd w:id="427"/>
      <w:bookmarkEnd w:id="428"/>
      <w:bookmarkEnd w:id="429"/>
      <w:bookmarkEnd w:id="430"/>
    </w:p>
    <w:p w14:paraId="27944A82">
      <w:pPr>
        <w:keepNext w:val="0"/>
        <w:keepLines w:val="0"/>
        <w:pageBreakBefore w:val="0"/>
        <w:widowControl w:val="0"/>
        <w:kinsoku/>
        <w:wordWrap w:val="0"/>
        <w:overflowPunct/>
        <w:topLinePunct w:val="0"/>
        <w:autoSpaceDE/>
        <w:autoSpaceDN/>
        <w:bidi w:val="0"/>
        <w:adjustRightInd w:val="0"/>
        <w:snapToGrid/>
        <w:spacing w:before="157" w:beforeLines="50" w:line="360" w:lineRule="auto"/>
        <w:ind w:right="-34" w:rightChars="-16"/>
        <w:jc w:val="center"/>
        <w:textAlignment w:val="auto"/>
        <w:outlineLvl w:val="1"/>
        <w:rPr>
          <w:rFonts w:ascii="宋体" w:hAnsi="宋体" w:cs="宋体"/>
          <w:b/>
          <w:color w:val="auto"/>
          <w:kern w:val="0"/>
          <w:sz w:val="24"/>
          <w:highlight w:val="none"/>
        </w:rPr>
      </w:pPr>
      <w:bookmarkStart w:id="431" w:name="_Toc228337192"/>
      <w:bookmarkStart w:id="432" w:name="_Toc243904320"/>
      <w:bookmarkStart w:id="433" w:name="_Toc8455"/>
      <w:bookmarkStart w:id="434" w:name="_Toc228591751"/>
      <w:bookmarkStart w:id="435" w:name="_Toc272772663"/>
      <w:bookmarkStart w:id="436" w:name="_Toc37422283"/>
      <w:bookmarkStart w:id="437" w:name="_Toc37746999"/>
      <w:bookmarkStart w:id="438" w:name="_Toc23746"/>
      <w:bookmarkStart w:id="439" w:name="_Toc285618746"/>
      <w:bookmarkStart w:id="440" w:name="_Toc227657581"/>
      <w:bookmarkStart w:id="441" w:name="_Toc7512"/>
      <w:bookmarkStart w:id="442" w:name="_Toc228589257"/>
      <w:bookmarkStart w:id="443" w:name="_Toc431367136"/>
      <w:bookmarkStart w:id="444" w:name="_Toc228881243"/>
      <w:bookmarkStart w:id="445" w:name="_Toc228591603"/>
      <w:bookmarkStart w:id="446" w:name="_Toc227492339"/>
      <w:bookmarkStart w:id="447" w:name="_Toc214433983"/>
      <w:bookmarkStart w:id="448" w:name="_Toc500864538"/>
      <w:r>
        <w:rPr>
          <w:rFonts w:hint="eastAsia" w:ascii="宋体" w:hAnsi="宋体" w:cs="宋体"/>
          <w:b/>
          <w:color w:val="auto"/>
          <w:kern w:val="0"/>
          <w:sz w:val="28"/>
          <w:szCs w:val="28"/>
          <w:highlight w:val="none"/>
        </w:rPr>
        <w:t>（一）投标函</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14:paraId="2465429E">
      <w:pPr>
        <w:keepLines w:val="0"/>
        <w:pageBreakBefore w:val="0"/>
        <w:widowControl w:val="0"/>
        <w:kinsoku/>
        <w:wordWrap w:val="0"/>
        <w:overflowPunct/>
        <w:topLinePunct w:val="0"/>
        <w:autoSpaceDE/>
        <w:autoSpaceDN/>
        <w:bidi w:val="0"/>
        <w:snapToGrid/>
        <w:spacing w:line="440" w:lineRule="exact"/>
        <w:rPr>
          <w:rFonts w:ascii="宋体" w:hAnsi="宋体" w:cs="宋体"/>
          <w:color w:val="auto"/>
          <w:highlight w:val="none"/>
          <w:u w:val="single"/>
        </w:rPr>
      </w:pPr>
    </w:p>
    <w:p w14:paraId="04877FC2">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1．我方已仔细研究</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标段施工招标文件的全部内容（含补遗书第___号至第___号），在考察工程现场后，愿意以第二个信封（报价文件）中的投标总报价（或根据招标文件规定修正核实后确定的另一金额），按合同约定实施和完成承包工程，修补工程中的任何缺陷。</w:t>
      </w:r>
    </w:p>
    <w:p w14:paraId="59FAF7AD">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2．我方承诺在招标文件规定的投标有效期内不撤销投标文件。</w:t>
      </w:r>
    </w:p>
    <w:p w14:paraId="17AA275D">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3．工程质量：</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，安全目标</w:t>
      </w:r>
      <w:r>
        <w:rPr>
          <w:rFonts w:hint="eastAsia" w:ascii="宋体" w:hAnsi="宋体" w:eastAsia="宋体" w:cs="宋体"/>
          <w:color w:val="auto"/>
          <w:sz w:val="24"/>
          <w:highlight w:val="none"/>
          <w:u w:val="non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，工期：</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日历天。</w:t>
      </w:r>
    </w:p>
    <w:p w14:paraId="596A2CD1">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4．如我方中标，我方承诺：</w:t>
      </w:r>
    </w:p>
    <w:p w14:paraId="5BB20EAB">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（1）在收到中标通知书后，在中标通知书规定的期限内与你方签订合同；</w:t>
      </w:r>
    </w:p>
    <w:p w14:paraId="5BB66016">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（2）在签订合同时不向你方提出附加条件；</w:t>
      </w:r>
    </w:p>
    <w:p w14:paraId="3A0F3DED">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（3）按照招标文件要求提交履约保证金；</w:t>
      </w:r>
    </w:p>
    <w:p w14:paraId="556E457F">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（4）在合同约定的期限内完成合同规定的全部义务；</w:t>
      </w:r>
    </w:p>
    <w:p w14:paraId="554F7EDF">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在你方和我方进行合同谈判之前，我方将按照合同附件提出的最低要求填报派驻本标段的其他管理和技术人员及主要机械设备和试验检测设备，经你方审批后作为派驻本标段的项目管理机构主要人员和主要设备且不进行更换。如我方拟派驻的人员和设备不满足合同附件要求，你方有权取消我方中标资格。</w:t>
      </w:r>
    </w:p>
    <w:p w14:paraId="1D45813A">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5．我方在此声明，所递交的投标文件及有关资料内容完整、真实和准确，且不存在招标文件第二章“投标人须知”第 1.4.3 项和第 1.4.4 项规定的任何一种情形。</w:t>
      </w:r>
    </w:p>
    <w:p w14:paraId="1D7EA363">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6．在合同协议书正式签署生效之前，本投标函连同你方的中标通知书将构成我们双方之间共同遵守的文件，对双方具有约束力。</w:t>
      </w:r>
    </w:p>
    <w:p w14:paraId="2C23D510">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（其他补充说明）。</w:t>
      </w:r>
    </w:p>
    <w:p w14:paraId="659473B2">
      <w:pPr>
        <w:pStyle w:val="21"/>
        <w:keepNext w:val="0"/>
        <w:keepLines w:val="0"/>
        <w:pageBreakBefore w:val="0"/>
        <w:widowControl w:val="0"/>
        <w:kinsoku/>
        <w:wordWrap w:val="0"/>
        <w:overflowPunct/>
        <w:topLinePunct w:val="0"/>
        <w:autoSpaceDE/>
        <w:autoSpaceDN/>
        <w:bidi w:val="0"/>
        <w:adjustRightInd/>
        <w:snapToGrid/>
        <w:spacing w:line="400" w:lineRule="atLeast"/>
        <w:textAlignment w:val="auto"/>
        <w:rPr>
          <w:rFonts w:hint="eastAsia" w:ascii="宋体" w:hAnsi="宋体" w:eastAsia="宋体" w:cs="宋体"/>
          <w:color w:val="auto"/>
          <w:highlight w:val="none"/>
        </w:rPr>
      </w:pPr>
    </w:p>
    <w:p w14:paraId="2DD983FE">
      <w:pPr>
        <w:keepNext w:val="0"/>
        <w:keepLines w:val="0"/>
        <w:pageBreakBefore w:val="0"/>
        <w:widowControl w:val="0"/>
        <w:kinsoku/>
        <w:wordWrap w:val="0"/>
        <w:overflowPunct/>
        <w:topLinePunct w:val="0"/>
        <w:autoSpaceDE/>
        <w:autoSpaceDN/>
        <w:bidi w:val="0"/>
        <w:adjustRightInd/>
        <w:snapToGrid/>
        <w:spacing w:line="400" w:lineRule="atLeast"/>
        <w:ind w:right="240" w:firstLine="3600" w:firstLineChars="15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（盖单位章）</w:t>
      </w:r>
    </w:p>
    <w:p w14:paraId="74C490BB">
      <w:pPr>
        <w:keepNext w:val="0"/>
        <w:keepLines w:val="0"/>
        <w:pageBreakBefore w:val="0"/>
        <w:widowControl w:val="0"/>
        <w:kinsoku/>
        <w:wordWrap w:val="0"/>
        <w:overflowPunct/>
        <w:topLinePunct w:val="0"/>
        <w:autoSpaceDE/>
        <w:autoSpaceDN/>
        <w:bidi w:val="0"/>
        <w:adjustRightInd/>
        <w:snapToGrid/>
        <w:spacing w:line="400" w:lineRule="atLeast"/>
        <w:ind w:right="480" w:firstLine="3554" w:firstLineChars="1481"/>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p>
    <w:p w14:paraId="62898481">
      <w:pPr>
        <w:keepNext w:val="0"/>
        <w:keepLines w:val="0"/>
        <w:pageBreakBefore w:val="0"/>
        <w:widowControl w:val="0"/>
        <w:kinsoku/>
        <w:wordWrap w:val="0"/>
        <w:overflowPunct/>
        <w:topLinePunct w:val="0"/>
        <w:autoSpaceDE/>
        <w:autoSpaceDN/>
        <w:bidi w:val="0"/>
        <w:adjustRightInd/>
        <w:snapToGrid/>
        <w:spacing w:line="400" w:lineRule="atLeast"/>
        <w:ind w:firstLine="3568" w:firstLineChars="1487"/>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地</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址</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p>
    <w:p w14:paraId="6BBEC2BD">
      <w:pPr>
        <w:keepNext w:val="0"/>
        <w:keepLines w:val="0"/>
        <w:pageBreakBefore w:val="0"/>
        <w:widowControl w:val="0"/>
        <w:kinsoku/>
        <w:wordWrap w:val="0"/>
        <w:overflowPunct/>
        <w:topLinePunct w:val="0"/>
        <w:autoSpaceDE/>
        <w:autoSpaceDN/>
        <w:bidi w:val="0"/>
        <w:adjustRightInd/>
        <w:snapToGrid/>
        <w:spacing w:line="400" w:lineRule="atLeast"/>
        <w:ind w:firstLine="3568" w:firstLineChars="1487"/>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网</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址：</w:t>
      </w:r>
      <w:r>
        <w:rPr>
          <w:rFonts w:hint="eastAsia" w:ascii="宋体" w:hAnsi="宋体" w:eastAsia="宋体" w:cs="宋体"/>
          <w:color w:val="auto"/>
          <w:sz w:val="24"/>
          <w:highlight w:val="none"/>
          <w:u w:val="single"/>
          <w:lang w:val="en-US" w:eastAsia="zh-CN"/>
        </w:rPr>
        <w:t xml:space="preserve">                                </w:t>
      </w:r>
    </w:p>
    <w:p w14:paraId="284726BC">
      <w:pPr>
        <w:keepNext w:val="0"/>
        <w:keepLines w:val="0"/>
        <w:pageBreakBefore w:val="0"/>
        <w:widowControl w:val="0"/>
        <w:kinsoku/>
        <w:wordWrap w:val="0"/>
        <w:overflowPunct/>
        <w:topLinePunct w:val="0"/>
        <w:autoSpaceDE/>
        <w:autoSpaceDN/>
        <w:bidi w:val="0"/>
        <w:adjustRightInd/>
        <w:snapToGrid/>
        <w:spacing w:line="400" w:lineRule="atLeast"/>
        <w:ind w:firstLine="3583" w:firstLineChars="1493"/>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电</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话：</w:t>
      </w:r>
      <w:r>
        <w:rPr>
          <w:rFonts w:hint="eastAsia" w:ascii="宋体" w:hAnsi="宋体" w:eastAsia="宋体" w:cs="宋体"/>
          <w:color w:val="auto"/>
          <w:sz w:val="24"/>
          <w:highlight w:val="none"/>
          <w:u w:val="single"/>
          <w:lang w:val="en-US" w:eastAsia="zh-CN"/>
        </w:rPr>
        <w:t xml:space="preserve">                                </w:t>
      </w:r>
    </w:p>
    <w:p w14:paraId="0DCBBEB6">
      <w:pPr>
        <w:keepNext w:val="0"/>
        <w:keepLines w:val="0"/>
        <w:pageBreakBefore w:val="0"/>
        <w:widowControl w:val="0"/>
        <w:kinsoku/>
        <w:wordWrap w:val="0"/>
        <w:overflowPunct/>
        <w:topLinePunct w:val="0"/>
        <w:autoSpaceDE/>
        <w:autoSpaceDN/>
        <w:bidi w:val="0"/>
        <w:adjustRightInd/>
        <w:snapToGrid/>
        <w:spacing w:line="400" w:lineRule="atLeast"/>
        <w:ind w:firstLine="3583" w:firstLineChars="1493"/>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真：</w:t>
      </w:r>
      <w:r>
        <w:rPr>
          <w:rFonts w:hint="eastAsia" w:ascii="宋体" w:hAnsi="宋体" w:eastAsia="宋体" w:cs="宋体"/>
          <w:color w:val="auto"/>
          <w:sz w:val="24"/>
          <w:highlight w:val="none"/>
          <w:u w:val="single"/>
          <w:lang w:val="en-US" w:eastAsia="zh-CN"/>
        </w:rPr>
        <w:t xml:space="preserve">                                </w:t>
      </w:r>
    </w:p>
    <w:p w14:paraId="30C054F2">
      <w:pPr>
        <w:keepNext w:val="0"/>
        <w:keepLines w:val="0"/>
        <w:pageBreakBefore w:val="0"/>
        <w:widowControl w:val="0"/>
        <w:kinsoku/>
        <w:wordWrap w:val="0"/>
        <w:overflowPunct/>
        <w:topLinePunct w:val="0"/>
        <w:autoSpaceDE/>
        <w:autoSpaceDN/>
        <w:bidi w:val="0"/>
        <w:adjustRightInd/>
        <w:snapToGrid/>
        <w:spacing w:line="400" w:lineRule="atLeast"/>
        <w:ind w:firstLine="3597" w:firstLineChars="1499"/>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p>
    <w:p w14:paraId="24D76CC4">
      <w:pPr>
        <w:pStyle w:val="21"/>
        <w:rPr>
          <w:rFonts w:hint="eastAsia" w:ascii="宋体" w:hAnsi="宋体" w:eastAsia="宋体" w:cs="宋体"/>
          <w:color w:val="auto"/>
          <w:sz w:val="24"/>
          <w:highlight w:val="none"/>
          <w:u w:val="single"/>
          <w:lang w:val="en-US" w:eastAsia="zh-CN"/>
        </w:rPr>
      </w:pPr>
    </w:p>
    <w:p w14:paraId="6D660C62">
      <w:pPr>
        <w:ind w:firstLine="5520" w:firstLineChars="2300"/>
        <w:rPr>
          <w:rFonts w:hint="eastAsia" w:ascii="宋体" w:hAnsi="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u w:val="none"/>
          <w:lang w:val="en-US" w:eastAsia="zh-CN"/>
        </w:rPr>
        <w:t>年</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rPr>
        <w:t>月</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u w:val="none"/>
          <w:lang w:val="en-US" w:eastAsia="zh-CN"/>
        </w:rPr>
        <w:t>日</w:t>
      </w:r>
    </w:p>
    <w:p w14:paraId="06EF20BE">
      <w:pPr>
        <w:rPr>
          <w:rFonts w:hint="eastAsia" w:ascii="宋体" w:hAnsi="宋体" w:cs="宋体"/>
          <w:b w:val="0"/>
          <w:bCs w:val="0"/>
          <w:color w:val="auto"/>
          <w:sz w:val="24"/>
          <w:highlight w:val="none"/>
          <w:u w:val="none"/>
          <w:lang w:val="en-US" w:eastAsia="zh-CN"/>
        </w:rPr>
      </w:pPr>
    </w:p>
    <w:p w14:paraId="38D8D1E5">
      <w:pPr>
        <w:pStyle w:val="4"/>
        <w:keepNext w:val="0"/>
        <w:keepLines w:val="0"/>
        <w:pageBreakBefore w:val="0"/>
        <w:widowControl w:val="0"/>
        <w:numPr>
          <w:ilvl w:val="0"/>
          <w:numId w:val="0"/>
        </w:numPr>
        <w:kinsoku/>
        <w:wordWrap w:val="0"/>
        <w:overflowPunct/>
        <w:topLinePunct w:val="0"/>
        <w:autoSpaceDE/>
        <w:autoSpaceDN/>
        <w:bidi w:val="0"/>
        <w:adjustRightInd/>
        <w:snapToGrid/>
        <w:spacing w:before="0" w:beforeAutospacing="0" w:after="313" w:afterLines="100" w:afterAutospacing="0" w:line="240" w:lineRule="auto"/>
        <w:jc w:val="center"/>
        <w:textAlignment w:val="auto"/>
        <w:rPr>
          <w:rFonts w:hint="eastAsia" w:ascii="宋体" w:hAnsi="宋体" w:eastAsia="宋体" w:cs="宋体"/>
          <w:color w:val="auto"/>
          <w:sz w:val="28"/>
          <w:szCs w:val="28"/>
          <w:highlight w:val="none"/>
        </w:rPr>
      </w:pPr>
      <w:bookmarkStart w:id="449" w:name="_Toc16778839"/>
      <w:bookmarkStart w:id="450" w:name="_Toc1011"/>
      <w:bookmarkStart w:id="451" w:name="_Toc1945"/>
      <w:r>
        <w:rPr>
          <w:rFonts w:hint="eastAsia" w:ascii="宋体" w:hAnsi="宋体" w:eastAsia="宋体" w:cs="宋体"/>
          <w:b/>
          <w:bCs w:val="0"/>
          <w:color w:val="auto"/>
          <w:sz w:val="28"/>
          <w:szCs w:val="28"/>
          <w:highlight w:val="none"/>
        </w:rPr>
        <w:t>（二）投标函</w:t>
      </w:r>
      <w:bookmarkStart w:id="452" w:name="_Hlt130800501"/>
      <w:bookmarkEnd w:id="452"/>
      <w:r>
        <w:rPr>
          <w:rFonts w:hint="eastAsia" w:ascii="宋体" w:hAnsi="宋体" w:eastAsia="宋体" w:cs="宋体"/>
          <w:b/>
          <w:bCs w:val="0"/>
          <w:color w:val="auto"/>
          <w:sz w:val="28"/>
          <w:szCs w:val="28"/>
          <w:highlight w:val="none"/>
        </w:rPr>
        <w:t>附录</w:t>
      </w:r>
      <w:bookmarkEnd w:id="449"/>
      <w:bookmarkEnd w:id="450"/>
      <w:bookmarkEnd w:id="451"/>
    </w:p>
    <w:tbl>
      <w:tblPr>
        <w:tblStyle w:val="23"/>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2617"/>
        <w:gridCol w:w="1456"/>
        <w:gridCol w:w="3549"/>
        <w:gridCol w:w="1211"/>
      </w:tblGrid>
      <w:tr w14:paraId="3720E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top w:val="single" w:color="auto" w:sz="8" w:space="0"/>
              <w:left w:val="single" w:color="auto" w:sz="8" w:space="0"/>
            </w:tcBorders>
            <w:noWrap/>
            <w:vAlign w:val="center"/>
          </w:tcPr>
          <w:p w14:paraId="62B3252A">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2617" w:type="dxa"/>
            <w:tcBorders>
              <w:top w:val="single" w:color="auto" w:sz="8" w:space="0"/>
            </w:tcBorders>
            <w:noWrap/>
            <w:vAlign w:val="center"/>
          </w:tcPr>
          <w:p w14:paraId="066E11A3">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条款名称</w:t>
            </w:r>
          </w:p>
        </w:tc>
        <w:tc>
          <w:tcPr>
            <w:tcW w:w="1456" w:type="dxa"/>
            <w:tcBorders>
              <w:top w:val="single" w:color="auto" w:sz="8" w:space="0"/>
            </w:tcBorders>
            <w:noWrap/>
            <w:vAlign w:val="center"/>
          </w:tcPr>
          <w:p w14:paraId="2DFF9D4F">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合同条款号</w:t>
            </w:r>
          </w:p>
        </w:tc>
        <w:tc>
          <w:tcPr>
            <w:tcW w:w="3549" w:type="dxa"/>
            <w:tcBorders>
              <w:top w:val="single" w:color="auto" w:sz="8" w:space="0"/>
              <w:right w:val="single" w:color="auto" w:sz="8" w:space="0"/>
            </w:tcBorders>
            <w:noWrap/>
            <w:vAlign w:val="center"/>
          </w:tcPr>
          <w:p w14:paraId="39058B8F">
            <w:pPr>
              <w:pStyle w:val="48"/>
              <w:keepNext w:val="0"/>
              <w:keepLines w:val="0"/>
              <w:pageBreakBefore w:val="0"/>
              <w:widowControl w:val="0"/>
              <w:kinsoku/>
              <w:wordWrap w:val="0"/>
              <w:overflowPunct/>
              <w:topLinePunct w:val="0"/>
              <w:autoSpaceDE/>
              <w:autoSpaceDN/>
              <w:bidi w:val="0"/>
              <w:snapToGrid/>
              <w:spacing w:beforeAutospacing="0" w:afterAutospacing="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约定内容</w:t>
            </w:r>
          </w:p>
        </w:tc>
        <w:tc>
          <w:tcPr>
            <w:tcW w:w="1211" w:type="dxa"/>
            <w:tcBorders>
              <w:top w:val="single" w:color="auto" w:sz="8" w:space="0"/>
              <w:right w:val="single" w:color="auto" w:sz="8" w:space="0"/>
            </w:tcBorders>
            <w:noWrap/>
            <w:vAlign w:val="center"/>
          </w:tcPr>
          <w:p w14:paraId="0F3A7041">
            <w:pPr>
              <w:pStyle w:val="48"/>
              <w:keepNext w:val="0"/>
              <w:keepLines w:val="0"/>
              <w:pageBreakBefore w:val="0"/>
              <w:widowControl w:val="0"/>
              <w:kinsoku/>
              <w:wordWrap w:val="0"/>
              <w:overflowPunct/>
              <w:topLinePunct w:val="0"/>
              <w:autoSpaceDE/>
              <w:autoSpaceDN/>
              <w:bidi w:val="0"/>
              <w:snapToGrid/>
              <w:spacing w:beforeAutospacing="0" w:afterAutospacing="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备注</w:t>
            </w:r>
          </w:p>
        </w:tc>
      </w:tr>
      <w:tr w14:paraId="1683E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4F60C8FD">
            <w:pPr>
              <w:pStyle w:val="48"/>
              <w:keepNext w:val="0"/>
              <w:keepLines w:val="0"/>
              <w:pageBreakBefore w:val="0"/>
              <w:widowControl w:val="0"/>
              <w:kinsoku/>
              <w:wordWrap w:val="0"/>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617" w:type="dxa"/>
            <w:noWrap/>
            <w:vAlign w:val="center"/>
          </w:tcPr>
          <w:p w14:paraId="291FF76E">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w:t>
            </w:r>
          </w:p>
        </w:tc>
        <w:tc>
          <w:tcPr>
            <w:tcW w:w="1456" w:type="dxa"/>
            <w:noWrap/>
            <w:vAlign w:val="center"/>
          </w:tcPr>
          <w:p w14:paraId="3F005D4E">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1.1.4.5</w:t>
            </w:r>
          </w:p>
        </w:tc>
        <w:tc>
          <w:tcPr>
            <w:tcW w:w="3549" w:type="dxa"/>
            <w:tcBorders>
              <w:right w:val="single" w:color="auto" w:sz="8" w:space="0"/>
            </w:tcBorders>
            <w:noWrap/>
            <w:vAlign w:val="center"/>
          </w:tcPr>
          <w:p w14:paraId="07B23149">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自实际交工日期起计算</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tc>
        <w:tc>
          <w:tcPr>
            <w:tcW w:w="1211" w:type="dxa"/>
            <w:tcBorders>
              <w:right w:val="single" w:color="auto" w:sz="8" w:space="0"/>
            </w:tcBorders>
            <w:noWrap/>
            <w:vAlign w:val="center"/>
          </w:tcPr>
          <w:p w14:paraId="00E13C16">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0C0E9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0CCE50F6">
            <w:pPr>
              <w:pStyle w:val="48"/>
              <w:keepNext w:val="0"/>
              <w:keepLines w:val="0"/>
              <w:pageBreakBefore w:val="0"/>
              <w:widowControl w:val="0"/>
              <w:kinsoku/>
              <w:wordWrap w:val="0"/>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617" w:type="dxa"/>
            <w:noWrap/>
            <w:vAlign w:val="center"/>
          </w:tcPr>
          <w:p w14:paraId="6FA3E072">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逾期交工违约金</w:t>
            </w:r>
          </w:p>
        </w:tc>
        <w:tc>
          <w:tcPr>
            <w:tcW w:w="1456" w:type="dxa"/>
            <w:noWrap/>
            <w:vAlign w:val="center"/>
          </w:tcPr>
          <w:p w14:paraId="6143C985">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11.5</w:t>
            </w:r>
          </w:p>
        </w:tc>
        <w:tc>
          <w:tcPr>
            <w:tcW w:w="3549" w:type="dxa"/>
            <w:tcBorders>
              <w:right w:val="single" w:color="auto" w:sz="8" w:space="0"/>
            </w:tcBorders>
            <w:noWrap/>
            <w:vAlign w:val="center"/>
          </w:tcPr>
          <w:p w14:paraId="1F3FE2AB">
            <w:pPr>
              <w:keepNext w:val="0"/>
              <w:keepLines w:val="0"/>
              <w:pageBreakBefore w:val="0"/>
              <w:widowControl w:val="0"/>
              <w:kinsoku/>
              <w:wordWrap w:val="0"/>
              <w:overflowPunct/>
              <w:topLinePunct w:val="0"/>
              <w:autoSpaceDE/>
              <w:autoSpaceDN/>
              <w:bidi w:val="0"/>
              <w:snapToGrid/>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元/天</w:t>
            </w:r>
          </w:p>
        </w:tc>
        <w:tc>
          <w:tcPr>
            <w:tcW w:w="1211" w:type="dxa"/>
            <w:tcBorders>
              <w:right w:val="single" w:color="auto" w:sz="8" w:space="0"/>
            </w:tcBorders>
            <w:noWrap/>
            <w:vAlign w:val="center"/>
          </w:tcPr>
          <w:p w14:paraId="1F86EF9C">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68A88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308A4E02">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617" w:type="dxa"/>
            <w:noWrap/>
            <w:vAlign w:val="center"/>
          </w:tcPr>
          <w:p w14:paraId="341A2F45">
            <w:pPr>
              <w:pStyle w:val="9"/>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逾期交工违约金限额</w:t>
            </w:r>
          </w:p>
        </w:tc>
        <w:tc>
          <w:tcPr>
            <w:tcW w:w="1456" w:type="dxa"/>
            <w:noWrap/>
            <w:vAlign w:val="center"/>
          </w:tcPr>
          <w:p w14:paraId="159D343A">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11.5</w:t>
            </w:r>
          </w:p>
        </w:tc>
        <w:tc>
          <w:tcPr>
            <w:tcW w:w="3549" w:type="dxa"/>
            <w:tcBorders>
              <w:right w:val="single" w:color="auto" w:sz="8" w:space="0"/>
            </w:tcBorders>
            <w:noWrap/>
            <w:vAlign w:val="center"/>
          </w:tcPr>
          <w:p w14:paraId="10D521B9">
            <w:pPr>
              <w:keepNext w:val="0"/>
              <w:keepLines w:val="0"/>
              <w:pageBreakBefore w:val="0"/>
              <w:widowControl w:val="0"/>
              <w:kinsoku/>
              <w:wordWrap w:val="0"/>
              <w:overflowPunct/>
              <w:topLinePunct w:val="0"/>
              <w:autoSpaceDE/>
              <w:autoSpaceDN/>
              <w:bidi w:val="0"/>
              <w:snapToGrid/>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%签约合同价</w:t>
            </w:r>
          </w:p>
        </w:tc>
        <w:tc>
          <w:tcPr>
            <w:tcW w:w="1211" w:type="dxa"/>
            <w:tcBorders>
              <w:right w:val="single" w:color="auto" w:sz="8" w:space="0"/>
            </w:tcBorders>
            <w:noWrap/>
            <w:vAlign w:val="center"/>
          </w:tcPr>
          <w:p w14:paraId="11923B63">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7A102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1CA49766">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617" w:type="dxa"/>
            <w:noWrap/>
            <w:vAlign w:val="center"/>
          </w:tcPr>
          <w:p w14:paraId="199EFEF4">
            <w:pPr>
              <w:pStyle w:val="9"/>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提前交工的奖金</w:t>
            </w:r>
          </w:p>
        </w:tc>
        <w:tc>
          <w:tcPr>
            <w:tcW w:w="1456" w:type="dxa"/>
            <w:noWrap/>
            <w:vAlign w:val="center"/>
          </w:tcPr>
          <w:p w14:paraId="1E4ECA80">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11.6</w:t>
            </w:r>
          </w:p>
        </w:tc>
        <w:tc>
          <w:tcPr>
            <w:tcW w:w="3549" w:type="dxa"/>
            <w:tcBorders>
              <w:right w:val="single" w:color="auto" w:sz="8" w:space="0"/>
            </w:tcBorders>
            <w:noWrap/>
            <w:vAlign w:val="center"/>
          </w:tcPr>
          <w:p w14:paraId="15CC76DD">
            <w:pPr>
              <w:keepNext w:val="0"/>
              <w:keepLines w:val="0"/>
              <w:pageBreakBefore w:val="0"/>
              <w:widowControl w:val="0"/>
              <w:kinsoku/>
              <w:wordWrap w:val="0"/>
              <w:overflowPunct/>
              <w:topLinePunct w:val="0"/>
              <w:autoSpaceDE/>
              <w:autoSpaceDN/>
              <w:bidi w:val="0"/>
              <w:snapToGrid/>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不适用</w:t>
            </w:r>
          </w:p>
        </w:tc>
        <w:tc>
          <w:tcPr>
            <w:tcW w:w="1211" w:type="dxa"/>
            <w:tcBorders>
              <w:right w:val="single" w:color="auto" w:sz="8" w:space="0"/>
            </w:tcBorders>
            <w:noWrap/>
            <w:vAlign w:val="center"/>
          </w:tcPr>
          <w:p w14:paraId="3BB6AAAB">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6F863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6479A76E">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617" w:type="dxa"/>
            <w:noWrap/>
            <w:vAlign w:val="center"/>
          </w:tcPr>
          <w:p w14:paraId="7162DBD7">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提前交工的奖金限额</w:t>
            </w:r>
          </w:p>
        </w:tc>
        <w:tc>
          <w:tcPr>
            <w:tcW w:w="1456" w:type="dxa"/>
            <w:noWrap/>
            <w:vAlign w:val="center"/>
          </w:tcPr>
          <w:p w14:paraId="07B3900D">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11.6</w:t>
            </w:r>
          </w:p>
        </w:tc>
        <w:tc>
          <w:tcPr>
            <w:tcW w:w="3549" w:type="dxa"/>
            <w:tcBorders>
              <w:right w:val="single" w:color="auto" w:sz="8" w:space="0"/>
            </w:tcBorders>
            <w:noWrap/>
            <w:vAlign w:val="center"/>
          </w:tcPr>
          <w:p w14:paraId="21689A6C">
            <w:pPr>
              <w:keepNext w:val="0"/>
              <w:keepLines w:val="0"/>
              <w:pageBreakBefore w:val="0"/>
              <w:widowControl w:val="0"/>
              <w:kinsoku/>
              <w:wordWrap w:val="0"/>
              <w:overflowPunct/>
              <w:topLinePunct w:val="0"/>
              <w:autoSpaceDE/>
              <w:autoSpaceDN/>
              <w:bidi w:val="0"/>
              <w:snapToGrid/>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不适用</w:t>
            </w:r>
          </w:p>
        </w:tc>
        <w:tc>
          <w:tcPr>
            <w:tcW w:w="1211" w:type="dxa"/>
            <w:tcBorders>
              <w:right w:val="single" w:color="auto" w:sz="8" w:space="0"/>
            </w:tcBorders>
            <w:noWrap/>
            <w:vAlign w:val="center"/>
          </w:tcPr>
          <w:p w14:paraId="20A4E0A0">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4AC7D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78D1A326">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2617" w:type="dxa"/>
            <w:noWrap/>
            <w:vAlign w:val="center"/>
          </w:tcPr>
          <w:p w14:paraId="017EF62B">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价格调整的差额计算</w:t>
            </w:r>
          </w:p>
        </w:tc>
        <w:tc>
          <w:tcPr>
            <w:tcW w:w="1456" w:type="dxa"/>
            <w:noWrap/>
            <w:vAlign w:val="center"/>
          </w:tcPr>
          <w:p w14:paraId="7C6C40D5">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16.1.1</w:t>
            </w:r>
          </w:p>
        </w:tc>
        <w:tc>
          <w:tcPr>
            <w:tcW w:w="3549" w:type="dxa"/>
            <w:tcBorders>
              <w:right w:val="single" w:color="auto" w:sz="8" w:space="0"/>
            </w:tcBorders>
            <w:noWrap/>
            <w:vAlign w:val="center"/>
          </w:tcPr>
          <w:p w14:paraId="0914C7EE">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lang w:eastAsia="zh-CN"/>
              </w:rPr>
            </w:pPr>
            <w:bookmarkStart w:id="453" w:name="_Hlt130800536"/>
            <w:bookmarkEnd w:id="453"/>
            <w:r>
              <w:rPr>
                <w:rFonts w:hint="eastAsia" w:ascii="宋体" w:hAnsi="宋体" w:cs="宋体"/>
                <w:color w:val="auto"/>
                <w:szCs w:val="21"/>
                <w:highlight w:val="none"/>
                <w:lang w:eastAsia="zh-CN"/>
              </w:rPr>
              <w:t>不适用</w:t>
            </w:r>
          </w:p>
        </w:tc>
        <w:tc>
          <w:tcPr>
            <w:tcW w:w="1211" w:type="dxa"/>
            <w:tcBorders>
              <w:right w:val="single" w:color="auto" w:sz="8" w:space="0"/>
            </w:tcBorders>
            <w:noWrap/>
            <w:vAlign w:val="center"/>
          </w:tcPr>
          <w:p w14:paraId="2AA6D17F">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4"/>
                <w:highlight w:val="none"/>
              </w:rPr>
            </w:pPr>
          </w:p>
        </w:tc>
      </w:tr>
      <w:tr w14:paraId="0D91A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767A4FE0">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2617" w:type="dxa"/>
            <w:noWrap/>
            <w:vAlign w:val="center"/>
          </w:tcPr>
          <w:p w14:paraId="5E1A11BD">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开工预付款金额</w:t>
            </w:r>
          </w:p>
        </w:tc>
        <w:tc>
          <w:tcPr>
            <w:tcW w:w="1456" w:type="dxa"/>
            <w:noWrap/>
            <w:vAlign w:val="center"/>
          </w:tcPr>
          <w:p w14:paraId="7790252F">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17.2.1</w:t>
            </w:r>
          </w:p>
        </w:tc>
        <w:tc>
          <w:tcPr>
            <w:tcW w:w="3549" w:type="dxa"/>
            <w:tcBorders>
              <w:right w:val="single" w:color="auto" w:sz="8" w:space="0"/>
            </w:tcBorders>
            <w:noWrap/>
            <w:vAlign w:val="center"/>
          </w:tcPr>
          <w:p w14:paraId="0750B13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rPr>
            </w:pPr>
            <w:bookmarkStart w:id="454" w:name="_Hlt130800716"/>
            <w:bookmarkEnd w:id="454"/>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%签约合同价</w:t>
            </w:r>
          </w:p>
        </w:tc>
        <w:tc>
          <w:tcPr>
            <w:tcW w:w="1211" w:type="dxa"/>
            <w:tcBorders>
              <w:right w:val="single" w:color="auto" w:sz="8" w:space="0"/>
            </w:tcBorders>
            <w:noWrap/>
            <w:vAlign w:val="center"/>
          </w:tcPr>
          <w:p w14:paraId="2187F5FD">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4"/>
                <w:highlight w:val="none"/>
              </w:rPr>
            </w:pPr>
          </w:p>
        </w:tc>
      </w:tr>
      <w:tr w14:paraId="6CEAC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3F326747">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2617" w:type="dxa"/>
            <w:noWrap/>
            <w:vAlign w:val="center"/>
          </w:tcPr>
          <w:p w14:paraId="7A830FE3">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材料、设备预付款比例</w:t>
            </w:r>
          </w:p>
        </w:tc>
        <w:tc>
          <w:tcPr>
            <w:tcW w:w="1456" w:type="dxa"/>
            <w:noWrap/>
            <w:vAlign w:val="center"/>
          </w:tcPr>
          <w:p w14:paraId="43A2CFAA">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17.2.1</w:t>
            </w:r>
          </w:p>
        </w:tc>
        <w:tc>
          <w:tcPr>
            <w:tcW w:w="3549" w:type="dxa"/>
            <w:tcBorders>
              <w:right w:val="single" w:color="auto" w:sz="8" w:space="0"/>
            </w:tcBorders>
            <w:noWrap/>
            <w:vAlign w:val="center"/>
          </w:tcPr>
          <w:p w14:paraId="2E605DD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val="en-US" w:eastAsia="zh-CN"/>
              </w:rPr>
              <w:t>等</w:t>
            </w:r>
            <w:r>
              <w:rPr>
                <w:rFonts w:hint="eastAsia" w:ascii="宋体" w:hAnsi="宋体" w:eastAsia="宋体" w:cs="宋体"/>
                <w:color w:val="auto"/>
                <w:szCs w:val="21"/>
                <w:highlight w:val="none"/>
                <w:u w:val="none"/>
              </w:rPr>
              <w:t>主要</w:t>
            </w:r>
            <w:r>
              <w:rPr>
                <w:rFonts w:hint="eastAsia" w:ascii="宋体" w:hAnsi="宋体" w:eastAsia="宋体" w:cs="宋体"/>
                <w:color w:val="auto"/>
                <w:szCs w:val="21"/>
                <w:highlight w:val="none"/>
              </w:rPr>
              <w:t>材料、设备单据所列费用的</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tc>
        <w:tc>
          <w:tcPr>
            <w:tcW w:w="1211" w:type="dxa"/>
            <w:tcBorders>
              <w:right w:val="single" w:color="auto" w:sz="8" w:space="0"/>
            </w:tcBorders>
            <w:noWrap/>
            <w:vAlign w:val="center"/>
          </w:tcPr>
          <w:p w14:paraId="2366BB83">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4"/>
                <w:highlight w:val="none"/>
              </w:rPr>
            </w:pPr>
          </w:p>
        </w:tc>
      </w:tr>
      <w:tr w14:paraId="694F7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147CB60E">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617" w:type="dxa"/>
            <w:noWrap/>
            <w:vAlign w:val="center"/>
          </w:tcPr>
          <w:p w14:paraId="24125024">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进度付款证书最低限额</w:t>
            </w:r>
          </w:p>
        </w:tc>
        <w:tc>
          <w:tcPr>
            <w:tcW w:w="1456" w:type="dxa"/>
            <w:noWrap/>
            <w:vAlign w:val="center"/>
          </w:tcPr>
          <w:p w14:paraId="22D59F02">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17.3.3</w:t>
            </w:r>
          </w:p>
        </w:tc>
        <w:tc>
          <w:tcPr>
            <w:tcW w:w="3549" w:type="dxa"/>
            <w:tcBorders>
              <w:right w:val="single" w:color="auto" w:sz="8" w:space="0"/>
            </w:tcBorders>
            <w:noWrap/>
            <w:vAlign w:val="center"/>
          </w:tcPr>
          <w:p w14:paraId="3AE524C4">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万元</w:t>
            </w:r>
          </w:p>
        </w:tc>
        <w:tc>
          <w:tcPr>
            <w:tcW w:w="1211" w:type="dxa"/>
            <w:tcBorders>
              <w:right w:val="single" w:color="auto" w:sz="8" w:space="0"/>
            </w:tcBorders>
            <w:noWrap/>
            <w:vAlign w:val="center"/>
          </w:tcPr>
          <w:p w14:paraId="3070810B">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4"/>
                <w:highlight w:val="none"/>
              </w:rPr>
            </w:pPr>
          </w:p>
        </w:tc>
      </w:tr>
      <w:tr w14:paraId="51D61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19524C8B">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2617" w:type="dxa"/>
            <w:noWrap/>
            <w:vAlign w:val="center"/>
          </w:tcPr>
          <w:p w14:paraId="344DEEB9">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逾期付款违约金的利率</w:t>
            </w:r>
          </w:p>
        </w:tc>
        <w:tc>
          <w:tcPr>
            <w:tcW w:w="1456" w:type="dxa"/>
            <w:noWrap/>
            <w:vAlign w:val="center"/>
          </w:tcPr>
          <w:p w14:paraId="2A6ACAA6">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17.3.3</w:t>
            </w:r>
          </w:p>
        </w:tc>
        <w:tc>
          <w:tcPr>
            <w:tcW w:w="3549" w:type="dxa"/>
            <w:tcBorders>
              <w:right w:val="single" w:color="auto" w:sz="8" w:space="0"/>
            </w:tcBorders>
            <w:noWrap/>
            <w:vAlign w:val="center"/>
          </w:tcPr>
          <w:p w14:paraId="1880719E">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按同期贷款市场报价利率（LPR）一年期利率计算</w:t>
            </w:r>
          </w:p>
        </w:tc>
        <w:tc>
          <w:tcPr>
            <w:tcW w:w="1211" w:type="dxa"/>
            <w:tcBorders>
              <w:right w:val="single" w:color="auto" w:sz="8" w:space="0"/>
            </w:tcBorders>
            <w:noWrap/>
            <w:vAlign w:val="center"/>
          </w:tcPr>
          <w:p w14:paraId="57B82BCF">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7E04D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69FF8A6D">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2617" w:type="dxa"/>
            <w:noWrap/>
            <w:vAlign w:val="center"/>
          </w:tcPr>
          <w:p w14:paraId="18744B1A">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质量保证金金额</w:t>
            </w:r>
          </w:p>
        </w:tc>
        <w:tc>
          <w:tcPr>
            <w:tcW w:w="1456" w:type="dxa"/>
            <w:noWrap/>
            <w:vAlign w:val="center"/>
          </w:tcPr>
          <w:p w14:paraId="17EEA375">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17.4.1</w:t>
            </w:r>
          </w:p>
        </w:tc>
        <w:tc>
          <w:tcPr>
            <w:tcW w:w="3549" w:type="dxa"/>
            <w:tcBorders>
              <w:right w:val="single" w:color="auto" w:sz="8" w:space="0"/>
            </w:tcBorders>
            <w:noWrap/>
            <w:vAlign w:val="center"/>
          </w:tcPr>
          <w:p w14:paraId="1CEE076D">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%合同价格</w:t>
            </w:r>
          </w:p>
        </w:tc>
        <w:tc>
          <w:tcPr>
            <w:tcW w:w="1211" w:type="dxa"/>
            <w:tcBorders>
              <w:right w:val="single" w:color="auto" w:sz="8" w:space="0"/>
            </w:tcBorders>
            <w:noWrap/>
            <w:vAlign w:val="center"/>
          </w:tcPr>
          <w:p w14:paraId="48D76E49">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61F55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3B021FD8">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2617" w:type="dxa"/>
            <w:noWrap/>
            <w:vAlign w:val="center"/>
          </w:tcPr>
          <w:p w14:paraId="6FB70AC9">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保修期</w:t>
            </w:r>
          </w:p>
        </w:tc>
        <w:tc>
          <w:tcPr>
            <w:tcW w:w="1456" w:type="dxa"/>
            <w:noWrap/>
            <w:vAlign w:val="center"/>
          </w:tcPr>
          <w:p w14:paraId="24C07DDD">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19.7</w:t>
            </w:r>
          </w:p>
        </w:tc>
        <w:tc>
          <w:tcPr>
            <w:tcW w:w="3549" w:type="dxa"/>
            <w:tcBorders>
              <w:right w:val="single" w:color="auto" w:sz="8" w:space="0"/>
            </w:tcBorders>
            <w:noWrap/>
            <w:vAlign w:val="center"/>
          </w:tcPr>
          <w:p w14:paraId="00829CE9">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不适用</w:t>
            </w:r>
          </w:p>
        </w:tc>
        <w:tc>
          <w:tcPr>
            <w:tcW w:w="1211" w:type="dxa"/>
            <w:tcBorders>
              <w:right w:val="single" w:color="auto" w:sz="8" w:space="0"/>
            </w:tcBorders>
            <w:noWrap/>
            <w:vAlign w:val="center"/>
          </w:tcPr>
          <w:p w14:paraId="49E90441">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bl>
    <w:p w14:paraId="3C733C0F">
      <w:pPr>
        <w:keepNext w:val="0"/>
        <w:keepLines w:val="0"/>
        <w:pageBreakBefore w:val="0"/>
        <w:widowControl w:val="0"/>
        <w:kinsoku/>
        <w:wordWrap w:val="0"/>
        <w:overflowPunct/>
        <w:topLinePunct w:val="0"/>
        <w:autoSpaceDE/>
        <w:autoSpaceDN/>
        <w:bidi w:val="0"/>
        <w:adjustRightInd w:val="0"/>
        <w:snapToGrid/>
        <w:spacing w:line="560" w:lineRule="exact"/>
        <w:ind w:right="420"/>
        <w:rPr>
          <w:rFonts w:ascii="宋体" w:hAnsi="宋体" w:cs="宋体"/>
          <w:color w:val="auto"/>
          <w:kern w:val="0"/>
          <w:sz w:val="24"/>
          <w:highlight w:val="none"/>
        </w:rPr>
      </w:pPr>
    </w:p>
    <w:p w14:paraId="36B113C0">
      <w:pPr>
        <w:pStyle w:val="21"/>
        <w:rPr>
          <w:rFonts w:hint="default"/>
          <w:color w:val="auto"/>
          <w:highlight w:val="none"/>
          <w:lang w:val="en-US"/>
        </w:rPr>
      </w:pPr>
    </w:p>
    <w:p w14:paraId="73986990">
      <w:pPr>
        <w:rPr>
          <w:rFonts w:hint="default"/>
          <w:color w:val="auto"/>
          <w:highlight w:val="none"/>
          <w:lang w:val="en-US"/>
        </w:rPr>
      </w:pPr>
    </w:p>
    <w:p w14:paraId="2DF045E6">
      <w:pPr>
        <w:pStyle w:val="21"/>
        <w:rPr>
          <w:rFonts w:hint="default"/>
          <w:color w:val="auto"/>
          <w:highlight w:val="none"/>
          <w:lang w:val="en-US"/>
        </w:rPr>
      </w:pPr>
    </w:p>
    <w:p w14:paraId="48800906">
      <w:pPr>
        <w:rPr>
          <w:rFonts w:hint="default"/>
          <w:color w:val="auto"/>
          <w:highlight w:val="none"/>
          <w:lang w:val="en-US"/>
        </w:rPr>
      </w:pPr>
    </w:p>
    <w:p w14:paraId="45DE9CEA">
      <w:pPr>
        <w:pStyle w:val="21"/>
        <w:rPr>
          <w:rFonts w:hint="default"/>
          <w:color w:val="auto"/>
          <w:highlight w:val="none"/>
          <w:lang w:val="en-US"/>
        </w:rPr>
      </w:pPr>
    </w:p>
    <w:p w14:paraId="2B00D7A4">
      <w:pPr>
        <w:rPr>
          <w:rFonts w:hint="default"/>
          <w:color w:val="auto"/>
          <w:highlight w:val="none"/>
          <w:lang w:val="en-US"/>
        </w:rPr>
      </w:pPr>
    </w:p>
    <w:p w14:paraId="57BEE5C0">
      <w:pPr>
        <w:pStyle w:val="21"/>
        <w:rPr>
          <w:rFonts w:hint="default"/>
          <w:color w:val="auto"/>
          <w:highlight w:val="none"/>
          <w:lang w:val="en-US"/>
        </w:rPr>
      </w:pPr>
    </w:p>
    <w:p w14:paraId="620CA212">
      <w:pPr>
        <w:rPr>
          <w:rFonts w:hint="default"/>
          <w:color w:val="auto"/>
          <w:highlight w:val="none"/>
          <w:lang w:val="en-US"/>
        </w:rPr>
      </w:pPr>
    </w:p>
    <w:p w14:paraId="440EADF9">
      <w:pPr>
        <w:pStyle w:val="21"/>
        <w:rPr>
          <w:rFonts w:hint="default"/>
          <w:color w:val="auto"/>
          <w:highlight w:val="none"/>
          <w:lang w:val="en-US"/>
        </w:rPr>
      </w:pPr>
    </w:p>
    <w:p w14:paraId="7BBD36A7">
      <w:pPr>
        <w:rPr>
          <w:rFonts w:hint="default"/>
          <w:color w:val="auto"/>
          <w:highlight w:val="none"/>
          <w:lang w:val="en-US"/>
        </w:rPr>
      </w:pPr>
    </w:p>
    <w:p w14:paraId="6CB8572C">
      <w:pPr>
        <w:pStyle w:val="21"/>
        <w:rPr>
          <w:rFonts w:hint="default"/>
          <w:color w:val="auto"/>
          <w:highlight w:val="none"/>
          <w:lang w:val="en-US"/>
        </w:rPr>
      </w:pPr>
    </w:p>
    <w:p w14:paraId="06E92B48">
      <w:pPr>
        <w:rPr>
          <w:rFonts w:hint="default"/>
          <w:color w:val="auto"/>
          <w:highlight w:val="none"/>
          <w:lang w:val="en-US"/>
        </w:rPr>
      </w:pPr>
    </w:p>
    <w:p w14:paraId="5D2F72A9">
      <w:pPr>
        <w:pStyle w:val="21"/>
        <w:rPr>
          <w:rFonts w:hint="default"/>
          <w:color w:val="auto"/>
          <w:highlight w:val="none"/>
          <w:lang w:val="en-US"/>
        </w:rPr>
      </w:pPr>
    </w:p>
    <w:p w14:paraId="6F19F929">
      <w:pPr>
        <w:pStyle w:val="21"/>
        <w:ind w:left="0" w:leftChars="0" w:firstLine="0" w:firstLineChars="0"/>
        <w:rPr>
          <w:rFonts w:hint="default"/>
          <w:color w:val="auto"/>
          <w:highlight w:val="none"/>
          <w:lang w:val="en-US"/>
        </w:rPr>
      </w:pPr>
    </w:p>
    <w:p w14:paraId="3F587B2C">
      <w:pPr>
        <w:keepNext w:val="0"/>
        <w:keepLines w:val="0"/>
        <w:pageBreakBefore w:val="0"/>
        <w:widowControl w:val="0"/>
        <w:kinsoku/>
        <w:wordWrap w:val="0"/>
        <w:overflowPunct/>
        <w:topLinePunct w:val="0"/>
        <w:autoSpaceDE/>
        <w:autoSpaceDN/>
        <w:bidi w:val="0"/>
        <w:snapToGrid/>
        <w:jc w:val="center"/>
        <w:outlineLvl w:val="1"/>
        <w:rPr>
          <w:rFonts w:hint="eastAsia" w:ascii="宋体" w:hAnsi="宋体" w:eastAsia="宋体" w:cs="宋体"/>
          <w:b/>
          <w:bCs/>
          <w:color w:val="auto"/>
          <w:sz w:val="30"/>
          <w:szCs w:val="30"/>
          <w:highlight w:val="none"/>
        </w:rPr>
      </w:pPr>
      <w:bookmarkStart w:id="455" w:name="_Toc535"/>
      <w:r>
        <w:rPr>
          <w:rFonts w:hint="eastAsia" w:ascii="宋体" w:hAnsi="宋体" w:eastAsia="宋体" w:cs="宋体"/>
          <w:b/>
          <w:bCs/>
          <w:color w:val="auto"/>
          <w:sz w:val="30"/>
          <w:szCs w:val="30"/>
          <w:highlight w:val="none"/>
        </w:rPr>
        <w:t>二、授权委托书或法定代表人身份证明</w:t>
      </w:r>
      <w:bookmarkEnd w:id="455"/>
    </w:p>
    <w:p w14:paraId="3754096E">
      <w:pPr>
        <w:pStyle w:val="3"/>
        <w:keepNext w:val="0"/>
        <w:keepLines w:val="0"/>
        <w:pageBreakBefore w:val="0"/>
        <w:widowControl w:val="0"/>
        <w:numPr>
          <w:ilvl w:val="1"/>
          <w:numId w:val="0"/>
        </w:numPr>
        <w:kinsoku/>
        <w:wordWrap w:val="0"/>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color w:val="auto"/>
          <w:sz w:val="28"/>
          <w:szCs w:val="28"/>
          <w:highlight w:val="none"/>
        </w:rPr>
      </w:pPr>
      <w:bookmarkStart w:id="456" w:name="_Toc16778840"/>
      <w:bookmarkStart w:id="457" w:name="_Toc27211"/>
      <w:bookmarkStart w:id="458" w:name="_Toc22619"/>
      <w:r>
        <w:rPr>
          <w:rFonts w:hint="eastAsia" w:ascii="宋体" w:hAnsi="宋体" w:eastAsia="宋体" w:cs="宋体"/>
          <w:b/>
          <w:bCs/>
          <w:color w:val="auto"/>
          <w:sz w:val="28"/>
          <w:szCs w:val="28"/>
          <w:highlight w:val="none"/>
        </w:rPr>
        <w:t>（一）授权委托书</w:t>
      </w:r>
      <w:bookmarkEnd w:id="456"/>
      <w:bookmarkEnd w:id="457"/>
      <w:bookmarkEnd w:id="458"/>
    </w:p>
    <w:p w14:paraId="676EAED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（投标人名称）的法定代表人，现委托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（姓名）为我方代理人。代理人根据授权，以我方名义签署、澄清确认、递交、撤回、修改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标段施工投标文件、签订合同和处理有关事宜，其法律后果由我方承担。</w:t>
      </w:r>
    </w:p>
    <w:p w14:paraId="7ECD00D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委托期限：自本委托书签署之日起至投标有效期期满。</w:t>
      </w:r>
    </w:p>
    <w:p w14:paraId="07968FB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53E6FBA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0999995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附：法定代表人身份证复印件及委托代理人身份证复印件。</w:t>
      </w:r>
    </w:p>
    <w:p w14:paraId="4FCBC56F">
      <w:pPr>
        <w:pStyle w:val="21"/>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p w14:paraId="6805CB65">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p>
    <w:p w14:paraId="24A52ED0">
      <w:pPr>
        <w:keepNext w:val="0"/>
        <w:keepLines w:val="0"/>
        <w:pageBreakBefore w:val="0"/>
        <w:widowControl w:val="0"/>
        <w:kinsoku/>
        <w:wordWrap w:val="0"/>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投</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标</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（盖单位章）</w:t>
      </w:r>
    </w:p>
    <w:p w14:paraId="2F1A9E9A">
      <w:pPr>
        <w:keepNext w:val="0"/>
        <w:keepLines w:val="0"/>
        <w:pageBreakBefore w:val="0"/>
        <w:widowControl w:val="0"/>
        <w:kinsoku/>
        <w:wordWrap w:val="0"/>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p>
    <w:p w14:paraId="7F40A85F">
      <w:pPr>
        <w:keepNext w:val="0"/>
        <w:keepLines w:val="0"/>
        <w:pageBreakBefore w:val="0"/>
        <w:widowControl w:val="0"/>
        <w:kinsoku/>
        <w:wordWrap w:val="0"/>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p>
    <w:p w14:paraId="4B1F38DE">
      <w:pPr>
        <w:keepNext w:val="0"/>
        <w:keepLines w:val="0"/>
        <w:pageBreakBefore w:val="0"/>
        <w:widowControl w:val="0"/>
        <w:kinsoku/>
        <w:wordWrap w:val="0"/>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委托代理人：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p>
    <w:p w14:paraId="0A6CA996">
      <w:pPr>
        <w:keepNext w:val="0"/>
        <w:keepLines w:val="0"/>
        <w:pageBreakBefore w:val="0"/>
        <w:widowControl w:val="0"/>
        <w:kinsoku/>
        <w:wordWrap w:val="0"/>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lang w:val="en-US" w:eastAsia="zh-CN"/>
        </w:rPr>
        <w:t xml:space="preserve">                            </w:t>
      </w:r>
    </w:p>
    <w:p w14:paraId="4EA25B98">
      <w:pPr>
        <w:keepNext w:val="0"/>
        <w:keepLines w:val="0"/>
        <w:pageBreakBefore w:val="0"/>
        <w:widowControl w:val="0"/>
        <w:kinsoku/>
        <w:wordWrap w:val="0"/>
        <w:overflowPunct/>
        <w:topLinePunct w:val="0"/>
        <w:autoSpaceDE/>
        <w:autoSpaceDN/>
        <w:bidi w:val="0"/>
        <w:adjustRightInd/>
        <w:snapToGrid/>
        <w:spacing w:before="313" w:beforeLines="100" w:line="360" w:lineRule="auto"/>
        <w:jc w:val="center"/>
        <w:textAlignment w:val="auto"/>
        <w:rPr>
          <w:rFonts w:hint="eastAsia" w:ascii="宋体" w:hAnsi="宋体" w:eastAsia="宋体" w:cs="宋体"/>
          <w:color w:val="auto"/>
          <w:sz w:val="24"/>
          <w:highlight w:val="none"/>
        </w:rPr>
      </w:pPr>
      <w:r>
        <w:rPr>
          <w:rFonts w:hint="eastAsia" w:ascii="宋体" w:hAnsi="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49497C7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p>
    <w:p w14:paraId="53CDEB7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p>
    <w:p w14:paraId="1CD6183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5E2ADF3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1.法定代表人和委托代理人必须在授权委托书上亲笔签名，不得使用印章、签名章或其他电子制版签名代替；</w:t>
      </w:r>
    </w:p>
    <w:p w14:paraId="2EB681F0">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2.如果由投标人的法定代表人签署投标文件，则无须提交授权委托书。</w:t>
      </w:r>
    </w:p>
    <w:p w14:paraId="0D561BE6">
      <w:pPr>
        <w:pStyle w:val="21"/>
        <w:rPr>
          <w:rFonts w:hint="eastAsia" w:ascii="宋体" w:hAnsi="宋体" w:eastAsia="宋体" w:cs="宋体"/>
          <w:color w:val="auto"/>
          <w:sz w:val="21"/>
          <w:szCs w:val="21"/>
          <w:highlight w:val="none"/>
        </w:rPr>
      </w:pPr>
    </w:p>
    <w:p w14:paraId="5CCBC28A">
      <w:pPr>
        <w:rPr>
          <w:rFonts w:hint="eastAsia" w:ascii="宋体" w:hAnsi="宋体" w:eastAsia="宋体" w:cs="宋体"/>
          <w:color w:val="auto"/>
          <w:sz w:val="21"/>
          <w:szCs w:val="21"/>
          <w:highlight w:val="none"/>
        </w:rPr>
      </w:pPr>
    </w:p>
    <w:p w14:paraId="40D7CF61">
      <w:pPr>
        <w:pStyle w:val="21"/>
        <w:rPr>
          <w:rFonts w:hint="eastAsia" w:ascii="宋体" w:hAnsi="宋体" w:eastAsia="宋体" w:cs="宋体"/>
          <w:color w:val="auto"/>
          <w:sz w:val="21"/>
          <w:szCs w:val="21"/>
          <w:highlight w:val="none"/>
        </w:rPr>
      </w:pPr>
    </w:p>
    <w:p w14:paraId="1BD9803D">
      <w:pPr>
        <w:rPr>
          <w:rFonts w:hint="eastAsia" w:ascii="宋体" w:hAnsi="宋体" w:eastAsia="宋体" w:cs="宋体"/>
          <w:color w:val="auto"/>
          <w:sz w:val="21"/>
          <w:szCs w:val="21"/>
          <w:highlight w:val="none"/>
        </w:rPr>
      </w:pPr>
    </w:p>
    <w:p w14:paraId="4F1BAC75">
      <w:pPr>
        <w:pStyle w:val="21"/>
        <w:rPr>
          <w:rFonts w:hint="eastAsia" w:ascii="宋体" w:hAnsi="宋体" w:eastAsia="宋体" w:cs="宋体"/>
          <w:color w:val="auto"/>
          <w:sz w:val="21"/>
          <w:szCs w:val="21"/>
          <w:highlight w:val="none"/>
        </w:rPr>
      </w:pPr>
    </w:p>
    <w:p w14:paraId="43353AF2">
      <w:pPr>
        <w:pStyle w:val="21"/>
        <w:ind w:left="0" w:leftChars="0" w:firstLine="0" w:firstLineChars="0"/>
        <w:rPr>
          <w:rFonts w:hint="eastAsia" w:ascii="宋体" w:hAnsi="宋体" w:eastAsia="宋体" w:cs="宋体"/>
          <w:color w:val="auto"/>
          <w:sz w:val="21"/>
          <w:szCs w:val="21"/>
          <w:highlight w:val="none"/>
        </w:rPr>
      </w:pPr>
    </w:p>
    <w:p w14:paraId="5ABB1E67">
      <w:pPr>
        <w:pStyle w:val="3"/>
        <w:keepNext w:val="0"/>
        <w:keepLines w:val="0"/>
        <w:pageBreakBefore w:val="0"/>
        <w:widowControl w:val="0"/>
        <w:numPr>
          <w:ilvl w:val="1"/>
          <w:numId w:val="0"/>
        </w:numPr>
        <w:kinsoku/>
        <w:wordWrap w:val="0"/>
        <w:overflowPunct/>
        <w:topLinePunct w:val="0"/>
        <w:autoSpaceDE/>
        <w:autoSpaceDN/>
        <w:bidi w:val="0"/>
        <w:snapToGrid/>
        <w:jc w:val="center"/>
        <w:rPr>
          <w:rFonts w:hint="eastAsia" w:ascii="宋体" w:hAnsi="宋体" w:eastAsia="宋体" w:cs="宋体"/>
          <w:color w:val="auto"/>
          <w:szCs w:val="21"/>
          <w:highlight w:val="none"/>
        </w:rPr>
      </w:pPr>
      <w:bookmarkStart w:id="459" w:name="_Toc20164"/>
      <w:bookmarkStart w:id="460" w:name="_Toc17797"/>
      <w:bookmarkStart w:id="461" w:name="_Toc16778841"/>
      <w:r>
        <w:rPr>
          <w:rFonts w:hint="eastAsia" w:ascii="宋体" w:hAnsi="宋体" w:eastAsia="宋体" w:cs="宋体"/>
          <w:b/>
          <w:bCs/>
          <w:color w:val="auto"/>
          <w:sz w:val="28"/>
          <w:szCs w:val="28"/>
          <w:highlight w:val="none"/>
        </w:rPr>
        <w:t>（二）法定代表人身份证明</w:t>
      </w:r>
      <w:bookmarkEnd w:id="459"/>
      <w:bookmarkEnd w:id="460"/>
      <w:bookmarkEnd w:id="461"/>
    </w:p>
    <w:p w14:paraId="3CDC1FC5">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投标人名称：</w:t>
      </w:r>
      <w:r>
        <w:rPr>
          <w:rFonts w:hint="eastAsia" w:ascii="宋体" w:hAnsi="宋体" w:eastAsia="宋体" w:cs="宋体"/>
          <w:color w:val="auto"/>
          <w:sz w:val="24"/>
          <w:highlight w:val="none"/>
          <w:u w:val="single"/>
          <w:lang w:val="en-US" w:eastAsia="zh-CN"/>
        </w:rPr>
        <w:t xml:space="preserve">                  </w:t>
      </w:r>
    </w:p>
    <w:p w14:paraId="28E7C344">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r>
        <w:rPr>
          <w:rFonts w:hint="eastAsia" w:ascii="宋体" w:hAnsi="宋体" w:eastAsia="宋体" w:cs="宋体"/>
          <w:color w:val="auto"/>
          <w:sz w:val="24"/>
          <w:highlight w:val="none"/>
          <w:u w:val="single"/>
        </w:rPr>
        <w:t xml:space="preserve"> （法定代表人亲笔签字）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w:t>
      </w:r>
    </w:p>
    <w:p w14:paraId="2A6CE4E8">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（投标人名称）的法定代表人。</w:t>
      </w:r>
    </w:p>
    <w:p w14:paraId="69DA670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480EC056">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p w14:paraId="6B40E14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附：法定代表人身份证复印件。</w:t>
      </w:r>
    </w:p>
    <w:p w14:paraId="1BEB3343">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auto"/>
          <w:sz w:val="24"/>
          <w:highlight w:val="none"/>
        </w:rPr>
      </w:pPr>
    </w:p>
    <w:p w14:paraId="487EE015">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auto"/>
          <w:sz w:val="24"/>
          <w:highlight w:val="none"/>
        </w:rPr>
      </w:pPr>
    </w:p>
    <w:p w14:paraId="57FF0BE5">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投标人：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（盖单位章）</w:t>
      </w:r>
    </w:p>
    <w:p w14:paraId="4EC22714">
      <w:pPr>
        <w:keepNext w:val="0"/>
        <w:keepLines w:val="0"/>
        <w:pageBreakBefore w:val="0"/>
        <w:widowControl w:val="0"/>
        <w:kinsoku/>
        <w:wordWrap w:val="0"/>
        <w:overflowPunct/>
        <w:topLinePunct w:val="0"/>
        <w:autoSpaceDE/>
        <w:autoSpaceDN/>
        <w:bidi w:val="0"/>
        <w:adjustRightInd/>
        <w:snapToGrid/>
        <w:spacing w:before="313" w:beforeLines="100" w:line="360" w:lineRule="auto"/>
        <w:jc w:val="center"/>
        <w:textAlignment w:val="auto"/>
        <w:rPr>
          <w:rFonts w:hint="eastAsia" w:ascii="宋体" w:hAnsi="宋体" w:eastAsia="宋体" w:cs="宋体"/>
          <w:color w:val="auto"/>
          <w:sz w:val="24"/>
          <w:highlight w:val="none"/>
        </w:rPr>
      </w:pPr>
      <w:r>
        <w:rPr>
          <w:rFonts w:hint="eastAsia" w:ascii="宋体" w:hAnsi="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4FB48D97">
      <w:pPr>
        <w:keepNext w:val="0"/>
        <w:keepLines w:val="0"/>
        <w:pageBreakBefore w:val="0"/>
        <w:widowControl w:val="0"/>
        <w:kinsoku/>
        <w:wordWrap w:val="0"/>
        <w:overflowPunct/>
        <w:topLinePunct w:val="0"/>
        <w:autoSpaceDE/>
        <w:autoSpaceDN/>
        <w:bidi w:val="0"/>
        <w:snapToGrid/>
        <w:spacing w:line="360" w:lineRule="auto"/>
        <w:jc w:val="right"/>
        <w:rPr>
          <w:rFonts w:hint="eastAsia" w:ascii="宋体" w:hAnsi="宋体" w:eastAsia="宋体" w:cs="宋体"/>
          <w:color w:val="auto"/>
          <w:sz w:val="24"/>
          <w:highlight w:val="none"/>
        </w:rPr>
      </w:pPr>
    </w:p>
    <w:p w14:paraId="49EA003E">
      <w:pPr>
        <w:keepNext w:val="0"/>
        <w:keepLines w:val="0"/>
        <w:pageBreakBefore w:val="0"/>
        <w:widowControl w:val="0"/>
        <w:kinsoku/>
        <w:wordWrap w:val="0"/>
        <w:overflowPunct/>
        <w:topLinePunct w:val="0"/>
        <w:autoSpaceDE/>
        <w:autoSpaceDN/>
        <w:bidi w:val="0"/>
        <w:snapToGrid/>
        <w:spacing w:line="360" w:lineRule="auto"/>
        <w:jc w:val="right"/>
        <w:rPr>
          <w:rFonts w:hint="eastAsia" w:ascii="宋体" w:hAnsi="宋体" w:eastAsia="宋体" w:cs="宋体"/>
          <w:color w:val="auto"/>
          <w:sz w:val="24"/>
          <w:highlight w:val="none"/>
        </w:rPr>
      </w:pPr>
    </w:p>
    <w:p w14:paraId="68403547">
      <w:pPr>
        <w:keepNext w:val="0"/>
        <w:keepLines w:val="0"/>
        <w:pageBreakBefore w:val="0"/>
        <w:widowControl w:val="0"/>
        <w:kinsoku/>
        <w:wordWrap w:val="0"/>
        <w:overflowPunct/>
        <w:topLinePunct w:val="0"/>
        <w:autoSpaceDE/>
        <w:autoSpaceDN/>
        <w:bidi w:val="0"/>
        <w:snapToGrid/>
        <w:spacing w:line="360" w:lineRule="auto"/>
        <w:jc w:val="right"/>
        <w:rPr>
          <w:rFonts w:hint="eastAsia" w:ascii="宋体" w:hAnsi="宋体" w:eastAsia="宋体" w:cs="宋体"/>
          <w:color w:val="auto"/>
          <w:sz w:val="24"/>
          <w:highlight w:val="none"/>
        </w:rPr>
      </w:pPr>
    </w:p>
    <w:p w14:paraId="31A6DC7D">
      <w:pPr>
        <w:keepNext w:val="0"/>
        <w:keepLines w:val="0"/>
        <w:pageBreakBefore w:val="0"/>
        <w:widowControl w:val="0"/>
        <w:kinsoku/>
        <w:wordWrap w:val="0"/>
        <w:overflowPunct/>
        <w:topLinePunct w:val="0"/>
        <w:autoSpaceDE/>
        <w:autoSpaceDN/>
        <w:bidi w:val="0"/>
        <w:snapToGrid/>
        <w:spacing w:line="360" w:lineRule="auto"/>
        <w:jc w:val="right"/>
        <w:rPr>
          <w:rFonts w:hint="eastAsia" w:ascii="宋体" w:hAnsi="宋体" w:eastAsia="宋体" w:cs="宋体"/>
          <w:color w:val="auto"/>
          <w:sz w:val="24"/>
          <w:highlight w:val="none"/>
        </w:rPr>
      </w:pPr>
    </w:p>
    <w:p w14:paraId="6CE45AD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注：法定代表人的签字必须是亲笔签名，不得使用印章、签名章或其他电子制版签名代替。</w:t>
      </w:r>
    </w:p>
    <w:p w14:paraId="6D06FEC0">
      <w:pPr>
        <w:pStyle w:val="21"/>
        <w:rPr>
          <w:rFonts w:hint="eastAsia" w:ascii="宋体" w:hAnsi="宋体" w:eastAsia="宋体" w:cs="宋体"/>
          <w:color w:val="auto"/>
          <w:sz w:val="21"/>
          <w:szCs w:val="21"/>
          <w:highlight w:val="none"/>
        </w:rPr>
      </w:pPr>
    </w:p>
    <w:p w14:paraId="058660B4">
      <w:pPr>
        <w:rPr>
          <w:rFonts w:hint="eastAsia" w:ascii="宋体" w:hAnsi="宋体" w:eastAsia="宋体" w:cs="宋体"/>
          <w:color w:val="auto"/>
          <w:sz w:val="21"/>
          <w:szCs w:val="21"/>
          <w:highlight w:val="none"/>
        </w:rPr>
      </w:pPr>
    </w:p>
    <w:p w14:paraId="2AF7767B">
      <w:pPr>
        <w:pStyle w:val="21"/>
        <w:rPr>
          <w:rFonts w:hint="eastAsia" w:ascii="宋体" w:hAnsi="宋体" w:eastAsia="宋体" w:cs="宋体"/>
          <w:color w:val="auto"/>
          <w:sz w:val="21"/>
          <w:szCs w:val="21"/>
          <w:highlight w:val="none"/>
        </w:rPr>
      </w:pPr>
    </w:p>
    <w:p w14:paraId="10E0B24F">
      <w:pPr>
        <w:rPr>
          <w:rFonts w:hint="eastAsia" w:ascii="宋体" w:hAnsi="宋体" w:eastAsia="宋体" w:cs="宋体"/>
          <w:color w:val="auto"/>
          <w:sz w:val="21"/>
          <w:szCs w:val="21"/>
          <w:highlight w:val="none"/>
        </w:rPr>
      </w:pPr>
    </w:p>
    <w:p w14:paraId="14428756">
      <w:pPr>
        <w:pStyle w:val="21"/>
        <w:rPr>
          <w:rFonts w:hint="eastAsia" w:ascii="宋体" w:hAnsi="宋体" w:eastAsia="宋体" w:cs="宋体"/>
          <w:color w:val="auto"/>
          <w:sz w:val="21"/>
          <w:szCs w:val="21"/>
          <w:highlight w:val="none"/>
        </w:rPr>
      </w:pPr>
    </w:p>
    <w:p w14:paraId="7A1EA90E">
      <w:pPr>
        <w:rPr>
          <w:rFonts w:hint="eastAsia" w:ascii="宋体" w:hAnsi="宋体" w:eastAsia="宋体" w:cs="宋体"/>
          <w:color w:val="auto"/>
          <w:sz w:val="21"/>
          <w:szCs w:val="21"/>
          <w:highlight w:val="none"/>
        </w:rPr>
      </w:pPr>
    </w:p>
    <w:p w14:paraId="2607F512">
      <w:pPr>
        <w:pStyle w:val="21"/>
        <w:rPr>
          <w:rFonts w:hint="eastAsia" w:ascii="宋体" w:hAnsi="宋体" w:eastAsia="宋体" w:cs="宋体"/>
          <w:color w:val="auto"/>
          <w:sz w:val="21"/>
          <w:szCs w:val="21"/>
          <w:highlight w:val="none"/>
        </w:rPr>
      </w:pPr>
    </w:p>
    <w:p w14:paraId="0AEB26B3">
      <w:pPr>
        <w:rPr>
          <w:rFonts w:hint="eastAsia" w:ascii="宋体" w:hAnsi="宋体" w:eastAsia="宋体" w:cs="宋体"/>
          <w:color w:val="auto"/>
          <w:sz w:val="21"/>
          <w:szCs w:val="21"/>
          <w:highlight w:val="none"/>
        </w:rPr>
      </w:pPr>
    </w:p>
    <w:p w14:paraId="3E8D6BA3">
      <w:pPr>
        <w:pStyle w:val="21"/>
        <w:rPr>
          <w:rFonts w:hint="eastAsia" w:ascii="宋体" w:hAnsi="宋体" w:eastAsia="宋体" w:cs="宋体"/>
          <w:color w:val="auto"/>
          <w:sz w:val="21"/>
          <w:szCs w:val="21"/>
          <w:highlight w:val="none"/>
        </w:rPr>
      </w:pPr>
    </w:p>
    <w:p w14:paraId="28E3C298">
      <w:pPr>
        <w:rPr>
          <w:rFonts w:hint="eastAsia" w:ascii="宋体" w:hAnsi="宋体" w:eastAsia="宋体" w:cs="宋体"/>
          <w:color w:val="auto"/>
          <w:sz w:val="21"/>
          <w:szCs w:val="21"/>
          <w:highlight w:val="none"/>
        </w:rPr>
      </w:pPr>
    </w:p>
    <w:p w14:paraId="7DDD8B9B">
      <w:pPr>
        <w:pStyle w:val="21"/>
        <w:rPr>
          <w:rFonts w:hint="eastAsia" w:ascii="宋体" w:hAnsi="宋体" w:eastAsia="宋体" w:cs="宋体"/>
          <w:color w:val="auto"/>
          <w:sz w:val="21"/>
          <w:szCs w:val="21"/>
          <w:highlight w:val="none"/>
        </w:rPr>
      </w:pPr>
    </w:p>
    <w:p w14:paraId="4CC1D34E">
      <w:pPr>
        <w:rPr>
          <w:rFonts w:hint="eastAsia" w:ascii="宋体" w:hAnsi="宋体" w:eastAsia="宋体" w:cs="宋体"/>
          <w:color w:val="auto"/>
          <w:sz w:val="21"/>
          <w:szCs w:val="21"/>
          <w:highlight w:val="none"/>
        </w:rPr>
      </w:pPr>
    </w:p>
    <w:p w14:paraId="33936EE9">
      <w:pPr>
        <w:pStyle w:val="21"/>
        <w:rPr>
          <w:rFonts w:hint="eastAsia" w:ascii="宋体" w:hAnsi="宋体" w:eastAsia="宋体" w:cs="宋体"/>
          <w:color w:val="auto"/>
          <w:sz w:val="21"/>
          <w:szCs w:val="21"/>
          <w:highlight w:val="none"/>
        </w:rPr>
      </w:pPr>
    </w:p>
    <w:p w14:paraId="600B7933">
      <w:pPr>
        <w:rPr>
          <w:rFonts w:hint="eastAsia" w:ascii="宋体" w:hAnsi="宋体" w:eastAsia="宋体" w:cs="宋体"/>
          <w:color w:val="auto"/>
          <w:sz w:val="21"/>
          <w:szCs w:val="21"/>
          <w:highlight w:val="none"/>
        </w:rPr>
      </w:pPr>
    </w:p>
    <w:p w14:paraId="7FE5A01E">
      <w:pPr>
        <w:pStyle w:val="21"/>
        <w:rPr>
          <w:rFonts w:hint="eastAsia" w:ascii="宋体" w:hAnsi="宋体" w:eastAsia="宋体" w:cs="宋体"/>
          <w:color w:val="auto"/>
          <w:sz w:val="21"/>
          <w:szCs w:val="21"/>
          <w:highlight w:val="none"/>
        </w:rPr>
      </w:pPr>
    </w:p>
    <w:p w14:paraId="0112483F">
      <w:pPr>
        <w:rPr>
          <w:rFonts w:hint="eastAsia" w:ascii="宋体" w:hAnsi="宋体" w:eastAsia="宋体" w:cs="宋体"/>
          <w:color w:val="auto"/>
          <w:sz w:val="21"/>
          <w:szCs w:val="21"/>
          <w:highlight w:val="none"/>
        </w:rPr>
      </w:pPr>
    </w:p>
    <w:p w14:paraId="5E5CDBE8">
      <w:pPr>
        <w:rPr>
          <w:rFonts w:hint="eastAsia" w:ascii="宋体" w:hAnsi="宋体" w:eastAsia="宋体" w:cs="宋体"/>
          <w:color w:val="auto"/>
          <w:sz w:val="21"/>
          <w:szCs w:val="21"/>
          <w:highlight w:val="none"/>
        </w:rPr>
      </w:pPr>
    </w:p>
    <w:p w14:paraId="392E42E2">
      <w:pPr>
        <w:keepNext w:val="0"/>
        <w:keepLines w:val="0"/>
        <w:pageBreakBefore w:val="0"/>
        <w:widowControl w:val="0"/>
        <w:kinsoku/>
        <w:wordWrap w:val="0"/>
        <w:overflowPunct/>
        <w:topLinePunct w:val="0"/>
        <w:autoSpaceDE/>
        <w:autoSpaceDN/>
        <w:bidi w:val="0"/>
        <w:snapToGrid/>
        <w:jc w:val="center"/>
        <w:outlineLvl w:val="1"/>
        <w:rPr>
          <w:rFonts w:hint="eastAsia" w:ascii="宋体" w:hAnsi="宋体" w:eastAsia="宋体" w:cs="宋体"/>
          <w:b/>
          <w:bCs/>
          <w:color w:val="auto"/>
          <w:sz w:val="30"/>
          <w:szCs w:val="30"/>
          <w:highlight w:val="none"/>
        </w:rPr>
      </w:pPr>
      <w:bookmarkStart w:id="462" w:name="_Toc10905"/>
      <w:r>
        <w:rPr>
          <w:rFonts w:hint="eastAsia" w:ascii="宋体" w:hAnsi="宋体" w:eastAsia="宋体" w:cs="宋体"/>
          <w:b/>
          <w:bCs/>
          <w:color w:val="auto"/>
          <w:sz w:val="30"/>
          <w:szCs w:val="30"/>
          <w:highlight w:val="none"/>
          <w:lang w:eastAsia="zh-CN"/>
        </w:rPr>
        <w:t>三</w:t>
      </w:r>
      <w:r>
        <w:rPr>
          <w:rFonts w:hint="eastAsia" w:ascii="宋体" w:hAnsi="宋体" w:eastAsia="宋体" w:cs="宋体"/>
          <w:b/>
          <w:bCs/>
          <w:color w:val="auto"/>
          <w:sz w:val="30"/>
          <w:szCs w:val="30"/>
          <w:highlight w:val="none"/>
        </w:rPr>
        <w:t>、投标保证金</w:t>
      </w:r>
      <w:bookmarkEnd w:id="462"/>
    </w:p>
    <w:p w14:paraId="3E5B56D1">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8"/>
          <w:szCs w:val="28"/>
          <w:highlight w:val="none"/>
        </w:rPr>
      </w:pPr>
    </w:p>
    <w:p w14:paraId="24210DF7">
      <w:pPr>
        <w:keepNext w:val="0"/>
        <w:keepLines w:val="0"/>
        <w:pageBreakBefore w:val="0"/>
        <w:widowControl w:val="0"/>
        <w:kinsoku/>
        <w:wordWrap w:val="0"/>
        <w:overflowPunct/>
        <w:topLinePunct w:val="0"/>
        <w:autoSpaceDE/>
        <w:autoSpaceDN/>
        <w:bidi w:val="0"/>
        <w:adjustRightInd w:val="0"/>
        <w:snapToGrid/>
        <w:spacing w:line="4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（招标人名称）：</w:t>
      </w:r>
    </w:p>
    <w:p w14:paraId="3E1130F1">
      <w:pPr>
        <w:keepNext w:val="0"/>
        <w:keepLines w:val="0"/>
        <w:pageBreakBefore w:val="0"/>
        <w:widowControl w:val="0"/>
        <w:kinsoku/>
        <w:wordWrap w:val="0"/>
        <w:overflowPunct/>
        <w:topLinePunct w:val="0"/>
        <w:autoSpaceDE/>
        <w:autoSpaceDN/>
        <w:bidi w:val="0"/>
        <w:adjustRightInd w:val="0"/>
        <w:snapToGrid/>
        <w:spacing w:line="420" w:lineRule="exact"/>
        <w:jc w:val="left"/>
        <w:rPr>
          <w:rFonts w:hint="eastAsia" w:ascii="宋体" w:hAnsi="宋体" w:eastAsia="宋体" w:cs="宋体"/>
          <w:color w:val="auto"/>
          <w:kern w:val="0"/>
          <w:sz w:val="24"/>
          <w:szCs w:val="24"/>
          <w:highlight w:val="none"/>
        </w:rPr>
      </w:pPr>
    </w:p>
    <w:p w14:paraId="7E6BE14C">
      <w:pPr>
        <w:keepNext w:val="0"/>
        <w:keepLines w:val="0"/>
        <w:pageBreakBefore w:val="0"/>
        <w:widowControl w:val="0"/>
        <w:kinsoku/>
        <w:wordWrap w:val="0"/>
        <w:overflowPunct/>
        <w:topLinePunct w:val="0"/>
        <w:autoSpaceDE/>
        <w:autoSpaceDN/>
        <w:bidi w:val="0"/>
        <w:adjustRightInd w:val="0"/>
        <w:snapToGrid/>
        <w:spacing w:line="42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058551AA">
      <w:pPr>
        <w:keepNext w:val="0"/>
        <w:keepLines w:val="0"/>
        <w:pageBreakBefore w:val="0"/>
        <w:widowControl w:val="0"/>
        <w:kinsoku/>
        <w:wordWrap w:val="0"/>
        <w:overflowPunct/>
        <w:topLinePunct w:val="0"/>
        <w:autoSpaceDE/>
        <w:autoSpaceDN/>
        <w:bidi w:val="0"/>
        <w:adjustRightInd w:val="0"/>
        <w:snapToGrid/>
        <w:spacing w:line="420" w:lineRule="exact"/>
        <w:jc w:val="left"/>
        <w:rPr>
          <w:rFonts w:hint="eastAsia" w:ascii="宋体" w:hAnsi="宋体" w:eastAsia="宋体" w:cs="宋体"/>
          <w:color w:val="auto"/>
          <w:kern w:val="0"/>
          <w:sz w:val="24"/>
          <w:szCs w:val="24"/>
          <w:highlight w:val="none"/>
        </w:rPr>
      </w:pPr>
    </w:p>
    <w:p w14:paraId="514E45DF">
      <w:pPr>
        <w:keepNext w:val="0"/>
        <w:keepLines w:val="0"/>
        <w:pageBreakBefore w:val="0"/>
        <w:widowControl w:val="0"/>
        <w:kinsoku/>
        <w:wordWrap w:val="0"/>
        <w:overflowPunct/>
        <w:topLinePunct w:val="0"/>
        <w:autoSpaceDE/>
        <w:autoSpaceDN/>
        <w:bidi w:val="0"/>
        <w:adjustRightInd w:val="0"/>
        <w:snapToGrid/>
        <w:spacing w:line="420" w:lineRule="exact"/>
        <w:jc w:val="left"/>
        <w:rPr>
          <w:rFonts w:hint="eastAsia" w:ascii="宋体" w:hAnsi="宋体" w:eastAsia="宋体" w:cs="宋体"/>
          <w:color w:val="auto"/>
          <w:kern w:val="0"/>
          <w:sz w:val="24"/>
          <w:szCs w:val="24"/>
          <w:highlight w:val="none"/>
        </w:rPr>
      </w:pPr>
    </w:p>
    <w:p w14:paraId="543A4BFB">
      <w:pPr>
        <w:keepNext w:val="0"/>
        <w:keepLines w:val="0"/>
        <w:pageBreakBefore w:val="0"/>
        <w:widowControl w:val="0"/>
        <w:kinsoku/>
        <w:wordWrap w:val="0"/>
        <w:overflowPunct/>
        <w:topLinePunct w:val="0"/>
        <w:autoSpaceDE/>
        <w:autoSpaceDN/>
        <w:bidi w:val="0"/>
        <w:adjustRightInd w:val="0"/>
        <w:snapToGrid/>
        <w:spacing w:line="42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 xml:space="preserve"> （盖单位章）</w:t>
      </w:r>
    </w:p>
    <w:p w14:paraId="69EA8BAF">
      <w:pPr>
        <w:keepNext w:val="0"/>
        <w:keepLines w:val="0"/>
        <w:pageBreakBefore w:val="0"/>
        <w:widowControl w:val="0"/>
        <w:kinsoku/>
        <w:wordWrap w:val="0"/>
        <w:overflowPunct/>
        <w:topLinePunct w:val="0"/>
        <w:autoSpaceDE/>
        <w:autoSpaceDN/>
        <w:bidi w:val="0"/>
        <w:adjustRightInd w:val="0"/>
        <w:snapToGrid/>
        <w:spacing w:line="42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法定代表人或其委托代理人：</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（签字）</w:t>
      </w:r>
    </w:p>
    <w:p w14:paraId="00FA885F">
      <w:pPr>
        <w:keepNext w:val="0"/>
        <w:keepLines w:val="0"/>
        <w:pageBreakBefore w:val="0"/>
        <w:widowControl w:val="0"/>
        <w:kinsoku/>
        <w:wordWrap w:val="0"/>
        <w:overflowPunct/>
        <w:topLinePunct w:val="0"/>
        <w:autoSpaceDE/>
        <w:autoSpaceDN/>
        <w:bidi w:val="0"/>
        <w:adjustRightInd w:val="0"/>
        <w:snapToGrid/>
        <w:spacing w:line="420" w:lineRule="exact"/>
        <w:ind w:firstLine="6480" w:firstLineChars="27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日</w:t>
      </w:r>
    </w:p>
    <w:p w14:paraId="6819B49B">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ind w:firstLine="241" w:firstLineChars="100"/>
        <w:rPr>
          <w:rFonts w:hint="eastAsia" w:ascii="宋体" w:hAnsi="宋体" w:eastAsia="宋体" w:cs="宋体"/>
          <w:b/>
          <w:color w:val="auto"/>
          <w:sz w:val="24"/>
          <w:szCs w:val="24"/>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8"/>
      </w:tblGrid>
      <w:tr w14:paraId="6F661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0" w:hRule="atLeast"/>
          <w:jc w:val="center"/>
        </w:trPr>
        <w:tc>
          <w:tcPr>
            <w:tcW w:w="9128" w:type="dxa"/>
            <w:noWrap w:val="0"/>
            <w:vAlign w:val="top"/>
          </w:tcPr>
          <w:p w14:paraId="62DF9594">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ind w:left="210" w:firstLine="240" w:firstLineChars="100"/>
              <w:rPr>
                <w:rFonts w:hint="eastAsia" w:ascii="宋体" w:hAnsi="宋体" w:eastAsia="宋体" w:cs="宋体"/>
                <w:color w:val="auto"/>
                <w:sz w:val="24"/>
                <w:szCs w:val="24"/>
                <w:highlight w:val="none"/>
              </w:rPr>
            </w:pPr>
          </w:p>
          <w:p w14:paraId="1EB7BEC9">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ind w:left="210" w:firstLine="240" w:firstLineChars="100"/>
              <w:rPr>
                <w:rFonts w:hint="eastAsia" w:ascii="宋体" w:hAnsi="宋体" w:eastAsia="宋体" w:cs="宋体"/>
                <w:color w:val="auto"/>
                <w:sz w:val="24"/>
                <w:szCs w:val="24"/>
                <w:highlight w:val="none"/>
              </w:rPr>
            </w:pPr>
          </w:p>
          <w:p w14:paraId="673EA9B2">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jc w:val="center"/>
              <w:rPr>
                <w:rFonts w:hint="eastAsia" w:ascii="宋体" w:hAnsi="宋体" w:eastAsia="宋体" w:cs="宋体"/>
                <w:b/>
                <w:color w:val="auto"/>
                <w:sz w:val="24"/>
                <w:szCs w:val="24"/>
                <w:highlight w:val="none"/>
              </w:rPr>
            </w:pPr>
          </w:p>
          <w:p w14:paraId="22B2F120">
            <w:pPr>
              <w:keepNext w:val="0"/>
              <w:keepLines w:val="0"/>
              <w:pageBreakBefore w:val="0"/>
              <w:widowControl w:val="0"/>
              <w:kinsoku/>
              <w:wordWrap w:val="0"/>
              <w:overflowPunct/>
              <w:topLinePunct w:val="0"/>
              <w:autoSpaceDE/>
              <w:autoSpaceDN/>
              <w:bidi w:val="0"/>
              <w:adjustRightInd w:val="0"/>
              <w:snapToGrid/>
              <w:spacing w:line="420" w:lineRule="exact"/>
              <w:ind w:firstLine="480" w:firstLineChars="200"/>
              <w:jc w:val="left"/>
              <w:rPr>
                <w:rFonts w:hint="eastAsia" w:ascii="宋体" w:hAnsi="宋体" w:eastAsia="宋体" w:cs="宋体"/>
                <w:color w:val="auto"/>
                <w:kern w:val="0"/>
                <w:sz w:val="24"/>
                <w:szCs w:val="24"/>
                <w:highlight w:val="none"/>
              </w:rPr>
            </w:pPr>
          </w:p>
          <w:p w14:paraId="4CB51834">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投标保证金有效证明资料</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交易系统生成的《投标保证金交纳回执单》或保函</w:t>
            </w:r>
          </w:p>
          <w:p w14:paraId="58D909F9">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ind w:left="210" w:leftChars="100" w:firstLine="241" w:firstLineChars="100"/>
              <w:rPr>
                <w:rFonts w:hint="eastAsia" w:ascii="宋体" w:hAnsi="宋体" w:eastAsia="宋体" w:cs="宋体"/>
                <w:b/>
                <w:color w:val="auto"/>
                <w:sz w:val="24"/>
                <w:szCs w:val="24"/>
                <w:highlight w:val="none"/>
              </w:rPr>
            </w:pPr>
          </w:p>
        </w:tc>
      </w:tr>
    </w:tbl>
    <w:p w14:paraId="5348E90E">
      <w:pPr>
        <w:pStyle w:val="21"/>
        <w:rPr>
          <w:rFonts w:hint="default"/>
          <w:color w:val="auto"/>
          <w:highlight w:val="none"/>
          <w:lang w:val="en-US"/>
        </w:rPr>
      </w:pPr>
    </w:p>
    <w:p w14:paraId="45BF240B">
      <w:pPr>
        <w:rPr>
          <w:rFonts w:hint="default"/>
          <w:color w:val="auto"/>
          <w:highlight w:val="none"/>
          <w:lang w:val="en-US"/>
        </w:rPr>
      </w:pPr>
    </w:p>
    <w:p w14:paraId="4DC8DCA5">
      <w:pPr>
        <w:pStyle w:val="21"/>
        <w:rPr>
          <w:rFonts w:hint="default"/>
          <w:color w:val="auto"/>
          <w:highlight w:val="none"/>
          <w:lang w:val="en-US"/>
        </w:rPr>
      </w:pPr>
    </w:p>
    <w:p w14:paraId="60429621">
      <w:pPr>
        <w:rPr>
          <w:rFonts w:hint="default"/>
          <w:color w:val="auto"/>
          <w:highlight w:val="none"/>
          <w:lang w:val="en-US"/>
        </w:rPr>
      </w:pPr>
    </w:p>
    <w:p w14:paraId="0DA77EDD">
      <w:pPr>
        <w:pStyle w:val="21"/>
        <w:rPr>
          <w:rFonts w:hint="default"/>
          <w:color w:val="auto"/>
          <w:highlight w:val="none"/>
          <w:lang w:val="en-US"/>
        </w:rPr>
      </w:pPr>
    </w:p>
    <w:p w14:paraId="115BFD3D">
      <w:pPr>
        <w:rPr>
          <w:rFonts w:hint="default"/>
          <w:color w:val="auto"/>
          <w:highlight w:val="none"/>
          <w:lang w:val="en-US"/>
        </w:rPr>
      </w:pPr>
    </w:p>
    <w:p w14:paraId="30B4970A">
      <w:pPr>
        <w:pStyle w:val="21"/>
        <w:rPr>
          <w:rFonts w:hint="default"/>
          <w:color w:val="auto"/>
          <w:highlight w:val="none"/>
          <w:lang w:val="en-US"/>
        </w:rPr>
      </w:pPr>
    </w:p>
    <w:p w14:paraId="4B5C12A1">
      <w:pPr>
        <w:pStyle w:val="21"/>
        <w:rPr>
          <w:rFonts w:hint="default"/>
          <w:color w:val="auto"/>
          <w:highlight w:val="none"/>
          <w:lang w:val="en-US"/>
        </w:rPr>
      </w:pPr>
    </w:p>
    <w:p w14:paraId="18BC8A04">
      <w:pPr>
        <w:rPr>
          <w:rFonts w:hint="default"/>
          <w:color w:val="auto"/>
          <w:highlight w:val="none"/>
          <w:lang w:val="en-US"/>
        </w:rPr>
      </w:pPr>
    </w:p>
    <w:p w14:paraId="620F039D">
      <w:pPr>
        <w:keepLines w:val="0"/>
        <w:pageBreakBefore w:val="0"/>
        <w:widowControl w:val="0"/>
        <w:kinsoku/>
        <w:wordWrap w:val="0"/>
        <w:overflowPunct/>
        <w:topLinePunct w:val="0"/>
        <w:autoSpaceDE/>
        <w:autoSpaceDN/>
        <w:bidi w:val="0"/>
        <w:snapToGrid/>
        <w:spacing w:before="14"/>
        <w:ind w:left="2257" w:right="2056" w:firstLine="0"/>
        <w:jc w:val="center"/>
        <w:rPr>
          <w:rFonts w:hint="eastAsia" w:ascii="宋体" w:hAnsi="宋体" w:eastAsia="宋体" w:cs="宋体"/>
          <w:b/>
          <w:bCs w:val="0"/>
          <w:color w:val="auto"/>
          <w:sz w:val="30"/>
          <w:szCs w:val="30"/>
          <w:highlight w:val="none"/>
        </w:rPr>
      </w:pPr>
      <w:r>
        <w:rPr>
          <w:rFonts w:hint="eastAsia" w:ascii="宋体" w:hAnsi="宋体" w:eastAsia="宋体" w:cs="宋体"/>
          <w:b/>
          <w:bCs w:val="0"/>
          <w:color w:val="auto"/>
          <w:kern w:val="0"/>
          <w:sz w:val="30"/>
          <w:szCs w:val="30"/>
          <w:highlight w:val="none"/>
          <w:lang w:eastAsia="zh-CN"/>
        </w:rPr>
        <w:t>四</w:t>
      </w:r>
      <w:r>
        <w:rPr>
          <w:rFonts w:hint="eastAsia" w:ascii="宋体" w:hAnsi="宋体" w:eastAsia="宋体" w:cs="宋体"/>
          <w:b/>
          <w:bCs w:val="0"/>
          <w:color w:val="auto"/>
          <w:sz w:val="30"/>
          <w:szCs w:val="30"/>
          <w:highlight w:val="none"/>
        </w:rPr>
        <w:t>、施工组织设计</w:t>
      </w:r>
    </w:p>
    <w:p w14:paraId="48F6AF38">
      <w:pPr>
        <w:pStyle w:val="10"/>
        <w:keepLines w:val="0"/>
        <w:pageBreakBefore w:val="0"/>
        <w:widowControl w:val="0"/>
        <w:kinsoku/>
        <w:wordWrap w:val="0"/>
        <w:overflowPunct/>
        <w:topLinePunct w:val="0"/>
        <w:autoSpaceDE/>
        <w:autoSpaceDN/>
        <w:bidi w:val="0"/>
        <w:snapToGrid/>
        <w:spacing w:line="240" w:lineRule="auto"/>
        <w:ind w:left="624" w:right="0"/>
        <w:jc w:val="left"/>
        <w:rPr>
          <w:rFonts w:hint="eastAsia" w:ascii="宋体" w:hAnsi="宋体" w:eastAsia="宋体" w:cs="宋体"/>
          <w:color w:val="auto"/>
          <w:spacing w:val="-4"/>
          <w:highlight w:val="none"/>
        </w:rPr>
      </w:pPr>
    </w:p>
    <w:p w14:paraId="5BD861EB">
      <w:pPr>
        <w:pStyle w:val="10"/>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投标人应按以下要点编制施工组织设计（文字宜精炼、内容具有针对性）：</w:t>
      </w:r>
    </w:p>
    <w:p w14:paraId="0D94FB64">
      <w:pPr>
        <w:pStyle w:val="10"/>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1.总体施工组织布置及规划</w:t>
      </w:r>
    </w:p>
    <w:p w14:paraId="167652C0">
      <w:pPr>
        <w:pStyle w:val="10"/>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2.重点、关键和难点工程的施工方案</w:t>
      </w:r>
    </w:p>
    <w:p w14:paraId="7E12D74B">
      <w:pPr>
        <w:pStyle w:val="10"/>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3.工期保证措施</w:t>
      </w:r>
    </w:p>
    <w:p w14:paraId="47FD488A">
      <w:pPr>
        <w:pStyle w:val="10"/>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4.关键工程质量保证措施</w:t>
      </w:r>
    </w:p>
    <w:p w14:paraId="5B1AED05">
      <w:pPr>
        <w:pStyle w:val="10"/>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5.安全保证措施</w:t>
      </w:r>
    </w:p>
    <w:p w14:paraId="3C3DF912">
      <w:pPr>
        <w:pStyle w:val="10"/>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6.环境保护、水土保持、文明施工、文物保护保证措施</w:t>
      </w:r>
    </w:p>
    <w:p w14:paraId="7CB071BA">
      <w:pPr>
        <w:pStyle w:val="10"/>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7.项目风险预测与防范，事故应急预案</w:t>
      </w:r>
    </w:p>
    <w:p w14:paraId="39D06F9B">
      <w:pPr>
        <w:pStyle w:val="10"/>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default" w:ascii="宋体" w:hAns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8.其他应说明的事项</w:t>
      </w:r>
    </w:p>
    <w:p w14:paraId="78D75416">
      <w:pPr>
        <w:pStyle w:val="21"/>
        <w:rPr>
          <w:rFonts w:hint="default"/>
          <w:color w:val="auto"/>
          <w:highlight w:val="none"/>
          <w:lang w:val="en-US"/>
        </w:rPr>
      </w:pPr>
    </w:p>
    <w:p w14:paraId="6CDB193B">
      <w:pPr>
        <w:rPr>
          <w:rFonts w:hint="default"/>
          <w:color w:val="auto"/>
          <w:highlight w:val="none"/>
          <w:lang w:val="en-US"/>
        </w:rPr>
      </w:pPr>
    </w:p>
    <w:p w14:paraId="10E60A03">
      <w:pPr>
        <w:pStyle w:val="21"/>
        <w:rPr>
          <w:rFonts w:hint="default"/>
          <w:color w:val="auto"/>
          <w:highlight w:val="none"/>
          <w:lang w:val="en-US"/>
        </w:rPr>
      </w:pPr>
    </w:p>
    <w:p w14:paraId="69CEFFA4">
      <w:pPr>
        <w:rPr>
          <w:rFonts w:hint="default"/>
          <w:color w:val="auto"/>
          <w:highlight w:val="none"/>
          <w:lang w:val="en-US"/>
        </w:rPr>
      </w:pPr>
    </w:p>
    <w:p w14:paraId="189C4FA3">
      <w:pPr>
        <w:pStyle w:val="21"/>
        <w:rPr>
          <w:rFonts w:hint="default"/>
          <w:color w:val="auto"/>
          <w:highlight w:val="none"/>
          <w:lang w:val="en-US"/>
        </w:rPr>
      </w:pPr>
    </w:p>
    <w:p w14:paraId="27B691C6">
      <w:pPr>
        <w:rPr>
          <w:rFonts w:hint="default"/>
          <w:color w:val="auto"/>
          <w:highlight w:val="none"/>
          <w:lang w:val="en-US"/>
        </w:rPr>
      </w:pPr>
    </w:p>
    <w:p w14:paraId="3E4D22F2">
      <w:pPr>
        <w:pStyle w:val="21"/>
        <w:rPr>
          <w:rFonts w:hint="default"/>
          <w:color w:val="auto"/>
          <w:highlight w:val="none"/>
          <w:lang w:val="en-US"/>
        </w:rPr>
      </w:pPr>
    </w:p>
    <w:p w14:paraId="7B64BEBF">
      <w:pPr>
        <w:rPr>
          <w:rFonts w:hint="default"/>
          <w:color w:val="auto"/>
          <w:highlight w:val="none"/>
          <w:lang w:val="en-US"/>
        </w:rPr>
      </w:pPr>
    </w:p>
    <w:p w14:paraId="408BDB4C">
      <w:pPr>
        <w:pStyle w:val="21"/>
        <w:rPr>
          <w:rFonts w:hint="default"/>
          <w:color w:val="auto"/>
          <w:highlight w:val="none"/>
          <w:lang w:val="en-US"/>
        </w:rPr>
      </w:pPr>
    </w:p>
    <w:p w14:paraId="093FF9A8">
      <w:pPr>
        <w:rPr>
          <w:rFonts w:hint="default"/>
          <w:color w:val="auto"/>
          <w:highlight w:val="none"/>
          <w:lang w:val="en-US"/>
        </w:rPr>
      </w:pPr>
    </w:p>
    <w:p w14:paraId="33B8799B">
      <w:pPr>
        <w:pStyle w:val="21"/>
        <w:rPr>
          <w:rFonts w:hint="default"/>
          <w:color w:val="auto"/>
          <w:highlight w:val="none"/>
          <w:lang w:val="en-US"/>
        </w:rPr>
      </w:pPr>
    </w:p>
    <w:p w14:paraId="03099E53">
      <w:pPr>
        <w:rPr>
          <w:rFonts w:hint="default"/>
          <w:color w:val="auto"/>
          <w:highlight w:val="none"/>
          <w:lang w:val="en-US"/>
        </w:rPr>
      </w:pPr>
    </w:p>
    <w:p w14:paraId="319E2765">
      <w:pPr>
        <w:pStyle w:val="21"/>
        <w:rPr>
          <w:rFonts w:hint="default"/>
          <w:color w:val="auto"/>
          <w:highlight w:val="none"/>
          <w:lang w:val="en-US"/>
        </w:rPr>
      </w:pPr>
    </w:p>
    <w:p w14:paraId="5A9E6BFE">
      <w:pPr>
        <w:rPr>
          <w:rFonts w:hint="default"/>
          <w:color w:val="auto"/>
          <w:highlight w:val="none"/>
          <w:lang w:val="en-US"/>
        </w:rPr>
      </w:pPr>
    </w:p>
    <w:p w14:paraId="5B0E1AAA">
      <w:pPr>
        <w:pStyle w:val="21"/>
        <w:rPr>
          <w:rFonts w:hint="default"/>
          <w:color w:val="auto"/>
          <w:highlight w:val="none"/>
          <w:lang w:val="en-US"/>
        </w:rPr>
      </w:pPr>
    </w:p>
    <w:p w14:paraId="643E002E">
      <w:pPr>
        <w:rPr>
          <w:rFonts w:hint="default"/>
          <w:color w:val="auto"/>
          <w:highlight w:val="none"/>
          <w:lang w:val="en-US"/>
        </w:rPr>
      </w:pPr>
    </w:p>
    <w:p w14:paraId="4044B1B5">
      <w:pPr>
        <w:pStyle w:val="21"/>
        <w:rPr>
          <w:rFonts w:hint="default"/>
          <w:color w:val="auto"/>
          <w:highlight w:val="none"/>
          <w:lang w:val="en-US"/>
        </w:rPr>
      </w:pPr>
    </w:p>
    <w:p w14:paraId="2C8AB26D">
      <w:pPr>
        <w:rPr>
          <w:rFonts w:hint="default"/>
          <w:color w:val="auto"/>
          <w:highlight w:val="none"/>
          <w:lang w:val="en-US"/>
        </w:rPr>
      </w:pPr>
    </w:p>
    <w:p w14:paraId="7F1828A3">
      <w:pPr>
        <w:pStyle w:val="21"/>
        <w:rPr>
          <w:rFonts w:hint="default"/>
          <w:color w:val="auto"/>
          <w:highlight w:val="none"/>
          <w:lang w:val="en-US"/>
        </w:rPr>
      </w:pPr>
    </w:p>
    <w:p w14:paraId="7917C37C">
      <w:pPr>
        <w:rPr>
          <w:rFonts w:hint="default"/>
          <w:color w:val="auto"/>
          <w:highlight w:val="none"/>
          <w:lang w:val="en-US"/>
        </w:rPr>
      </w:pPr>
    </w:p>
    <w:p w14:paraId="3FDC43F1">
      <w:pPr>
        <w:pStyle w:val="21"/>
        <w:rPr>
          <w:rFonts w:hint="default"/>
          <w:color w:val="auto"/>
          <w:highlight w:val="none"/>
          <w:lang w:val="en-US"/>
        </w:rPr>
      </w:pPr>
    </w:p>
    <w:p w14:paraId="1D4BB60E">
      <w:pPr>
        <w:rPr>
          <w:rFonts w:hint="default"/>
          <w:color w:val="auto"/>
          <w:highlight w:val="none"/>
          <w:lang w:val="en-US"/>
        </w:rPr>
      </w:pPr>
    </w:p>
    <w:p w14:paraId="619F5D9B">
      <w:pPr>
        <w:pStyle w:val="21"/>
        <w:rPr>
          <w:rFonts w:hint="default"/>
          <w:color w:val="auto"/>
          <w:highlight w:val="none"/>
          <w:lang w:val="en-US"/>
        </w:rPr>
      </w:pPr>
    </w:p>
    <w:p w14:paraId="21E46D31">
      <w:pPr>
        <w:rPr>
          <w:rFonts w:hint="default"/>
          <w:color w:val="auto"/>
          <w:highlight w:val="none"/>
          <w:lang w:val="en-US"/>
        </w:rPr>
      </w:pPr>
    </w:p>
    <w:p w14:paraId="4A75A8A5">
      <w:pPr>
        <w:pStyle w:val="21"/>
        <w:rPr>
          <w:rFonts w:hint="default"/>
          <w:color w:val="auto"/>
          <w:highlight w:val="none"/>
          <w:lang w:val="en-US"/>
        </w:rPr>
      </w:pPr>
    </w:p>
    <w:p w14:paraId="41DA4CE2">
      <w:pPr>
        <w:rPr>
          <w:rFonts w:hint="default"/>
          <w:color w:val="auto"/>
          <w:highlight w:val="none"/>
          <w:lang w:val="en-US"/>
        </w:rPr>
      </w:pPr>
    </w:p>
    <w:p w14:paraId="114EB989">
      <w:pPr>
        <w:pStyle w:val="20"/>
        <w:keepNext w:val="0"/>
        <w:keepLines w:val="0"/>
        <w:pageBreakBefore w:val="0"/>
        <w:widowControl w:val="0"/>
        <w:kinsoku/>
        <w:wordWrap w:val="0"/>
        <w:overflowPunct/>
        <w:topLinePunct w:val="0"/>
        <w:autoSpaceDE/>
        <w:autoSpaceDN/>
        <w:bidi w:val="0"/>
        <w:adjustRightInd/>
        <w:snapToGrid/>
        <w:spacing w:after="157" w:afterLines="50"/>
        <w:textAlignment w:val="auto"/>
        <w:outlineLvl w:val="1"/>
        <w:rPr>
          <w:rFonts w:ascii="宋体" w:hAnsi="宋体" w:cs="宋体"/>
          <w:color w:val="auto"/>
          <w:kern w:val="0"/>
          <w:sz w:val="28"/>
          <w:highlight w:val="none"/>
        </w:rPr>
      </w:pPr>
      <w:bookmarkStart w:id="463" w:name="_Toc227657595"/>
      <w:bookmarkStart w:id="464" w:name="_Toc228589271"/>
      <w:bookmarkStart w:id="465" w:name="_Toc228591617"/>
      <w:bookmarkStart w:id="466" w:name="_Toc228591765"/>
      <w:bookmarkStart w:id="467" w:name="_Toc228337206"/>
      <w:bookmarkStart w:id="468" w:name="_Toc228881257"/>
      <w:bookmarkStart w:id="469" w:name="_Toc214433997"/>
      <w:bookmarkStart w:id="470" w:name="_Toc227492353"/>
      <w:bookmarkStart w:id="471" w:name="_Toc272772676"/>
      <w:bookmarkStart w:id="472" w:name="_Toc27491"/>
      <w:bookmarkStart w:id="473" w:name="_Toc431367152"/>
      <w:r>
        <w:rPr>
          <w:rFonts w:hint="eastAsia" w:ascii="宋体" w:hAnsi="宋体" w:cs="宋体"/>
          <w:color w:val="auto"/>
          <w:kern w:val="0"/>
          <w:sz w:val="30"/>
          <w:szCs w:val="30"/>
          <w:highlight w:val="none"/>
          <w:lang w:eastAsia="zh-CN"/>
        </w:rPr>
        <w:t>五</w:t>
      </w:r>
      <w:r>
        <w:rPr>
          <w:rFonts w:hint="eastAsia" w:ascii="宋体" w:hAnsi="宋体" w:cs="宋体"/>
          <w:color w:val="auto"/>
          <w:kern w:val="0"/>
          <w:sz w:val="30"/>
          <w:szCs w:val="30"/>
          <w:highlight w:val="none"/>
        </w:rPr>
        <w:t>、</w:t>
      </w:r>
      <w:bookmarkEnd w:id="463"/>
      <w:bookmarkEnd w:id="464"/>
      <w:bookmarkEnd w:id="465"/>
      <w:bookmarkEnd w:id="466"/>
      <w:bookmarkEnd w:id="467"/>
      <w:bookmarkEnd w:id="468"/>
      <w:bookmarkEnd w:id="469"/>
      <w:bookmarkEnd w:id="470"/>
      <w:r>
        <w:rPr>
          <w:rFonts w:hint="eastAsia" w:ascii="宋体" w:hAnsi="宋体" w:cs="宋体"/>
          <w:color w:val="auto"/>
          <w:kern w:val="0"/>
          <w:sz w:val="30"/>
          <w:szCs w:val="30"/>
          <w:highlight w:val="none"/>
        </w:rPr>
        <w:t>项目管理机构</w:t>
      </w:r>
      <w:bookmarkEnd w:id="471"/>
      <w:bookmarkEnd w:id="472"/>
      <w:bookmarkEnd w:id="473"/>
    </w:p>
    <w:tbl>
      <w:tblPr>
        <w:tblStyle w:val="23"/>
        <w:tblW w:w="0" w:type="auto"/>
        <w:jc w:val="center"/>
        <w:tblLayout w:type="fixed"/>
        <w:tblCellMar>
          <w:top w:w="0" w:type="dxa"/>
          <w:left w:w="0" w:type="dxa"/>
          <w:bottom w:w="0" w:type="dxa"/>
          <w:right w:w="0" w:type="dxa"/>
        </w:tblCellMar>
      </w:tblPr>
      <w:tblGrid>
        <w:gridCol w:w="8726"/>
      </w:tblGrid>
      <w:tr w14:paraId="3AB492BB">
        <w:tblPrEx>
          <w:tblCellMar>
            <w:top w:w="0" w:type="dxa"/>
            <w:left w:w="0" w:type="dxa"/>
            <w:bottom w:w="0" w:type="dxa"/>
            <w:right w:w="0" w:type="dxa"/>
          </w:tblCellMar>
        </w:tblPrEx>
        <w:trPr>
          <w:trHeight w:val="8685" w:hRule="exact"/>
          <w:jc w:val="center"/>
        </w:trPr>
        <w:tc>
          <w:tcPr>
            <w:tcW w:w="8726" w:type="dxa"/>
            <w:tcBorders>
              <w:top w:val="single" w:color="000000" w:sz="6" w:space="0"/>
              <w:left w:val="single" w:color="000000" w:sz="6" w:space="0"/>
              <w:bottom w:val="single" w:color="000000" w:sz="6" w:space="0"/>
              <w:right w:val="single" w:color="000000" w:sz="6" w:space="0"/>
            </w:tcBorders>
          </w:tcPr>
          <w:p w14:paraId="15D9F5AD">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宋体" w:hAnsi="宋体" w:eastAsia="宋体" w:cs="宋体"/>
                <w:color w:val="auto"/>
                <w:sz w:val="21"/>
                <w:szCs w:val="21"/>
                <w:highlight w:val="none"/>
              </w:rPr>
            </w:pPr>
          </w:p>
          <w:p w14:paraId="6E242196">
            <w:pPr>
              <w:pStyle w:val="106"/>
              <w:keepNext w:val="0"/>
              <w:keepLines w:val="0"/>
              <w:pageBreakBefore w:val="0"/>
              <w:widowControl w:val="0"/>
              <w:kinsoku/>
              <w:wordWrap w:val="0"/>
              <w:overflowPunct/>
              <w:topLinePunct w:val="0"/>
              <w:autoSpaceDE/>
              <w:autoSpaceDN/>
              <w:bidi w:val="0"/>
              <w:snapToGrid/>
              <w:spacing w:line="240" w:lineRule="auto"/>
              <w:ind w:right="0" w:firstLine="420" w:firstLineChars="20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拟为承包本标段工程设立的组织机构以框图方式表示。</w:t>
            </w:r>
          </w:p>
        </w:tc>
      </w:tr>
      <w:tr w14:paraId="08B7FAAE">
        <w:tblPrEx>
          <w:tblCellMar>
            <w:top w:w="0" w:type="dxa"/>
            <w:left w:w="0" w:type="dxa"/>
            <w:bottom w:w="0" w:type="dxa"/>
            <w:right w:w="0" w:type="dxa"/>
          </w:tblCellMar>
        </w:tblPrEx>
        <w:trPr>
          <w:trHeight w:val="3123" w:hRule="exact"/>
          <w:jc w:val="center"/>
        </w:trPr>
        <w:tc>
          <w:tcPr>
            <w:tcW w:w="8726" w:type="dxa"/>
            <w:tcBorders>
              <w:top w:val="single" w:color="000000" w:sz="6" w:space="0"/>
              <w:left w:val="single" w:color="000000" w:sz="6" w:space="0"/>
              <w:bottom w:val="single" w:color="000000" w:sz="6" w:space="0"/>
              <w:right w:val="single" w:color="000000" w:sz="6" w:space="0"/>
            </w:tcBorders>
          </w:tcPr>
          <w:p w14:paraId="6C365734">
            <w:pPr>
              <w:pStyle w:val="106"/>
              <w:keepNext w:val="0"/>
              <w:keepLines w:val="0"/>
              <w:pageBreakBefore w:val="0"/>
              <w:widowControl w:val="0"/>
              <w:kinsoku/>
              <w:wordWrap w:val="0"/>
              <w:overflowPunct/>
              <w:topLinePunct w:val="0"/>
              <w:autoSpaceDE/>
              <w:autoSpaceDN/>
              <w:bidi w:val="0"/>
              <w:snapToGrid/>
              <w:spacing w:before="6" w:line="240" w:lineRule="auto"/>
              <w:ind w:right="0"/>
              <w:jc w:val="left"/>
              <w:rPr>
                <w:rFonts w:ascii="黑体" w:hAnsi="黑体" w:eastAsia="黑体" w:cs="黑体"/>
                <w:color w:val="auto"/>
                <w:sz w:val="16"/>
                <w:szCs w:val="16"/>
                <w:highlight w:val="none"/>
              </w:rPr>
            </w:pPr>
          </w:p>
          <w:p w14:paraId="5AFB1950">
            <w:pPr>
              <w:pStyle w:val="106"/>
              <w:keepNext w:val="0"/>
              <w:keepLines w:val="0"/>
              <w:pageBreakBefore w:val="0"/>
              <w:widowControl w:val="0"/>
              <w:kinsoku/>
              <w:wordWrap w:val="0"/>
              <w:overflowPunct/>
              <w:topLinePunct w:val="0"/>
              <w:autoSpaceDE/>
              <w:autoSpaceDN/>
              <w:bidi w:val="0"/>
              <w:snapToGrid/>
              <w:spacing w:line="240" w:lineRule="auto"/>
              <w:ind w:right="0" w:firstLine="420" w:firstLineChars="20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说明</w:t>
            </w:r>
          </w:p>
        </w:tc>
      </w:tr>
    </w:tbl>
    <w:p w14:paraId="37C335F6">
      <w:pPr>
        <w:pStyle w:val="21"/>
        <w:rPr>
          <w:rFonts w:hint="default"/>
          <w:color w:val="auto"/>
          <w:highlight w:val="none"/>
          <w:lang w:val="en-US"/>
        </w:rPr>
      </w:pPr>
    </w:p>
    <w:p w14:paraId="41F76D11">
      <w:pPr>
        <w:rPr>
          <w:rFonts w:hint="default"/>
          <w:color w:val="auto"/>
          <w:highlight w:val="none"/>
          <w:lang w:val="en-US"/>
        </w:rPr>
      </w:pPr>
    </w:p>
    <w:p w14:paraId="03132D0F">
      <w:pPr>
        <w:pStyle w:val="21"/>
        <w:rPr>
          <w:rFonts w:hint="default"/>
          <w:color w:val="auto"/>
          <w:highlight w:val="none"/>
          <w:lang w:val="en-US"/>
        </w:rPr>
      </w:pPr>
    </w:p>
    <w:p w14:paraId="262A62A2">
      <w:pPr>
        <w:rPr>
          <w:rFonts w:hint="default"/>
          <w:color w:val="auto"/>
          <w:highlight w:val="none"/>
          <w:lang w:val="en-US"/>
        </w:rPr>
      </w:pPr>
    </w:p>
    <w:p w14:paraId="3B49336A">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outlineLvl w:val="1"/>
        <w:rPr>
          <w:rFonts w:ascii="宋体" w:hAnsi="宋体" w:cs="宋体"/>
          <w:b/>
          <w:color w:val="auto"/>
          <w:kern w:val="0"/>
          <w:sz w:val="28"/>
          <w:highlight w:val="none"/>
        </w:rPr>
      </w:pPr>
      <w:bookmarkStart w:id="474" w:name="_Toc228591621"/>
      <w:bookmarkStart w:id="475" w:name="_Toc18871"/>
      <w:bookmarkStart w:id="476" w:name="_Toc37747011"/>
      <w:bookmarkStart w:id="477" w:name="_Toc431367156"/>
      <w:bookmarkStart w:id="478" w:name="_Toc12047"/>
      <w:bookmarkStart w:id="479" w:name="_Toc227492357"/>
      <w:bookmarkStart w:id="480" w:name="_Toc228337210"/>
      <w:bookmarkStart w:id="481" w:name="_Toc37422295"/>
      <w:bookmarkStart w:id="482" w:name="_Toc214434001"/>
      <w:bookmarkStart w:id="483" w:name="_Toc228881261"/>
      <w:bookmarkStart w:id="484" w:name="_Toc228589275"/>
      <w:bookmarkStart w:id="485" w:name="_Toc500864551"/>
      <w:bookmarkStart w:id="486" w:name="_Toc227657599"/>
      <w:bookmarkStart w:id="487" w:name="_Toc228591769"/>
      <w:bookmarkStart w:id="488" w:name="_Toc272772681"/>
      <w:r>
        <w:rPr>
          <w:rFonts w:hint="eastAsia" w:ascii="宋体" w:hAnsi="宋体" w:cs="宋体"/>
          <w:b/>
          <w:bCs/>
          <w:color w:val="auto"/>
          <w:kern w:val="0"/>
          <w:sz w:val="30"/>
          <w:szCs w:val="30"/>
          <w:highlight w:val="none"/>
          <w:lang w:eastAsia="zh-CN"/>
        </w:rPr>
        <w:t>六</w:t>
      </w:r>
      <w:r>
        <w:rPr>
          <w:rFonts w:hint="eastAsia" w:ascii="宋体" w:hAnsi="宋体" w:cs="宋体"/>
          <w:b/>
          <w:bCs/>
          <w:color w:val="auto"/>
          <w:kern w:val="0"/>
          <w:sz w:val="30"/>
          <w:szCs w:val="30"/>
          <w:highlight w:val="none"/>
        </w:rPr>
        <w:t>、资格审查资料</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19147517">
      <w:pPr>
        <w:keepNext w:val="0"/>
        <w:keepLines w:val="0"/>
        <w:pageBreakBefore w:val="0"/>
        <w:widowControl w:val="0"/>
        <w:kinsoku/>
        <w:wordWrap w:val="0"/>
        <w:overflowPunct/>
        <w:topLinePunct w:val="0"/>
        <w:autoSpaceDE/>
        <w:autoSpaceDN/>
        <w:bidi w:val="0"/>
        <w:adjustRightInd w:val="0"/>
        <w:snapToGrid/>
        <w:spacing w:before="157" w:beforeLines="50" w:after="157" w:afterLines="50" w:line="400" w:lineRule="exact"/>
        <w:ind w:right="-34" w:rightChars="-16"/>
        <w:jc w:val="center"/>
        <w:textAlignment w:val="auto"/>
        <w:outlineLvl w:val="1"/>
        <w:rPr>
          <w:rFonts w:ascii="宋体" w:hAnsi="宋体" w:cs="宋体"/>
          <w:b/>
          <w:bCs/>
          <w:color w:val="auto"/>
          <w:kern w:val="0"/>
          <w:sz w:val="24"/>
          <w:szCs w:val="18"/>
          <w:highlight w:val="none"/>
        </w:rPr>
      </w:pPr>
      <w:bookmarkStart w:id="489" w:name="_Toc500864552"/>
      <w:bookmarkStart w:id="490" w:name="_Toc513740274"/>
      <w:bookmarkStart w:id="491" w:name="_Toc11990"/>
      <w:bookmarkStart w:id="492" w:name="_Toc37747013"/>
      <w:bookmarkStart w:id="493" w:name="_Toc228589276"/>
      <w:bookmarkStart w:id="494" w:name="_Toc38738911"/>
      <w:bookmarkStart w:id="495" w:name="_Toc272772682"/>
      <w:bookmarkStart w:id="496" w:name="_Toc228591770"/>
      <w:bookmarkStart w:id="497" w:name="_Toc37422297"/>
      <w:bookmarkStart w:id="498" w:name="_Toc228591622"/>
      <w:bookmarkStart w:id="499" w:name="_Toc228881262"/>
      <w:bookmarkStart w:id="500" w:name="_Toc228337211"/>
      <w:bookmarkStart w:id="501" w:name="_Toc32399"/>
      <w:bookmarkStart w:id="502" w:name="_Toc227657600"/>
      <w:bookmarkStart w:id="503" w:name="_Toc214434002"/>
      <w:bookmarkStart w:id="504" w:name="_Toc227492358"/>
      <w:bookmarkStart w:id="505" w:name="_Toc431367157"/>
      <w:r>
        <w:rPr>
          <w:rFonts w:hint="eastAsia" w:ascii="宋体" w:hAnsi="宋体" w:cs="宋体"/>
          <w:b/>
          <w:bCs/>
          <w:color w:val="auto"/>
          <w:kern w:val="0"/>
          <w:sz w:val="28"/>
          <w:szCs w:val="28"/>
          <w:highlight w:val="none"/>
        </w:rPr>
        <w:t>（一）投标人基本情况表</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tbl>
      <w:tblPr>
        <w:tblStyle w:val="23"/>
        <w:tblW w:w="0" w:type="auto"/>
        <w:jc w:val="center"/>
        <w:tblLayout w:type="fixed"/>
        <w:tblCellMar>
          <w:top w:w="0" w:type="dxa"/>
          <w:left w:w="0" w:type="dxa"/>
          <w:bottom w:w="0" w:type="dxa"/>
          <w:right w:w="0" w:type="dxa"/>
        </w:tblCellMar>
      </w:tblPr>
      <w:tblGrid>
        <w:gridCol w:w="1908"/>
        <w:gridCol w:w="901"/>
        <w:gridCol w:w="1080"/>
        <w:gridCol w:w="528"/>
        <w:gridCol w:w="732"/>
        <w:gridCol w:w="1078"/>
        <w:gridCol w:w="182"/>
        <w:gridCol w:w="900"/>
        <w:gridCol w:w="1621"/>
      </w:tblGrid>
      <w:tr w14:paraId="3660659B">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tcPr>
          <w:p w14:paraId="1A128C36">
            <w:pPr>
              <w:pStyle w:val="106"/>
              <w:keepNext w:val="0"/>
              <w:keepLines w:val="0"/>
              <w:pageBreakBefore w:val="0"/>
              <w:widowControl w:val="0"/>
              <w:kinsoku/>
              <w:wordWrap w:val="0"/>
              <w:overflowPunct/>
              <w:topLinePunct w:val="0"/>
              <w:autoSpaceDE/>
              <w:autoSpaceDN/>
              <w:bidi w:val="0"/>
              <w:snapToGrid/>
              <w:spacing w:before="107" w:line="240" w:lineRule="auto"/>
              <w:ind w:left="42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投标人名称</w:t>
            </w:r>
          </w:p>
        </w:tc>
        <w:tc>
          <w:tcPr>
            <w:tcW w:w="7022" w:type="dxa"/>
            <w:gridSpan w:val="8"/>
            <w:tcBorders>
              <w:top w:val="single" w:color="000000" w:sz="4" w:space="0"/>
              <w:left w:val="single" w:color="000000" w:sz="4" w:space="0"/>
              <w:bottom w:val="single" w:color="000000" w:sz="4" w:space="0"/>
              <w:right w:val="single" w:color="000000" w:sz="4" w:space="0"/>
            </w:tcBorders>
          </w:tcPr>
          <w:p w14:paraId="0E78CD1B">
            <w:pPr>
              <w:keepNext w:val="0"/>
              <w:keepLines w:val="0"/>
              <w:pageBreakBefore w:val="0"/>
              <w:widowControl w:val="0"/>
              <w:kinsoku/>
              <w:wordWrap w:val="0"/>
              <w:overflowPunct/>
              <w:topLinePunct w:val="0"/>
              <w:autoSpaceDE/>
              <w:autoSpaceDN/>
              <w:bidi w:val="0"/>
              <w:snapToGrid/>
              <w:rPr>
                <w:color w:val="auto"/>
                <w:highlight w:val="none"/>
              </w:rPr>
            </w:pPr>
          </w:p>
        </w:tc>
      </w:tr>
      <w:tr w14:paraId="799256F8">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tcPr>
          <w:p w14:paraId="289129D4">
            <w:pPr>
              <w:pStyle w:val="106"/>
              <w:keepNext w:val="0"/>
              <w:keepLines w:val="0"/>
              <w:pageBreakBefore w:val="0"/>
              <w:widowControl w:val="0"/>
              <w:kinsoku/>
              <w:wordWrap w:val="0"/>
              <w:overflowPunct/>
              <w:topLinePunct w:val="0"/>
              <w:autoSpaceDE/>
              <w:autoSpaceDN/>
              <w:bidi w:val="0"/>
              <w:snapToGrid/>
              <w:spacing w:before="107" w:line="240" w:lineRule="auto"/>
              <w:ind w:left="52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注册地址</w:t>
            </w:r>
          </w:p>
        </w:tc>
        <w:tc>
          <w:tcPr>
            <w:tcW w:w="3241" w:type="dxa"/>
            <w:gridSpan w:val="4"/>
            <w:tcBorders>
              <w:top w:val="single" w:color="000000" w:sz="4" w:space="0"/>
              <w:left w:val="single" w:color="000000" w:sz="4" w:space="0"/>
              <w:bottom w:val="single" w:color="000000" w:sz="4" w:space="0"/>
              <w:right w:val="single" w:color="000000" w:sz="4" w:space="0"/>
            </w:tcBorders>
          </w:tcPr>
          <w:p w14:paraId="2CEF9D3C">
            <w:pPr>
              <w:keepNext w:val="0"/>
              <w:keepLines w:val="0"/>
              <w:pageBreakBefore w:val="0"/>
              <w:widowControl w:val="0"/>
              <w:kinsoku/>
              <w:wordWrap w:val="0"/>
              <w:overflowPunct/>
              <w:topLinePunct w:val="0"/>
              <w:autoSpaceDE/>
              <w:autoSpaceDN/>
              <w:bidi w:val="0"/>
              <w:snapToGrid/>
              <w:rPr>
                <w:color w:val="auto"/>
                <w:highlight w:val="none"/>
              </w:rPr>
            </w:pPr>
          </w:p>
        </w:tc>
        <w:tc>
          <w:tcPr>
            <w:tcW w:w="1078" w:type="dxa"/>
            <w:tcBorders>
              <w:top w:val="single" w:color="000000" w:sz="4" w:space="0"/>
              <w:left w:val="single" w:color="000000" w:sz="4" w:space="0"/>
              <w:bottom w:val="single" w:color="000000" w:sz="4" w:space="0"/>
              <w:right w:val="single" w:color="000000" w:sz="4" w:space="0"/>
            </w:tcBorders>
          </w:tcPr>
          <w:p w14:paraId="4E76D967">
            <w:pPr>
              <w:pStyle w:val="106"/>
              <w:keepNext w:val="0"/>
              <w:keepLines w:val="0"/>
              <w:pageBreakBefore w:val="0"/>
              <w:widowControl w:val="0"/>
              <w:kinsoku/>
              <w:wordWrap w:val="0"/>
              <w:overflowPunct/>
              <w:topLinePunct w:val="0"/>
              <w:autoSpaceDE/>
              <w:autoSpaceDN/>
              <w:bidi w:val="0"/>
              <w:snapToGrid/>
              <w:spacing w:before="107" w:line="240" w:lineRule="auto"/>
              <w:ind w:left="11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邮政编码</w:t>
            </w:r>
          </w:p>
        </w:tc>
        <w:tc>
          <w:tcPr>
            <w:tcW w:w="2703" w:type="dxa"/>
            <w:gridSpan w:val="3"/>
            <w:tcBorders>
              <w:top w:val="single" w:color="000000" w:sz="4" w:space="0"/>
              <w:left w:val="single" w:color="000000" w:sz="4" w:space="0"/>
              <w:bottom w:val="single" w:color="000000" w:sz="4" w:space="0"/>
              <w:right w:val="single" w:color="000000" w:sz="4" w:space="0"/>
            </w:tcBorders>
          </w:tcPr>
          <w:p w14:paraId="0DE8F851">
            <w:pPr>
              <w:keepNext w:val="0"/>
              <w:keepLines w:val="0"/>
              <w:pageBreakBefore w:val="0"/>
              <w:widowControl w:val="0"/>
              <w:kinsoku/>
              <w:wordWrap w:val="0"/>
              <w:overflowPunct/>
              <w:topLinePunct w:val="0"/>
              <w:autoSpaceDE/>
              <w:autoSpaceDN/>
              <w:bidi w:val="0"/>
              <w:snapToGrid/>
              <w:rPr>
                <w:color w:val="auto"/>
                <w:highlight w:val="none"/>
              </w:rPr>
            </w:pPr>
          </w:p>
        </w:tc>
      </w:tr>
      <w:tr w14:paraId="240F1845">
        <w:tblPrEx>
          <w:tblCellMar>
            <w:top w:w="0" w:type="dxa"/>
            <w:left w:w="0" w:type="dxa"/>
            <w:bottom w:w="0" w:type="dxa"/>
            <w:right w:w="0" w:type="dxa"/>
          </w:tblCellMar>
        </w:tblPrEx>
        <w:trPr>
          <w:trHeight w:val="449" w:hRule="exact"/>
          <w:jc w:val="center"/>
        </w:trPr>
        <w:tc>
          <w:tcPr>
            <w:tcW w:w="1908" w:type="dxa"/>
            <w:vMerge w:val="restart"/>
            <w:tcBorders>
              <w:top w:val="single" w:color="000000" w:sz="4" w:space="0"/>
              <w:left w:val="single" w:color="000000" w:sz="4" w:space="0"/>
              <w:right w:val="single" w:color="000000" w:sz="4" w:space="0"/>
            </w:tcBorders>
          </w:tcPr>
          <w:p w14:paraId="5C469241">
            <w:pPr>
              <w:pStyle w:val="106"/>
              <w:keepNext w:val="0"/>
              <w:keepLines w:val="0"/>
              <w:pageBreakBefore w:val="0"/>
              <w:widowControl w:val="0"/>
              <w:kinsoku/>
              <w:wordWrap w:val="0"/>
              <w:overflowPunct/>
              <w:topLinePunct w:val="0"/>
              <w:autoSpaceDE/>
              <w:autoSpaceDN/>
              <w:bidi w:val="0"/>
              <w:snapToGrid/>
              <w:spacing w:before="6" w:line="240" w:lineRule="auto"/>
              <w:ind w:right="0"/>
              <w:jc w:val="left"/>
              <w:rPr>
                <w:rFonts w:ascii="黑体" w:hAnsi="黑体" w:eastAsia="黑体" w:cs="黑体"/>
                <w:color w:val="auto"/>
                <w:sz w:val="25"/>
                <w:szCs w:val="25"/>
                <w:highlight w:val="none"/>
              </w:rPr>
            </w:pPr>
          </w:p>
          <w:p w14:paraId="3F4D151F">
            <w:pPr>
              <w:pStyle w:val="106"/>
              <w:keepNext w:val="0"/>
              <w:keepLines w:val="0"/>
              <w:pageBreakBefore w:val="0"/>
              <w:widowControl w:val="0"/>
              <w:kinsoku/>
              <w:wordWrap w:val="0"/>
              <w:overflowPunct/>
              <w:topLinePunct w:val="0"/>
              <w:autoSpaceDE/>
              <w:autoSpaceDN/>
              <w:bidi w:val="0"/>
              <w:snapToGrid/>
              <w:spacing w:line="240" w:lineRule="auto"/>
              <w:ind w:left="52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联系方式</w:t>
            </w:r>
          </w:p>
        </w:tc>
        <w:tc>
          <w:tcPr>
            <w:tcW w:w="901" w:type="dxa"/>
            <w:tcBorders>
              <w:top w:val="single" w:color="000000" w:sz="4" w:space="0"/>
              <w:left w:val="single" w:color="000000" w:sz="4" w:space="0"/>
              <w:bottom w:val="single" w:color="000000" w:sz="4" w:space="0"/>
              <w:right w:val="single" w:color="000000" w:sz="4" w:space="0"/>
            </w:tcBorders>
          </w:tcPr>
          <w:p w14:paraId="5C0839AC">
            <w:pPr>
              <w:pStyle w:val="106"/>
              <w:keepNext w:val="0"/>
              <w:keepLines w:val="0"/>
              <w:pageBreakBefore w:val="0"/>
              <w:widowControl w:val="0"/>
              <w:kinsoku/>
              <w:wordWrap w:val="0"/>
              <w:overflowPunct/>
              <w:topLinePunct w:val="0"/>
              <w:autoSpaceDE/>
              <w:autoSpaceDN/>
              <w:bidi w:val="0"/>
              <w:snapToGrid/>
              <w:spacing w:before="107" w:line="240" w:lineRule="auto"/>
              <w:ind w:left="12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联系人</w:t>
            </w:r>
          </w:p>
        </w:tc>
        <w:tc>
          <w:tcPr>
            <w:tcW w:w="2340" w:type="dxa"/>
            <w:gridSpan w:val="3"/>
            <w:tcBorders>
              <w:top w:val="single" w:color="000000" w:sz="4" w:space="0"/>
              <w:left w:val="single" w:color="000000" w:sz="4" w:space="0"/>
              <w:bottom w:val="single" w:color="000000" w:sz="4" w:space="0"/>
              <w:right w:val="single" w:color="000000" w:sz="4" w:space="0"/>
            </w:tcBorders>
          </w:tcPr>
          <w:p w14:paraId="719B2F94">
            <w:pPr>
              <w:keepNext w:val="0"/>
              <w:keepLines w:val="0"/>
              <w:pageBreakBefore w:val="0"/>
              <w:widowControl w:val="0"/>
              <w:kinsoku/>
              <w:wordWrap w:val="0"/>
              <w:overflowPunct/>
              <w:topLinePunct w:val="0"/>
              <w:autoSpaceDE/>
              <w:autoSpaceDN/>
              <w:bidi w:val="0"/>
              <w:snapToGrid/>
              <w:rPr>
                <w:color w:val="auto"/>
                <w:highlight w:val="none"/>
              </w:rPr>
            </w:pPr>
          </w:p>
        </w:tc>
        <w:tc>
          <w:tcPr>
            <w:tcW w:w="1078" w:type="dxa"/>
            <w:tcBorders>
              <w:top w:val="single" w:color="000000" w:sz="4" w:space="0"/>
              <w:left w:val="single" w:color="000000" w:sz="4" w:space="0"/>
              <w:bottom w:val="single" w:color="000000" w:sz="4" w:space="0"/>
              <w:right w:val="single" w:color="000000" w:sz="4" w:space="0"/>
            </w:tcBorders>
          </w:tcPr>
          <w:p w14:paraId="7596E0AD">
            <w:pPr>
              <w:pStyle w:val="106"/>
              <w:keepNext w:val="0"/>
              <w:keepLines w:val="0"/>
              <w:pageBreakBefore w:val="0"/>
              <w:widowControl w:val="0"/>
              <w:kinsoku/>
              <w:wordWrap w:val="0"/>
              <w:overflowPunct/>
              <w:topLinePunct w:val="0"/>
              <w:autoSpaceDE/>
              <w:autoSpaceDN/>
              <w:bidi w:val="0"/>
              <w:snapToGrid/>
              <w:spacing w:before="107" w:line="240" w:lineRule="auto"/>
              <w:ind w:left="27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电</w:t>
            </w:r>
            <w:r>
              <w:rPr>
                <w:rFonts w:ascii="宋体" w:hAnsi="宋体" w:eastAsia="宋体" w:cs="宋体"/>
                <w:color w:val="auto"/>
                <w:spacing w:val="2"/>
                <w:sz w:val="21"/>
                <w:szCs w:val="21"/>
                <w:highlight w:val="none"/>
              </w:rPr>
              <w:t xml:space="preserve"> </w:t>
            </w:r>
            <w:r>
              <w:rPr>
                <w:rFonts w:ascii="宋体" w:hAnsi="宋体" w:eastAsia="宋体" w:cs="宋体"/>
                <w:color w:val="auto"/>
                <w:sz w:val="21"/>
                <w:szCs w:val="21"/>
                <w:highlight w:val="none"/>
              </w:rPr>
              <w:t>话</w:t>
            </w:r>
          </w:p>
        </w:tc>
        <w:tc>
          <w:tcPr>
            <w:tcW w:w="2703" w:type="dxa"/>
            <w:gridSpan w:val="3"/>
            <w:tcBorders>
              <w:top w:val="single" w:color="000000" w:sz="4" w:space="0"/>
              <w:left w:val="single" w:color="000000" w:sz="4" w:space="0"/>
              <w:bottom w:val="single" w:color="000000" w:sz="4" w:space="0"/>
              <w:right w:val="single" w:color="000000" w:sz="4" w:space="0"/>
            </w:tcBorders>
          </w:tcPr>
          <w:p w14:paraId="0CE0B832">
            <w:pPr>
              <w:keepNext w:val="0"/>
              <w:keepLines w:val="0"/>
              <w:pageBreakBefore w:val="0"/>
              <w:widowControl w:val="0"/>
              <w:kinsoku/>
              <w:wordWrap w:val="0"/>
              <w:overflowPunct/>
              <w:topLinePunct w:val="0"/>
              <w:autoSpaceDE/>
              <w:autoSpaceDN/>
              <w:bidi w:val="0"/>
              <w:snapToGrid/>
              <w:rPr>
                <w:color w:val="auto"/>
                <w:highlight w:val="none"/>
              </w:rPr>
            </w:pPr>
          </w:p>
        </w:tc>
      </w:tr>
      <w:tr w14:paraId="1C1FBAB6">
        <w:tblPrEx>
          <w:tblCellMar>
            <w:top w:w="0" w:type="dxa"/>
            <w:left w:w="0" w:type="dxa"/>
            <w:bottom w:w="0" w:type="dxa"/>
            <w:right w:w="0" w:type="dxa"/>
          </w:tblCellMar>
        </w:tblPrEx>
        <w:trPr>
          <w:trHeight w:val="451" w:hRule="exact"/>
          <w:jc w:val="center"/>
        </w:trPr>
        <w:tc>
          <w:tcPr>
            <w:tcW w:w="1908" w:type="dxa"/>
            <w:vMerge w:val="continue"/>
            <w:tcBorders>
              <w:left w:val="single" w:color="000000" w:sz="4" w:space="0"/>
              <w:bottom w:val="single" w:color="000000" w:sz="4" w:space="0"/>
              <w:right w:val="single" w:color="000000" w:sz="4" w:space="0"/>
            </w:tcBorders>
          </w:tcPr>
          <w:p w14:paraId="495661C4">
            <w:pPr>
              <w:keepNext w:val="0"/>
              <w:keepLines w:val="0"/>
              <w:pageBreakBefore w:val="0"/>
              <w:widowControl w:val="0"/>
              <w:kinsoku/>
              <w:wordWrap w:val="0"/>
              <w:overflowPunct/>
              <w:topLinePunct w:val="0"/>
              <w:autoSpaceDE/>
              <w:autoSpaceDN/>
              <w:bidi w:val="0"/>
              <w:snapToGrid/>
              <w:rPr>
                <w:color w:val="auto"/>
                <w:highlight w:val="none"/>
              </w:rPr>
            </w:pPr>
          </w:p>
        </w:tc>
        <w:tc>
          <w:tcPr>
            <w:tcW w:w="901" w:type="dxa"/>
            <w:tcBorders>
              <w:top w:val="single" w:color="000000" w:sz="4" w:space="0"/>
              <w:left w:val="single" w:color="000000" w:sz="4" w:space="0"/>
              <w:bottom w:val="single" w:color="000000" w:sz="4" w:space="0"/>
              <w:right w:val="single" w:color="000000" w:sz="4" w:space="0"/>
            </w:tcBorders>
          </w:tcPr>
          <w:p w14:paraId="4FEB2181">
            <w:pPr>
              <w:pStyle w:val="106"/>
              <w:keepNext w:val="0"/>
              <w:keepLines w:val="0"/>
              <w:pageBreakBefore w:val="0"/>
              <w:widowControl w:val="0"/>
              <w:tabs>
                <w:tab w:val="left" w:pos="552"/>
              </w:tabs>
              <w:kinsoku/>
              <w:wordWrap w:val="0"/>
              <w:overflowPunct/>
              <w:topLinePunct w:val="0"/>
              <w:autoSpaceDE/>
              <w:autoSpaceDN/>
              <w:bidi w:val="0"/>
              <w:snapToGrid/>
              <w:spacing w:before="107" w:line="240" w:lineRule="auto"/>
              <w:ind w:left="12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传</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真</w:t>
            </w:r>
          </w:p>
        </w:tc>
        <w:tc>
          <w:tcPr>
            <w:tcW w:w="2340" w:type="dxa"/>
            <w:gridSpan w:val="3"/>
            <w:tcBorders>
              <w:top w:val="single" w:color="000000" w:sz="4" w:space="0"/>
              <w:left w:val="single" w:color="000000" w:sz="4" w:space="0"/>
              <w:bottom w:val="single" w:color="000000" w:sz="4" w:space="0"/>
              <w:right w:val="single" w:color="000000" w:sz="4" w:space="0"/>
            </w:tcBorders>
          </w:tcPr>
          <w:p w14:paraId="3AEE8588">
            <w:pPr>
              <w:keepNext w:val="0"/>
              <w:keepLines w:val="0"/>
              <w:pageBreakBefore w:val="0"/>
              <w:widowControl w:val="0"/>
              <w:kinsoku/>
              <w:wordWrap w:val="0"/>
              <w:overflowPunct/>
              <w:topLinePunct w:val="0"/>
              <w:autoSpaceDE/>
              <w:autoSpaceDN/>
              <w:bidi w:val="0"/>
              <w:snapToGrid/>
              <w:rPr>
                <w:color w:val="auto"/>
                <w:highlight w:val="none"/>
              </w:rPr>
            </w:pPr>
          </w:p>
        </w:tc>
        <w:tc>
          <w:tcPr>
            <w:tcW w:w="1078" w:type="dxa"/>
            <w:tcBorders>
              <w:top w:val="single" w:color="000000" w:sz="4" w:space="0"/>
              <w:left w:val="single" w:color="000000" w:sz="4" w:space="0"/>
              <w:bottom w:val="single" w:color="000000" w:sz="4" w:space="0"/>
              <w:right w:val="single" w:color="000000" w:sz="4" w:space="0"/>
            </w:tcBorders>
          </w:tcPr>
          <w:p w14:paraId="352D8BDB">
            <w:pPr>
              <w:pStyle w:val="106"/>
              <w:keepNext w:val="0"/>
              <w:keepLines w:val="0"/>
              <w:pageBreakBefore w:val="0"/>
              <w:widowControl w:val="0"/>
              <w:kinsoku/>
              <w:wordWrap w:val="0"/>
              <w:overflowPunct/>
              <w:topLinePunct w:val="0"/>
              <w:autoSpaceDE/>
              <w:autoSpaceDN/>
              <w:bidi w:val="0"/>
              <w:snapToGrid/>
              <w:spacing w:before="107" w:line="240" w:lineRule="auto"/>
              <w:ind w:left="11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电子邮件</w:t>
            </w:r>
          </w:p>
        </w:tc>
        <w:tc>
          <w:tcPr>
            <w:tcW w:w="2703" w:type="dxa"/>
            <w:gridSpan w:val="3"/>
            <w:tcBorders>
              <w:top w:val="single" w:color="000000" w:sz="4" w:space="0"/>
              <w:left w:val="single" w:color="000000" w:sz="4" w:space="0"/>
              <w:bottom w:val="single" w:color="000000" w:sz="4" w:space="0"/>
              <w:right w:val="single" w:color="000000" w:sz="4" w:space="0"/>
            </w:tcBorders>
          </w:tcPr>
          <w:p w14:paraId="76BD2079">
            <w:pPr>
              <w:keepNext w:val="0"/>
              <w:keepLines w:val="0"/>
              <w:pageBreakBefore w:val="0"/>
              <w:widowControl w:val="0"/>
              <w:kinsoku/>
              <w:wordWrap w:val="0"/>
              <w:overflowPunct/>
              <w:topLinePunct w:val="0"/>
              <w:autoSpaceDE/>
              <w:autoSpaceDN/>
              <w:bidi w:val="0"/>
              <w:snapToGrid/>
              <w:rPr>
                <w:color w:val="auto"/>
                <w:highlight w:val="none"/>
              </w:rPr>
            </w:pPr>
          </w:p>
        </w:tc>
      </w:tr>
      <w:tr w14:paraId="3DBA3C3A">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tcPr>
          <w:p w14:paraId="609F4506">
            <w:pPr>
              <w:pStyle w:val="106"/>
              <w:keepNext w:val="0"/>
              <w:keepLines w:val="0"/>
              <w:pageBreakBefore w:val="0"/>
              <w:widowControl w:val="0"/>
              <w:kinsoku/>
              <w:wordWrap w:val="0"/>
              <w:overflowPunct/>
              <w:topLinePunct w:val="0"/>
              <w:autoSpaceDE/>
              <w:autoSpaceDN/>
              <w:bidi w:val="0"/>
              <w:snapToGrid/>
              <w:spacing w:before="108" w:line="240" w:lineRule="auto"/>
              <w:ind w:left="42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法定代表人</w:t>
            </w:r>
          </w:p>
        </w:tc>
        <w:tc>
          <w:tcPr>
            <w:tcW w:w="901" w:type="dxa"/>
            <w:tcBorders>
              <w:top w:val="single" w:color="000000" w:sz="4" w:space="0"/>
              <w:left w:val="single" w:color="000000" w:sz="4" w:space="0"/>
              <w:bottom w:val="single" w:color="000000" w:sz="4" w:space="0"/>
              <w:right w:val="single" w:color="000000" w:sz="4" w:space="0"/>
            </w:tcBorders>
          </w:tcPr>
          <w:p w14:paraId="7C71AFFE">
            <w:pPr>
              <w:pStyle w:val="106"/>
              <w:keepNext w:val="0"/>
              <w:keepLines w:val="0"/>
              <w:pageBreakBefore w:val="0"/>
              <w:widowControl w:val="0"/>
              <w:kinsoku/>
              <w:wordWrap w:val="0"/>
              <w:overflowPunct/>
              <w:topLinePunct w:val="0"/>
              <w:autoSpaceDE/>
              <w:autoSpaceDN/>
              <w:bidi w:val="0"/>
              <w:snapToGrid/>
              <w:spacing w:before="108" w:line="240" w:lineRule="auto"/>
              <w:ind w:left="235"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姓名</w:t>
            </w:r>
          </w:p>
        </w:tc>
        <w:tc>
          <w:tcPr>
            <w:tcW w:w="1080" w:type="dxa"/>
            <w:tcBorders>
              <w:top w:val="single" w:color="000000" w:sz="4" w:space="0"/>
              <w:left w:val="single" w:color="000000" w:sz="4" w:space="0"/>
              <w:bottom w:val="single" w:color="000000" w:sz="4" w:space="0"/>
              <w:right w:val="single" w:color="000000" w:sz="4" w:space="0"/>
            </w:tcBorders>
          </w:tcPr>
          <w:p w14:paraId="618A0A25">
            <w:pPr>
              <w:keepNext w:val="0"/>
              <w:keepLines w:val="0"/>
              <w:pageBreakBefore w:val="0"/>
              <w:widowControl w:val="0"/>
              <w:kinsoku/>
              <w:wordWrap w:val="0"/>
              <w:overflowPunct/>
              <w:topLinePunct w:val="0"/>
              <w:autoSpaceDE/>
              <w:autoSpaceDN/>
              <w:bidi w:val="0"/>
              <w:snapToGrid/>
              <w:rPr>
                <w:color w:val="auto"/>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tcPr>
          <w:p w14:paraId="0E7AB953">
            <w:pPr>
              <w:pStyle w:val="106"/>
              <w:keepNext w:val="0"/>
              <w:keepLines w:val="0"/>
              <w:pageBreakBefore w:val="0"/>
              <w:widowControl w:val="0"/>
              <w:kinsoku/>
              <w:wordWrap w:val="0"/>
              <w:overflowPunct/>
              <w:topLinePunct w:val="0"/>
              <w:autoSpaceDE/>
              <w:autoSpaceDN/>
              <w:bidi w:val="0"/>
              <w:snapToGrid/>
              <w:spacing w:before="108" w:line="240" w:lineRule="auto"/>
              <w:ind w:left="203"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技术职称</w:t>
            </w:r>
          </w:p>
        </w:tc>
        <w:tc>
          <w:tcPr>
            <w:tcW w:w="1078" w:type="dxa"/>
            <w:tcBorders>
              <w:top w:val="single" w:color="000000" w:sz="4" w:space="0"/>
              <w:left w:val="single" w:color="000000" w:sz="4" w:space="0"/>
              <w:bottom w:val="single" w:color="000000" w:sz="4" w:space="0"/>
              <w:right w:val="single" w:color="000000" w:sz="4" w:space="0"/>
            </w:tcBorders>
          </w:tcPr>
          <w:p w14:paraId="18FB48E2">
            <w:pPr>
              <w:keepNext w:val="0"/>
              <w:keepLines w:val="0"/>
              <w:pageBreakBefore w:val="0"/>
              <w:widowControl w:val="0"/>
              <w:kinsoku/>
              <w:wordWrap w:val="0"/>
              <w:overflowPunct/>
              <w:topLinePunct w:val="0"/>
              <w:autoSpaceDE/>
              <w:autoSpaceDN/>
              <w:bidi w:val="0"/>
              <w:snapToGrid/>
              <w:rPr>
                <w:color w:val="auto"/>
                <w:highlight w:val="none"/>
              </w:rPr>
            </w:pPr>
          </w:p>
        </w:tc>
        <w:tc>
          <w:tcPr>
            <w:tcW w:w="1082" w:type="dxa"/>
            <w:gridSpan w:val="2"/>
            <w:tcBorders>
              <w:top w:val="single" w:color="000000" w:sz="4" w:space="0"/>
              <w:left w:val="single" w:color="000000" w:sz="4" w:space="0"/>
              <w:bottom w:val="single" w:color="000000" w:sz="4" w:space="0"/>
              <w:right w:val="single" w:color="000000" w:sz="4" w:space="0"/>
            </w:tcBorders>
          </w:tcPr>
          <w:p w14:paraId="2F70B682">
            <w:pPr>
              <w:pStyle w:val="106"/>
              <w:keepNext w:val="0"/>
              <w:keepLines w:val="0"/>
              <w:pageBreakBefore w:val="0"/>
              <w:widowControl w:val="0"/>
              <w:kinsoku/>
              <w:wordWrap w:val="0"/>
              <w:overflowPunct/>
              <w:topLinePunct w:val="0"/>
              <w:autoSpaceDE/>
              <w:autoSpaceDN/>
              <w:bidi w:val="0"/>
              <w:snapToGrid/>
              <w:spacing w:before="108" w:line="240" w:lineRule="auto"/>
              <w:ind w:left="326"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电话</w:t>
            </w:r>
          </w:p>
        </w:tc>
        <w:tc>
          <w:tcPr>
            <w:tcW w:w="1621" w:type="dxa"/>
            <w:tcBorders>
              <w:top w:val="single" w:color="000000" w:sz="4" w:space="0"/>
              <w:left w:val="single" w:color="000000" w:sz="4" w:space="0"/>
              <w:bottom w:val="single" w:color="000000" w:sz="4" w:space="0"/>
              <w:right w:val="single" w:color="000000" w:sz="4" w:space="0"/>
            </w:tcBorders>
          </w:tcPr>
          <w:p w14:paraId="7D9B156F">
            <w:pPr>
              <w:keepNext w:val="0"/>
              <w:keepLines w:val="0"/>
              <w:pageBreakBefore w:val="0"/>
              <w:widowControl w:val="0"/>
              <w:kinsoku/>
              <w:wordWrap w:val="0"/>
              <w:overflowPunct/>
              <w:topLinePunct w:val="0"/>
              <w:autoSpaceDE/>
              <w:autoSpaceDN/>
              <w:bidi w:val="0"/>
              <w:snapToGrid/>
              <w:rPr>
                <w:color w:val="auto"/>
                <w:highlight w:val="none"/>
              </w:rPr>
            </w:pPr>
          </w:p>
        </w:tc>
      </w:tr>
      <w:tr w14:paraId="6C7F1282">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tcPr>
          <w:p w14:paraId="004CBFB7">
            <w:pPr>
              <w:pStyle w:val="106"/>
              <w:keepNext w:val="0"/>
              <w:keepLines w:val="0"/>
              <w:pageBreakBefore w:val="0"/>
              <w:widowControl w:val="0"/>
              <w:kinsoku/>
              <w:wordWrap w:val="0"/>
              <w:overflowPunct/>
              <w:topLinePunct w:val="0"/>
              <w:autoSpaceDE/>
              <w:autoSpaceDN/>
              <w:bidi w:val="0"/>
              <w:snapToGrid/>
              <w:spacing w:before="107" w:line="240" w:lineRule="auto"/>
              <w:ind w:left="42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技术负责人</w:t>
            </w:r>
          </w:p>
        </w:tc>
        <w:tc>
          <w:tcPr>
            <w:tcW w:w="901" w:type="dxa"/>
            <w:tcBorders>
              <w:top w:val="single" w:color="000000" w:sz="4" w:space="0"/>
              <w:left w:val="single" w:color="000000" w:sz="4" w:space="0"/>
              <w:bottom w:val="single" w:color="000000" w:sz="4" w:space="0"/>
              <w:right w:val="single" w:color="000000" w:sz="4" w:space="0"/>
            </w:tcBorders>
          </w:tcPr>
          <w:p w14:paraId="4DF70D65">
            <w:pPr>
              <w:pStyle w:val="106"/>
              <w:keepNext w:val="0"/>
              <w:keepLines w:val="0"/>
              <w:pageBreakBefore w:val="0"/>
              <w:widowControl w:val="0"/>
              <w:kinsoku/>
              <w:wordWrap w:val="0"/>
              <w:overflowPunct/>
              <w:topLinePunct w:val="0"/>
              <w:autoSpaceDE/>
              <w:autoSpaceDN/>
              <w:bidi w:val="0"/>
              <w:snapToGrid/>
              <w:spacing w:before="107" w:line="240" w:lineRule="auto"/>
              <w:ind w:left="235"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姓名</w:t>
            </w:r>
          </w:p>
        </w:tc>
        <w:tc>
          <w:tcPr>
            <w:tcW w:w="1080" w:type="dxa"/>
            <w:tcBorders>
              <w:top w:val="single" w:color="000000" w:sz="4" w:space="0"/>
              <w:left w:val="single" w:color="000000" w:sz="4" w:space="0"/>
              <w:bottom w:val="single" w:color="000000" w:sz="4" w:space="0"/>
              <w:right w:val="single" w:color="000000" w:sz="4" w:space="0"/>
            </w:tcBorders>
          </w:tcPr>
          <w:p w14:paraId="4A6AF21B">
            <w:pPr>
              <w:keepNext w:val="0"/>
              <w:keepLines w:val="0"/>
              <w:pageBreakBefore w:val="0"/>
              <w:widowControl w:val="0"/>
              <w:kinsoku/>
              <w:wordWrap w:val="0"/>
              <w:overflowPunct/>
              <w:topLinePunct w:val="0"/>
              <w:autoSpaceDE/>
              <w:autoSpaceDN/>
              <w:bidi w:val="0"/>
              <w:snapToGrid/>
              <w:rPr>
                <w:color w:val="auto"/>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tcPr>
          <w:p w14:paraId="17B7F2E1">
            <w:pPr>
              <w:pStyle w:val="106"/>
              <w:keepNext w:val="0"/>
              <w:keepLines w:val="0"/>
              <w:pageBreakBefore w:val="0"/>
              <w:widowControl w:val="0"/>
              <w:kinsoku/>
              <w:wordWrap w:val="0"/>
              <w:overflowPunct/>
              <w:topLinePunct w:val="0"/>
              <w:autoSpaceDE/>
              <w:autoSpaceDN/>
              <w:bidi w:val="0"/>
              <w:snapToGrid/>
              <w:spacing w:before="107" w:line="240" w:lineRule="auto"/>
              <w:ind w:left="203"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技术职称</w:t>
            </w:r>
          </w:p>
        </w:tc>
        <w:tc>
          <w:tcPr>
            <w:tcW w:w="1078" w:type="dxa"/>
            <w:tcBorders>
              <w:top w:val="single" w:color="000000" w:sz="4" w:space="0"/>
              <w:left w:val="single" w:color="000000" w:sz="4" w:space="0"/>
              <w:bottom w:val="single" w:color="000000" w:sz="4" w:space="0"/>
              <w:right w:val="single" w:color="000000" w:sz="4" w:space="0"/>
            </w:tcBorders>
          </w:tcPr>
          <w:p w14:paraId="4AE5011F">
            <w:pPr>
              <w:keepNext w:val="0"/>
              <w:keepLines w:val="0"/>
              <w:pageBreakBefore w:val="0"/>
              <w:widowControl w:val="0"/>
              <w:kinsoku/>
              <w:wordWrap w:val="0"/>
              <w:overflowPunct/>
              <w:topLinePunct w:val="0"/>
              <w:autoSpaceDE/>
              <w:autoSpaceDN/>
              <w:bidi w:val="0"/>
              <w:snapToGrid/>
              <w:rPr>
                <w:color w:val="auto"/>
                <w:highlight w:val="none"/>
              </w:rPr>
            </w:pPr>
          </w:p>
        </w:tc>
        <w:tc>
          <w:tcPr>
            <w:tcW w:w="1082" w:type="dxa"/>
            <w:gridSpan w:val="2"/>
            <w:tcBorders>
              <w:top w:val="single" w:color="000000" w:sz="4" w:space="0"/>
              <w:left w:val="single" w:color="000000" w:sz="4" w:space="0"/>
              <w:bottom w:val="single" w:color="000000" w:sz="4" w:space="0"/>
              <w:right w:val="single" w:color="000000" w:sz="4" w:space="0"/>
            </w:tcBorders>
          </w:tcPr>
          <w:p w14:paraId="1B2F7FD9">
            <w:pPr>
              <w:pStyle w:val="106"/>
              <w:keepNext w:val="0"/>
              <w:keepLines w:val="0"/>
              <w:pageBreakBefore w:val="0"/>
              <w:widowControl w:val="0"/>
              <w:kinsoku/>
              <w:wordWrap w:val="0"/>
              <w:overflowPunct/>
              <w:topLinePunct w:val="0"/>
              <w:autoSpaceDE/>
              <w:autoSpaceDN/>
              <w:bidi w:val="0"/>
              <w:snapToGrid/>
              <w:spacing w:before="107" w:line="240" w:lineRule="auto"/>
              <w:ind w:left="326"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电话</w:t>
            </w:r>
          </w:p>
        </w:tc>
        <w:tc>
          <w:tcPr>
            <w:tcW w:w="1621" w:type="dxa"/>
            <w:tcBorders>
              <w:top w:val="single" w:color="000000" w:sz="4" w:space="0"/>
              <w:left w:val="single" w:color="000000" w:sz="4" w:space="0"/>
              <w:bottom w:val="single" w:color="000000" w:sz="4" w:space="0"/>
              <w:right w:val="single" w:color="000000" w:sz="4" w:space="0"/>
            </w:tcBorders>
          </w:tcPr>
          <w:p w14:paraId="1087E284">
            <w:pPr>
              <w:keepNext w:val="0"/>
              <w:keepLines w:val="0"/>
              <w:pageBreakBefore w:val="0"/>
              <w:widowControl w:val="0"/>
              <w:kinsoku/>
              <w:wordWrap w:val="0"/>
              <w:overflowPunct/>
              <w:topLinePunct w:val="0"/>
              <w:autoSpaceDE/>
              <w:autoSpaceDN/>
              <w:bidi w:val="0"/>
              <w:snapToGrid/>
              <w:rPr>
                <w:color w:val="auto"/>
                <w:highlight w:val="none"/>
              </w:rPr>
            </w:pPr>
          </w:p>
        </w:tc>
      </w:tr>
      <w:tr w14:paraId="1CFB3FD5">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tcPr>
          <w:p w14:paraId="297AB54A">
            <w:pPr>
              <w:pStyle w:val="106"/>
              <w:keepNext w:val="0"/>
              <w:keepLines w:val="0"/>
              <w:pageBreakBefore w:val="0"/>
              <w:widowControl w:val="0"/>
              <w:kinsoku/>
              <w:wordWrap w:val="0"/>
              <w:overflowPunct/>
              <w:topLinePunct w:val="0"/>
              <w:autoSpaceDE/>
              <w:autoSpaceDN/>
              <w:bidi w:val="0"/>
              <w:snapToGrid/>
              <w:spacing w:before="107" w:line="240" w:lineRule="auto"/>
              <w:ind w:left="42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营业执照号</w:t>
            </w:r>
          </w:p>
        </w:tc>
        <w:tc>
          <w:tcPr>
            <w:tcW w:w="1981" w:type="dxa"/>
            <w:gridSpan w:val="2"/>
            <w:tcBorders>
              <w:top w:val="single" w:color="000000" w:sz="4" w:space="0"/>
              <w:left w:val="single" w:color="000000" w:sz="4" w:space="0"/>
              <w:bottom w:val="single" w:color="000000" w:sz="4" w:space="0"/>
              <w:right w:val="single" w:color="000000" w:sz="4" w:space="0"/>
            </w:tcBorders>
          </w:tcPr>
          <w:p w14:paraId="0292ABA2">
            <w:pPr>
              <w:keepNext w:val="0"/>
              <w:keepLines w:val="0"/>
              <w:pageBreakBefore w:val="0"/>
              <w:widowControl w:val="0"/>
              <w:kinsoku/>
              <w:wordWrap w:val="0"/>
              <w:overflowPunct/>
              <w:topLinePunct w:val="0"/>
              <w:autoSpaceDE/>
              <w:autoSpaceDN/>
              <w:bidi w:val="0"/>
              <w:snapToGrid/>
              <w:rPr>
                <w:color w:val="auto"/>
                <w:highlight w:val="none"/>
              </w:rPr>
            </w:pPr>
          </w:p>
        </w:tc>
        <w:tc>
          <w:tcPr>
            <w:tcW w:w="5041" w:type="dxa"/>
            <w:gridSpan w:val="6"/>
            <w:tcBorders>
              <w:top w:val="single" w:color="000000" w:sz="4" w:space="0"/>
              <w:left w:val="single" w:color="000000" w:sz="4" w:space="0"/>
              <w:bottom w:val="single" w:color="000000" w:sz="4" w:space="0"/>
              <w:right w:val="single" w:color="000000" w:sz="4" w:space="0"/>
            </w:tcBorders>
          </w:tcPr>
          <w:p w14:paraId="64987AF9">
            <w:pPr>
              <w:pStyle w:val="106"/>
              <w:keepNext w:val="0"/>
              <w:keepLines w:val="0"/>
              <w:pageBreakBefore w:val="0"/>
              <w:widowControl w:val="0"/>
              <w:kinsoku/>
              <w:wordWrap w:val="0"/>
              <w:overflowPunct/>
              <w:topLinePunct w:val="0"/>
              <w:autoSpaceDE/>
              <w:autoSpaceDN/>
              <w:bidi w:val="0"/>
              <w:snapToGrid/>
              <w:spacing w:before="107" w:line="240" w:lineRule="auto"/>
              <w:ind w:left="105"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员工总人数：</w:t>
            </w:r>
          </w:p>
        </w:tc>
      </w:tr>
      <w:tr w14:paraId="7DFF9746">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tcPr>
          <w:p w14:paraId="1457A61F">
            <w:pPr>
              <w:pStyle w:val="106"/>
              <w:keepNext w:val="0"/>
              <w:keepLines w:val="0"/>
              <w:pageBreakBefore w:val="0"/>
              <w:widowControl w:val="0"/>
              <w:kinsoku/>
              <w:wordWrap w:val="0"/>
              <w:overflowPunct/>
              <w:topLinePunct w:val="0"/>
              <w:autoSpaceDE/>
              <w:autoSpaceDN/>
              <w:bidi w:val="0"/>
              <w:snapToGrid/>
              <w:spacing w:before="107" w:line="240" w:lineRule="auto"/>
              <w:ind w:left="31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企业资质等级</w:t>
            </w:r>
          </w:p>
        </w:tc>
        <w:tc>
          <w:tcPr>
            <w:tcW w:w="1981" w:type="dxa"/>
            <w:gridSpan w:val="2"/>
            <w:tcBorders>
              <w:top w:val="single" w:color="000000" w:sz="4" w:space="0"/>
              <w:left w:val="single" w:color="000000" w:sz="4" w:space="0"/>
              <w:bottom w:val="single" w:color="000000" w:sz="4" w:space="0"/>
              <w:right w:val="single" w:color="000000" w:sz="4" w:space="0"/>
            </w:tcBorders>
          </w:tcPr>
          <w:p w14:paraId="25F7383F">
            <w:pPr>
              <w:keepNext w:val="0"/>
              <w:keepLines w:val="0"/>
              <w:pageBreakBefore w:val="0"/>
              <w:widowControl w:val="0"/>
              <w:kinsoku/>
              <w:wordWrap w:val="0"/>
              <w:overflowPunct/>
              <w:topLinePunct w:val="0"/>
              <w:autoSpaceDE/>
              <w:autoSpaceDN/>
              <w:bidi w:val="0"/>
              <w:snapToGrid/>
              <w:rPr>
                <w:color w:val="auto"/>
                <w:highlight w:val="none"/>
              </w:rPr>
            </w:pPr>
          </w:p>
        </w:tc>
        <w:tc>
          <w:tcPr>
            <w:tcW w:w="528" w:type="dxa"/>
            <w:vMerge w:val="restart"/>
            <w:tcBorders>
              <w:top w:val="single" w:color="000000" w:sz="4" w:space="0"/>
              <w:left w:val="single" w:color="000000" w:sz="4" w:space="0"/>
              <w:right w:val="single" w:color="000000" w:sz="4" w:space="0"/>
            </w:tcBorders>
          </w:tcPr>
          <w:p w14:paraId="02991171">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7308C3D4">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70334D83">
            <w:pPr>
              <w:pStyle w:val="106"/>
              <w:keepNext w:val="0"/>
              <w:keepLines w:val="0"/>
              <w:pageBreakBefore w:val="0"/>
              <w:widowControl w:val="0"/>
              <w:kinsoku/>
              <w:wordWrap w:val="0"/>
              <w:overflowPunct/>
              <w:topLinePunct w:val="0"/>
              <w:autoSpaceDE/>
              <w:autoSpaceDN/>
              <w:bidi w:val="0"/>
              <w:snapToGrid/>
              <w:spacing w:before="4" w:line="240" w:lineRule="auto"/>
              <w:ind w:right="0"/>
              <w:jc w:val="left"/>
              <w:rPr>
                <w:rFonts w:ascii="黑体" w:hAnsi="黑体" w:eastAsia="黑体" w:cs="黑体"/>
                <w:color w:val="auto"/>
                <w:sz w:val="20"/>
                <w:szCs w:val="20"/>
                <w:highlight w:val="none"/>
              </w:rPr>
            </w:pPr>
          </w:p>
          <w:p w14:paraId="54ECFFA1">
            <w:pPr>
              <w:pStyle w:val="106"/>
              <w:keepNext w:val="0"/>
              <w:keepLines w:val="0"/>
              <w:pageBreakBefore w:val="0"/>
              <w:widowControl w:val="0"/>
              <w:kinsoku/>
              <w:wordWrap w:val="0"/>
              <w:overflowPunct/>
              <w:topLinePunct w:val="0"/>
              <w:autoSpaceDE/>
              <w:autoSpaceDN/>
              <w:bidi w:val="0"/>
              <w:snapToGrid/>
              <w:spacing w:line="384" w:lineRule="auto"/>
              <w:ind w:left="153" w:right="151"/>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其</w:t>
            </w:r>
            <w:r>
              <w:rPr>
                <w:rFonts w:ascii="宋体" w:hAnsi="宋体" w:eastAsia="宋体" w:cs="宋体"/>
                <w:color w:val="auto"/>
                <w:w w:val="100"/>
                <w:sz w:val="21"/>
                <w:szCs w:val="21"/>
                <w:highlight w:val="none"/>
              </w:rPr>
              <w:t xml:space="preserve"> </w:t>
            </w:r>
            <w:r>
              <w:rPr>
                <w:rFonts w:ascii="宋体" w:hAnsi="宋体" w:eastAsia="宋体" w:cs="宋体"/>
                <w:color w:val="auto"/>
                <w:sz w:val="21"/>
                <w:szCs w:val="21"/>
                <w:highlight w:val="none"/>
              </w:rPr>
              <w:t>中</w:t>
            </w:r>
          </w:p>
        </w:tc>
        <w:tc>
          <w:tcPr>
            <w:tcW w:w="1992" w:type="dxa"/>
            <w:gridSpan w:val="3"/>
            <w:tcBorders>
              <w:top w:val="single" w:color="000000" w:sz="4" w:space="0"/>
              <w:left w:val="single" w:color="000000" w:sz="4" w:space="0"/>
              <w:bottom w:val="single" w:color="000000" w:sz="4" w:space="0"/>
              <w:right w:val="single" w:color="000000" w:sz="4" w:space="0"/>
            </w:tcBorders>
          </w:tcPr>
          <w:p w14:paraId="7F2593DE">
            <w:pPr>
              <w:pStyle w:val="106"/>
              <w:keepNext w:val="0"/>
              <w:keepLines w:val="0"/>
              <w:pageBreakBefore w:val="0"/>
              <w:widowControl w:val="0"/>
              <w:kinsoku/>
              <w:wordWrap w:val="0"/>
              <w:overflowPunct/>
              <w:topLinePunct w:val="0"/>
              <w:autoSpaceDE/>
              <w:autoSpaceDN/>
              <w:bidi w:val="0"/>
              <w:snapToGrid/>
              <w:spacing w:before="107" w:line="240" w:lineRule="auto"/>
              <w:ind w:left="57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项目经理</w:t>
            </w:r>
          </w:p>
        </w:tc>
        <w:tc>
          <w:tcPr>
            <w:tcW w:w="2521" w:type="dxa"/>
            <w:gridSpan w:val="2"/>
            <w:tcBorders>
              <w:top w:val="single" w:color="000000" w:sz="4" w:space="0"/>
              <w:left w:val="single" w:color="000000" w:sz="4" w:space="0"/>
              <w:bottom w:val="single" w:color="000000" w:sz="4" w:space="0"/>
              <w:right w:val="single" w:color="000000" w:sz="4" w:space="0"/>
            </w:tcBorders>
          </w:tcPr>
          <w:p w14:paraId="6DD93CA1">
            <w:pPr>
              <w:keepNext w:val="0"/>
              <w:keepLines w:val="0"/>
              <w:pageBreakBefore w:val="0"/>
              <w:widowControl w:val="0"/>
              <w:kinsoku/>
              <w:wordWrap w:val="0"/>
              <w:overflowPunct/>
              <w:topLinePunct w:val="0"/>
              <w:autoSpaceDE/>
              <w:autoSpaceDN/>
              <w:bidi w:val="0"/>
              <w:snapToGrid/>
              <w:rPr>
                <w:color w:val="auto"/>
                <w:highlight w:val="none"/>
              </w:rPr>
            </w:pPr>
          </w:p>
        </w:tc>
      </w:tr>
      <w:tr w14:paraId="4D5B70BB">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tcPr>
          <w:p w14:paraId="6749C173">
            <w:pPr>
              <w:pStyle w:val="106"/>
              <w:keepNext w:val="0"/>
              <w:keepLines w:val="0"/>
              <w:pageBreakBefore w:val="0"/>
              <w:widowControl w:val="0"/>
              <w:kinsoku/>
              <w:wordWrap w:val="0"/>
              <w:overflowPunct/>
              <w:topLinePunct w:val="0"/>
              <w:autoSpaceDE/>
              <w:autoSpaceDN/>
              <w:bidi w:val="0"/>
              <w:snapToGrid/>
              <w:spacing w:before="107" w:line="240" w:lineRule="auto"/>
              <w:ind w:left="52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注册资本</w:t>
            </w:r>
          </w:p>
        </w:tc>
        <w:tc>
          <w:tcPr>
            <w:tcW w:w="1981" w:type="dxa"/>
            <w:gridSpan w:val="2"/>
            <w:tcBorders>
              <w:top w:val="single" w:color="000000" w:sz="4" w:space="0"/>
              <w:left w:val="single" w:color="000000" w:sz="4" w:space="0"/>
              <w:bottom w:val="single" w:color="000000" w:sz="4" w:space="0"/>
              <w:right w:val="single" w:color="000000" w:sz="4" w:space="0"/>
            </w:tcBorders>
          </w:tcPr>
          <w:p w14:paraId="625562E1">
            <w:pPr>
              <w:keepNext w:val="0"/>
              <w:keepLines w:val="0"/>
              <w:pageBreakBefore w:val="0"/>
              <w:widowControl w:val="0"/>
              <w:kinsoku/>
              <w:wordWrap w:val="0"/>
              <w:overflowPunct/>
              <w:topLinePunct w:val="0"/>
              <w:autoSpaceDE/>
              <w:autoSpaceDN/>
              <w:bidi w:val="0"/>
              <w:snapToGrid/>
              <w:rPr>
                <w:color w:val="auto"/>
                <w:highlight w:val="none"/>
              </w:rPr>
            </w:pPr>
          </w:p>
        </w:tc>
        <w:tc>
          <w:tcPr>
            <w:tcW w:w="528" w:type="dxa"/>
            <w:vMerge w:val="continue"/>
            <w:tcBorders>
              <w:left w:val="single" w:color="000000" w:sz="4" w:space="0"/>
              <w:right w:val="single" w:color="000000" w:sz="4" w:space="0"/>
            </w:tcBorders>
          </w:tcPr>
          <w:p w14:paraId="3093020C">
            <w:pPr>
              <w:keepNext w:val="0"/>
              <w:keepLines w:val="0"/>
              <w:pageBreakBefore w:val="0"/>
              <w:widowControl w:val="0"/>
              <w:kinsoku/>
              <w:wordWrap w:val="0"/>
              <w:overflowPunct/>
              <w:topLinePunct w:val="0"/>
              <w:autoSpaceDE/>
              <w:autoSpaceDN/>
              <w:bidi w:val="0"/>
              <w:snapToGrid/>
              <w:rPr>
                <w:color w:val="auto"/>
                <w:highlight w:val="none"/>
              </w:rPr>
            </w:pPr>
          </w:p>
        </w:tc>
        <w:tc>
          <w:tcPr>
            <w:tcW w:w="1992" w:type="dxa"/>
            <w:gridSpan w:val="3"/>
            <w:tcBorders>
              <w:top w:val="single" w:color="000000" w:sz="4" w:space="0"/>
              <w:left w:val="single" w:color="000000" w:sz="4" w:space="0"/>
              <w:bottom w:val="single" w:color="000000" w:sz="4" w:space="0"/>
              <w:right w:val="single" w:color="000000" w:sz="4" w:space="0"/>
            </w:tcBorders>
          </w:tcPr>
          <w:p w14:paraId="732F1EDD">
            <w:pPr>
              <w:pStyle w:val="106"/>
              <w:keepNext w:val="0"/>
              <w:keepLines w:val="0"/>
              <w:pageBreakBefore w:val="0"/>
              <w:widowControl w:val="0"/>
              <w:kinsoku/>
              <w:wordWrap w:val="0"/>
              <w:overflowPunct/>
              <w:topLinePunct w:val="0"/>
              <w:autoSpaceDE/>
              <w:autoSpaceDN/>
              <w:bidi w:val="0"/>
              <w:snapToGrid/>
              <w:spacing w:before="107" w:line="240" w:lineRule="auto"/>
              <w:ind w:left="35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高级职称人员</w:t>
            </w:r>
          </w:p>
        </w:tc>
        <w:tc>
          <w:tcPr>
            <w:tcW w:w="2521" w:type="dxa"/>
            <w:gridSpan w:val="2"/>
            <w:tcBorders>
              <w:top w:val="single" w:color="000000" w:sz="4" w:space="0"/>
              <w:left w:val="single" w:color="000000" w:sz="4" w:space="0"/>
              <w:bottom w:val="single" w:color="000000" w:sz="4" w:space="0"/>
              <w:right w:val="single" w:color="000000" w:sz="4" w:space="0"/>
            </w:tcBorders>
          </w:tcPr>
          <w:p w14:paraId="7E6E9B3B">
            <w:pPr>
              <w:keepNext w:val="0"/>
              <w:keepLines w:val="0"/>
              <w:pageBreakBefore w:val="0"/>
              <w:widowControl w:val="0"/>
              <w:kinsoku/>
              <w:wordWrap w:val="0"/>
              <w:overflowPunct/>
              <w:topLinePunct w:val="0"/>
              <w:autoSpaceDE/>
              <w:autoSpaceDN/>
              <w:bidi w:val="0"/>
              <w:snapToGrid/>
              <w:rPr>
                <w:color w:val="auto"/>
                <w:highlight w:val="none"/>
              </w:rPr>
            </w:pPr>
          </w:p>
        </w:tc>
      </w:tr>
      <w:tr w14:paraId="5E011DB6">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tcPr>
          <w:p w14:paraId="20EE6B9F">
            <w:pPr>
              <w:pStyle w:val="106"/>
              <w:keepNext w:val="0"/>
              <w:keepLines w:val="0"/>
              <w:pageBreakBefore w:val="0"/>
              <w:widowControl w:val="0"/>
              <w:kinsoku/>
              <w:wordWrap w:val="0"/>
              <w:overflowPunct/>
              <w:topLinePunct w:val="0"/>
              <w:autoSpaceDE/>
              <w:autoSpaceDN/>
              <w:bidi w:val="0"/>
              <w:snapToGrid/>
              <w:spacing w:before="107" w:line="240" w:lineRule="auto"/>
              <w:ind w:left="52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成立日期</w:t>
            </w:r>
          </w:p>
        </w:tc>
        <w:tc>
          <w:tcPr>
            <w:tcW w:w="1981" w:type="dxa"/>
            <w:gridSpan w:val="2"/>
            <w:tcBorders>
              <w:top w:val="single" w:color="000000" w:sz="4" w:space="0"/>
              <w:left w:val="single" w:color="000000" w:sz="4" w:space="0"/>
              <w:bottom w:val="single" w:color="000000" w:sz="4" w:space="0"/>
              <w:right w:val="single" w:color="000000" w:sz="4" w:space="0"/>
            </w:tcBorders>
          </w:tcPr>
          <w:p w14:paraId="5EBE297E">
            <w:pPr>
              <w:keepNext w:val="0"/>
              <w:keepLines w:val="0"/>
              <w:pageBreakBefore w:val="0"/>
              <w:widowControl w:val="0"/>
              <w:kinsoku/>
              <w:wordWrap w:val="0"/>
              <w:overflowPunct/>
              <w:topLinePunct w:val="0"/>
              <w:autoSpaceDE/>
              <w:autoSpaceDN/>
              <w:bidi w:val="0"/>
              <w:snapToGrid/>
              <w:rPr>
                <w:color w:val="auto"/>
                <w:highlight w:val="none"/>
              </w:rPr>
            </w:pPr>
          </w:p>
        </w:tc>
        <w:tc>
          <w:tcPr>
            <w:tcW w:w="528" w:type="dxa"/>
            <w:vMerge w:val="continue"/>
            <w:tcBorders>
              <w:left w:val="single" w:color="000000" w:sz="4" w:space="0"/>
              <w:right w:val="single" w:color="000000" w:sz="4" w:space="0"/>
            </w:tcBorders>
          </w:tcPr>
          <w:p w14:paraId="4A2FC350">
            <w:pPr>
              <w:keepNext w:val="0"/>
              <w:keepLines w:val="0"/>
              <w:pageBreakBefore w:val="0"/>
              <w:widowControl w:val="0"/>
              <w:kinsoku/>
              <w:wordWrap w:val="0"/>
              <w:overflowPunct/>
              <w:topLinePunct w:val="0"/>
              <w:autoSpaceDE/>
              <w:autoSpaceDN/>
              <w:bidi w:val="0"/>
              <w:snapToGrid/>
              <w:rPr>
                <w:color w:val="auto"/>
                <w:highlight w:val="none"/>
              </w:rPr>
            </w:pPr>
          </w:p>
        </w:tc>
        <w:tc>
          <w:tcPr>
            <w:tcW w:w="1992" w:type="dxa"/>
            <w:gridSpan w:val="3"/>
            <w:tcBorders>
              <w:top w:val="single" w:color="000000" w:sz="4" w:space="0"/>
              <w:left w:val="single" w:color="000000" w:sz="4" w:space="0"/>
              <w:bottom w:val="single" w:color="000000" w:sz="4" w:space="0"/>
              <w:right w:val="single" w:color="000000" w:sz="4" w:space="0"/>
            </w:tcBorders>
          </w:tcPr>
          <w:p w14:paraId="43EFDEC3">
            <w:pPr>
              <w:pStyle w:val="106"/>
              <w:keepNext w:val="0"/>
              <w:keepLines w:val="0"/>
              <w:pageBreakBefore w:val="0"/>
              <w:widowControl w:val="0"/>
              <w:kinsoku/>
              <w:wordWrap w:val="0"/>
              <w:overflowPunct/>
              <w:topLinePunct w:val="0"/>
              <w:autoSpaceDE/>
              <w:autoSpaceDN/>
              <w:bidi w:val="0"/>
              <w:snapToGrid/>
              <w:spacing w:before="107" w:line="240" w:lineRule="auto"/>
              <w:ind w:left="35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中级职称人员</w:t>
            </w:r>
          </w:p>
        </w:tc>
        <w:tc>
          <w:tcPr>
            <w:tcW w:w="2521" w:type="dxa"/>
            <w:gridSpan w:val="2"/>
            <w:tcBorders>
              <w:top w:val="single" w:color="000000" w:sz="4" w:space="0"/>
              <w:left w:val="single" w:color="000000" w:sz="4" w:space="0"/>
              <w:bottom w:val="single" w:color="000000" w:sz="4" w:space="0"/>
              <w:right w:val="single" w:color="000000" w:sz="4" w:space="0"/>
            </w:tcBorders>
          </w:tcPr>
          <w:p w14:paraId="31BF336D">
            <w:pPr>
              <w:keepNext w:val="0"/>
              <w:keepLines w:val="0"/>
              <w:pageBreakBefore w:val="0"/>
              <w:widowControl w:val="0"/>
              <w:kinsoku/>
              <w:wordWrap w:val="0"/>
              <w:overflowPunct/>
              <w:topLinePunct w:val="0"/>
              <w:autoSpaceDE/>
              <w:autoSpaceDN/>
              <w:bidi w:val="0"/>
              <w:snapToGrid/>
              <w:rPr>
                <w:color w:val="auto"/>
                <w:highlight w:val="none"/>
              </w:rPr>
            </w:pPr>
          </w:p>
        </w:tc>
      </w:tr>
      <w:tr w14:paraId="6DCD4EC4">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tcPr>
          <w:p w14:paraId="0A851A53">
            <w:pPr>
              <w:pStyle w:val="106"/>
              <w:keepNext w:val="0"/>
              <w:keepLines w:val="0"/>
              <w:pageBreakBefore w:val="0"/>
              <w:widowControl w:val="0"/>
              <w:kinsoku/>
              <w:wordWrap w:val="0"/>
              <w:overflowPunct/>
              <w:topLinePunct w:val="0"/>
              <w:autoSpaceDE/>
              <w:autoSpaceDN/>
              <w:bidi w:val="0"/>
              <w:snapToGrid/>
              <w:spacing w:before="107" w:line="240" w:lineRule="auto"/>
              <w:ind w:left="10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基本账户开户银行</w:t>
            </w:r>
          </w:p>
        </w:tc>
        <w:tc>
          <w:tcPr>
            <w:tcW w:w="1981" w:type="dxa"/>
            <w:gridSpan w:val="2"/>
            <w:tcBorders>
              <w:top w:val="single" w:color="000000" w:sz="4" w:space="0"/>
              <w:left w:val="single" w:color="000000" w:sz="4" w:space="0"/>
              <w:bottom w:val="single" w:color="000000" w:sz="4" w:space="0"/>
              <w:right w:val="single" w:color="000000" w:sz="4" w:space="0"/>
            </w:tcBorders>
          </w:tcPr>
          <w:p w14:paraId="61DA6C84">
            <w:pPr>
              <w:keepNext w:val="0"/>
              <w:keepLines w:val="0"/>
              <w:pageBreakBefore w:val="0"/>
              <w:widowControl w:val="0"/>
              <w:kinsoku/>
              <w:wordWrap w:val="0"/>
              <w:overflowPunct/>
              <w:topLinePunct w:val="0"/>
              <w:autoSpaceDE/>
              <w:autoSpaceDN/>
              <w:bidi w:val="0"/>
              <w:snapToGrid/>
              <w:rPr>
                <w:color w:val="auto"/>
                <w:highlight w:val="none"/>
              </w:rPr>
            </w:pPr>
          </w:p>
        </w:tc>
        <w:tc>
          <w:tcPr>
            <w:tcW w:w="528" w:type="dxa"/>
            <w:vMerge w:val="continue"/>
            <w:tcBorders>
              <w:left w:val="single" w:color="000000" w:sz="4" w:space="0"/>
              <w:right w:val="single" w:color="000000" w:sz="4" w:space="0"/>
            </w:tcBorders>
          </w:tcPr>
          <w:p w14:paraId="5698BF28">
            <w:pPr>
              <w:keepNext w:val="0"/>
              <w:keepLines w:val="0"/>
              <w:pageBreakBefore w:val="0"/>
              <w:widowControl w:val="0"/>
              <w:kinsoku/>
              <w:wordWrap w:val="0"/>
              <w:overflowPunct/>
              <w:topLinePunct w:val="0"/>
              <w:autoSpaceDE/>
              <w:autoSpaceDN/>
              <w:bidi w:val="0"/>
              <w:snapToGrid/>
              <w:rPr>
                <w:color w:val="auto"/>
                <w:highlight w:val="none"/>
              </w:rPr>
            </w:pPr>
          </w:p>
        </w:tc>
        <w:tc>
          <w:tcPr>
            <w:tcW w:w="1992" w:type="dxa"/>
            <w:gridSpan w:val="3"/>
            <w:tcBorders>
              <w:top w:val="single" w:color="000000" w:sz="4" w:space="0"/>
              <w:left w:val="single" w:color="000000" w:sz="4" w:space="0"/>
              <w:bottom w:val="single" w:color="000000" w:sz="4" w:space="0"/>
              <w:right w:val="single" w:color="000000" w:sz="4" w:space="0"/>
            </w:tcBorders>
          </w:tcPr>
          <w:p w14:paraId="4BA21591">
            <w:pPr>
              <w:pStyle w:val="106"/>
              <w:keepNext w:val="0"/>
              <w:keepLines w:val="0"/>
              <w:pageBreakBefore w:val="0"/>
              <w:widowControl w:val="0"/>
              <w:kinsoku/>
              <w:wordWrap w:val="0"/>
              <w:overflowPunct/>
              <w:topLinePunct w:val="0"/>
              <w:autoSpaceDE/>
              <w:autoSpaceDN/>
              <w:bidi w:val="0"/>
              <w:snapToGrid/>
              <w:spacing w:before="107" w:line="240" w:lineRule="auto"/>
              <w:ind w:left="35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初级职称人员</w:t>
            </w:r>
          </w:p>
        </w:tc>
        <w:tc>
          <w:tcPr>
            <w:tcW w:w="2521" w:type="dxa"/>
            <w:gridSpan w:val="2"/>
            <w:tcBorders>
              <w:top w:val="single" w:color="000000" w:sz="4" w:space="0"/>
              <w:left w:val="single" w:color="000000" w:sz="4" w:space="0"/>
              <w:bottom w:val="single" w:color="000000" w:sz="4" w:space="0"/>
              <w:right w:val="single" w:color="000000" w:sz="4" w:space="0"/>
            </w:tcBorders>
          </w:tcPr>
          <w:p w14:paraId="44863E1C">
            <w:pPr>
              <w:keepNext w:val="0"/>
              <w:keepLines w:val="0"/>
              <w:pageBreakBefore w:val="0"/>
              <w:widowControl w:val="0"/>
              <w:kinsoku/>
              <w:wordWrap w:val="0"/>
              <w:overflowPunct/>
              <w:topLinePunct w:val="0"/>
              <w:autoSpaceDE/>
              <w:autoSpaceDN/>
              <w:bidi w:val="0"/>
              <w:snapToGrid/>
              <w:rPr>
                <w:color w:val="auto"/>
                <w:highlight w:val="none"/>
              </w:rPr>
            </w:pPr>
          </w:p>
        </w:tc>
      </w:tr>
      <w:tr w14:paraId="045FB607">
        <w:tblPrEx>
          <w:tblCellMar>
            <w:top w:w="0" w:type="dxa"/>
            <w:left w:w="0" w:type="dxa"/>
            <w:bottom w:w="0" w:type="dxa"/>
            <w:right w:w="0" w:type="dxa"/>
          </w:tblCellMar>
        </w:tblPrEx>
        <w:trPr>
          <w:trHeight w:val="452" w:hRule="exact"/>
          <w:jc w:val="center"/>
        </w:trPr>
        <w:tc>
          <w:tcPr>
            <w:tcW w:w="1908" w:type="dxa"/>
            <w:tcBorders>
              <w:top w:val="single" w:color="000000" w:sz="4" w:space="0"/>
              <w:left w:val="single" w:color="000000" w:sz="4" w:space="0"/>
              <w:bottom w:val="single" w:color="000000" w:sz="4" w:space="0"/>
              <w:right w:val="single" w:color="000000" w:sz="4" w:space="0"/>
            </w:tcBorders>
          </w:tcPr>
          <w:p w14:paraId="74405E63">
            <w:pPr>
              <w:pStyle w:val="106"/>
              <w:keepNext w:val="0"/>
              <w:keepLines w:val="0"/>
              <w:pageBreakBefore w:val="0"/>
              <w:widowControl w:val="0"/>
              <w:kinsoku/>
              <w:wordWrap w:val="0"/>
              <w:overflowPunct/>
              <w:topLinePunct w:val="0"/>
              <w:autoSpaceDE/>
              <w:autoSpaceDN/>
              <w:bidi w:val="0"/>
              <w:snapToGrid/>
              <w:spacing w:before="108" w:line="240" w:lineRule="auto"/>
              <w:ind w:left="10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基本账户银行账号</w:t>
            </w:r>
          </w:p>
        </w:tc>
        <w:tc>
          <w:tcPr>
            <w:tcW w:w="1981" w:type="dxa"/>
            <w:gridSpan w:val="2"/>
            <w:tcBorders>
              <w:top w:val="single" w:color="000000" w:sz="4" w:space="0"/>
              <w:left w:val="single" w:color="000000" w:sz="4" w:space="0"/>
              <w:bottom w:val="single" w:color="000000" w:sz="4" w:space="0"/>
              <w:right w:val="single" w:color="000000" w:sz="4" w:space="0"/>
            </w:tcBorders>
          </w:tcPr>
          <w:p w14:paraId="2780583E">
            <w:pPr>
              <w:keepNext w:val="0"/>
              <w:keepLines w:val="0"/>
              <w:pageBreakBefore w:val="0"/>
              <w:widowControl w:val="0"/>
              <w:kinsoku/>
              <w:wordWrap w:val="0"/>
              <w:overflowPunct/>
              <w:topLinePunct w:val="0"/>
              <w:autoSpaceDE/>
              <w:autoSpaceDN/>
              <w:bidi w:val="0"/>
              <w:snapToGrid/>
              <w:rPr>
                <w:color w:val="auto"/>
                <w:highlight w:val="none"/>
              </w:rPr>
            </w:pPr>
          </w:p>
        </w:tc>
        <w:tc>
          <w:tcPr>
            <w:tcW w:w="528" w:type="dxa"/>
            <w:vMerge w:val="continue"/>
            <w:tcBorders>
              <w:left w:val="single" w:color="000000" w:sz="4" w:space="0"/>
              <w:bottom w:val="single" w:color="000000" w:sz="4" w:space="0"/>
              <w:right w:val="single" w:color="000000" w:sz="4" w:space="0"/>
            </w:tcBorders>
          </w:tcPr>
          <w:p w14:paraId="49974C9D">
            <w:pPr>
              <w:keepNext w:val="0"/>
              <w:keepLines w:val="0"/>
              <w:pageBreakBefore w:val="0"/>
              <w:widowControl w:val="0"/>
              <w:kinsoku/>
              <w:wordWrap w:val="0"/>
              <w:overflowPunct/>
              <w:topLinePunct w:val="0"/>
              <w:autoSpaceDE/>
              <w:autoSpaceDN/>
              <w:bidi w:val="0"/>
              <w:snapToGrid/>
              <w:rPr>
                <w:color w:val="auto"/>
                <w:highlight w:val="none"/>
              </w:rPr>
            </w:pPr>
          </w:p>
        </w:tc>
        <w:tc>
          <w:tcPr>
            <w:tcW w:w="1992" w:type="dxa"/>
            <w:gridSpan w:val="3"/>
            <w:tcBorders>
              <w:top w:val="single" w:color="000000" w:sz="4" w:space="0"/>
              <w:left w:val="single" w:color="000000" w:sz="4" w:space="0"/>
              <w:bottom w:val="single" w:color="000000" w:sz="4" w:space="0"/>
              <w:right w:val="single" w:color="000000" w:sz="4" w:space="0"/>
            </w:tcBorders>
          </w:tcPr>
          <w:p w14:paraId="1A60D6C3">
            <w:pPr>
              <w:pStyle w:val="106"/>
              <w:keepNext w:val="0"/>
              <w:keepLines w:val="0"/>
              <w:pageBreakBefore w:val="0"/>
              <w:widowControl w:val="0"/>
              <w:kinsoku/>
              <w:wordWrap w:val="0"/>
              <w:overflowPunct/>
              <w:topLinePunct w:val="0"/>
              <w:autoSpaceDE/>
              <w:autoSpaceDN/>
              <w:bidi w:val="0"/>
              <w:snapToGrid/>
              <w:spacing w:before="119" w:line="240" w:lineRule="auto"/>
              <w:ind w:right="2"/>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t>技工</w:t>
            </w:r>
          </w:p>
        </w:tc>
        <w:tc>
          <w:tcPr>
            <w:tcW w:w="2521" w:type="dxa"/>
            <w:gridSpan w:val="2"/>
            <w:tcBorders>
              <w:top w:val="single" w:color="000000" w:sz="4" w:space="0"/>
              <w:left w:val="single" w:color="000000" w:sz="4" w:space="0"/>
              <w:bottom w:val="single" w:color="000000" w:sz="4" w:space="0"/>
              <w:right w:val="single" w:color="000000" w:sz="4" w:space="0"/>
            </w:tcBorders>
          </w:tcPr>
          <w:p w14:paraId="519E6A26">
            <w:pPr>
              <w:keepNext w:val="0"/>
              <w:keepLines w:val="0"/>
              <w:pageBreakBefore w:val="0"/>
              <w:widowControl w:val="0"/>
              <w:kinsoku/>
              <w:wordWrap w:val="0"/>
              <w:overflowPunct/>
              <w:topLinePunct w:val="0"/>
              <w:autoSpaceDE/>
              <w:autoSpaceDN/>
              <w:bidi w:val="0"/>
              <w:snapToGrid/>
              <w:rPr>
                <w:color w:val="auto"/>
                <w:highlight w:val="none"/>
              </w:rPr>
            </w:pPr>
          </w:p>
        </w:tc>
      </w:tr>
      <w:tr w14:paraId="3AF08A30">
        <w:tblPrEx>
          <w:tblCellMar>
            <w:top w:w="0" w:type="dxa"/>
            <w:left w:w="0" w:type="dxa"/>
            <w:bottom w:w="0" w:type="dxa"/>
            <w:right w:w="0" w:type="dxa"/>
          </w:tblCellMar>
        </w:tblPrEx>
        <w:trPr>
          <w:trHeight w:val="1769" w:hRule="exact"/>
          <w:jc w:val="center"/>
        </w:trPr>
        <w:tc>
          <w:tcPr>
            <w:tcW w:w="1908" w:type="dxa"/>
            <w:tcBorders>
              <w:top w:val="single" w:color="000000" w:sz="4" w:space="0"/>
              <w:left w:val="single" w:color="000000" w:sz="4" w:space="0"/>
              <w:bottom w:val="single" w:color="000000" w:sz="4" w:space="0"/>
              <w:right w:val="single" w:color="000000" w:sz="4" w:space="0"/>
            </w:tcBorders>
          </w:tcPr>
          <w:p w14:paraId="1D1C4DDD">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5E86F696">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7DD3CED6">
            <w:pPr>
              <w:pStyle w:val="106"/>
              <w:keepNext w:val="0"/>
              <w:keepLines w:val="0"/>
              <w:pageBreakBefore w:val="0"/>
              <w:widowControl w:val="0"/>
              <w:kinsoku/>
              <w:wordWrap w:val="0"/>
              <w:overflowPunct/>
              <w:topLinePunct w:val="0"/>
              <w:autoSpaceDE/>
              <w:autoSpaceDN/>
              <w:bidi w:val="0"/>
              <w:snapToGrid/>
              <w:spacing w:before="9" w:line="240" w:lineRule="auto"/>
              <w:ind w:right="0"/>
              <w:jc w:val="left"/>
              <w:rPr>
                <w:rFonts w:ascii="黑体" w:hAnsi="黑体" w:eastAsia="黑体" w:cs="黑体"/>
                <w:color w:val="auto"/>
                <w:sz w:val="18"/>
                <w:szCs w:val="18"/>
                <w:highlight w:val="none"/>
              </w:rPr>
            </w:pPr>
          </w:p>
          <w:p w14:paraId="03B13BAF">
            <w:pPr>
              <w:pStyle w:val="106"/>
              <w:keepNext w:val="0"/>
              <w:keepLines w:val="0"/>
              <w:pageBreakBefore w:val="0"/>
              <w:widowControl w:val="0"/>
              <w:kinsoku/>
              <w:wordWrap w:val="0"/>
              <w:overflowPunct/>
              <w:topLinePunct w:val="0"/>
              <w:autoSpaceDE/>
              <w:autoSpaceDN/>
              <w:bidi w:val="0"/>
              <w:snapToGrid/>
              <w:spacing w:line="240" w:lineRule="auto"/>
              <w:ind w:left="633"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经营范围</w:t>
            </w:r>
          </w:p>
        </w:tc>
        <w:tc>
          <w:tcPr>
            <w:tcW w:w="7022" w:type="dxa"/>
            <w:gridSpan w:val="8"/>
            <w:tcBorders>
              <w:top w:val="single" w:color="000000" w:sz="4" w:space="0"/>
              <w:left w:val="single" w:color="000000" w:sz="4" w:space="0"/>
              <w:bottom w:val="single" w:color="000000" w:sz="4" w:space="0"/>
              <w:right w:val="single" w:color="000000" w:sz="4" w:space="0"/>
            </w:tcBorders>
          </w:tcPr>
          <w:p w14:paraId="6D6313BD">
            <w:pPr>
              <w:keepNext w:val="0"/>
              <w:keepLines w:val="0"/>
              <w:pageBreakBefore w:val="0"/>
              <w:widowControl w:val="0"/>
              <w:kinsoku/>
              <w:wordWrap w:val="0"/>
              <w:overflowPunct/>
              <w:topLinePunct w:val="0"/>
              <w:autoSpaceDE/>
              <w:autoSpaceDN/>
              <w:bidi w:val="0"/>
              <w:snapToGrid/>
              <w:rPr>
                <w:color w:val="auto"/>
                <w:highlight w:val="none"/>
              </w:rPr>
            </w:pPr>
          </w:p>
        </w:tc>
      </w:tr>
      <w:tr w14:paraId="48FD5AEE">
        <w:tblPrEx>
          <w:tblCellMar>
            <w:top w:w="0" w:type="dxa"/>
            <w:left w:w="0" w:type="dxa"/>
            <w:bottom w:w="0" w:type="dxa"/>
            <w:right w:w="0" w:type="dxa"/>
          </w:tblCellMar>
        </w:tblPrEx>
        <w:trPr>
          <w:trHeight w:val="3248" w:hRule="exact"/>
          <w:jc w:val="center"/>
        </w:trPr>
        <w:tc>
          <w:tcPr>
            <w:tcW w:w="1908" w:type="dxa"/>
            <w:tcBorders>
              <w:top w:val="single" w:color="000000" w:sz="4" w:space="0"/>
              <w:left w:val="single" w:color="000000" w:sz="4" w:space="0"/>
              <w:bottom w:val="single" w:color="000000" w:sz="4" w:space="0"/>
              <w:right w:val="single" w:color="000000" w:sz="4" w:space="0"/>
            </w:tcBorders>
          </w:tcPr>
          <w:p w14:paraId="2D4777B1">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30AECC58">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264E0E8C">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6D73E3D3">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7C0FD184">
            <w:pPr>
              <w:pStyle w:val="106"/>
              <w:keepNext w:val="0"/>
              <w:keepLines w:val="0"/>
              <w:pageBreakBefore w:val="0"/>
              <w:widowControl w:val="0"/>
              <w:kinsoku/>
              <w:wordWrap w:val="0"/>
              <w:overflowPunct/>
              <w:topLinePunct w:val="0"/>
              <w:autoSpaceDE/>
              <w:autoSpaceDN/>
              <w:bidi w:val="0"/>
              <w:snapToGrid/>
              <w:spacing w:before="7" w:line="240" w:lineRule="auto"/>
              <w:ind w:right="0"/>
              <w:jc w:val="left"/>
              <w:rPr>
                <w:rFonts w:ascii="黑体" w:hAnsi="黑体" w:eastAsia="黑体" w:cs="黑体"/>
                <w:color w:val="auto"/>
                <w:sz w:val="18"/>
                <w:szCs w:val="18"/>
                <w:highlight w:val="none"/>
              </w:rPr>
            </w:pPr>
          </w:p>
          <w:p w14:paraId="11D70A98">
            <w:pPr>
              <w:pStyle w:val="106"/>
              <w:keepNext w:val="0"/>
              <w:keepLines w:val="0"/>
              <w:pageBreakBefore w:val="0"/>
              <w:widowControl w:val="0"/>
              <w:kinsoku/>
              <w:wordWrap w:val="0"/>
              <w:overflowPunct/>
              <w:topLinePunct w:val="0"/>
              <w:autoSpaceDE/>
              <w:autoSpaceDN/>
              <w:bidi w:val="0"/>
              <w:snapToGrid/>
              <w:spacing w:line="384" w:lineRule="auto"/>
              <w:ind w:left="842" w:right="105" w:hanging="735"/>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投标人关联企业情</w:t>
            </w:r>
            <w:r>
              <w:rPr>
                <w:rFonts w:ascii="宋体" w:hAnsi="宋体" w:eastAsia="宋体" w:cs="宋体"/>
                <w:color w:val="auto"/>
                <w:w w:val="100"/>
                <w:sz w:val="21"/>
                <w:szCs w:val="21"/>
                <w:highlight w:val="none"/>
              </w:rPr>
              <w:t xml:space="preserve"> </w:t>
            </w:r>
            <w:r>
              <w:rPr>
                <w:rFonts w:ascii="宋体" w:hAnsi="宋体" w:eastAsia="宋体" w:cs="宋体"/>
                <w:color w:val="auto"/>
                <w:sz w:val="21"/>
                <w:szCs w:val="21"/>
                <w:highlight w:val="none"/>
              </w:rPr>
              <w:t>况</w:t>
            </w:r>
          </w:p>
        </w:tc>
        <w:tc>
          <w:tcPr>
            <w:tcW w:w="7022" w:type="dxa"/>
            <w:gridSpan w:val="8"/>
            <w:tcBorders>
              <w:top w:val="single" w:color="000000" w:sz="4" w:space="0"/>
              <w:left w:val="single" w:color="000000" w:sz="4" w:space="0"/>
              <w:bottom w:val="single" w:color="000000" w:sz="4" w:space="0"/>
              <w:right w:val="single" w:color="000000" w:sz="4" w:space="0"/>
            </w:tcBorders>
            <w:vAlign w:val="center"/>
          </w:tcPr>
          <w:p w14:paraId="60DCD85B">
            <w:pPr>
              <w:pStyle w:val="106"/>
              <w:keepNext w:val="0"/>
              <w:keepLines w:val="0"/>
              <w:pageBreakBefore w:val="0"/>
              <w:widowControl w:val="0"/>
              <w:kinsoku/>
              <w:wordWrap w:val="0"/>
              <w:overflowPunct/>
              <w:topLinePunct w:val="0"/>
              <w:autoSpaceDE/>
              <w:autoSpaceDN/>
              <w:bidi w:val="0"/>
              <w:snapToGrid/>
              <w:spacing w:before="93" w:line="240" w:lineRule="auto"/>
              <w:ind w:left="103"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投标人应提供关联企业情况，包括：</w:t>
            </w:r>
          </w:p>
          <w:p w14:paraId="484241EA">
            <w:pPr>
              <w:pStyle w:val="106"/>
              <w:keepNext w:val="0"/>
              <w:keepLines w:val="0"/>
              <w:pageBreakBefore w:val="0"/>
              <w:widowControl w:val="0"/>
              <w:kinsoku/>
              <w:wordWrap w:val="0"/>
              <w:overflowPunct/>
              <w:topLinePunct w:val="0"/>
              <w:autoSpaceDE/>
              <w:autoSpaceDN/>
              <w:bidi w:val="0"/>
              <w:snapToGrid/>
              <w:spacing w:before="126" w:line="331" w:lineRule="auto"/>
              <w:ind w:left="103" w:right="96" w:hanging="106"/>
              <w:jc w:val="both"/>
              <w:rPr>
                <w:rFonts w:ascii="宋体" w:hAnsi="宋体" w:eastAsia="宋体" w:cs="宋体"/>
                <w:color w:val="auto"/>
                <w:sz w:val="21"/>
                <w:szCs w:val="21"/>
                <w:highlight w:val="none"/>
              </w:rPr>
            </w:pPr>
            <w:r>
              <w:rPr>
                <w:rFonts w:ascii="宋体" w:hAnsi="宋体" w:eastAsia="宋体" w:cs="宋体"/>
                <w:color w:val="auto"/>
                <w:sz w:val="21"/>
                <w:szCs w:val="21"/>
                <w:highlight w:val="none"/>
              </w:rPr>
              <w:t>（</w:t>
            </w:r>
            <w:r>
              <w:rPr>
                <w:rFonts w:ascii="Times New Roman" w:hAnsi="Times New Roman" w:eastAsia="Times New Roman" w:cs="Times New Roman"/>
                <w:color w:val="auto"/>
                <w:sz w:val="21"/>
                <w:szCs w:val="21"/>
                <w:highlight w:val="none"/>
              </w:rPr>
              <w:t>1</w:t>
            </w:r>
            <w:r>
              <w:rPr>
                <w:rFonts w:ascii="宋体" w:hAnsi="宋体" w:eastAsia="宋体" w:cs="宋体"/>
                <w:color w:val="auto"/>
                <w:sz w:val="21"/>
                <w:szCs w:val="21"/>
                <w:highlight w:val="none"/>
              </w:rPr>
              <w:t>）投标人的所有股东名称及相应股权（出资额）比例</w:t>
            </w:r>
            <w:r>
              <w:rPr>
                <w:rFonts w:hint="eastAsia" w:ascii="宋体" w:hAnsi="宋体" w:eastAsia="宋体" w:cs="宋体"/>
                <w:color w:val="auto"/>
                <w:sz w:val="21"/>
                <w:szCs w:val="21"/>
                <w:highlight w:val="none"/>
                <w:lang w:eastAsia="zh-CN"/>
              </w:rPr>
              <w:t>；</w:t>
            </w:r>
            <w:r>
              <w:rPr>
                <w:rFonts w:ascii="宋体" w:hAnsi="宋体" w:eastAsia="宋体" w:cs="宋体"/>
                <w:color w:val="auto"/>
                <w:sz w:val="21"/>
                <w:szCs w:val="21"/>
                <w:highlight w:val="none"/>
              </w:rPr>
              <w:t>如投标人为上市公司，投标人应提供股权占公司股份总数</w:t>
            </w:r>
            <w:r>
              <w:rPr>
                <w:rFonts w:hint="eastAsia" w:ascii="宋体" w:hAnsi="宋体" w:eastAsia="宋体" w:cs="宋体"/>
                <w:color w:val="auto"/>
                <w:sz w:val="21"/>
                <w:szCs w:val="21"/>
                <w:highlight w:val="none"/>
                <w:u w:val="single"/>
                <w:lang w:val="en-US" w:eastAsia="zh-CN"/>
              </w:rPr>
              <w:t xml:space="preserve">    </w:t>
            </w:r>
            <w:r>
              <w:rPr>
                <w:rFonts w:ascii="Times New Roman" w:hAnsi="Times New Roman" w:eastAsia="Times New Roman" w:cs="Times New Roman"/>
                <w:color w:val="auto"/>
                <w:sz w:val="21"/>
                <w:szCs w:val="21"/>
                <w:highlight w:val="none"/>
              </w:rPr>
              <w:t>%</w:t>
            </w:r>
            <w:r>
              <w:rPr>
                <w:rFonts w:ascii="宋体" w:hAnsi="宋体" w:eastAsia="宋体" w:cs="宋体"/>
                <w:color w:val="auto"/>
                <w:sz w:val="21"/>
                <w:szCs w:val="21"/>
                <w:highlight w:val="none"/>
              </w:rPr>
              <w:t>以上的所有股东名称及相应</w:t>
            </w:r>
            <w:r>
              <w:rPr>
                <w:rFonts w:ascii="宋体" w:hAnsi="宋体" w:eastAsia="宋体" w:cs="宋体"/>
                <w:color w:val="auto"/>
                <w:w w:val="100"/>
                <w:sz w:val="21"/>
                <w:szCs w:val="21"/>
                <w:highlight w:val="none"/>
              </w:rPr>
              <w:t xml:space="preserve"> </w:t>
            </w:r>
            <w:r>
              <w:rPr>
                <w:rFonts w:ascii="宋体" w:hAnsi="宋体" w:eastAsia="宋体" w:cs="宋体"/>
                <w:color w:val="auto"/>
                <w:sz w:val="21"/>
                <w:szCs w:val="21"/>
                <w:highlight w:val="none"/>
              </w:rPr>
              <w:t>股权比例；</w:t>
            </w:r>
          </w:p>
          <w:p w14:paraId="35EFB96E">
            <w:pPr>
              <w:pStyle w:val="106"/>
              <w:keepNext w:val="0"/>
              <w:keepLines w:val="0"/>
              <w:pageBreakBefore w:val="0"/>
              <w:widowControl w:val="0"/>
              <w:kinsoku/>
              <w:wordWrap w:val="0"/>
              <w:overflowPunct/>
              <w:topLinePunct w:val="0"/>
              <w:autoSpaceDE/>
              <w:autoSpaceDN/>
              <w:bidi w:val="0"/>
              <w:snapToGrid/>
              <w:spacing w:before="46" w:line="331" w:lineRule="auto"/>
              <w:ind w:left="103" w:right="100" w:hanging="106"/>
              <w:jc w:val="both"/>
              <w:rPr>
                <w:rFonts w:ascii="宋体" w:hAnsi="宋体" w:eastAsia="宋体" w:cs="宋体"/>
                <w:color w:val="auto"/>
                <w:sz w:val="21"/>
                <w:szCs w:val="21"/>
                <w:highlight w:val="none"/>
              </w:rPr>
            </w:pPr>
            <w:r>
              <w:rPr>
                <w:rFonts w:ascii="宋体" w:hAnsi="宋体" w:eastAsia="宋体" w:cs="宋体"/>
                <w:color w:val="auto"/>
                <w:sz w:val="21"/>
                <w:szCs w:val="21"/>
                <w:highlight w:val="none"/>
              </w:rPr>
              <w:t>（</w:t>
            </w:r>
            <w:r>
              <w:rPr>
                <w:rFonts w:ascii="Times New Roman" w:hAnsi="Times New Roman" w:eastAsia="Times New Roman" w:cs="Times New Roman"/>
                <w:color w:val="auto"/>
                <w:sz w:val="21"/>
                <w:szCs w:val="21"/>
                <w:highlight w:val="none"/>
              </w:rPr>
              <w:t>2</w:t>
            </w:r>
            <w:r>
              <w:rPr>
                <w:rFonts w:ascii="宋体" w:hAnsi="宋体" w:eastAsia="宋体" w:cs="宋体"/>
                <w:color w:val="auto"/>
                <w:sz w:val="21"/>
                <w:szCs w:val="21"/>
                <w:highlight w:val="none"/>
              </w:rPr>
              <w:t>）投标人投资（控股）或管理的下属企业名称、持有股权（出资额）比</w:t>
            </w:r>
            <w:r>
              <w:rPr>
                <w:rFonts w:ascii="宋体" w:hAnsi="宋体" w:eastAsia="宋体" w:cs="宋体"/>
                <w:color w:val="auto"/>
                <w:spacing w:val="-23"/>
                <w:sz w:val="21"/>
                <w:szCs w:val="21"/>
                <w:highlight w:val="none"/>
              </w:rPr>
              <w:t xml:space="preserve"> </w:t>
            </w:r>
            <w:r>
              <w:rPr>
                <w:rFonts w:ascii="宋体" w:hAnsi="宋体" w:eastAsia="宋体" w:cs="宋体"/>
                <w:color w:val="auto"/>
                <w:sz w:val="21"/>
                <w:szCs w:val="21"/>
                <w:highlight w:val="none"/>
              </w:rPr>
              <w:t>例；</w:t>
            </w:r>
          </w:p>
          <w:p w14:paraId="177026A4">
            <w:pPr>
              <w:pStyle w:val="106"/>
              <w:keepNext w:val="0"/>
              <w:keepLines w:val="0"/>
              <w:pageBreakBefore w:val="0"/>
              <w:widowControl w:val="0"/>
              <w:kinsoku/>
              <w:wordWrap w:val="0"/>
              <w:overflowPunct/>
              <w:topLinePunct w:val="0"/>
              <w:autoSpaceDE/>
              <w:autoSpaceDN/>
              <w:bidi w:val="0"/>
              <w:snapToGrid/>
              <w:spacing w:before="43" w:line="240" w:lineRule="auto"/>
              <w:ind w:left="-3"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w:t>
            </w:r>
            <w:r>
              <w:rPr>
                <w:rFonts w:ascii="Times New Roman" w:hAnsi="Times New Roman" w:eastAsia="Times New Roman" w:cs="Times New Roman"/>
                <w:color w:val="auto"/>
                <w:sz w:val="21"/>
                <w:szCs w:val="21"/>
                <w:highlight w:val="none"/>
              </w:rPr>
              <w:t>3</w:t>
            </w:r>
            <w:r>
              <w:rPr>
                <w:rFonts w:ascii="宋体" w:hAnsi="宋体" w:eastAsia="宋体" w:cs="宋体"/>
                <w:color w:val="auto"/>
                <w:sz w:val="21"/>
                <w:szCs w:val="21"/>
                <w:highlight w:val="none"/>
              </w:rPr>
              <w:t>）与投标人单位负责人（即法定代表人）为同一人的其他单位名称</w:t>
            </w:r>
          </w:p>
        </w:tc>
      </w:tr>
      <w:tr w14:paraId="3AEBF8B8">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tcPr>
          <w:p w14:paraId="3EF5B22A">
            <w:pPr>
              <w:pStyle w:val="106"/>
              <w:keepNext w:val="0"/>
              <w:keepLines w:val="0"/>
              <w:pageBreakBefore w:val="0"/>
              <w:widowControl w:val="0"/>
              <w:kinsoku/>
              <w:wordWrap w:val="0"/>
              <w:overflowPunct/>
              <w:topLinePunct w:val="0"/>
              <w:autoSpaceDE/>
              <w:autoSpaceDN/>
              <w:bidi w:val="0"/>
              <w:snapToGrid/>
              <w:spacing w:before="107" w:line="240" w:lineRule="auto"/>
              <w:ind w:left="2"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备注</w:t>
            </w:r>
          </w:p>
        </w:tc>
        <w:tc>
          <w:tcPr>
            <w:tcW w:w="7022" w:type="dxa"/>
            <w:gridSpan w:val="8"/>
            <w:tcBorders>
              <w:top w:val="single" w:color="000000" w:sz="4" w:space="0"/>
              <w:left w:val="single" w:color="000000" w:sz="4" w:space="0"/>
              <w:bottom w:val="single" w:color="000000" w:sz="4" w:space="0"/>
              <w:right w:val="single" w:color="000000" w:sz="4" w:space="0"/>
            </w:tcBorders>
          </w:tcPr>
          <w:p w14:paraId="1882A7D1">
            <w:pPr>
              <w:keepNext w:val="0"/>
              <w:keepLines w:val="0"/>
              <w:pageBreakBefore w:val="0"/>
              <w:widowControl w:val="0"/>
              <w:kinsoku/>
              <w:wordWrap w:val="0"/>
              <w:overflowPunct/>
              <w:topLinePunct w:val="0"/>
              <w:autoSpaceDE/>
              <w:autoSpaceDN/>
              <w:bidi w:val="0"/>
              <w:snapToGrid/>
              <w:rPr>
                <w:color w:val="auto"/>
                <w:highlight w:val="none"/>
              </w:rPr>
            </w:pPr>
          </w:p>
        </w:tc>
      </w:tr>
    </w:tbl>
    <w:p w14:paraId="32D20A0B">
      <w:pPr>
        <w:keepNext w:val="0"/>
        <w:keepLines w:val="0"/>
        <w:pageBreakBefore w:val="0"/>
        <w:widowControl w:val="0"/>
        <w:kinsoku/>
        <w:wordWrap w:val="0"/>
        <w:overflowPunct/>
        <w:topLinePunct w:val="0"/>
        <w:autoSpaceDE/>
        <w:autoSpaceDN/>
        <w:bidi w:val="0"/>
        <w:adjustRightInd/>
        <w:snapToGrid/>
        <w:spacing w:before="0" w:beforeLines="50" w:line="360" w:lineRule="auto"/>
        <w:ind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注：投标人应根据招标文件第二章“投标人须知”第3.5.1项的要求在本表后附相关证明材料。</w:t>
      </w:r>
    </w:p>
    <w:p w14:paraId="1111F426">
      <w:pPr>
        <w:pStyle w:val="21"/>
        <w:keepNext w:val="0"/>
        <w:keepLines w:val="0"/>
        <w:pageBreakBefore w:val="0"/>
        <w:widowControl w:val="0"/>
        <w:kinsoku/>
        <w:overflowPunct/>
        <w:topLinePunct w:val="0"/>
        <w:autoSpaceDE/>
        <w:autoSpaceDN/>
        <w:bidi w:val="0"/>
        <w:adjustRightInd/>
        <w:snapToGrid/>
        <w:spacing w:line="360" w:lineRule="auto"/>
        <w:textAlignment w:val="auto"/>
        <w:rPr>
          <w:rFonts w:hint="default"/>
          <w:color w:val="auto"/>
          <w:highlight w:val="none"/>
          <w:lang w:val="en-US"/>
        </w:rPr>
      </w:pPr>
    </w:p>
    <w:p w14:paraId="777FD9DB">
      <w:pPr>
        <w:rPr>
          <w:rFonts w:hint="default"/>
          <w:color w:val="auto"/>
          <w:highlight w:val="none"/>
          <w:lang w:val="en-US"/>
        </w:rPr>
      </w:pPr>
    </w:p>
    <w:p w14:paraId="00AB8B7F">
      <w:pPr>
        <w:pStyle w:val="21"/>
        <w:ind w:left="0" w:leftChars="0" w:firstLine="0" w:firstLineChars="0"/>
        <w:rPr>
          <w:rFonts w:hint="default"/>
          <w:color w:val="auto"/>
          <w:highlight w:val="none"/>
          <w:lang w:val="en-US"/>
        </w:rPr>
      </w:pPr>
    </w:p>
    <w:p w14:paraId="684BF6B1">
      <w:pPr>
        <w:pStyle w:val="10"/>
        <w:keepNext w:val="0"/>
        <w:keepLines w:val="0"/>
        <w:pageBreakBefore w:val="0"/>
        <w:widowControl w:val="0"/>
        <w:kinsoku/>
        <w:wordWrap w:val="0"/>
        <w:overflowPunct/>
        <w:topLinePunct w:val="0"/>
        <w:autoSpaceDE/>
        <w:autoSpaceDN/>
        <w:bidi w:val="0"/>
        <w:snapToGrid/>
        <w:spacing w:before="190" w:line="240" w:lineRule="auto"/>
        <w:ind w:left="2881" w:right="102"/>
        <w:jc w:val="left"/>
        <w:rPr>
          <w:rFonts w:ascii="黑体" w:hAnsi="黑体" w:eastAsia="黑体" w:cs="黑体"/>
          <w:color w:val="auto"/>
          <w:sz w:val="20"/>
          <w:szCs w:val="20"/>
          <w:highlight w:val="none"/>
        </w:rPr>
      </w:pPr>
      <w:r>
        <w:rPr>
          <w:rFonts w:hint="eastAsia" w:ascii="宋体" w:hAnsi="宋体" w:eastAsia="宋体" w:cs="宋体"/>
          <w:b/>
          <w:bCs/>
          <w:color w:val="auto"/>
          <w:sz w:val="28"/>
          <w:szCs w:val="28"/>
          <w:highlight w:val="none"/>
        </w:rPr>
        <w:t>（二）投标人企业组织机构框图</w:t>
      </w:r>
    </w:p>
    <w:p w14:paraId="79D23F41">
      <w:pPr>
        <w:keepNext w:val="0"/>
        <w:keepLines w:val="0"/>
        <w:pageBreakBefore w:val="0"/>
        <w:widowControl w:val="0"/>
        <w:kinsoku/>
        <w:wordWrap w:val="0"/>
        <w:overflowPunct/>
        <w:topLinePunct w:val="0"/>
        <w:autoSpaceDE/>
        <w:autoSpaceDN/>
        <w:bidi w:val="0"/>
        <w:snapToGrid/>
        <w:spacing w:before="11" w:line="240" w:lineRule="auto"/>
        <w:rPr>
          <w:rFonts w:ascii="黑体" w:hAnsi="黑体" w:eastAsia="黑体" w:cs="黑体"/>
          <w:color w:val="auto"/>
          <w:sz w:val="23"/>
          <w:szCs w:val="23"/>
          <w:highlight w:val="none"/>
        </w:rPr>
      </w:pPr>
    </w:p>
    <w:tbl>
      <w:tblPr>
        <w:tblStyle w:val="23"/>
        <w:tblW w:w="0" w:type="auto"/>
        <w:jc w:val="center"/>
        <w:tblLayout w:type="fixed"/>
        <w:tblCellMar>
          <w:top w:w="0" w:type="dxa"/>
          <w:left w:w="0" w:type="dxa"/>
          <w:bottom w:w="0" w:type="dxa"/>
          <w:right w:w="0" w:type="dxa"/>
        </w:tblCellMar>
      </w:tblPr>
      <w:tblGrid>
        <w:gridCol w:w="8894"/>
      </w:tblGrid>
      <w:tr w14:paraId="0E42A715">
        <w:trPr>
          <w:trHeight w:val="7542" w:hRule="exact"/>
          <w:jc w:val="center"/>
        </w:trPr>
        <w:tc>
          <w:tcPr>
            <w:tcW w:w="8894" w:type="dxa"/>
            <w:tcBorders>
              <w:top w:val="single" w:color="000000" w:sz="6" w:space="0"/>
              <w:left w:val="single" w:color="000000" w:sz="6" w:space="0"/>
              <w:bottom w:val="single" w:color="000000" w:sz="6" w:space="0"/>
              <w:right w:val="single" w:color="000000" w:sz="6" w:space="0"/>
            </w:tcBorders>
          </w:tcPr>
          <w:p w14:paraId="176D7C9E">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5CE8B4FD">
            <w:pPr>
              <w:pStyle w:val="106"/>
              <w:keepNext w:val="0"/>
              <w:keepLines w:val="0"/>
              <w:pageBreakBefore w:val="0"/>
              <w:widowControl w:val="0"/>
              <w:kinsoku/>
              <w:wordWrap w:val="0"/>
              <w:overflowPunct/>
              <w:topLinePunct w:val="0"/>
              <w:autoSpaceDE/>
              <w:autoSpaceDN/>
              <w:bidi w:val="0"/>
              <w:snapToGrid/>
              <w:spacing w:line="240" w:lineRule="auto"/>
              <w:ind w:right="0" w:firstLine="420" w:firstLineChars="20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以框图方式表示。</w:t>
            </w:r>
          </w:p>
        </w:tc>
      </w:tr>
      <w:tr w14:paraId="5593C6C1">
        <w:tblPrEx>
          <w:tblCellMar>
            <w:top w:w="0" w:type="dxa"/>
            <w:left w:w="0" w:type="dxa"/>
            <w:bottom w:w="0" w:type="dxa"/>
            <w:right w:w="0" w:type="dxa"/>
          </w:tblCellMar>
        </w:tblPrEx>
        <w:trPr>
          <w:trHeight w:val="3418" w:hRule="exact"/>
          <w:jc w:val="center"/>
        </w:trPr>
        <w:tc>
          <w:tcPr>
            <w:tcW w:w="8894" w:type="dxa"/>
            <w:tcBorders>
              <w:top w:val="single" w:color="000000" w:sz="6" w:space="0"/>
              <w:left w:val="single" w:color="000000" w:sz="6" w:space="0"/>
              <w:bottom w:val="single" w:color="000000" w:sz="6" w:space="0"/>
              <w:right w:val="single" w:color="000000" w:sz="6" w:space="0"/>
            </w:tcBorders>
          </w:tcPr>
          <w:p w14:paraId="46061F1A">
            <w:pPr>
              <w:pStyle w:val="106"/>
              <w:keepNext w:val="0"/>
              <w:keepLines w:val="0"/>
              <w:pageBreakBefore w:val="0"/>
              <w:widowControl w:val="0"/>
              <w:kinsoku/>
              <w:wordWrap w:val="0"/>
              <w:overflowPunct/>
              <w:topLinePunct w:val="0"/>
              <w:autoSpaceDE/>
              <w:autoSpaceDN/>
              <w:bidi w:val="0"/>
              <w:snapToGrid/>
              <w:spacing w:before="93" w:line="240" w:lineRule="auto"/>
              <w:ind w:right="0"/>
              <w:jc w:val="left"/>
              <w:rPr>
                <w:rFonts w:ascii="宋体" w:hAnsi="宋体" w:eastAsia="宋体" w:cs="宋体"/>
                <w:color w:val="auto"/>
                <w:sz w:val="21"/>
                <w:szCs w:val="21"/>
                <w:highlight w:val="none"/>
              </w:rPr>
            </w:pPr>
          </w:p>
          <w:p w14:paraId="07A3C6F4">
            <w:pPr>
              <w:pStyle w:val="106"/>
              <w:keepNext w:val="0"/>
              <w:keepLines w:val="0"/>
              <w:pageBreakBefore w:val="0"/>
              <w:widowControl w:val="0"/>
              <w:kinsoku/>
              <w:wordWrap w:val="0"/>
              <w:overflowPunct/>
              <w:topLinePunct w:val="0"/>
              <w:autoSpaceDE/>
              <w:autoSpaceDN/>
              <w:bidi w:val="0"/>
              <w:snapToGrid/>
              <w:spacing w:before="93" w:line="240" w:lineRule="auto"/>
              <w:ind w:right="0" w:firstLine="420" w:firstLineChars="20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说明</w:t>
            </w:r>
          </w:p>
        </w:tc>
      </w:tr>
    </w:tbl>
    <w:p w14:paraId="1340DD5D">
      <w:pPr>
        <w:pStyle w:val="21"/>
        <w:rPr>
          <w:rFonts w:hint="default"/>
          <w:color w:val="auto"/>
          <w:highlight w:val="none"/>
          <w:lang w:val="en-US"/>
        </w:rPr>
      </w:pPr>
    </w:p>
    <w:p w14:paraId="4E262A19">
      <w:pPr>
        <w:rPr>
          <w:rFonts w:hint="default"/>
          <w:color w:val="auto"/>
          <w:highlight w:val="none"/>
          <w:lang w:val="en-US"/>
        </w:rPr>
      </w:pPr>
    </w:p>
    <w:p w14:paraId="03C4F1C9">
      <w:pPr>
        <w:pStyle w:val="21"/>
        <w:rPr>
          <w:rFonts w:hint="default"/>
          <w:color w:val="auto"/>
          <w:highlight w:val="none"/>
          <w:lang w:val="en-US"/>
        </w:rPr>
      </w:pPr>
    </w:p>
    <w:p w14:paraId="4FCCCFA8">
      <w:pPr>
        <w:rPr>
          <w:rFonts w:hint="default"/>
          <w:color w:val="auto"/>
          <w:highlight w:val="none"/>
          <w:lang w:val="en-US"/>
        </w:rPr>
      </w:pPr>
    </w:p>
    <w:p w14:paraId="27798C12">
      <w:pPr>
        <w:pStyle w:val="21"/>
        <w:rPr>
          <w:rFonts w:hint="default"/>
          <w:color w:val="auto"/>
          <w:highlight w:val="none"/>
          <w:lang w:val="en-US"/>
        </w:rPr>
      </w:pPr>
    </w:p>
    <w:p w14:paraId="7CDD80AC">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highlight w:val="none"/>
          <w:lang w:eastAsia="zh-CN"/>
        </w:rPr>
        <w:t>（三）</w:t>
      </w:r>
      <w:r>
        <w:rPr>
          <w:rFonts w:hint="eastAsia" w:ascii="宋体" w:hAnsi="宋体" w:eastAsia="宋体" w:cs="宋体"/>
          <w:b/>
          <w:bCs/>
          <w:color w:val="auto"/>
          <w:sz w:val="28"/>
          <w:szCs w:val="28"/>
          <w:highlight w:val="none"/>
        </w:rPr>
        <w:t>近年财务状况</w:t>
      </w:r>
    </w:p>
    <w:p w14:paraId="5A22C74C">
      <w:pPr>
        <w:pStyle w:val="10"/>
        <w:keepNext w:val="0"/>
        <w:keepLines w:val="0"/>
        <w:pageBreakBefore w:val="0"/>
        <w:widowControl w:val="0"/>
        <w:numPr>
          <w:ilvl w:val="0"/>
          <w:numId w:val="0"/>
        </w:numPr>
        <w:kinsoku/>
        <w:wordWrap w:val="0"/>
        <w:overflowPunct/>
        <w:topLinePunct w:val="0"/>
        <w:autoSpaceDE/>
        <w:autoSpaceDN/>
        <w:bidi w:val="0"/>
        <w:adjustRightInd/>
        <w:snapToGrid/>
        <w:spacing w:before="0" w:line="360" w:lineRule="auto"/>
        <w:ind w:right="0" w:righ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财务状况表</w:t>
      </w:r>
    </w:p>
    <w:tbl>
      <w:tblPr>
        <w:tblStyle w:val="23"/>
        <w:tblW w:w="0" w:type="auto"/>
        <w:jc w:val="center"/>
        <w:tblLayout w:type="fixed"/>
        <w:tblCellMar>
          <w:top w:w="0" w:type="dxa"/>
          <w:left w:w="0" w:type="dxa"/>
          <w:bottom w:w="0" w:type="dxa"/>
          <w:right w:w="0" w:type="dxa"/>
        </w:tblCellMar>
      </w:tblPr>
      <w:tblGrid>
        <w:gridCol w:w="4066"/>
        <w:gridCol w:w="900"/>
        <w:gridCol w:w="1320"/>
        <w:gridCol w:w="1321"/>
        <w:gridCol w:w="1320"/>
      </w:tblGrid>
      <w:tr w14:paraId="3BFF30BE">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3431A62B">
            <w:pPr>
              <w:pStyle w:val="106"/>
              <w:keepNext w:val="0"/>
              <w:keepLines w:val="0"/>
              <w:pageBreakBefore w:val="0"/>
              <w:widowControl w:val="0"/>
              <w:kinsoku/>
              <w:wordWrap w:val="0"/>
              <w:overflowPunct/>
              <w:topLinePunct w:val="0"/>
              <w:autoSpaceDE/>
              <w:autoSpaceDN/>
              <w:bidi w:val="0"/>
              <w:snapToGrid/>
              <w:spacing w:before="121" w:line="240" w:lineRule="auto"/>
              <w:ind w:left="126"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项目或指标</w:t>
            </w:r>
          </w:p>
        </w:tc>
        <w:tc>
          <w:tcPr>
            <w:tcW w:w="900" w:type="dxa"/>
            <w:tcBorders>
              <w:top w:val="single" w:color="000000" w:sz="6" w:space="0"/>
              <w:left w:val="single" w:color="000000" w:sz="6" w:space="0"/>
              <w:bottom w:val="single" w:color="000000" w:sz="6" w:space="0"/>
              <w:right w:val="single" w:color="000000" w:sz="6" w:space="0"/>
            </w:tcBorders>
          </w:tcPr>
          <w:p w14:paraId="3DB50468">
            <w:pPr>
              <w:pStyle w:val="106"/>
              <w:keepNext w:val="0"/>
              <w:keepLines w:val="0"/>
              <w:pageBreakBefore w:val="0"/>
              <w:widowControl w:val="0"/>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1320" w:type="dxa"/>
            <w:tcBorders>
              <w:top w:val="single" w:color="000000" w:sz="6" w:space="0"/>
              <w:left w:val="single" w:color="000000" w:sz="6" w:space="0"/>
              <w:bottom w:val="single" w:color="000000" w:sz="6" w:space="0"/>
              <w:right w:val="single" w:color="000000" w:sz="6" w:space="0"/>
            </w:tcBorders>
          </w:tcPr>
          <w:p w14:paraId="36876092">
            <w:pPr>
              <w:pStyle w:val="106"/>
              <w:keepNext w:val="0"/>
              <w:keepLines w:val="0"/>
              <w:pageBreakBefore w:val="0"/>
              <w:widowControl w:val="0"/>
              <w:tabs>
                <w:tab w:val="left" w:pos="871"/>
              </w:tabs>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rPr>
              <w:t>年</w:t>
            </w:r>
          </w:p>
        </w:tc>
        <w:tc>
          <w:tcPr>
            <w:tcW w:w="1321" w:type="dxa"/>
            <w:tcBorders>
              <w:top w:val="single" w:color="000000" w:sz="6" w:space="0"/>
              <w:left w:val="single" w:color="000000" w:sz="6" w:space="0"/>
              <w:bottom w:val="single" w:color="000000" w:sz="6" w:space="0"/>
              <w:right w:val="single" w:color="000000" w:sz="6" w:space="0"/>
            </w:tcBorders>
          </w:tcPr>
          <w:p w14:paraId="15FDF812">
            <w:pPr>
              <w:pStyle w:val="106"/>
              <w:keepNext w:val="0"/>
              <w:keepLines w:val="0"/>
              <w:pageBreakBefore w:val="0"/>
              <w:widowControl w:val="0"/>
              <w:tabs>
                <w:tab w:val="left" w:pos="871"/>
              </w:tabs>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rPr>
              <w:t>年</w:t>
            </w:r>
          </w:p>
        </w:tc>
        <w:tc>
          <w:tcPr>
            <w:tcW w:w="1320" w:type="dxa"/>
            <w:tcBorders>
              <w:top w:val="single" w:color="000000" w:sz="6" w:space="0"/>
              <w:left w:val="single" w:color="000000" w:sz="6" w:space="0"/>
              <w:bottom w:val="single" w:color="000000" w:sz="6" w:space="0"/>
              <w:right w:val="single" w:color="000000" w:sz="6" w:space="0"/>
            </w:tcBorders>
          </w:tcPr>
          <w:p w14:paraId="13BCF028">
            <w:pPr>
              <w:pStyle w:val="106"/>
              <w:keepNext w:val="0"/>
              <w:keepLines w:val="0"/>
              <w:pageBreakBefore w:val="0"/>
              <w:widowControl w:val="0"/>
              <w:tabs>
                <w:tab w:val="left" w:pos="871"/>
              </w:tabs>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rPr>
              <w:t>年</w:t>
            </w:r>
          </w:p>
        </w:tc>
      </w:tr>
      <w:tr w14:paraId="1F08582F">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5C803194">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注册资本</w:t>
            </w:r>
          </w:p>
        </w:tc>
        <w:tc>
          <w:tcPr>
            <w:tcW w:w="900" w:type="dxa"/>
            <w:tcBorders>
              <w:top w:val="single" w:color="000000" w:sz="6" w:space="0"/>
              <w:left w:val="single" w:color="000000" w:sz="6" w:space="0"/>
              <w:bottom w:val="single" w:color="000000" w:sz="6" w:space="0"/>
              <w:right w:val="single" w:color="000000" w:sz="6" w:space="0"/>
            </w:tcBorders>
          </w:tcPr>
          <w:p w14:paraId="7C111620">
            <w:pPr>
              <w:pStyle w:val="106"/>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426331D5">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6D6558F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A363960">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1F6B4771">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4010E910">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净资产</w:t>
            </w:r>
          </w:p>
        </w:tc>
        <w:tc>
          <w:tcPr>
            <w:tcW w:w="900" w:type="dxa"/>
            <w:tcBorders>
              <w:top w:val="single" w:color="000000" w:sz="6" w:space="0"/>
              <w:left w:val="single" w:color="000000" w:sz="6" w:space="0"/>
              <w:bottom w:val="single" w:color="000000" w:sz="6" w:space="0"/>
              <w:right w:val="single" w:color="000000" w:sz="6" w:space="0"/>
            </w:tcBorders>
          </w:tcPr>
          <w:p w14:paraId="212D4D75">
            <w:pPr>
              <w:pStyle w:val="106"/>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6A54E3B5">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348490A5">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7A5AC1A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1EEE3968">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2F671292">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总资产</w:t>
            </w:r>
          </w:p>
        </w:tc>
        <w:tc>
          <w:tcPr>
            <w:tcW w:w="900" w:type="dxa"/>
            <w:tcBorders>
              <w:top w:val="single" w:color="000000" w:sz="6" w:space="0"/>
              <w:left w:val="single" w:color="000000" w:sz="6" w:space="0"/>
              <w:bottom w:val="single" w:color="000000" w:sz="6" w:space="0"/>
              <w:right w:val="single" w:color="000000" w:sz="6" w:space="0"/>
            </w:tcBorders>
          </w:tcPr>
          <w:p w14:paraId="59172750">
            <w:pPr>
              <w:pStyle w:val="106"/>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7FBAD64F">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54841BA0">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22C4F8B6">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33E6B54B">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4B914BB3">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固定资产</w:t>
            </w:r>
          </w:p>
        </w:tc>
        <w:tc>
          <w:tcPr>
            <w:tcW w:w="900" w:type="dxa"/>
            <w:tcBorders>
              <w:top w:val="single" w:color="000000" w:sz="6" w:space="0"/>
              <w:left w:val="single" w:color="000000" w:sz="6" w:space="0"/>
              <w:bottom w:val="single" w:color="000000" w:sz="6" w:space="0"/>
              <w:right w:val="single" w:color="000000" w:sz="6" w:space="0"/>
            </w:tcBorders>
          </w:tcPr>
          <w:p w14:paraId="33EC03EB">
            <w:pPr>
              <w:pStyle w:val="106"/>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026A7D56">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49B25225">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0568FF0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232F67D9">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75B4D372">
            <w:pPr>
              <w:pStyle w:val="106"/>
              <w:keepNext w:val="0"/>
              <w:keepLines w:val="0"/>
              <w:pageBreakBefore w:val="0"/>
              <w:widowControl w:val="0"/>
              <w:kinsoku/>
              <w:wordWrap w:val="0"/>
              <w:overflowPunct/>
              <w:topLinePunct w:val="0"/>
              <w:autoSpaceDE/>
              <w:autoSpaceDN/>
              <w:bidi w:val="0"/>
              <w:snapToGrid/>
              <w:spacing w:before="121"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流动资产</w:t>
            </w:r>
          </w:p>
        </w:tc>
        <w:tc>
          <w:tcPr>
            <w:tcW w:w="900" w:type="dxa"/>
            <w:tcBorders>
              <w:top w:val="single" w:color="000000" w:sz="6" w:space="0"/>
              <w:left w:val="single" w:color="000000" w:sz="6" w:space="0"/>
              <w:bottom w:val="single" w:color="000000" w:sz="6" w:space="0"/>
              <w:right w:val="single" w:color="000000" w:sz="6" w:space="0"/>
            </w:tcBorders>
          </w:tcPr>
          <w:p w14:paraId="73B40B31">
            <w:pPr>
              <w:pStyle w:val="106"/>
              <w:keepNext w:val="0"/>
              <w:keepLines w:val="0"/>
              <w:pageBreakBefore w:val="0"/>
              <w:widowControl w:val="0"/>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4A7336AE">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5F47E46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7A0824B">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33964502">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3A6DC25D">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流动负债</w:t>
            </w:r>
          </w:p>
        </w:tc>
        <w:tc>
          <w:tcPr>
            <w:tcW w:w="900" w:type="dxa"/>
            <w:tcBorders>
              <w:top w:val="single" w:color="000000" w:sz="6" w:space="0"/>
              <w:left w:val="single" w:color="000000" w:sz="6" w:space="0"/>
              <w:bottom w:val="single" w:color="000000" w:sz="6" w:space="0"/>
              <w:right w:val="single" w:color="000000" w:sz="6" w:space="0"/>
            </w:tcBorders>
          </w:tcPr>
          <w:p w14:paraId="1E778B61">
            <w:pPr>
              <w:pStyle w:val="106"/>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5BF65E14">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3811F4E0">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0C6855D">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641FF76F">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5CA14845">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负债合计</w:t>
            </w:r>
          </w:p>
        </w:tc>
        <w:tc>
          <w:tcPr>
            <w:tcW w:w="900" w:type="dxa"/>
            <w:tcBorders>
              <w:top w:val="single" w:color="000000" w:sz="6" w:space="0"/>
              <w:left w:val="single" w:color="000000" w:sz="6" w:space="0"/>
              <w:bottom w:val="single" w:color="000000" w:sz="6" w:space="0"/>
              <w:right w:val="single" w:color="000000" w:sz="6" w:space="0"/>
            </w:tcBorders>
          </w:tcPr>
          <w:p w14:paraId="033AFD4C">
            <w:pPr>
              <w:pStyle w:val="106"/>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07DC852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5458F68F">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4F48D9B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11376FB3">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188CC1D0">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营业收入</w:t>
            </w:r>
          </w:p>
        </w:tc>
        <w:tc>
          <w:tcPr>
            <w:tcW w:w="900" w:type="dxa"/>
            <w:tcBorders>
              <w:top w:val="single" w:color="000000" w:sz="6" w:space="0"/>
              <w:left w:val="single" w:color="000000" w:sz="6" w:space="0"/>
              <w:bottom w:val="single" w:color="000000" w:sz="6" w:space="0"/>
              <w:right w:val="single" w:color="000000" w:sz="6" w:space="0"/>
            </w:tcBorders>
          </w:tcPr>
          <w:p w14:paraId="266CB5C2">
            <w:pPr>
              <w:pStyle w:val="106"/>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355836A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599F01A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0DDA38C0">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0FB65EDC">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595AD792">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净利润</w:t>
            </w:r>
          </w:p>
        </w:tc>
        <w:tc>
          <w:tcPr>
            <w:tcW w:w="900" w:type="dxa"/>
            <w:tcBorders>
              <w:top w:val="single" w:color="000000" w:sz="6" w:space="0"/>
              <w:left w:val="single" w:color="000000" w:sz="6" w:space="0"/>
              <w:bottom w:val="single" w:color="000000" w:sz="6" w:space="0"/>
              <w:right w:val="single" w:color="000000" w:sz="6" w:space="0"/>
            </w:tcBorders>
          </w:tcPr>
          <w:p w14:paraId="633E16F2">
            <w:pPr>
              <w:pStyle w:val="106"/>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6EFFC7D3">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089A084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2CF54BA4">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573EE1F0">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18AFEE27">
            <w:pPr>
              <w:pStyle w:val="106"/>
              <w:keepNext w:val="0"/>
              <w:keepLines w:val="0"/>
              <w:pageBreakBefore w:val="0"/>
              <w:widowControl w:val="0"/>
              <w:kinsoku/>
              <w:wordWrap w:val="0"/>
              <w:overflowPunct/>
              <w:topLinePunct w:val="0"/>
              <w:autoSpaceDE/>
              <w:autoSpaceDN/>
              <w:bidi w:val="0"/>
              <w:snapToGrid/>
              <w:spacing w:before="121"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现金流量净额</w:t>
            </w:r>
          </w:p>
        </w:tc>
        <w:tc>
          <w:tcPr>
            <w:tcW w:w="900" w:type="dxa"/>
            <w:tcBorders>
              <w:top w:val="single" w:color="000000" w:sz="6" w:space="0"/>
              <w:left w:val="single" w:color="000000" w:sz="6" w:space="0"/>
              <w:bottom w:val="single" w:color="000000" w:sz="6" w:space="0"/>
              <w:right w:val="single" w:color="000000" w:sz="6" w:space="0"/>
            </w:tcBorders>
          </w:tcPr>
          <w:p w14:paraId="04249285">
            <w:pPr>
              <w:pStyle w:val="106"/>
              <w:keepNext w:val="0"/>
              <w:keepLines w:val="0"/>
              <w:pageBreakBefore w:val="0"/>
              <w:widowControl w:val="0"/>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26DABA0E">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7D76CE05">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3795228A">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55CB2C3E">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2B9FE4FE">
            <w:pPr>
              <w:pStyle w:val="106"/>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主要财务指标</w:t>
            </w:r>
          </w:p>
        </w:tc>
        <w:tc>
          <w:tcPr>
            <w:tcW w:w="900" w:type="dxa"/>
            <w:tcBorders>
              <w:top w:val="single" w:color="000000" w:sz="6" w:space="0"/>
              <w:left w:val="single" w:color="000000" w:sz="6" w:space="0"/>
              <w:bottom w:val="single" w:color="000000" w:sz="6" w:space="0"/>
              <w:right w:val="single" w:color="000000" w:sz="6" w:space="0"/>
            </w:tcBorders>
          </w:tcPr>
          <w:p w14:paraId="09B8C419">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5A7B296E">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7352C6F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0574335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579625E3">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279D4CB7">
            <w:pPr>
              <w:pStyle w:val="106"/>
              <w:keepNext w:val="0"/>
              <w:keepLines w:val="0"/>
              <w:pageBreakBefore w:val="0"/>
              <w:widowControl w:val="0"/>
              <w:kinsoku/>
              <w:wordWrap w:val="0"/>
              <w:overflowPunct/>
              <w:topLinePunct w:val="0"/>
              <w:autoSpaceDE/>
              <w:autoSpaceDN/>
              <w:bidi w:val="0"/>
              <w:snapToGrid/>
              <w:spacing w:before="121" w:line="240" w:lineRule="auto"/>
              <w:ind w:left="945"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z w:val="21"/>
                <w:szCs w:val="21"/>
                <w:highlight w:val="none"/>
              </w:rPr>
              <w:t>净资产收益率</w:t>
            </w:r>
          </w:p>
        </w:tc>
        <w:tc>
          <w:tcPr>
            <w:tcW w:w="900" w:type="dxa"/>
            <w:tcBorders>
              <w:top w:val="single" w:color="000000" w:sz="6" w:space="0"/>
              <w:left w:val="single" w:color="000000" w:sz="6" w:space="0"/>
              <w:bottom w:val="single" w:color="000000" w:sz="6" w:space="0"/>
              <w:right w:val="single" w:color="000000" w:sz="6" w:space="0"/>
            </w:tcBorders>
          </w:tcPr>
          <w:p w14:paraId="50B49DCB">
            <w:pPr>
              <w:pStyle w:val="106"/>
              <w:keepNext w:val="0"/>
              <w:keepLines w:val="0"/>
              <w:pageBreakBefore w:val="0"/>
              <w:widowControl w:val="0"/>
              <w:kinsoku/>
              <w:wordWrap w:val="0"/>
              <w:overflowPunct/>
              <w:topLinePunct w:val="0"/>
              <w:autoSpaceDE/>
              <w:autoSpaceDN/>
              <w:bidi w:val="0"/>
              <w:snapToGrid/>
              <w:spacing w:before="168" w:line="240" w:lineRule="auto"/>
              <w:ind w:left="14" w:right="0"/>
              <w:jc w:val="center"/>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tcPr>
          <w:p w14:paraId="68885C4D">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648BFF33">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226E9DD">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3A794D0F">
        <w:tblPrEx>
          <w:tblCellMar>
            <w:top w:w="0" w:type="dxa"/>
            <w:left w:w="0" w:type="dxa"/>
            <w:bottom w:w="0" w:type="dxa"/>
            <w:right w:w="0" w:type="dxa"/>
          </w:tblCellMar>
        </w:tblPrEx>
        <w:trPr>
          <w:trHeight w:val="577" w:hRule="exact"/>
          <w:jc w:val="center"/>
        </w:trPr>
        <w:tc>
          <w:tcPr>
            <w:tcW w:w="4066" w:type="dxa"/>
            <w:tcBorders>
              <w:top w:val="single" w:color="000000" w:sz="6" w:space="0"/>
              <w:left w:val="single" w:color="000000" w:sz="6" w:space="0"/>
              <w:bottom w:val="single" w:color="000000" w:sz="6" w:space="0"/>
              <w:right w:val="single" w:color="000000" w:sz="6" w:space="0"/>
            </w:tcBorders>
          </w:tcPr>
          <w:p w14:paraId="623DEFE1">
            <w:pPr>
              <w:pStyle w:val="106"/>
              <w:keepNext w:val="0"/>
              <w:keepLines w:val="0"/>
              <w:pageBreakBefore w:val="0"/>
              <w:widowControl w:val="0"/>
              <w:kinsoku/>
              <w:wordWrap w:val="0"/>
              <w:overflowPunct/>
              <w:topLinePunct w:val="0"/>
              <w:autoSpaceDE/>
              <w:autoSpaceDN/>
              <w:bidi w:val="0"/>
              <w:snapToGrid/>
              <w:spacing w:before="120" w:line="240" w:lineRule="auto"/>
              <w:ind w:left="945"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z w:val="21"/>
                <w:szCs w:val="21"/>
                <w:highlight w:val="none"/>
              </w:rPr>
              <w:t>总资产报酬率</w:t>
            </w:r>
          </w:p>
        </w:tc>
        <w:tc>
          <w:tcPr>
            <w:tcW w:w="900" w:type="dxa"/>
            <w:tcBorders>
              <w:top w:val="single" w:color="000000" w:sz="6" w:space="0"/>
              <w:left w:val="single" w:color="000000" w:sz="6" w:space="0"/>
              <w:bottom w:val="single" w:color="000000" w:sz="6" w:space="0"/>
              <w:right w:val="single" w:color="000000" w:sz="6" w:space="0"/>
            </w:tcBorders>
          </w:tcPr>
          <w:p w14:paraId="0A43E4C2">
            <w:pPr>
              <w:pStyle w:val="106"/>
              <w:keepNext w:val="0"/>
              <w:keepLines w:val="0"/>
              <w:pageBreakBefore w:val="0"/>
              <w:widowControl w:val="0"/>
              <w:kinsoku/>
              <w:wordWrap w:val="0"/>
              <w:overflowPunct/>
              <w:topLinePunct w:val="0"/>
              <w:autoSpaceDE/>
              <w:autoSpaceDN/>
              <w:bidi w:val="0"/>
              <w:snapToGrid/>
              <w:spacing w:before="166" w:line="240" w:lineRule="auto"/>
              <w:ind w:left="14" w:right="0"/>
              <w:jc w:val="center"/>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tcPr>
          <w:p w14:paraId="43EF23FA">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1B6DF2F6">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4359EA6D">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4B62CC72">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7D46616E">
            <w:pPr>
              <w:pStyle w:val="106"/>
              <w:keepNext w:val="0"/>
              <w:keepLines w:val="0"/>
              <w:pageBreakBefore w:val="0"/>
              <w:widowControl w:val="0"/>
              <w:kinsoku/>
              <w:wordWrap w:val="0"/>
              <w:overflowPunct/>
              <w:topLinePunct w:val="0"/>
              <w:autoSpaceDE/>
              <w:autoSpaceDN/>
              <w:bidi w:val="0"/>
              <w:snapToGrid/>
              <w:spacing w:before="119" w:line="240" w:lineRule="auto"/>
              <w:ind w:left="945"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主营业务利润率</w:t>
            </w:r>
          </w:p>
        </w:tc>
        <w:tc>
          <w:tcPr>
            <w:tcW w:w="900" w:type="dxa"/>
            <w:tcBorders>
              <w:top w:val="single" w:color="000000" w:sz="6" w:space="0"/>
              <w:left w:val="single" w:color="000000" w:sz="6" w:space="0"/>
              <w:bottom w:val="single" w:color="000000" w:sz="6" w:space="0"/>
              <w:right w:val="single" w:color="000000" w:sz="6" w:space="0"/>
            </w:tcBorders>
          </w:tcPr>
          <w:p w14:paraId="78ED0AAA">
            <w:pPr>
              <w:pStyle w:val="106"/>
              <w:keepNext w:val="0"/>
              <w:keepLines w:val="0"/>
              <w:pageBreakBefore w:val="0"/>
              <w:widowControl w:val="0"/>
              <w:kinsoku/>
              <w:wordWrap w:val="0"/>
              <w:overflowPunct/>
              <w:topLinePunct w:val="0"/>
              <w:autoSpaceDE/>
              <w:autoSpaceDN/>
              <w:bidi w:val="0"/>
              <w:snapToGrid/>
              <w:spacing w:before="166" w:line="240" w:lineRule="auto"/>
              <w:ind w:left="14" w:right="0"/>
              <w:jc w:val="center"/>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tcPr>
          <w:p w14:paraId="116C872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2A27BC1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E53F740">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5B6B77EC">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7ADE9114">
            <w:pPr>
              <w:pStyle w:val="106"/>
              <w:keepNext w:val="0"/>
              <w:keepLines w:val="0"/>
              <w:pageBreakBefore w:val="0"/>
              <w:widowControl w:val="0"/>
              <w:kinsoku/>
              <w:wordWrap w:val="0"/>
              <w:overflowPunct/>
              <w:topLinePunct w:val="0"/>
              <w:autoSpaceDE/>
              <w:autoSpaceDN/>
              <w:bidi w:val="0"/>
              <w:snapToGrid/>
              <w:spacing w:before="119" w:line="240" w:lineRule="auto"/>
              <w:ind w:left="945"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资产负债率</w:t>
            </w:r>
          </w:p>
        </w:tc>
        <w:tc>
          <w:tcPr>
            <w:tcW w:w="900" w:type="dxa"/>
            <w:tcBorders>
              <w:top w:val="single" w:color="000000" w:sz="6" w:space="0"/>
              <w:left w:val="single" w:color="000000" w:sz="6" w:space="0"/>
              <w:bottom w:val="single" w:color="000000" w:sz="6" w:space="0"/>
              <w:right w:val="single" w:color="000000" w:sz="6" w:space="0"/>
            </w:tcBorders>
          </w:tcPr>
          <w:p w14:paraId="72A56637">
            <w:pPr>
              <w:pStyle w:val="106"/>
              <w:keepNext w:val="0"/>
              <w:keepLines w:val="0"/>
              <w:pageBreakBefore w:val="0"/>
              <w:widowControl w:val="0"/>
              <w:kinsoku/>
              <w:wordWrap w:val="0"/>
              <w:overflowPunct/>
              <w:topLinePunct w:val="0"/>
              <w:autoSpaceDE/>
              <w:autoSpaceDN/>
              <w:bidi w:val="0"/>
              <w:snapToGrid/>
              <w:spacing w:before="166" w:line="240" w:lineRule="auto"/>
              <w:ind w:left="14" w:right="0"/>
              <w:jc w:val="center"/>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tcPr>
          <w:p w14:paraId="31F42B66">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0BDD9DE6">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6CECC3DF">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1A59A9F3">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vAlign w:val="top"/>
          </w:tcPr>
          <w:p w14:paraId="6D187FFE">
            <w:pPr>
              <w:pStyle w:val="106"/>
              <w:keepNext w:val="0"/>
              <w:keepLines w:val="0"/>
              <w:pageBreakBefore w:val="0"/>
              <w:widowControl w:val="0"/>
              <w:kinsoku/>
              <w:wordWrap w:val="0"/>
              <w:overflowPunct/>
              <w:topLinePunct w:val="0"/>
              <w:autoSpaceDE/>
              <w:autoSpaceDN/>
              <w:bidi w:val="0"/>
              <w:snapToGrid/>
              <w:spacing w:before="119" w:line="240" w:lineRule="auto"/>
              <w:ind w:left="945"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pacing w:val="52"/>
                <w:sz w:val="21"/>
                <w:szCs w:val="21"/>
                <w:highlight w:val="none"/>
              </w:rPr>
              <w:t xml:space="preserve"> </w:t>
            </w:r>
            <w:r>
              <w:rPr>
                <w:rFonts w:hint="eastAsia" w:ascii="宋体" w:hAnsi="宋体" w:eastAsia="宋体" w:cs="宋体"/>
                <w:color w:val="auto"/>
                <w:sz w:val="21"/>
                <w:szCs w:val="21"/>
                <w:highlight w:val="none"/>
              </w:rPr>
              <w:t>流动比率</w:t>
            </w:r>
          </w:p>
        </w:tc>
        <w:tc>
          <w:tcPr>
            <w:tcW w:w="900" w:type="dxa"/>
            <w:tcBorders>
              <w:top w:val="single" w:color="000000" w:sz="6" w:space="0"/>
              <w:left w:val="single" w:color="000000" w:sz="6" w:space="0"/>
              <w:bottom w:val="single" w:color="000000" w:sz="6" w:space="0"/>
              <w:right w:val="single" w:color="000000" w:sz="6" w:space="0"/>
            </w:tcBorders>
            <w:vAlign w:val="top"/>
          </w:tcPr>
          <w:p w14:paraId="574AC05C">
            <w:pPr>
              <w:pStyle w:val="106"/>
              <w:keepNext w:val="0"/>
              <w:keepLines w:val="0"/>
              <w:pageBreakBefore w:val="0"/>
              <w:widowControl w:val="0"/>
              <w:kinsoku/>
              <w:wordWrap w:val="0"/>
              <w:overflowPunct/>
              <w:topLinePunct w:val="0"/>
              <w:autoSpaceDE/>
              <w:autoSpaceDN/>
              <w:bidi w:val="0"/>
              <w:snapToGrid/>
              <w:spacing w:before="166" w:line="240" w:lineRule="auto"/>
              <w:ind w:left="14" w:leftChars="0" w:right="0" w:rightChars="0"/>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vAlign w:val="top"/>
          </w:tcPr>
          <w:p w14:paraId="1A0B8AF8">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vAlign w:val="top"/>
          </w:tcPr>
          <w:p w14:paraId="2E218D24">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vAlign w:val="top"/>
          </w:tcPr>
          <w:p w14:paraId="77D3728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06A953BC">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vAlign w:val="top"/>
          </w:tcPr>
          <w:p w14:paraId="62C70496">
            <w:pPr>
              <w:pStyle w:val="106"/>
              <w:keepNext w:val="0"/>
              <w:keepLines w:val="0"/>
              <w:pageBreakBefore w:val="0"/>
              <w:widowControl w:val="0"/>
              <w:kinsoku/>
              <w:wordWrap w:val="0"/>
              <w:overflowPunct/>
              <w:topLinePunct w:val="0"/>
              <w:autoSpaceDE/>
              <w:autoSpaceDN/>
              <w:bidi w:val="0"/>
              <w:snapToGrid/>
              <w:spacing w:before="121" w:line="240" w:lineRule="auto"/>
              <w:ind w:left="945"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w:t>
            </w:r>
            <w:r>
              <w:rPr>
                <w:rFonts w:hint="eastAsia" w:ascii="宋体" w:hAnsi="宋体" w:eastAsia="宋体" w:cs="宋体"/>
                <w:color w:val="auto"/>
                <w:spacing w:val="8"/>
                <w:sz w:val="21"/>
                <w:szCs w:val="21"/>
                <w:highlight w:val="none"/>
              </w:rPr>
              <w:t xml:space="preserve"> </w:t>
            </w:r>
            <w:r>
              <w:rPr>
                <w:rFonts w:hint="eastAsia" w:ascii="宋体" w:hAnsi="宋体" w:eastAsia="宋体" w:cs="宋体"/>
                <w:color w:val="auto"/>
                <w:spacing w:val="-3"/>
                <w:sz w:val="21"/>
                <w:szCs w:val="21"/>
                <w:highlight w:val="none"/>
              </w:rPr>
              <w:t>速动比率</w:t>
            </w:r>
          </w:p>
        </w:tc>
        <w:tc>
          <w:tcPr>
            <w:tcW w:w="900" w:type="dxa"/>
            <w:tcBorders>
              <w:top w:val="single" w:color="000000" w:sz="6" w:space="0"/>
              <w:left w:val="single" w:color="000000" w:sz="6" w:space="0"/>
              <w:bottom w:val="single" w:color="000000" w:sz="6" w:space="0"/>
              <w:right w:val="single" w:color="000000" w:sz="6" w:space="0"/>
            </w:tcBorders>
            <w:vAlign w:val="top"/>
          </w:tcPr>
          <w:p w14:paraId="31678BEC">
            <w:pPr>
              <w:pStyle w:val="106"/>
              <w:keepNext w:val="0"/>
              <w:keepLines w:val="0"/>
              <w:pageBreakBefore w:val="0"/>
              <w:widowControl w:val="0"/>
              <w:kinsoku/>
              <w:wordWrap w:val="0"/>
              <w:overflowPunct/>
              <w:topLinePunct w:val="0"/>
              <w:autoSpaceDE/>
              <w:autoSpaceDN/>
              <w:bidi w:val="0"/>
              <w:snapToGrid/>
              <w:spacing w:before="168" w:line="240" w:lineRule="auto"/>
              <w:ind w:left="14" w:leftChars="0" w:right="0" w:rightChars="0"/>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vAlign w:val="top"/>
          </w:tcPr>
          <w:p w14:paraId="0FF59CF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vAlign w:val="top"/>
          </w:tcPr>
          <w:p w14:paraId="0D72AC85">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vAlign w:val="top"/>
          </w:tcPr>
          <w:p w14:paraId="1E2DE56E">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bl>
    <w:p w14:paraId="23DAE69B">
      <w:pPr>
        <w:keepNext w:val="0"/>
        <w:keepLines w:val="0"/>
        <w:pageBreakBefore w:val="0"/>
        <w:widowControl w:val="0"/>
        <w:kinsoku/>
        <w:wordWrap w:val="0"/>
        <w:overflowPunct/>
        <w:topLinePunct w:val="0"/>
        <w:autoSpaceDE/>
        <w:autoSpaceDN/>
        <w:bidi w:val="0"/>
        <w:adjustRightInd/>
        <w:snapToGrid/>
        <w:spacing w:before="0" w:beforeLines="50" w:line="360" w:lineRule="auto"/>
        <w:ind w:right="0" w:firstLine="396"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注：</w:t>
      </w:r>
      <w:r>
        <w:rPr>
          <w:rFonts w:hint="eastAsia" w:ascii="宋体" w:hAnsi="宋体" w:cs="宋体"/>
          <w:color w:val="auto"/>
          <w:spacing w:val="-6"/>
          <w:sz w:val="21"/>
          <w:szCs w:val="21"/>
          <w:highlight w:val="none"/>
          <w:lang w:val="en-US" w:eastAsia="zh-CN"/>
        </w:rPr>
        <w:t xml:space="preserve"> </w:t>
      </w:r>
      <w:r>
        <w:rPr>
          <w:rFonts w:hint="eastAsia" w:ascii="宋体" w:hAnsi="宋体" w:eastAsia="宋体" w:cs="宋体"/>
          <w:color w:val="auto"/>
          <w:spacing w:val="-6"/>
          <w:sz w:val="21"/>
          <w:szCs w:val="21"/>
          <w:highlight w:val="none"/>
        </w:rPr>
        <w:t xml:space="preserve">1.投标人应根据招标文件第二章“投标人须知”第 </w:t>
      </w:r>
      <w:r>
        <w:rPr>
          <w:rFonts w:hint="eastAsia" w:ascii="宋体" w:hAnsi="宋体" w:eastAsia="宋体" w:cs="宋体"/>
          <w:color w:val="auto"/>
          <w:sz w:val="21"/>
          <w:szCs w:val="21"/>
          <w:highlight w:val="none"/>
        </w:rPr>
        <w:t>3.5.2</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项的要求在本表后附相关证明材料。</w:t>
      </w:r>
    </w:p>
    <w:p w14:paraId="6A7BCC48">
      <w:pPr>
        <w:keepNext w:val="0"/>
        <w:keepLines w:val="0"/>
        <w:pageBreakBefore w:val="0"/>
        <w:widowControl w:val="0"/>
        <w:kinsoku/>
        <w:wordWrap w:val="0"/>
        <w:overflowPunct/>
        <w:topLinePunct w:val="0"/>
        <w:autoSpaceDE/>
        <w:autoSpaceDN/>
        <w:bidi w:val="0"/>
        <w:adjustRightInd/>
        <w:snapToGrid/>
        <w:ind w:left="0" w:right="0" w:firstLine="840" w:firstLineChars="400"/>
        <w:jc w:val="left"/>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2.本表所列数据必须与本表各附件中的数据相一致。</w:t>
      </w:r>
    </w:p>
    <w:p w14:paraId="38EF0BEE">
      <w:pPr>
        <w:pStyle w:val="106"/>
        <w:keepNext w:val="0"/>
        <w:keepLines w:val="0"/>
        <w:pageBreakBefore w:val="0"/>
        <w:widowControl w:val="0"/>
        <w:kinsoku/>
        <w:wordWrap w:val="0"/>
        <w:overflowPunct/>
        <w:topLinePunct w:val="0"/>
        <w:autoSpaceDE/>
        <w:autoSpaceDN/>
        <w:bidi w:val="0"/>
        <w:snapToGrid/>
        <w:spacing w:before="119" w:line="240" w:lineRule="auto"/>
        <w:ind w:right="0"/>
        <w:jc w:val="left"/>
        <w:rPr>
          <w:rFonts w:hint="eastAsia" w:ascii="宋体" w:hAnsi="宋体" w:eastAsia="宋体" w:cs="宋体"/>
          <w:color w:val="auto"/>
          <w:sz w:val="21"/>
          <w:szCs w:val="21"/>
          <w:highlight w:val="none"/>
        </w:rPr>
        <w:sectPr>
          <w:headerReference r:id="rId8" w:type="default"/>
          <w:footerReference r:id="rId9" w:type="default"/>
          <w:pgSz w:w="11910" w:h="16850"/>
          <w:pgMar w:top="1587" w:right="1417" w:bottom="1417" w:left="1417" w:header="0" w:footer="1071" w:gutter="0"/>
          <w:pgNumType w:fmt="decimal"/>
          <w:cols w:space="0" w:num="1"/>
          <w:rtlGutter w:val="0"/>
          <w:docGrid w:linePitch="0" w:charSpace="0"/>
        </w:sectPr>
      </w:pPr>
    </w:p>
    <w:p w14:paraId="4B63835D">
      <w:pPr>
        <w:keepNext w:val="0"/>
        <w:keepLines w:val="0"/>
        <w:pageBreakBefore w:val="0"/>
        <w:widowControl w:val="0"/>
        <w:kinsoku/>
        <w:wordWrap w:val="0"/>
        <w:overflowPunct/>
        <w:topLinePunct w:val="0"/>
        <w:autoSpaceDE/>
        <w:autoSpaceDN/>
        <w:bidi w:val="0"/>
        <w:adjustRightInd w:val="0"/>
        <w:snapToGrid/>
        <w:spacing w:after="0" w:afterLines="100" w:line="360" w:lineRule="auto"/>
        <w:ind w:right="-34" w:rightChars="-16"/>
        <w:jc w:val="center"/>
        <w:textAlignment w:val="auto"/>
        <w:outlineLvl w:val="1"/>
        <w:rPr>
          <w:rFonts w:ascii="宋体" w:hAnsi="宋体" w:cs="宋体"/>
          <w:b/>
          <w:bCs/>
          <w:color w:val="auto"/>
          <w:kern w:val="0"/>
          <w:sz w:val="28"/>
          <w:szCs w:val="28"/>
          <w:highlight w:val="none"/>
        </w:rPr>
      </w:pPr>
      <w:bookmarkStart w:id="506" w:name="_Toc272772684"/>
      <w:bookmarkStart w:id="507" w:name="_Toc26594"/>
      <w:bookmarkStart w:id="508" w:name="_Toc228591772"/>
      <w:bookmarkStart w:id="509" w:name="_Toc228881264"/>
      <w:bookmarkStart w:id="510" w:name="_Toc500864554"/>
      <w:bookmarkStart w:id="511" w:name="_Toc228589278"/>
      <w:bookmarkStart w:id="512" w:name="_Toc37422299"/>
      <w:bookmarkStart w:id="513" w:name="_Toc431367159"/>
      <w:bookmarkStart w:id="514" w:name="_Toc228337213"/>
      <w:bookmarkStart w:id="515" w:name="_Toc227492360"/>
      <w:bookmarkStart w:id="516" w:name="_Toc38738913"/>
      <w:bookmarkStart w:id="517" w:name="_Toc228591624"/>
      <w:bookmarkStart w:id="518" w:name="_Toc12036"/>
      <w:bookmarkStart w:id="519" w:name="_Toc227657602"/>
      <w:bookmarkStart w:id="520" w:name="_Toc37747015"/>
      <w:bookmarkStart w:id="521" w:name="_Toc214434004"/>
      <w:bookmarkStart w:id="522" w:name="_Toc513740276"/>
      <w:r>
        <w:rPr>
          <w:rFonts w:hint="eastAsia" w:ascii="宋体" w:hAnsi="宋体" w:cs="宋体"/>
          <w:b/>
          <w:bCs/>
          <w:color w:val="auto"/>
          <w:kern w:val="0"/>
          <w:sz w:val="28"/>
          <w:szCs w:val="28"/>
          <w:highlight w:val="none"/>
        </w:rPr>
        <w:t>（</w:t>
      </w:r>
      <w:r>
        <w:rPr>
          <w:rFonts w:hint="eastAsia" w:ascii="宋体" w:hAnsi="宋体" w:cs="宋体"/>
          <w:b/>
          <w:bCs/>
          <w:color w:val="auto"/>
          <w:kern w:val="0"/>
          <w:sz w:val="28"/>
          <w:szCs w:val="28"/>
          <w:highlight w:val="none"/>
          <w:lang w:eastAsia="zh-CN"/>
        </w:rPr>
        <w:t>四</w:t>
      </w:r>
      <w:r>
        <w:rPr>
          <w:rFonts w:hint="eastAsia" w:ascii="宋体" w:hAnsi="宋体" w:cs="宋体"/>
          <w:b/>
          <w:bCs/>
          <w:color w:val="auto"/>
          <w:kern w:val="0"/>
          <w:sz w:val="28"/>
          <w:szCs w:val="28"/>
          <w:highlight w:val="none"/>
        </w:rPr>
        <w:t>）近年完成的类似项目情况表</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8"/>
        <w:gridCol w:w="6688"/>
      </w:tblGrid>
      <w:tr w14:paraId="4204B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7DF03E05">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项目名称</w:t>
            </w:r>
          </w:p>
        </w:tc>
        <w:tc>
          <w:tcPr>
            <w:tcW w:w="6688" w:type="dxa"/>
            <w:vAlign w:val="center"/>
          </w:tcPr>
          <w:p w14:paraId="38062A99">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62760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52AC8FF9">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项目所在地</w:t>
            </w:r>
          </w:p>
        </w:tc>
        <w:tc>
          <w:tcPr>
            <w:tcW w:w="6688" w:type="dxa"/>
            <w:vAlign w:val="center"/>
          </w:tcPr>
          <w:p w14:paraId="7EBD20CD">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58041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31697D91">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发包人名称</w:t>
            </w:r>
          </w:p>
        </w:tc>
        <w:tc>
          <w:tcPr>
            <w:tcW w:w="6688" w:type="dxa"/>
            <w:vAlign w:val="center"/>
          </w:tcPr>
          <w:p w14:paraId="10FD3681">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763A8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145A03A6">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发包人地址</w:t>
            </w:r>
          </w:p>
        </w:tc>
        <w:tc>
          <w:tcPr>
            <w:tcW w:w="6688" w:type="dxa"/>
            <w:vAlign w:val="center"/>
          </w:tcPr>
          <w:p w14:paraId="1B6E113D">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6D89D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13986D09">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发包人电话</w:t>
            </w:r>
          </w:p>
        </w:tc>
        <w:tc>
          <w:tcPr>
            <w:tcW w:w="6688" w:type="dxa"/>
            <w:vAlign w:val="center"/>
          </w:tcPr>
          <w:p w14:paraId="4B240B0F">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0D06F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1CF16E58">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合同价格</w:t>
            </w:r>
          </w:p>
        </w:tc>
        <w:tc>
          <w:tcPr>
            <w:tcW w:w="6688" w:type="dxa"/>
            <w:vAlign w:val="center"/>
          </w:tcPr>
          <w:p w14:paraId="43BEE09D">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403B6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535ED2AB">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开工日期</w:t>
            </w:r>
          </w:p>
        </w:tc>
        <w:tc>
          <w:tcPr>
            <w:tcW w:w="6688" w:type="dxa"/>
            <w:vAlign w:val="center"/>
          </w:tcPr>
          <w:p w14:paraId="2F36444C">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0D74E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0AC5FA54">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竣工日期</w:t>
            </w:r>
          </w:p>
        </w:tc>
        <w:tc>
          <w:tcPr>
            <w:tcW w:w="6688" w:type="dxa"/>
            <w:vAlign w:val="center"/>
          </w:tcPr>
          <w:p w14:paraId="51FC8EEF">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229A9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154BC1A0">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承担的工作</w:t>
            </w:r>
          </w:p>
        </w:tc>
        <w:tc>
          <w:tcPr>
            <w:tcW w:w="6688" w:type="dxa"/>
            <w:vAlign w:val="center"/>
          </w:tcPr>
          <w:p w14:paraId="3DBF3D56">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49B40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3FE1374D">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工程质量</w:t>
            </w:r>
          </w:p>
        </w:tc>
        <w:tc>
          <w:tcPr>
            <w:tcW w:w="6688" w:type="dxa"/>
            <w:vAlign w:val="center"/>
          </w:tcPr>
          <w:p w14:paraId="20F4A636">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04DFB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3B7396BC">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项目经理</w:t>
            </w:r>
          </w:p>
        </w:tc>
        <w:tc>
          <w:tcPr>
            <w:tcW w:w="6688" w:type="dxa"/>
            <w:vAlign w:val="center"/>
          </w:tcPr>
          <w:p w14:paraId="3F252D81">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788E0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38B23DC5">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技术负责人</w:t>
            </w:r>
          </w:p>
        </w:tc>
        <w:tc>
          <w:tcPr>
            <w:tcW w:w="6688" w:type="dxa"/>
            <w:vAlign w:val="center"/>
          </w:tcPr>
          <w:p w14:paraId="17BE8E7B">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76AB3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7A19ED52">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总监理工程师及电话</w:t>
            </w:r>
          </w:p>
        </w:tc>
        <w:tc>
          <w:tcPr>
            <w:tcW w:w="6688" w:type="dxa"/>
            <w:vAlign w:val="center"/>
          </w:tcPr>
          <w:p w14:paraId="239D9F2A">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071D9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3" w:hRule="atLeast"/>
          <w:jc w:val="center"/>
        </w:trPr>
        <w:tc>
          <w:tcPr>
            <w:tcW w:w="2678" w:type="dxa"/>
            <w:vAlign w:val="center"/>
          </w:tcPr>
          <w:p w14:paraId="7B48A450">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项目描述</w:t>
            </w:r>
          </w:p>
        </w:tc>
        <w:tc>
          <w:tcPr>
            <w:tcW w:w="6688" w:type="dxa"/>
            <w:vAlign w:val="center"/>
          </w:tcPr>
          <w:p w14:paraId="33525B90">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0F5BA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3F59D1AD">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备注</w:t>
            </w:r>
          </w:p>
        </w:tc>
        <w:tc>
          <w:tcPr>
            <w:tcW w:w="6688" w:type="dxa"/>
            <w:vAlign w:val="center"/>
          </w:tcPr>
          <w:p w14:paraId="01DFE91E">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bl>
    <w:p w14:paraId="0F817A89">
      <w:pPr>
        <w:keepNext w:val="0"/>
        <w:keepLines w:val="0"/>
        <w:pageBreakBefore w:val="0"/>
        <w:widowControl w:val="0"/>
        <w:kinsoku/>
        <w:wordWrap w:val="0"/>
        <w:overflowPunct/>
        <w:topLinePunct w:val="0"/>
        <w:autoSpaceDE/>
        <w:autoSpaceDN/>
        <w:bidi w:val="0"/>
        <w:adjustRightInd/>
        <w:snapToGrid/>
        <w:spacing w:before="0" w:beforeLines="50" w:line="360" w:lineRule="auto"/>
        <w:ind w:right="0" w:firstLine="210" w:firstLineChars="100"/>
        <w:jc w:val="left"/>
        <w:textAlignment w:val="auto"/>
        <w:rPr>
          <w:rFonts w:hint="eastAsia" w:ascii="宋体" w:hAnsi="宋体" w:eastAsia="宋体" w:cs="宋体"/>
          <w:color w:val="auto"/>
          <w:sz w:val="21"/>
          <w:szCs w:val="21"/>
          <w:highlight w:val="none"/>
        </w:rPr>
      </w:pPr>
      <w:bookmarkStart w:id="523" w:name="_Toc228591625"/>
      <w:bookmarkStart w:id="524" w:name="_Toc228589279"/>
      <w:bookmarkStart w:id="525" w:name="_Toc272772685"/>
      <w:bookmarkStart w:id="526" w:name="_Toc227492361"/>
      <w:bookmarkStart w:id="527" w:name="_Toc228337214"/>
      <w:bookmarkStart w:id="528" w:name="_Toc214434005"/>
      <w:bookmarkStart w:id="529" w:name="_Toc431367160"/>
      <w:bookmarkStart w:id="530" w:name="_Toc228881265"/>
      <w:bookmarkStart w:id="531" w:name="_Toc228591773"/>
      <w:bookmarkStart w:id="532" w:name="_Toc227657603"/>
      <w:r>
        <w:rPr>
          <w:rFonts w:hint="eastAsia" w:ascii="宋体" w:hAnsi="宋体" w:eastAsia="宋体" w:cs="宋体"/>
          <w:color w:val="auto"/>
          <w:sz w:val="21"/>
          <w:szCs w:val="21"/>
          <w:highlight w:val="none"/>
        </w:rPr>
        <w:t>注：1.每张表格只填写一个项目，并标明序号。</w:t>
      </w:r>
    </w:p>
    <w:p w14:paraId="530501EC">
      <w:pPr>
        <w:keepNext w:val="0"/>
        <w:keepLines w:val="0"/>
        <w:pageBreakBefore w:val="0"/>
        <w:widowControl w:val="0"/>
        <w:kinsoku/>
        <w:wordWrap w:val="0"/>
        <w:overflowPunct/>
        <w:topLinePunct w:val="0"/>
        <w:autoSpaceDE/>
        <w:autoSpaceDN/>
        <w:bidi w:val="0"/>
        <w:adjustRightInd/>
        <w:snapToGrid/>
        <w:spacing w:line="360" w:lineRule="auto"/>
        <w:ind w:left="644" w:right="0"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2.投标人应根据招标文件第二章“投标人须知”第 </w:t>
      </w:r>
      <w:r>
        <w:rPr>
          <w:rFonts w:hint="eastAsia" w:ascii="宋体" w:hAnsi="宋体" w:eastAsia="宋体" w:cs="宋体"/>
          <w:color w:val="auto"/>
          <w:sz w:val="21"/>
          <w:szCs w:val="21"/>
          <w:highlight w:val="none"/>
        </w:rPr>
        <w:t>3.5.3</w:t>
      </w:r>
      <w:r>
        <w:rPr>
          <w:rFonts w:hint="eastAsia" w:ascii="宋体" w:hAnsi="宋体" w:eastAsia="宋体" w:cs="宋体"/>
          <w:color w:val="auto"/>
          <w:spacing w:val="-10"/>
          <w:sz w:val="21"/>
          <w:szCs w:val="21"/>
          <w:highlight w:val="none"/>
        </w:rPr>
        <w:t xml:space="preserve"> </w:t>
      </w:r>
      <w:r>
        <w:rPr>
          <w:rFonts w:hint="eastAsia" w:ascii="宋体" w:hAnsi="宋体" w:eastAsia="宋体" w:cs="宋体"/>
          <w:color w:val="auto"/>
          <w:sz w:val="21"/>
          <w:szCs w:val="21"/>
          <w:highlight w:val="none"/>
        </w:rPr>
        <w:t>项的要求在本表后附相关证明材料。</w:t>
      </w:r>
    </w:p>
    <w:p w14:paraId="23BF4183">
      <w:pPr>
        <w:keepNext w:val="0"/>
        <w:keepLines w:val="0"/>
        <w:pageBreakBefore w:val="0"/>
        <w:widowControl w:val="0"/>
        <w:kinsoku/>
        <w:wordWrap w:val="0"/>
        <w:overflowPunct/>
        <w:topLinePunct w:val="0"/>
        <w:autoSpaceDE/>
        <w:autoSpaceDN/>
        <w:bidi w:val="0"/>
        <w:adjustRightInd/>
        <w:snapToGrid/>
        <w:spacing w:line="360" w:lineRule="auto"/>
        <w:ind w:left="812" w:right="0" w:hanging="168"/>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3.如近年来</w:t>
      </w:r>
      <w:r>
        <w:rPr>
          <w:rFonts w:hint="eastAsia" w:ascii="宋体" w:hAnsi="宋体" w:eastAsia="宋体" w:cs="宋体"/>
          <w:color w:val="auto"/>
          <w:spacing w:val="-4"/>
          <w:sz w:val="21"/>
          <w:szCs w:val="21"/>
          <w:highlight w:val="none"/>
          <w:lang w:eastAsia="zh-CN"/>
        </w:rPr>
        <w:t>，</w:t>
      </w:r>
      <w:r>
        <w:rPr>
          <w:rFonts w:hint="eastAsia" w:ascii="宋体" w:hAnsi="宋体" w:eastAsia="宋体" w:cs="宋体"/>
          <w:color w:val="auto"/>
          <w:spacing w:val="-4"/>
          <w:sz w:val="21"/>
          <w:szCs w:val="21"/>
          <w:highlight w:val="none"/>
        </w:rPr>
        <w:t>投标人法人机构发生合法变更或重组或法人名称变更时，应提供相关部门的合</w:t>
      </w:r>
      <w:r>
        <w:rPr>
          <w:rFonts w:hint="eastAsia" w:ascii="宋体" w:hAnsi="宋体" w:eastAsia="宋体" w:cs="宋体"/>
          <w:color w:val="auto"/>
          <w:spacing w:val="-41"/>
          <w:sz w:val="21"/>
          <w:szCs w:val="21"/>
          <w:highlight w:val="none"/>
        </w:rPr>
        <w:t xml:space="preserve"> </w:t>
      </w:r>
      <w:r>
        <w:rPr>
          <w:rFonts w:hint="eastAsia" w:ascii="宋体" w:hAnsi="宋体" w:eastAsia="宋体" w:cs="宋体"/>
          <w:color w:val="auto"/>
          <w:sz w:val="21"/>
          <w:szCs w:val="21"/>
          <w:highlight w:val="none"/>
        </w:rPr>
        <w:t>法批件或其他相关证明材料来证明其所附业绩的继承性。</w:t>
      </w:r>
    </w:p>
    <w:bookmarkEnd w:id="523"/>
    <w:bookmarkEnd w:id="524"/>
    <w:bookmarkEnd w:id="525"/>
    <w:bookmarkEnd w:id="526"/>
    <w:bookmarkEnd w:id="527"/>
    <w:bookmarkEnd w:id="528"/>
    <w:bookmarkEnd w:id="529"/>
    <w:bookmarkEnd w:id="530"/>
    <w:bookmarkEnd w:id="531"/>
    <w:bookmarkEnd w:id="532"/>
    <w:p w14:paraId="2B48C6F9">
      <w:pPr>
        <w:pStyle w:val="10"/>
        <w:keepNext w:val="0"/>
        <w:keepLines w:val="0"/>
        <w:pageBreakBefore w:val="0"/>
        <w:widowControl w:val="0"/>
        <w:kinsoku/>
        <w:wordWrap w:val="0"/>
        <w:overflowPunct/>
        <w:topLinePunct w:val="0"/>
        <w:autoSpaceDE/>
        <w:autoSpaceDN/>
        <w:bidi w:val="0"/>
        <w:adjustRightInd/>
        <w:snapToGrid/>
        <w:spacing w:after="157" w:afterLines="50" w:line="360" w:lineRule="auto"/>
        <w:ind w:left="0" w:right="0"/>
        <w:jc w:val="center"/>
        <w:textAlignment w:val="auto"/>
        <w:rPr>
          <w:rFonts w:hint="eastAsia" w:ascii="宋体" w:hAnsi="宋体" w:eastAsia="宋体" w:cs="宋体"/>
          <w:b/>
          <w:bCs/>
          <w:color w:val="auto"/>
          <w:sz w:val="28"/>
          <w:szCs w:val="28"/>
          <w:highlight w:val="none"/>
        </w:rPr>
        <w:sectPr>
          <w:headerReference r:id="rId10" w:type="default"/>
          <w:pgSz w:w="11910" w:h="16850"/>
          <w:pgMar w:top="1587" w:right="1417" w:bottom="1417" w:left="1417" w:header="883" w:footer="845" w:gutter="0"/>
          <w:pgNumType w:fmt="decimal"/>
          <w:cols w:space="720" w:num="1"/>
        </w:sectPr>
      </w:pPr>
    </w:p>
    <w:p w14:paraId="74F98842">
      <w:pPr>
        <w:pStyle w:val="10"/>
        <w:keepNext w:val="0"/>
        <w:keepLines w:val="0"/>
        <w:pageBreakBefore w:val="0"/>
        <w:widowControl w:val="0"/>
        <w:kinsoku/>
        <w:wordWrap w:val="0"/>
        <w:overflowPunct/>
        <w:topLinePunct w:val="0"/>
        <w:autoSpaceDE/>
        <w:autoSpaceDN/>
        <w:bidi w:val="0"/>
        <w:adjustRightInd/>
        <w:snapToGrid/>
        <w:spacing w:after="157" w:afterLines="50" w:line="360" w:lineRule="auto"/>
        <w:ind w:left="0" w:right="0"/>
        <w:jc w:val="center"/>
        <w:textAlignment w:val="auto"/>
        <w:rPr>
          <w:rFonts w:ascii="黑体" w:hAnsi="黑体" w:eastAsia="黑体" w:cs="黑体"/>
          <w:color w:val="auto"/>
          <w:sz w:val="13"/>
          <w:szCs w:val="13"/>
          <w:highlight w:val="none"/>
        </w:rPr>
      </w:pPr>
      <w:r>
        <w:rPr>
          <w:rFonts w:hint="eastAsia" w:ascii="宋体" w:hAnsi="宋体" w:eastAsia="宋体" w:cs="宋体"/>
          <w:b/>
          <w:bCs/>
          <w:color w:val="auto"/>
          <w:sz w:val="28"/>
          <w:szCs w:val="28"/>
          <w:highlight w:val="none"/>
        </w:rPr>
        <w:t>（五）投标人的信誉情况表</w:t>
      </w:r>
    </w:p>
    <w:tbl>
      <w:tblPr>
        <w:tblStyle w:val="23"/>
        <w:tblW w:w="0" w:type="auto"/>
        <w:jc w:val="center"/>
        <w:tblLayout w:type="fixed"/>
        <w:tblCellMar>
          <w:top w:w="0" w:type="dxa"/>
          <w:left w:w="0" w:type="dxa"/>
          <w:bottom w:w="0" w:type="dxa"/>
          <w:right w:w="0" w:type="dxa"/>
        </w:tblCellMar>
      </w:tblPr>
      <w:tblGrid>
        <w:gridCol w:w="4261"/>
        <w:gridCol w:w="4263"/>
      </w:tblGrid>
      <w:tr w14:paraId="71E325F4">
        <w:tblPrEx>
          <w:tblCellMar>
            <w:top w:w="0" w:type="dxa"/>
            <w:left w:w="0" w:type="dxa"/>
            <w:bottom w:w="0" w:type="dxa"/>
            <w:right w:w="0" w:type="dxa"/>
          </w:tblCellMar>
        </w:tblPrEx>
        <w:trPr>
          <w:trHeight w:val="1066" w:hRule="exact"/>
          <w:jc w:val="center"/>
        </w:trPr>
        <w:tc>
          <w:tcPr>
            <w:tcW w:w="4261" w:type="dxa"/>
            <w:tcBorders>
              <w:top w:val="single" w:color="000000" w:sz="4" w:space="0"/>
              <w:left w:val="single" w:color="000000" w:sz="4" w:space="0"/>
              <w:bottom w:val="single" w:color="000000" w:sz="4" w:space="0"/>
              <w:right w:val="single" w:color="000000" w:sz="4" w:space="0"/>
            </w:tcBorders>
          </w:tcPr>
          <w:p w14:paraId="19B0F4B6">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5B414173">
            <w:pPr>
              <w:pStyle w:val="106"/>
              <w:keepNext w:val="0"/>
              <w:keepLines w:val="0"/>
              <w:pageBreakBefore w:val="0"/>
              <w:widowControl w:val="0"/>
              <w:kinsoku/>
              <w:wordWrap w:val="0"/>
              <w:overflowPunct/>
              <w:topLinePunct w:val="0"/>
              <w:autoSpaceDE/>
              <w:autoSpaceDN/>
              <w:bidi w:val="0"/>
              <w:snapToGrid/>
              <w:spacing w:before="160" w:line="240" w:lineRule="auto"/>
              <w:ind w:left="1"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项</w:t>
            </w:r>
            <w:r>
              <w:rPr>
                <w:rFonts w:ascii="宋体" w:hAnsi="宋体" w:eastAsia="宋体" w:cs="宋体"/>
                <w:color w:val="auto"/>
                <w:spacing w:val="2"/>
                <w:sz w:val="21"/>
                <w:szCs w:val="21"/>
                <w:highlight w:val="none"/>
              </w:rPr>
              <w:t xml:space="preserve"> </w:t>
            </w:r>
            <w:r>
              <w:rPr>
                <w:rFonts w:ascii="宋体" w:hAnsi="宋体" w:eastAsia="宋体" w:cs="宋体"/>
                <w:color w:val="auto"/>
                <w:sz w:val="21"/>
                <w:szCs w:val="21"/>
                <w:highlight w:val="none"/>
              </w:rPr>
              <w:t>目</w:t>
            </w:r>
          </w:p>
        </w:tc>
        <w:tc>
          <w:tcPr>
            <w:tcW w:w="4263" w:type="dxa"/>
            <w:tcBorders>
              <w:top w:val="single" w:color="000000" w:sz="4" w:space="0"/>
              <w:left w:val="single" w:color="000000" w:sz="4" w:space="0"/>
              <w:bottom w:val="single" w:color="000000" w:sz="4" w:space="0"/>
              <w:right w:val="single" w:color="000000" w:sz="4" w:space="0"/>
            </w:tcBorders>
          </w:tcPr>
          <w:p w14:paraId="5D5A6198">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4AEAC1C5">
            <w:pPr>
              <w:pStyle w:val="106"/>
              <w:keepNext w:val="0"/>
              <w:keepLines w:val="0"/>
              <w:pageBreakBefore w:val="0"/>
              <w:widowControl w:val="0"/>
              <w:kinsoku/>
              <w:wordWrap w:val="0"/>
              <w:overflowPunct/>
              <w:topLinePunct w:val="0"/>
              <w:autoSpaceDE/>
              <w:autoSpaceDN/>
              <w:bidi w:val="0"/>
              <w:snapToGrid/>
              <w:spacing w:before="160" w:line="240" w:lineRule="auto"/>
              <w:ind w:left="138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投标人情况说明</w:t>
            </w:r>
          </w:p>
        </w:tc>
      </w:tr>
      <w:tr w14:paraId="6C54621B">
        <w:tblPrEx>
          <w:tblCellMar>
            <w:top w:w="0" w:type="dxa"/>
            <w:left w:w="0" w:type="dxa"/>
            <w:bottom w:w="0" w:type="dxa"/>
            <w:right w:w="0" w:type="dxa"/>
          </w:tblCellMar>
        </w:tblPrEx>
        <w:trPr>
          <w:trHeight w:val="1136" w:hRule="exact"/>
          <w:jc w:val="center"/>
        </w:trPr>
        <w:tc>
          <w:tcPr>
            <w:tcW w:w="4261" w:type="dxa"/>
            <w:tcBorders>
              <w:top w:val="single" w:color="000000" w:sz="4" w:space="0"/>
              <w:left w:val="single" w:color="000000" w:sz="4" w:space="0"/>
              <w:bottom w:val="single" w:color="000000" w:sz="4" w:space="0"/>
              <w:right w:val="single" w:color="000000" w:sz="4" w:space="0"/>
            </w:tcBorders>
          </w:tcPr>
          <w:p w14:paraId="112B1F5A">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58E2A0F7">
            <w:pPr>
              <w:keepNext w:val="0"/>
              <w:keepLines w:val="0"/>
              <w:pageBreakBefore w:val="0"/>
              <w:widowControl w:val="0"/>
              <w:kinsoku/>
              <w:wordWrap w:val="0"/>
              <w:overflowPunct/>
              <w:topLinePunct w:val="0"/>
              <w:autoSpaceDE/>
              <w:autoSpaceDN/>
              <w:bidi w:val="0"/>
              <w:snapToGrid/>
              <w:rPr>
                <w:color w:val="auto"/>
                <w:highlight w:val="none"/>
              </w:rPr>
            </w:pPr>
          </w:p>
        </w:tc>
      </w:tr>
      <w:tr w14:paraId="05439F99">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056D3B7A">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5EBEFA81">
            <w:pPr>
              <w:keepNext w:val="0"/>
              <w:keepLines w:val="0"/>
              <w:pageBreakBefore w:val="0"/>
              <w:widowControl w:val="0"/>
              <w:kinsoku/>
              <w:wordWrap w:val="0"/>
              <w:overflowPunct/>
              <w:topLinePunct w:val="0"/>
              <w:autoSpaceDE/>
              <w:autoSpaceDN/>
              <w:bidi w:val="0"/>
              <w:snapToGrid/>
              <w:rPr>
                <w:color w:val="auto"/>
                <w:highlight w:val="none"/>
              </w:rPr>
            </w:pPr>
          </w:p>
        </w:tc>
      </w:tr>
      <w:tr w14:paraId="64734BBB">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6A515965">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371D34B4">
            <w:pPr>
              <w:keepNext w:val="0"/>
              <w:keepLines w:val="0"/>
              <w:pageBreakBefore w:val="0"/>
              <w:widowControl w:val="0"/>
              <w:kinsoku/>
              <w:wordWrap w:val="0"/>
              <w:overflowPunct/>
              <w:topLinePunct w:val="0"/>
              <w:autoSpaceDE/>
              <w:autoSpaceDN/>
              <w:bidi w:val="0"/>
              <w:snapToGrid/>
              <w:rPr>
                <w:color w:val="auto"/>
                <w:highlight w:val="none"/>
              </w:rPr>
            </w:pPr>
          </w:p>
        </w:tc>
      </w:tr>
      <w:tr w14:paraId="07529F29">
        <w:tblPrEx>
          <w:tblCellMar>
            <w:top w:w="0" w:type="dxa"/>
            <w:left w:w="0" w:type="dxa"/>
            <w:bottom w:w="0" w:type="dxa"/>
            <w:right w:w="0" w:type="dxa"/>
          </w:tblCellMar>
        </w:tblPrEx>
        <w:trPr>
          <w:trHeight w:val="1136" w:hRule="exact"/>
          <w:jc w:val="center"/>
        </w:trPr>
        <w:tc>
          <w:tcPr>
            <w:tcW w:w="4261" w:type="dxa"/>
            <w:tcBorders>
              <w:top w:val="single" w:color="000000" w:sz="4" w:space="0"/>
              <w:left w:val="single" w:color="000000" w:sz="4" w:space="0"/>
              <w:bottom w:val="single" w:color="000000" w:sz="4" w:space="0"/>
              <w:right w:val="single" w:color="000000" w:sz="4" w:space="0"/>
            </w:tcBorders>
          </w:tcPr>
          <w:p w14:paraId="1289E531">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6ABF8623">
            <w:pPr>
              <w:keepNext w:val="0"/>
              <w:keepLines w:val="0"/>
              <w:pageBreakBefore w:val="0"/>
              <w:widowControl w:val="0"/>
              <w:kinsoku/>
              <w:wordWrap w:val="0"/>
              <w:overflowPunct/>
              <w:topLinePunct w:val="0"/>
              <w:autoSpaceDE/>
              <w:autoSpaceDN/>
              <w:bidi w:val="0"/>
              <w:snapToGrid/>
              <w:rPr>
                <w:color w:val="auto"/>
                <w:highlight w:val="none"/>
              </w:rPr>
            </w:pPr>
          </w:p>
        </w:tc>
      </w:tr>
      <w:tr w14:paraId="54B66EC8">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312189ED">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6DBFF035">
            <w:pPr>
              <w:keepNext w:val="0"/>
              <w:keepLines w:val="0"/>
              <w:pageBreakBefore w:val="0"/>
              <w:widowControl w:val="0"/>
              <w:kinsoku/>
              <w:wordWrap w:val="0"/>
              <w:overflowPunct/>
              <w:topLinePunct w:val="0"/>
              <w:autoSpaceDE/>
              <w:autoSpaceDN/>
              <w:bidi w:val="0"/>
              <w:snapToGrid/>
              <w:rPr>
                <w:color w:val="auto"/>
                <w:highlight w:val="none"/>
              </w:rPr>
            </w:pPr>
          </w:p>
        </w:tc>
      </w:tr>
      <w:tr w14:paraId="765F7CE1">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5DCE6D2F">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74F42E13">
            <w:pPr>
              <w:keepNext w:val="0"/>
              <w:keepLines w:val="0"/>
              <w:pageBreakBefore w:val="0"/>
              <w:widowControl w:val="0"/>
              <w:kinsoku/>
              <w:wordWrap w:val="0"/>
              <w:overflowPunct/>
              <w:topLinePunct w:val="0"/>
              <w:autoSpaceDE/>
              <w:autoSpaceDN/>
              <w:bidi w:val="0"/>
              <w:snapToGrid/>
              <w:rPr>
                <w:color w:val="auto"/>
                <w:highlight w:val="none"/>
              </w:rPr>
            </w:pPr>
          </w:p>
        </w:tc>
      </w:tr>
      <w:tr w14:paraId="6D00411E">
        <w:tblPrEx>
          <w:tblCellMar>
            <w:top w:w="0" w:type="dxa"/>
            <w:left w:w="0" w:type="dxa"/>
            <w:bottom w:w="0" w:type="dxa"/>
            <w:right w:w="0" w:type="dxa"/>
          </w:tblCellMar>
        </w:tblPrEx>
        <w:trPr>
          <w:trHeight w:val="1136" w:hRule="exact"/>
          <w:jc w:val="center"/>
        </w:trPr>
        <w:tc>
          <w:tcPr>
            <w:tcW w:w="4261" w:type="dxa"/>
            <w:tcBorders>
              <w:top w:val="single" w:color="000000" w:sz="4" w:space="0"/>
              <w:left w:val="single" w:color="000000" w:sz="4" w:space="0"/>
              <w:bottom w:val="single" w:color="000000" w:sz="4" w:space="0"/>
              <w:right w:val="single" w:color="000000" w:sz="4" w:space="0"/>
            </w:tcBorders>
          </w:tcPr>
          <w:p w14:paraId="03BA6CE4">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4A3E117D">
            <w:pPr>
              <w:keepNext w:val="0"/>
              <w:keepLines w:val="0"/>
              <w:pageBreakBefore w:val="0"/>
              <w:widowControl w:val="0"/>
              <w:kinsoku/>
              <w:wordWrap w:val="0"/>
              <w:overflowPunct/>
              <w:topLinePunct w:val="0"/>
              <w:autoSpaceDE/>
              <w:autoSpaceDN/>
              <w:bidi w:val="0"/>
              <w:snapToGrid/>
              <w:rPr>
                <w:color w:val="auto"/>
                <w:highlight w:val="none"/>
              </w:rPr>
            </w:pPr>
          </w:p>
        </w:tc>
      </w:tr>
      <w:tr w14:paraId="58646726">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6E19E035">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4BDA03C0">
            <w:pPr>
              <w:keepNext w:val="0"/>
              <w:keepLines w:val="0"/>
              <w:pageBreakBefore w:val="0"/>
              <w:widowControl w:val="0"/>
              <w:kinsoku/>
              <w:wordWrap w:val="0"/>
              <w:overflowPunct/>
              <w:topLinePunct w:val="0"/>
              <w:autoSpaceDE/>
              <w:autoSpaceDN/>
              <w:bidi w:val="0"/>
              <w:snapToGrid/>
              <w:rPr>
                <w:color w:val="auto"/>
                <w:highlight w:val="none"/>
              </w:rPr>
            </w:pPr>
          </w:p>
        </w:tc>
      </w:tr>
    </w:tbl>
    <w:p w14:paraId="1F607EE6">
      <w:pPr>
        <w:keepNext w:val="0"/>
        <w:keepLines w:val="0"/>
        <w:pageBreakBefore w:val="0"/>
        <w:widowControl w:val="0"/>
        <w:kinsoku/>
        <w:wordWrap w:val="0"/>
        <w:overflowPunct/>
        <w:topLinePunct w:val="0"/>
        <w:autoSpaceDE/>
        <w:autoSpaceDN/>
        <w:bidi w:val="0"/>
        <w:adjustRightInd/>
        <w:snapToGrid/>
        <w:spacing w:before="0" w:beforeLines="50" w:line="360" w:lineRule="auto"/>
        <w:ind w:left="1050" w:leftChars="200" w:right="0" w:hanging="630" w:hanging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注：1.投标人应按照招标文件第二章“投标人须知”前附表附录 4和“投标人须知”正文第 1.4.4项规定，逐条说明其信誉情况。</w:t>
      </w:r>
    </w:p>
    <w:p w14:paraId="7C3512FA">
      <w:pPr>
        <w:keepNext w:val="0"/>
        <w:keepLines w:val="0"/>
        <w:pageBreakBefore w:val="0"/>
        <w:widowControl w:val="0"/>
        <w:kinsoku/>
        <w:wordWrap w:val="0"/>
        <w:overflowPunct/>
        <w:topLinePunct w:val="0"/>
        <w:autoSpaceDE/>
        <w:autoSpaceDN/>
        <w:bidi w:val="0"/>
        <w:adjustRightInd/>
        <w:snapToGrid/>
        <w:spacing w:line="360" w:lineRule="auto"/>
        <w:ind w:left="1050" w:leftChars="400" w:right="102" w:hanging="210" w:hangingChars="1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2.投标人应根据招标文件第二章“投标人须知”第 3.5.4 项的要求在本表后附相关证明材料。</w:t>
      </w:r>
    </w:p>
    <w:p w14:paraId="5BC65389">
      <w:pPr>
        <w:keepNext w:val="0"/>
        <w:keepLines w:val="0"/>
        <w:pageBreakBefore w:val="0"/>
        <w:widowControl w:val="0"/>
        <w:kinsoku/>
        <w:wordWrap w:val="0"/>
        <w:overflowPunct/>
        <w:topLinePunct w:val="0"/>
        <w:autoSpaceDE/>
        <w:autoSpaceDN/>
        <w:bidi w:val="0"/>
        <w:adjustRightInd/>
        <w:snapToGrid/>
        <w:spacing w:line="360" w:lineRule="auto"/>
        <w:ind w:left="224" w:right="102" w:firstLine="0"/>
        <w:jc w:val="left"/>
        <w:textAlignment w:val="auto"/>
        <w:rPr>
          <w:rFonts w:hint="eastAsia" w:ascii="宋体" w:hAnsi="宋体" w:eastAsia="宋体" w:cs="宋体"/>
          <w:color w:val="auto"/>
          <w:sz w:val="21"/>
          <w:szCs w:val="21"/>
          <w:highlight w:val="none"/>
        </w:rPr>
      </w:pPr>
    </w:p>
    <w:p w14:paraId="65D6D120">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left"/>
        <w:rPr>
          <w:rFonts w:ascii="宋体" w:hAnsi="宋体" w:cs="宋体"/>
          <w:color w:val="auto"/>
          <w:kern w:val="0"/>
          <w:sz w:val="24"/>
          <w:highlight w:val="none"/>
        </w:rPr>
      </w:pPr>
    </w:p>
    <w:p w14:paraId="05F2590C">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left"/>
        <w:rPr>
          <w:rFonts w:ascii="宋体" w:hAnsi="宋体" w:cs="宋体"/>
          <w:color w:val="auto"/>
          <w:kern w:val="0"/>
          <w:sz w:val="24"/>
          <w:highlight w:val="none"/>
        </w:rPr>
      </w:pPr>
    </w:p>
    <w:p w14:paraId="24E90B53">
      <w:pPr>
        <w:pStyle w:val="10"/>
        <w:keepNext w:val="0"/>
        <w:keepLines w:val="0"/>
        <w:pageBreakBefore w:val="0"/>
        <w:widowControl w:val="0"/>
        <w:kinsoku/>
        <w:wordWrap w:val="0"/>
        <w:overflowPunct/>
        <w:topLinePunct w:val="0"/>
        <w:autoSpaceDE/>
        <w:autoSpaceDN/>
        <w:bidi w:val="0"/>
        <w:adjustRightInd/>
        <w:snapToGrid/>
        <w:spacing w:after="157" w:afterLines="50" w:line="360" w:lineRule="auto"/>
        <w:ind w:left="0" w:right="0"/>
        <w:jc w:val="center"/>
        <w:textAlignment w:val="auto"/>
        <w:rPr>
          <w:rFonts w:ascii="宋体" w:hAnsi="宋体" w:eastAsia="宋体" w:cs="宋体"/>
          <w:color w:val="auto"/>
          <w:sz w:val="21"/>
          <w:szCs w:val="21"/>
          <w:highlight w:val="none"/>
        </w:rPr>
      </w:pPr>
      <w:r>
        <w:rPr>
          <w:rFonts w:hint="eastAsia" w:ascii="宋体" w:hAnsi="宋体" w:eastAsia="宋体" w:cs="宋体"/>
          <w:b/>
          <w:bCs/>
          <w:color w:val="auto"/>
          <w:sz w:val="28"/>
          <w:szCs w:val="28"/>
          <w:highlight w:val="none"/>
        </w:rPr>
        <w:t>（六）拟委任的项目经理和项目总工资历表</w:t>
      </w:r>
    </w:p>
    <w:tbl>
      <w:tblPr>
        <w:tblStyle w:val="23"/>
        <w:tblW w:w="0" w:type="auto"/>
        <w:jc w:val="center"/>
        <w:tblLayout w:type="fixed"/>
        <w:tblCellMar>
          <w:top w:w="0" w:type="dxa"/>
          <w:left w:w="0" w:type="dxa"/>
          <w:bottom w:w="0" w:type="dxa"/>
          <w:right w:w="0" w:type="dxa"/>
        </w:tblCellMar>
      </w:tblPr>
      <w:tblGrid>
        <w:gridCol w:w="1261"/>
        <w:gridCol w:w="1377"/>
        <w:gridCol w:w="103"/>
        <w:gridCol w:w="1061"/>
        <w:gridCol w:w="1380"/>
        <w:gridCol w:w="338"/>
        <w:gridCol w:w="1543"/>
        <w:gridCol w:w="387"/>
        <w:gridCol w:w="1282"/>
      </w:tblGrid>
      <w:tr w14:paraId="4F12AD71">
        <w:tblPrEx>
          <w:tblCellMar>
            <w:top w:w="0" w:type="dxa"/>
            <w:left w:w="0" w:type="dxa"/>
            <w:bottom w:w="0" w:type="dxa"/>
            <w:right w:w="0" w:type="dxa"/>
          </w:tblCellMar>
        </w:tblPrEx>
        <w:trPr>
          <w:trHeight w:val="562"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515250D6">
            <w:pPr>
              <w:pStyle w:val="106"/>
              <w:keepNext w:val="0"/>
              <w:keepLines w:val="0"/>
              <w:pageBreakBefore w:val="0"/>
              <w:widowControl w:val="0"/>
              <w:tabs>
                <w:tab w:val="left" w:pos="823"/>
              </w:tabs>
              <w:kinsoku/>
              <w:wordWrap w:val="0"/>
              <w:overflowPunct/>
              <w:topLinePunct w:val="0"/>
              <w:autoSpaceDE/>
              <w:autoSpaceDN/>
              <w:bidi w:val="0"/>
              <w:snapToGrid/>
              <w:spacing w:before="150"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姓</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名</w:t>
            </w:r>
          </w:p>
        </w:tc>
        <w:tc>
          <w:tcPr>
            <w:tcW w:w="1480" w:type="dxa"/>
            <w:gridSpan w:val="2"/>
            <w:tcBorders>
              <w:top w:val="single" w:color="000000" w:sz="4" w:space="0"/>
              <w:left w:val="single" w:color="000000" w:sz="4" w:space="0"/>
              <w:bottom w:val="single" w:color="000000" w:sz="4" w:space="0"/>
              <w:right w:val="single" w:color="000000" w:sz="4" w:space="0"/>
            </w:tcBorders>
            <w:vAlign w:val="center"/>
          </w:tcPr>
          <w:p w14:paraId="1DC19F7C">
            <w:pPr>
              <w:keepNext w:val="0"/>
              <w:keepLines w:val="0"/>
              <w:pageBreakBefore w:val="0"/>
              <w:widowControl w:val="0"/>
              <w:kinsoku/>
              <w:wordWrap w:val="0"/>
              <w:overflowPunct/>
              <w:topLinePunct w:val="0"/>
              <w:autoSpaceDE/>
              <w:autoSpaceDN/>
              <w:bidi w:val="0"/>
              <w:snapToGrid/>
              <w:jc w:val="center"/>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vAlign w:val="center"/>
          </w:tcPr>
          <w:p w14:paraId="513F93CA">
            <w:pPr>
              <w:pStyle w:val="106"/>
              <w:keepNext w:val="0"/>
              <w:keepLines w:val="0"/>
              <w:pageBreakBefore w:val="0"/>
              <w:widowControl w:val="0"/>
              <w:tabs>
                <w:tab w:val="left" w:pos="736"/>
              </w:tabs>
              <w:kinsoku/>
              <w:wordWrap w:val="0"/>
              <w:overflowPunct/>
              <w:topLinePunct w:val="0"/>
              <w:autoSpaceDE/>
              <w:autoSpaceDN/>
              <w:bidi w:val="0"/>
              <w:snapToGrid/>
              <w:spacing w:before="150" w:line="240" w:lineRule="auto"/>
              <w:ind w:left="105"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龄</w:t>
            </w:r>
          </w:p>
        </w:tc>
        <w:tc>
          <w:tcPr>
            <w:tcW w:w="1380" w:type="dxa"/>
            <w:tcBorders>
              <w:top w:val="single" w:color="000000" w:sz="4" w:space="0"/>
              <w:left w:val="single" w:color="000000" w:sz="4" w:space="0"/>
              <w:bottom w:val="single" w:color="000000" w:sz="4" w:space="0"/>
              <w:right w:val="single" w:color="000000" w:sz="4" w:space="0"/>
            </w:tcBorders>
            <w:vAlign w:val="center"/>
          </w:tcPr>
          <w:p w14:paraId="6220547B">
            <w:pPr>
              <w:keepNext w:val="0"/>
              <w:keepLines w:val="0"/>
              <w:pageBreakBefore w:val="0"/>
              <w:widowControl w:val="0"/>
              <w:kinsoku/>
              <w:wordWrap w:val="0"/>
              <w:overflowPunct/>
              <w:topLinePunct w:val="0"/>
              <w:autoSpaceDE/>
              <w:autoSpaceDN/>
              <w:bidi w:val="0"/>
              <w:snapToGrid/>
              <w:jc w:val="center"/>
              <w:rPr>
                <w:color w:val="auto"/>
                <w:highlight w:val="none"/>
              </w:rPr>
            </w:pPr>
          </w:p>
        </w:tc>
        <w:tc>
          <w:tcPr>
            <w:tcW w:w="1882" w:type="dxa"/>
            <w:gridSpan w:val="2"/>
            <w:tcBorders>
              <w:top w:val="single" w:color="000000" w:sz="4" w:space="0"/>
              <w:left w:val="single" w:color="000000" w:sz="4" w:space="0"/>
              <w:bottom w:val="single" w:color="000000" w:sz="4" w:space="0"/>
              <w:right w:val="single" w:color="000000" w:sz="4" w:space="0"/>
            </w:tcBorders>
            <w:vAlign w:val="center"/>
          </w:tcPr>
          <w:p w14:paraId="06B27916">
            <w:pPr>
              <w:pStyle w:val="106"/>
              <w:keepNext w:val="0"/>
              <w:keepLines w:val="0"/>
              <w:pageBreakBefore w:val="0"/>
              <w:widowControl w:val="0"/>
              <w:tabs>
                <w:tab w:val="left" w:pos="1147"/>
              </w:tabs>
              <w:kinsoku/>
              <w:wordWrap w:val="0"/>
              <w:overflowPunct/>
              <w:topLinePunct w:val="0"/>
              <w:autoSpaceDE/>
              <w:autoSpaceDN/>
              <w:bidi w:val="0"/>
              <w:snapToGrid/>
              <w:spacing w:before="150"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专</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业</w:t>
            </w:r>
          </w:p>
        </w:tc>
        <w:tc>
          <w:tcPr>
            <w:tcW w:w="1669" w:type="dxa"/>
            <w:gridSpan w:val="2"/>
            <w:tcBorders>
              <w:top w:val="single" w:color="000000" w:sz="4" w:space="0"/>
              <w:left w:val="single" w:color="000000" w:sz="4" w:space="0"/>
              <w:bottom w:val="single" w:color="000000" w:sz="4" w:space="0"/>
              <w:right w:val="single" w:color="000000" w:sz="4" w:space="0"/>
            </w:tcBorders>
            <w:vAlign w:val="center"/>
          </w:tcPr>
          <w:p w14:paraId="520E01DA">
            <w:pPr>
              <w:keepNext w:val="0"/>
              <w:keepLines w:val="0"/>
              <w:pageBreakBefore w:val="0"/>
              <w:widowControl w:val="0"/>
              <w:kinsoku/>
              <w:wordWrap w:val="0"/>
              <w:overflowPunct/>
              <w:topLinePunct w:val="0"/>
              <w:autoSpaceDE/>
              <w:autoSpaceDN/>
              <w:bidi w:val="0"/>
              <w:snapToGrid/>
              <w:rPr>
                <w:color w:val="auto"/>
                <w:highlight w:val="none"/>
              </w:rPr>
            </w:pPr>
          </w:p>
        </w:tc>
      </w:tr>
      <w:tr w14:paraId="1448334C">
        <w:tblPrEx>
          <w:tblCellMar>
            <w:top w:w="0" w:type="dxa"/>
            <w:left w:w="0" w:type="dxa"/>
            <w:bottom w:w="0" w:type="dxa"/>
            <w:right w:w="0" w:type="dxa"/>
          </w:tblCellMar>
        </w:tblPrEx>
        <w:trPr>
          <w:trHeight w:val="84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19987CCA">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技术职称</w:t>
            </w:r>
          </w:p>
        </w:tc>
        <w:tc>
          <w:tcPr>
            <w:tcW w:w="1480" w:type="dxa"/>
            <w:gridSpan w:val="2"/>
            <w:tcBorders>
              <w:top w:val="single" w:color="000000" w:sz="4" w:space="0"/>
              <w:left w:val="single" w:color="000000" w:sz="4" w:space="0"/>
              <w:bottom w:val="single" w:color="000000" w:sz="4" w:space="0"/>
              <w:right w:val="single" w:color="000000" w:sz="4" w:space="0"/>
            </w:tcBorders>
            <w:vAlign w:val="center"/>
          </w:tcPr>
          <w:p w14:paraId="2068C3CA">
            <w:pPr>
              <w:keepNext w:val="0"/>
              <w:keepLines w:val="0"/>
              <w:pageBreakBefore w:val="0"/>
              <w:widowControl w:val="0"/>
              <w:kinsoku/>
              <w:wordWrap w:val="0"/>
              <w:overflowPunct/>
              <w:topLinePunct w:val="0"/>
              <w:autoSpaceDE/>
              <w:autoSpaceDN/>
              <w:bidi w:val="0"/>
              <w:snapToGrid/>
              <w:jc w:val="center"/>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vAlign w:val="center"/>
          </w:tcPr>
          <w:p w14:paraId="2D19DE57">
            <w:pPr>
              <w:pStyle w:val="106"/>
              <w:keepNext w:val="0"/>
              <w:keepLines w:val="0"/>
              <w:pageBreakBefore w:val="0"/>
              <w:widowControl w:val="0"/>
              <w:tabs>
                <w:tab w:val="left" w:pos="736"/>
              </w:tabs>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学</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历</w:t>
            </w:r>
          </w:p>
        </w:tc>
        <w:tc>
          <w:tcPr>
            <w:tcW w:w="1380" w:type="dxa"/>
            <w:tcBorders>
              <w:top w:val="single" w:color="000000" w:sz="4" w:space="0"/>
              <w:left w:val="single" w:color="000000" w:sz="4" w:space="0"/>
              <w:bottom w:val="single" w:color="000000" w:sz="4" w:space="0"/>
              <w:right w:val="single" w:color="000000" w:sz="4" w:space="0"/>
            </w:tcBorders>
            <w:vAlign w:val="center"/>
          </w:tcPr>
          <w:p w14:paraId="7B78AF28">
            <w:pPr>
              <w:keepNext w:val="0"/>
              <w:keepLines w:val="0"/>
              <w:pageBreakBefore w:val="0"/>
              <w:widowControl w:val="0"/>
              <w:kinsoku/>
              <w:wordWrap w:val="0"/>
              <w:overflowPunct/>
              <w:topLinePunct w:val="0"/>
              <w:autoSpaceDE/>
              <w:autoSpaceDN/>
              <w:bidi w:val="0"/>
              <w:snapToGrid/>
              <w:jc w:val="center"/>
              <w:rPr>
                <w:color w:val="auto"/>
                <w:highlight w:val="none"/>
              </w:rPr>
            </w:pPr>
          </w:p>
        </w:tc>
        <w:tc>
          <w:tcPr>
            <w:tcW w:w="1882" w:type="dxa"/>
            <w:gridSpan w:val="2"/>
            <w:tcBorders>
              <w:top w:val="single" w:color="000000" w:sz="4" w:space="0"/>
              <w:left w:val="single" w:color="000000" w:sz="4" w:space="0"/>
              <w:bottom w:val="single" w:color="000000" w:sz="4" w:space="0"/>
              <w:right w:val="single" w:color="000000" w:sz="4" w:space="0"/>
            </w:tcBorders>
            <w:vAlign w:val="center"/>
          </w:tcPr>
          <w:p w14:paraId="5FB8197A">
            <w:pPr>
              <w:pStyle w:val="106"/>
              <w:keepNext w:val="0"/>
              <w:keepLines w:val="0"/>
              <w:pageBreakBefore w:val="0"/>
              <w:widowControl w:val="0"/>
              <w:kinsoku/>
              <w:wordWrap w:val="0"/>
              <w:overflowPunct/>
              <w:topLinePunct w:val="0"/>
              <w:autoSpaceDE/>
              <w:autoSpaceDN/>
              <w:bidi w:val="0"/>
              <w:snapToGrid/>
              <w:spacing w:before="32" w:line="240" w:lineRule="auto"/>
              <w:ind w:left="515" w:right="405" w:hanging="106"/>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拟在本标段</w:t>
            </w:r>
            <w:r>
              <w:rPr>
                <w:rFonts w:ascii="宋体" w:hAnsi="宋体" w:eastAsia="宋体" w:cs="宋体"/>
                <w:color w:val="auto"/>
                <w:spacing w:val="-102"/>
                <w:sz w:val="21"/>
                <w:szCs w:val="21"/>
                <w:highlight w:val="none"/>
              </w:rPr>
              <w:t xml:space="preserve"> </w:t>
            </w:r>
            <w:r>
              <w:rPr>
                <w:rFonts w:ascii="宋体" w:hAnsi="宋体" w:eastAsia="宋体" w:cs="宋体"/>
                <w:color w:val="auto"/>
                <w:sz w:val="21"/>
                <w:szCs w:val="21"/>
                <w:highlight w:val="none"/>
              </w:rPr>
              <w:t>工程任职</w:t>
            </w:r>
          </w:p>
        </w:tc>
        <w:tc>
          <w:tcPr>
            <w:tcW w:w="1669" w:type="dxa"/>
            <w:gridSpan w:val="2"/>
            <w:tcBorders>
              <w:top w:val="single" w:color="000000" w:sz="4" w:space="0"/>
              <w:left w:val="single" w:color="000000" w:sz="4" w:space="0"/>
              <w:bottom w:val="single" w:color="000000" w:sz="4" w:space="0"/>
              <w:right w:val="single" w:color="000000" w:sz="4" w:space="0"/>
            </w:tcBorders>
            <w:vAlign w:val="center"/>
          </w:tcPr>
          <w:p w14:paraId="1F9C5B45">
            <w:pPr>
              <w:keepNext w:val="0"/>
              <w:keepLines w:val="0"/>
              <w:pageBreakBefore w:val="0"/>
              <w:widowControl w:val="0"/>
              <w:kinsoku/>
              <w:wordWrap w:val="0"/>
              <w:overflowPunct/>
              <w:topLinePunct w:val="0"/>
              <w:autoSpaceDE/>
              <w:autoSpaceDN/>
              <w:bidi w:val="0"/>
              <w:snapToGrid/>
              <w:rPr>
                <w:color w:val="auto"/>
                <w:highlight w:val="none"/>
              </w:rPr>
            </w:pPr>
          </w:p>
        </w:tc>
      </w:tr>
      <w:tr w14:paraId="7DF2F8A7">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127837A9">
            <w:pPr>
              <w:pStyle w:val="106"/>
              <w:keepNext w:val="0"/>
              <w:keepLines w:val="0"/>
              <w:pageBreakBefore w:val="0"/>
              <w:widowControl w:val="0"/>
              <w:kinsoku/>
              <w:wordWrap w:val="0"/>
              <w:overflowPunct/>
              <w:topLinePunct w:val="0"/>
              <w:autoSpaceDE/>
              <w:autoSpaceDN/>
              <w:bidi w:val="0"/>
              <w:snapToGrid/>
              <w:spacing w:before="150" w:line="240" w:lineRule="auto"/>
              <w:ind w:left="19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工作年限</w:t>
            </w:r>
          </w:p>
        </w:tc>
        <w:tc>
          <w:tcPr>
            <w:tcW w:w="3921" w:type="dxa"/>
            <w:gridSpan w:val="4"/>
            <w:tcBorders>
              <w:top w:val="single" w:color="000000" w:sz="4" w:space="0"/>
              <w:left w:val="single" w:color="000000" w:sz="4" w:space="0"/>
              <w:bottom w:val="single" w:color="000000" w:sz="4" w:space="0"/>
              <w:right w:val="single" w:color="000000" w:sz="4" w:space="0"/>
            </w:tcBorders>
            <w:vAlign w:val="center"/>
          </w:tcPr>
          <w:p w14:paraId="4ECE13E7">
            <w:pPr>
              <w:keepNext w:val="0"/>
              <w:keepLines w:val="0"/>
              <w:pageBreakBefore w:val="0"/>
              <w:widowControl w:val="0"/>
              <w:kinsoku/>
              <w:wordWrap w:val="0"/>
              <w:overflowPunct/>
              <w:topLinePunct w:val="0"/>
              <w:autoSpaceDE/>
              <w:autoSpaceDN/>
              <w:bidi w:val="0"/>
              <w:snapToGrid/>
              <w:rPr>
                <w:color w:val="auto"/>
                <w:highlight w:val="none"/>
              </w:rPr>
            </w:pPr>
          </w:p>
        </w:tc>
        <w:tc>
          <w:tcPr>
            <w:tcW w:w="1882" w:type="dxa"/>
            <w:gridSpan w:val="2"/>
            <w:tcBorders>
              <w:top w:val="single" w:color="000000" w:sz="4" w:space="0"/>
              <w:left w:val="single" w:color="000000" w:sz="4" w:space="0"/>
              <w:bottom w:val="single" w:color="000000" w:sz="4" w:space="0"/>
              <w:right w:val="single" w:color="000000" w:sz="4" w:space="0"/>
            </w:tcBorders>
            <w:vAlign w:val="center"/>
          </w:tcPr>
          <w:p w14:paraId="78A8F6E3">
            <w:pPr>
              <w:pStyle w:val="106"/>
              <w:keepNext w:val="0"/>
              <w:keepLines w:val="0"/>
              <w:pageBreakBefore w:val="0"/>
              <w:widowControl w:val="0"/>
              <w:kinsoku/>
              <w:wordWrap w:val="0"/>
              <w:overflowPunct/>
              <w:topLinePunct w:val="0"/>
              <w:autoSpaceDE/>
              <w:autoSpaceDN/>
              <w:bidi w:val="0"/>
              <w:snapToGrid/>
              <w:spacing w:before="150" w:line="240" w:lineRule="auto"/>
              <w:ind w:left="95"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类似施工经验年限</w:t>
            </w:r>
          </w:p>
        </w:tc>
        <w:tc>
          <w:tcPr>
            <w:tcW w:w="1669" w:type="dxa"/>
            <w:gridSpan w:val="2"/>
            <w:tcBorders>
              <w:top w:val="single" w:color="000000" w:sz="4" w:space="0"/>
              <w:left w:val="single" w:color="000000" w:sz="4" w:space="0"/>
              <w:bottom w:val="single" w:color="000000" w:sz="4" w:space="0"/>
              <w:right w:val="single" w:color="000000" w:sz="4" w:space="0"/>
            </w:tcBorders>
            <w:vAlign w:val="center"/>
          </w:tcPr>
          <w:p w14:paraId="1C82C08F">
            <w:pPr>
              <w:keepNext w:val="0"/>
              <w:keepLines w:val="0"/>
              <w:pageBreakBefore w:val="0"/>
              <w:widowControl w:val="0"/>
              <w:kinsoku/>
              <w:wordWrap w:val="0"/>
              <w:overflowPunct/>
              <w:topLinePunct w:val="0"/>
              <w:autoSpaceDE/>
              <w:autoSpaceDN/>
              <w:bidi w:val="0"/>
              <w:snapToGrid/>
              <w:rPr>
                <w:color w:val="auto"/>
                <w:highlight w:val="none"/>
              </w:rPr>
            </w:pPr>
          </w:p>
        </w:tc>
      </w:tr>
      <w:tr w14:paraId="629FDF41">
        <w:tblPrEx>
          <w:tblCellMar>
            <w:top w:w="0" w:type="dxa"/>
            <w:left w:w="0" w:type="dxa"/>
            <w:bottom w:w="0" w:type="dxa"/>
            <w:right w:w="0" w:type="dxa"/>
          </w:tblCellMar>
        </w:tblPrEx>
        <w:trPr>
          <w:trHeight w:val="531"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77776D90">
            <w:pPr>
              <w:pStyle w:val="106"/>
              <w:keepNext w:val="0"/>
              <w:keepLines w:val="0"/>
              <w:pageBreakBefore w:val="0"/>
              <w:widowControl w:val="0"/>
              <w:kinsoku/>
              <w:wordWrap w:val="0"/>
              <w:overflowPunct/>
              <w:topLinePunct w:val="0"/>
              <w:autoSpaceDE/>
              <w:autoSpaceDN/>
              <w:bidi w:val="0"/>
              <w:snapToGrid/>
              <w:spacing w:before="151" w:line="240" w:lineRule="auto"/>
              <w:ind w:left="19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毕业学校</w:t>
            </w:r>
          </w:p>
        </w:tc>
        <w:tc>
          <w:tcPr>
            <w:tcW w:w="7472" w:type="dxa"/>
            <w:gridSpan w:val="8"/>
            <w:tcBorders>
              <w:top w:val="single" w:color="000000" w:sz="4" w:space="0"/>
              <w:left w:val="single" w:color="000000" w:sz="4" w:space="0"/>
              <w:bottom w:val="single" w:color="000000" w:sz="4" w:space="0"/>
              <w:right w:val="single" w:color="000000" w:sz="4" w:space="0"/>
            </w:tcBorders>
            <w:vAlign w:val="center"/>
          </w:tcPr>
          <w:p w14:paraId="2494A745">
            <w:pPr>
              <w:pStyle w:val="106"/>
              <w:keepNext w:val="0"/>
              <w:keepLines w:val="0"/>
              <w:pageBreakBefore w:val="0"/>
              <w:widowControl w:val="0"/>
              <w:tabs>
                <w:tab w:val="left" w:pos="526"/>
                <w:tab w:val="left" w:pos="1052"/>
                <w:tab w:val="left" w:pos="3887"/>
                <w:tab w:val="left" w:pos="5462"/>
                <w:tab w:val="left" w:pos="7140"/>
              </w:tabs>
              <w:kinsoku/>
              <w:wordWrap w:val="0"/>
              <w:overflowPunct/>
              <w:topLinePunct w:val="0"/>
              <w:autoSpaceDE/>
              <w:autoSpaceDN/>
              <w:bidi w:val="0"/>
              <w:snapToGrid/>
              <w:spacing w:before="151" w:line="240" w:lineRule="auto"/>
              <w:ind w:left="1" w:right="0" w:firstLine="210" w:firstLineChars="100"/>
              <w:jc w:val="both"/>
              <w:rPr>
                <w:rFonts w:ascii="宋体" w:hAnsi="宋体" w:eastAsia="宋体" w:cs="宋体"/>
                <w:color w:val="auto"/>
                <w:sz w:val="21"/>
                <w:szCs w:val="21"/>
                <w:highlight w:val="none"/>
              </w:rPr>
            </w:pPr>
            <w:r>
              <w:rPr>
                <w:rFonts w:ascii="Times New Roman" w:hAnsi="Times New Roman" w:eastAsia="Times New Roman" w:cs="Times New Roman"/>
                <w:color w:val="auto"/>
                <w:w w:val="100"/>
                <w:sz w:val="21"/>
                <w:szCs w:val="21"/>
                <w:highlight w:val="none"/>
                <w:u w:val="single" w:color="000000"/>
              </w:rPr>
              <w:t xml:space="preserve"> </w:t>
            </w:r>
            <w:r>
              <w:rPr>
                <w:rFonts w:hint="eastAsia" w:ascii="Times New Roman" w:hAnsi="Times New Roman" w:eastAsia="宋体" w:cs="Times New Roman"/>
                <w:color w:val="auto"/>
                <w:w w:val="100"/>
                <w:sz w:val="21"/>
                <w:szCs w:val="21"/>
                <w:highlight w:val="none"/>
                <w:u w:val="single" w:color="000000"/>
                <w:lang w:val="en-US" w:eastAsia="zh-CN"/>
              </w:rPr>
              <w:t xml:space="preserve">     </w:t>
            </w:r>
            <w:r>
              <w:rPr>
                <w:rFonts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pacing w:val="-2"/>
                <w:sz w:val="21"/>
                <w:szCs w:val="21"/>
                <w:highlight w:val="none"/>
              </w:rPr>
              <w:t>月毕业于</w:t>
            </w:r>
            <w:r>
              <w:rPr>
                <w:rFonts w:hint="eastAsia" w:ascii="宋体" w:hAnsi="宋体" w:eastAsia="宋体" w:cs="宋体"/>
                <w:color w:val="auto"/>
                <w:spacing w:val="-2"/>
                <w:sz w:val="21"/>
                <w:szCs w:val="21"/>
                <w:highlight w:val="none"/>
                <w:u w:val="single"/>
                <w:lang w:val="en-US" w:eastAsia="zh-CN"/>
              </w:rPr>
              <w:t xml:space="preserve">            </w:t>
            </w:r>
            <w:r>
              <w:rPr>
                <w:rFonts w:ascii="宋体" w:hAnsi="宋体" w:eastAsia="宋体" w:cs="宋体"/>
                <w:color w:val="auto"/>
                <w:spacing w:val="-2"/>
                <w:sz w:val="21"/>
                <w:szCs w:val="21"/>
                <w:highlight w:val="none"/>
              </w:rPr>
              <w:t>学校</w:t>
            </w:r>
            <w:r>
              <w:rPr>
                <w:rFonts w:ascii="Times New Roman" w:hAnsi="Times New Roman" w:eastAsia="Times New Roman" w:cs="Times New Roman"/>
                <w:color w:val="auto"/>
                <w:spacing w:val="-2"/>
                <w:sz w:val="21"/>
                <w:szCs w:val="21"/>
                <w:highlight w:val="none"/>
                <w:u w:val="single" w:color="000000"/>
              </w:rPr>
              <w:tab/>
            </w:r>
            <w:r>
              <w:rPr>
                <w:rFonts w:ascii="宋体" w:hAnsi="宋体" w:eastAsia="宋体" w:cs="宋体"/>
                <w:color w:val="auto"/>
                <w:spacing w:val="-2"/>
                <w:sz w:val="21"/>
                <w:szCs w:val="21"/>
                <w:highlight w:val="none"/>
              </w:rPr>
              <w:t>专业，学制</w:t>
            </w:r>
            <w:r>
              <w:rPr>
                <w:rFonts w:hint="eastAsia" w:ascii="宋体" w:hAnsi="宋体" w:eastAsia="宋体" w:cs="宋体"/>
                <w:color w:val="auto"/>
                <w:spacing w:val="-2"/>
                <w:sz w:val="21"/>
                <w:szCs w:val="21"/>
                <w:highlight w:val="none"/>
                <w:u w:val="single"/>
                <w:lang w:val="en-US" w:eastAsia="zh-CN"/>
              </w:rPr>
              <w:t xml:space="preserve">     </w:t>
            </w:r>
            <w:r>
              <w:rPr>
                <w:rFonts w:ascii="宋体" w:hAnsi="宋体" w:eastAsia="宋体" w:cs="宋体"/>
                <w:color w:val="auto"/>
                <w:sz w:val="21"/>
                <w:szCs w:val="21"/>
                <w:highlight w:val="none"/>
              </w:rPr>
              <w:t>年</w:t>
            </w:r>
          </w:p>
        </w:tc>
      </w:tr>
      <w:tr w14:paraId="0012EEFD">
        <w:tblPrEx>
          <w:tblCellMar>
            <w:top w:w="0" w:type="dxa"/>
            <w:left w:w="0" w:type="dxa"/>
            <w:bottom w:w="0" w:type="dxa"/>
            <w:right w:w="0" w:type="dxa"/>
          </w:tblCellMar>
        </w:tblPrEx>
        <w:trPr>
          <w:trHeight w:val="528" w:hRule="exact"/>
          <w:jc w:val="center"/>
        </w:trPr>
        <w:tc>
          <w:tcPr>
            <w:tcW w:w="8733" w:type="dxa"/>
            <w:gridSpan w:val="9"/>
            <w:tcBorders>
              <w:top w:val="single" w:color="000000" w:sz="4" w:space="0"/>
              <w:left w:val="single" w:color="000000" w:sz="4" w:space="0"/>
              <w:bottom w:val="single" w:color="000000" w:sz="4" w:space="0"/>
              <w:right w:val="single" w:color="000000" w:sz="4" w:space="0"/>
            </w:tcBorders>
            <w:vAlign w:val="center"/>
          </w:tcPr>
          <w:p w14:paraId="4E8B0125">
            <w:pPr>
              <w:pStyle w:val="106"/>
              <w:keepNext w:val="0"/>
              <w:keepLines w:val="0"/>
              <w:pageBreakBefore w:val="0"/>
              <w:widowControl w:val="0"/>
              <w:tabs>
                <w:tab w:val="left" w:pos="1161"/>
              </w:tabs>
              <w:kinsoku/>
              <w:wordWrap w:val="0"/>
              <w:overflowPunct/>
              <w:topLinePunct w:val="0"/>
              <w:autoSpaceDE/>
              <w:autoSpaceDN/>
              <w:bidi w:val="0"/>
              <w:snapToGrid/>
              <w:spacing w:before="150" w:line="240" w:lineRule="auto"/>
              <w:ind w:left="4"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经</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历</w:t>
            </w:r>
          </w:p>
        </w:tc>
      </w:tr>
      <w:tr w14:paraId="56776681">
        <w:tblPrEx>
          <w:tblCellMar>
            <w:top w:w="0" w:type="dxa"/>
            <w:left w:w="0" w:type="dxa"/>
            <w:bottom w:w="0" w:type="dxa"/>
            <w:right w:w="0" w:type="dxa"/>
          </w:tblCellMar>
        </w:tblPrEx>
        <w:trPr>
          <w:trHeight w:val="931"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4984AAE8">
            <w:pPr>
              <w:pStyle w:val="106"/>
              <w:keepNext w:val="0"/>
              <w:keepLines w:val="0"/>
              <w:pageBreakBefore w:val="0"/>
              <w:widowControl w:val="0"/>
              <w:tabs>
                <w:tab w:val="left" w:pos="743"/>
              </w:tabs>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时</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间</w:t>
            </w: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1C751FED">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参加过的类似工程项目名称</w:t>
            </w: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1A4F6768">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担任职务</w:t>
            </w:r>
          </w:p>
        </w:tc>
        <w:tc>
          <w:tcPr>
            <w:tcW w:w="1282" w:type="dxa"/>
            <w:tcBorders>
              <w:top w:val="single" w:color="000000" w:sz="4" w:space="0"/>
              <w:left w:val="single" w:color="000000" w:sz="4" w:space="0"/>
              <w:bottom w:val="single" w:color="000000" w:sz="4" w:space="0"/>
              <w:right w:val="single" w:color="000000" w:sz="4" w:space="0"/>
            </w:tcBorders>
            <w:vAlign w:val="center"/>
          </w:tcPr>
          <w:p w14:paraId="7CF31F8F">
            <w:pPr>
              <w:pStyle w:val="106"/>
              <w:keepNext w:val="0"/>
              <w:keepLines w:val="0"/>
              <w:pageBreakBefore w:val="0"/>
              <w:widowControl w:val="0"/>
              <w:kinsoku/>
              <w:wordWrap w:val="0"/>
              <w:overflowPunct/>
              <w:topLinePunct w:val="0"/>
              <w:autoSpaceDE/>
              <w:autoSpaceDN/>
              <w:bidi w:val="0"/>
              <w:snapToGrid/>
              <w:spacing w:before="153" w:line="240" w:lineRule="auto"/>
              <w:ind w:right="108"/>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发包人及联</w:t>
            </w:r>
            <w:r>
              <w:rPr>
                <w:rFonts w:ascii="宋体" w:hAnsi="宋体" w:eastAsia="宋体" w:cs="宋体"/>
                <w:color w:val="auto"/>
                <w:spacing w:val="-102"/>
                <w:sz w:val="21"/>
                <w:szCs w:val="21"/>
                <w:highlight w:val="none"/>
              </w:rPr>
              <w:t xml:space="preserve"> </w:t>
            </w:r>
            <w:r>
              <w:rPr>
                <w:rFonts w:ascii="宋体" w:hAnsi="宋体" w:eastAsia="宋体" w:cs="宋体"/>
                <w:color w:val="auto"/>
                <w:sz w:val="21"/>
                <w:szCs w:val="21"/>
                <w:highlight w:val="none"/>
              </w:rPr>
              <w:t>系电话</w:t>
            </w:r>
          </w:p>
        </w:tc>
      </w:tr>
      <w:tr w14:paraId="365CA396">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13D89141">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339C9B03">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5D571464">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23E221E5">
            <w:pPr>
              <w:keepNext w:val="0"/>
              <w:keepLines w:val="0"/>
              <w:pageBreakBefore w:val="0"/>
              <w:widowControl w:val="0"/>
              <w:kinsoku/>
              <w:wordWrap w:val="0"/>
              <w:overflowPunct/>
              <w:topLinePunct w:val="0"/>
              <w:autoSpaceDE/>
              <w:autoSpaceDN/>
              <w:bidi w:val="0"/>
              <w:snapToGrid/>
              <w:rPr>
                <w:color w:val="auto"/>
                <w:highlight w:val="none"/>
              </w:rPr>
            </w:pPr>
          </w:p>
        </w:tc>
      </w:tr>
      <w:tr w14:paraId="2728EC1B">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26A08A74">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2F225880">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19862686">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6A0BBDA1">
            <w:pPr>
              <w:keepNext w:val="0"/>
              <w:keepLines w:val="0"/>
              <w:pageBreakBefore w:val="0"/>
              <w:widowControl w:val="0"/>
              <w:kinsoku/>
              <w:wordWrap w:val="0"/>
              <w:overflowPunct/>
              <w:topLinePunct w:val="0"/>
              <w:autoSpaceDE/>
              <w:autoSpaceDN/>
              <w:bidi w:val="0"/>
              <w:snapToGrid/>
              <w:rPr>
                <w:color w:val="auto"/>
                <w:highlight w:val="none"/>
              </w:rPr>
            </w:pPr>
          </w:p>
        </w:tc>
      </w:tr>
      <w:tr w14:paraId="101524B2">
        <w:tblPrEx>
          <w:tblCellMar>
            <w:top w:w="0" w:type="dxa"/>
            <w:left w:w="0" w:type="dxa"/>
            <w:bottom w:w="0" w:type="dxa"/>
            <w:right w:w="0" w:type="dxa"/>
          </w:tblCellMar>
        </w:tblPrEx>
        <w:trPr>
          <w:trHeight w:val="528"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1F19CF2C">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1E707BC6">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73F9F36A">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2A62B12C">
            <w:pPr>
              <w:keepNext w:val="0"/>
              <w:keepLines w:val="0"/>
              <w:pageBreakBefore w:val="0"/>
              <w:widowControl w:val="0"/>
              <w:kinsoku/>
              <w:wordWrap w:val="0"/>
              <w:overflowPunct/>
              <w:topLinePunct w:val="0"/>
              <w:autoSpaceDE/>
              <w:autoSpaceDN/>
              <w:bidi w:val="0"/>
              <w:snapToGrid/>
              <w:rPr>
                <w:color w:val="auto"/>
                <w:highlight w:val="none"/>
              </w:rPr>
            </w:pPr>
          </w:p>
        </w:tc>
      </w:tr>
      <w:tr w14:paraId="32E4FB47">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4165CFA1">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205EA387">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0FE88491">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4A6C48D3">
            <w:pPr>
              <w:keepNext w:val="0"/>
              <w:keepLines w:val="0"/>
              <w:pageBreakBefore w:val="0"/>
              <w:widowControl w:val="0"/>
              <w:kinsoku/>
              <w:wordWrap w:val="0"/>
              <w:overflowPunct/>
              <w:topLinePunct w:val="0"/>
              <w:autoSpaceDE/>
              <w:autoSpaceDN/>
              <w:bidi w:val="0"/>
              <w:snapToGrid/>
              <w:rPr>
                <w:color w:val="auto"/>
                <w:highlight w:val="none"/>
              </w:rPr>
            </w:pPr>
          </w:p>
        </w:tc>
      </w:tr>
      <w:tr w14:paraId="66D8F8EA">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6A54A030">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02AD17DB">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7DD45708">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4F0EE959">
            <w:pPr>
              <w:keepNext w:val="0"/>
              <w:keepLines w:val="0"/>
              <w:pageBreakBefore w:val="0"/>
              <w:widowControl w:val="0"/>
              <w:kinsoku/>
              <w:wordWrap w:val="0"/>
              <w:overflowPunct/>
              <w:topLinePunct w:val="0"/>
              <w:autoSpaceDE/>
              <w:autoSpaceDN/>
              <w:bidi w:val="0"/>
              <w:snapToGrid/>
              <w:rPr>
                <w:color w:val="auto"/>
                <w:highlight w:val="none"/>
              </w:rPr>
            </w:pPr>
          </w:p>
        </w:tc>
      </w:tr>
      <w:tr w14:paraId="46276B8C">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717B7753">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135C8E54">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31A53D96">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712F3C03">
            <w:pPr>
              <w:keepNext w:val="0"/>
              <w:keepLines w:val="0"/>
              <w:pageBreakBefore w:val="0"/>
              <w:widowControl w:val="0"/>
              <w:kinsoku/>
              <w:wordWrap w:val="0"/>
              <w:overflowPunct/>
              <w:topLinePunct w:val="0"/>
              <w:autoSpaceDE/>
              <w:autoSpaceDN/>
              <w:bidi w:val="0"/>
              <w:snapToGrid/>
              <w:rPr>
                <w:color w:val="auto"/>
                <w:highlight w:val="none"/>
              </w:rPr>
            </w:pPr>
          </w:p>
        </w:tc>
      </w:tr>
      <w:tr w14:paraId="03A0C007">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0A024024">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24443029">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45B828E0">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643C135B">
            <w:pPr>
              <w:keepNext w:val="0"/>
              <w:keepLines w:val="0"/>
              <w:pageBreakBefore w:val="0"/>
              <w:widowControl w:val="0"/>
              <w:kinsoku/>
              <w:wordWrap w:val="0"/>
              <w:overflowPunct/>
              <w:topLinePunct w:val="0"/>
              <w:autoSpaceDE/>
              <w:autoSpaceDN/>
              <w:bidi w:val="0"/>
              <w:snapToGrid/>
              <w:rPr>
                <w:color w:val="auto"/>
                <w:highlight w:val="none"/>
              </w:rPr>
            </w:pPr>
          </w:p>
        </w:tc>
      </w:tr>
      <w:tr w14:paraId="03A59DB5">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5CF1F8EB">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78207540">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54DD4308">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75D99734">
            <w:pPr>
              <w:keepNext w:val="0"/>
              <w:keepLines w:val="0"/>
              <w:pageBreakBefore w:val="0"/>
              <w:widowControl w:val="0"/>
              <w:kinsoku/>
              <w:wordWrap w:val="0"/>
              <w:overflowPunct/>
              <w:topLinePunct w:val="0"/>
              <w:autoSpaceDE/>
              <w:autoSpaceDN/>
              <w:bidi w:val="0"/>
              <w:snapToGrid/>
              <w:rPr>
                <w:color w:val="auto"/>
                <w:highlight w:val="none"/>
              </w:rPr>
            </w:pPr>
          </w:p>
        </w:tc>
      </w:tr>
      <w:tr w14:paraId="5E8AD849">
        <w:tblPrEx>
          <w:tblCellMar>
            <w:top w:w="0" w:type="dxa"/>
            <w:left w:w="0" w:type="dxa"/>
            <w:bottom w:w="0" w:type="dxa"/>
            <w:right w:w="0" w:type="dxa"/>
          </w:tblCellMar>
        </w:tblPrEx>
        <w:trPr>
          <w:trHeight w:val="529"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6E67EC03">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0030CC4C">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41FE696E">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01F7DEE8">
            <w:pPr>
              <w:keepNext w:val="0"/>
              <w:keepLines w:val="0"/>
              <w:pageBreakBefore w:val="0"/>
              <w:widowControl w:val="0"/>
              <w:kinsoku/>
              <w:wordWrap w:val="0"/>
              <w:overflowPunct/>
              <w:topLinePunct w:val="0"/>
              <w:autoSpaceDE/>
              <w:autoSpaceDN/>
              <w:bidi w:val="0"/>
              <w:snapToGrid/>
              <w:rPr>
                <w:color w:val="auto"/>
                <w:highlight w:val="none"/>
              </w:rPr>
            </w:pPr>
          </w:p>
        </w:tc>
      </w:tr>
      <w:tr w14:paraId="6A0EF85F">
        <w:tblPrEx>
          <w:tblCellMar>
            <w:top w:w="0" w:type="dxa"/>
            <w:left w:w="0" w:type="dxa"/>
            <w:bottom w:w="0" w:type="dxa"/>
            <w:right w:w="0" w:type="dxa"/>
          </w:tblCellMar>
        </w:tblPrEx>
        <w:trPr>
          <w:trHeight w:val="530" w:hRule="exact"/>
          <w:jc w:val="center"/>
        </w:trPr>
        <w:tc>
          <w:tcPr>
            <w:tcW w:w="2638" w:type="dxa"/>
            <w:gridSpan w:val="2"/>
            <w:tcBorders>
              <w:top w:val="single" w:color="000000" w:sz="4" w:space="0"/>
              <w:left w:val="single" w:color="000000" w:sz="4" w:space="0"/>
              <w:bottom w:val="single" w:color="000000" w:sz="4" w:space="0"/>
              <w:right w:val="single" w:color="000000" w:sz="4" w:space="0"/>
            </w:tcBorders>
            <w:vAlign w:val="center"/>
          </w:tcPr>
          <w:p w14:paraId="6667EECB">
            <w:pPr>
              <w:pStyle w:val="106"/>
              <w:keepNext w:val="0"/>
              <w:keepLines w:val="0"/>
              <w:pageBreakBefore w:val="0"/>
              <w:widowControl w:val="0"/>
              <w:kinsoku/>
              <w:wordWrap w:val="0"/>
              <w:overflowPunct/>
              <w:topLinePunct w:val="0"/>
              <w:autoSpaceDE/>
              <w:autoSpaceDN/>
              <w:bidi w:val="0"/>
              <w:snapToGrid/>
              <w:spacing w:before="153"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获奖情况</w:t>
            </w:r>
          </w:p>
        </w:tc>
        <w:tc>
          <w:tcPr>
            <w:tcW w:w="6095" w:type="dxa"/>
            <w:gridSpan w:val="7"/>
            <w:tcBorders>
              <w:top w:val="single" w:color="000000" w:sz="4" w:space="0"/>
              <w:left w:val="single" w:color="000000" w:sz="4" w:space="0"/>
              <w:bottom w:val="single" w:color="000000" w:sz="4" w:space="0"/>
              <w:right w:val="single" w:color="000000" w:sz="4" w:space="0"/>
            </w:tcBorders>
            <w:vAlign w:val="center"/>
          </w:tcPr>
          <w:p w14:paraId="0EB74166">
            <w:pPr>
              <w:keepNext w:val="0"/>
              <w:keepLines w:val="0"/>
              <w:pageBreakBefore w:val="0"/>
              <w:widowControl w:val="0"/>
              <w:kinsoku/>
              <w:wordWrap w:val="0"/>
              <w:overflowPunct/>
              <w:topLinePunct w:val="0"/>
              <w:autoSpaceDE/>
              <w:autoSpaceDN/>
              <w:bidi w:val="0"/>
              <w:snapToGrid/>
              <w:rPr>
                <w:color w:val="auto"/>
                <w:highlight w:val="none"/>
              </w:rPr>
            </w:pPr>
          </w:p>
        </w:tc>
      </w:tr>
      <w:tr w14:paraId="1731184C">
        <w:tblPrEx>
          <w:tblCellMar>
            <w:top w:w="0" w:type="dxa"/>
            <w:left w:w="0" w:type="dxa"/>
            <w:bottom w:w="0" w:type="dxa"/>
            <w:right w:w="0" w:type="dxa"/>
          </w:tblCellMar>
        </w:tblPrEx>
        <w:trPr>
          <w:trHeight w:val="1383" w:hRule="exact"/>
          <w:jc w:val="center"/>
        </w:trPr>
        <w:tc>
          <w:tcPr>
            <w:tcW w:w="2638" w:type="dxa"/>
            <w:gridSpan w:val="2"/>
            <w:tcBorders>
              <w:top w:val="single" w:color="000000" w:sz="4" w:space="0"/>
              <w:left w:val="single" w:color="000000" w:sz="4" w:space="0"/>
              <w:bottom w:val="single" w:color="000000" w:sz="4" w:space="0"/>
              <w:right w:val="single" w:color="000000" w:sz="4" w:space="0"/>
            </w:tcBorders>
            <w:vAlign w:val="center"/>
          </w:tcPr>
          <w:p w14:paraId="1839C136">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5F90E03F">
            <w:pPr>
              <w:pStyle w:val="106"/>
              <w:keepNext w:val="0"/>
              <w:keepLines w:val="0"/>
              <w:pageBreakBefore w:val="0"/>
              <w:widowControl w:val="0"/>
              <w:kinsoku/>
              <w:wordWrap w:val="0"/>
              <w:overflowPunct/>
              <w:topLinePunct w:val="0"/>
              <w:autoSpaceDE/>
              <w:autoSpaceDN/>
              <w:bidi w:val="0"/>
              <w:snapToGrid/>
              <w:spacing w:before="1" w:line="240" w:lineRule="auto"/>
              <w:ind w:right="0"/>
              <w:jc w:val="left"/>
              <w:rPr>
                <w:rFonts w:ascii="黑体" w:hAnsi="黑体" w:eastAsia="黑体" w:cs="黑体"/>
                <w:color w:val="auto"/>
                <w:sz w:val="16"/>
                <w:szCs w:val="16"/>
                <w:highlight w:val="none"/>
              </w:rPr>
            </w:pPr>
          </w:p>
          <w:p w14:paraId="4C891161">
            <w:pPr>
              <w:pStyle w:val="106"/>
              <w:keepNext w:val="0"/>
              <w:keepLines w:val="0"/>
              <w:pageBreakBefore w:val="0"/>
              <w:widowControl w:val="0"/>
              <w:kinsoku/>
              <w:wordWrap w:val="0"/>
              <w:overflowPunct/>
              <w:topLinePunct w:val="0"/>
              <w:autoSpaceDE/>
              <w:autoSpaceDN/>
              <w:bidi w:val="0"/>
              <w:snapToGrid/>
              <w:spacing w:line="240" w:lineRule="auto"/>
              <w:ind w:left="683"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说明在岗情况</w:t>
            </w:r>
          </w:p>
        </w:tc>
        <w:tc>
          <w:tcPr>
            <w:tcW w:w="6095" w:type="dxa"/>
            <w:gridSpan w:val="7"/>
            <w:tcBorders>
              <w:top w:val="single" w:color="000000" w:sz="4" w:space="0"/>
              <w:left w:val="single" w:color="000000" w:sz="4" w:space="0"/>
              <w:bottom w:val="single" w:color="000000" w:sz="4" w:space="0"/>
              <w:right w:val="single" w:color="000000" w:sz="4" w:space="0"/>
            </w:tcBorders>
            <w:vAlign w:val="center"/>
          </w:tcPr>
          <w:p w14:paraId="0D59D3ED">
            <w:pPr>
              <w:pStyle w:val="106"/>
              <w:keepNext w:val="0"/>
              <w:keepLines w:val="0"/>
              <w:pageBreakBefore w:val="0"/>
              <w:widowControl w:val="0"/>
              <w:tabs>
                <w:tab w:val="left" w:pos="5775"/>
              </w:tabs>
              <w:kinsoku/>
              <w:wordWrap w:val="0"/>
              <w:overflowPunct/>
              <w:topLinePunct w:val="0"/>
              <w:autoSpaceDE/>
              <w:autoSpaceDN/>
              <w:bidi w:val="0"/>
              <w:snapToGrid/>
              <w:spacing w:before="54" w:line="240" w:lineRule="auto"/>
              <w:ind w:left="103" w:right="0"/>
              <w:jc w:val="left"/>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□目前未在其他项目上任职，现从事工作为：</w:t>
            </w:r>
            <w:r>
              <w:rPr>
                <w:rFonts w:ascii="Times New Roman" w:hAnsi="Times New Roman" w:eastAsia="Times New Roman" w:cs="Times New Roman"/>
                <w:color w:val="auto"/>
                <w:spacing w:val="-2"/>
                <w:sz w:val="21"/>
                <w:szCs w:val="21"/>
                <w:highlight w:val="none"/>
                <w:u w:val="single" w:color="000000"/>
              </w:rPr>
              <w:tab/>
            </w:r>
          </w:p>
          <w:p w14:paraId="19E56F7E">
            <w:pPr>
              <w:pStyle w:val="106"/>
              <w:keepNext w:val="0"/>
              <w:keepLines w:val="0"/>
              <w:pageBreakBefore w:val="0"/>
              <w:widowControl w:val="0"/>
              <w:tabs>
                <w:tab w:val="left" w:pos="3621"/>
                <w:tab w:val="left" w:pos="5878"/>
              </w:tabs>
              <w:kinsoku/>
              <w:wordWrap w:val="0"/>
              <w:overflowPunct/>
              <w:topLinePunct w:val="0"/>
              <w:autoSpaceDE/>
              <w:autoSpaceDN/>
              <w:bidi w:val="0"/>
              <w:snapToGrid/>
              <w:spacing w:before="46" w:line="400" w:lineRule="exact"/>
              <w:ind w:left="103" w:right="-5"/>
              <w:jc w:val="left"/>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□目前虽在其他项目上任职，但本项目中标后能够从该项目撤</w:t>
            </w:r>
            <w:r>
              <w:rPr>
                <w:rFonts w:ascii="宋体" w:hAnsi="宋体" w:eastAsia="宋体" w:cs="宋体"/>
                <w:color w:val="auto"/>
                <w:spacing w:val="-39"/>
                <w:sz w:val="21"/>
                <w:szCs w:val="21"/>
                <w:highlight w:val="none"/>
              </w:rPr>
              <w:t xml:space="preserve"> </w:t>
            </w:r>
            <w:r>
              <w:rPr>
                <w:rFonts w:ascii="宋体" w:hAnsi="宋体" w:eastAsia="宋体" w:cs="宋体"/>
                <w:color w:val="auto"/>
                <w:spacing w:val="-10"/>
                <w:sz w:val="21"/>
                <w:szCs w:val="21"/>
                <w:highlight w:val="none"/>
              </w:rPr>
              <w:t>离，目前任职</w:t>
            </w:r>
            <w:r>
              <w:rPr>
                <w:rFonts w:ascii="宋体" w:hAnsi="宋体" w:eastAsia="宋体" w:cs="宋体"/>
                <w:color w:val="auto"/>
                <w:spacing w:val="-10"/>
                <w:sz w:val="21"/>
                <w:szCs w:val="21"/>
                <w:highlight w:val="none"/>
                <w:u w:val="none" w:color="auto"/>
              </w:rPr>
              <w:t>项目</w:t>
            </w:r>
            <w:r>
              <w:rPr>
                <w:rFonts w:hint="eastAsia" w:ascii="宋体" w:hAnsi="宋体" w:eastAsia="宋体" w:cs="宋体"/>
                <w:color w:val="auto"/>
                <w:spacing w:val="-10"/>
                <w:sz w:val="21"/>
                <w:szCs w:val="21"/>
                <w:highlight w:val="none"/>
                <w:u w:val="none" w:color="auto"/>
                <w:lang w:eastAsia="zh-CN"/>
              </w:rPr>
              <w:t>：</w:t>
            </w:r>
            <w:r>
              <w:rPr>
                <w:rFonts w:hint="eastAsia" w:ascii="宋体" w:hAnsi="宋体" w:eastAsia="宋体" w:cs="宋体"/>
                <w:color w:val="auto"/>
                <w:spacing w:val="-10"/>
                <w:sz w:val="21"/>
                <w:szCs w:val="21"/>
                <w:highlight w:val="none"/>
                <w:u w:val="single" w:color="auto"/>
                <w:lang w:val="en-US" w:eastAsia="zh-CN"/>
              </w:rPr>
              <w:t xml:space="preserve">           </w:t>
            </w:r>
            <w:r>
              <w:rPr>
                <w:rFonts w:ascii="宋体" w:hAnsi="宋体" w:eastAsia="宋体" w:cs="宋体"/>
                <w:color w:val="auto"/>
                <w:spacing w:val="-15"/>
                <w:sz w:val="21"/>
                <w:szCs w:val="21"/>
                <w:highlight w:val="none"/>
              </w:rPr>
              <w:t>，</w:t>
            </w:r>
            <w:r>
              <w:rPr>
                <w:rFonts w:ascii="宋体" w:hAnsi="宋体" w:eastAsia="宋体" w:cs="宋体"/>
                <w:color w:val="auto"/>
                <w:spacing w:val="-10"/>
                <w:sz w:val="21"/>
                <w:szCs w:val="21"/>
                <w:highlight w:val="none"/>
                <w:u w:val="none" w:color="auto"/>
              </w:rPr>
              <w:t>担任职位</w:t>
            </w:r>
            <w:r>
              <w:rPr>
                <w:rFonts w:hint="eastAsia" w:ascii="宋体" w:hAnsi="宋体" w:eastAsia="宋体" w:cs="宋体"/>
                <w:color w:val="auto"/>
                <w:spacing w:val="-10"/>
                <w:sz w:val="21"/>
                <w:szCs w:val="21"/>
                <w:highlight w:val="none"/>
                <w:u w:val="none" w:color="auto"/>
                <w:lang w:eastAsia="zh-CN"/>
              </w:rPr>
              <w:t>：</w:t>
            </w:r>
            <w:r>
              <w:rPr>
                <w:rFonts w:hint="eastAsia" w:ascii="宋体" w:hAnsi="宋体" w:eastAsia="宋体" w:cs="宋体"/>
                <w:color w:val="auto"/>
                <w:spacing w:val="-15"/>
                <w:sz w:val="21"/>
                <w:szCs w:val="21"/>
                <w:highlight w:val="none"/>
                <w:u w:val="single"/>
                <w:lang w:val="en-US" w:eastAsia="zh-CN"/>
              </w:rPr>
              <w:t xml:space="preserve">              </w:t>
            </w:r>
          </w:p>
        </w:tc>
      </w:tr>
      <w:tr w14:paraId="4B1FA1F5">
        <w:tblPrEx>
          <w:tblCellMar>
            <w:top w:w="0" w:type="dxa"/>
            <w:left w:w="0" w:type="dxa"/>
            <w:bottom w:w="0" w:type="dxa"/>
            <w:right w:w="0" w:type="dxa"/>
          </w:tblCellMar>
        </w:tblPrEx>
        <w:trPr>
          <w:trHeight w:val="1145" w:hRule="exact"/>
          <w:jc w:val="center"/>
        </w:trPr>
        <w:tc>
          <w:tcPr>
            <w:tcW w:w="2638" w:type="dxa"/>
            <w:gridSpan w:val="2"/>
            <w:tcBorders>
              <w:top w:val="single" w:color="000000" w:sz="4" w:space="0"/>
              <w:left w:val="single" w:color="000000" w:sz="4" w:space="0"/>
              <w:bottom w:val="single" w:color="000000" w:sz="4" w:space="0"/>
              <w:right w:val="single" w:color="000000" w:sz="4" w:space="0"/>
            </w:tcBorders>
            <w:vAlign w:val="center"/>
          </w:tcPr>
          <w:p w14:paraId="3B3057D5">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2F6CD387">
            <w:pPr>
              <w:pStyle w:val="106"/>
              <w:keepNext w:val="0"/>
              <w:keepLines w:val="0"/>
              <w:pageBreakBefore w:val="0"/>
              <w:widowControl w:val="0"/>
              <w:kinsoku/>
              <w:wordWrap w:val="0"/>
              <w:overflowPunct/>
              <w:topLinePunct w:val="0"/>
              <w:autoSpaceDE/>
              <w:autoSpaceDN/>
              <w:bidi w:val="0"/>
              <w:snapToGrid/>
              <w:spacing w:before="13" w:line="240" w:lineRule="auto"/>
              <w:ind w:right="0"/>
              <w:jc w:val="left"/>
              <w:rPr>
                <w:rFonts w:ascii="黑体" w:hAnsi="黑体" w:eastAsia="黑体" w:cs="黑体"/>
                <w:color w:val="auto"/>
                <w:sz w:val="14"/>
                <w:szCs w:val="14"/>
                <w:highlight w:val="none"/>
              </w:rPr>
            </w:pPr>
          </w:p>
          <w:p w14:paraId="27350A66">
            <w:pPr>
              <w:pStyle w:val="106"/>
              <w:keepNext w:val="0"/>
              <w:keepLines w:val="0"/>
              <w:pageBreakBefore w:val="0"/>
              <w:widowControl w:val="0"/>
              <w:tabs>
                <w:tab w:val="left" w:pos="1576"/>
              </w:tabs>
              <w:kinsoku/>
              <w:wordWrap w:val="0"/>
              <w:overflowPunct/>
              <w:topLinePunct w:val="0"/>
              <w:autoSpaceDE/>
              <w:autoSpaceDN/>
              <w:bidi w:val="0"/>
              <w:snapToGrid/>
              <w:spacing w:line="240" w:lineRule="auto"/>
              <w:ind w:left="83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备</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注</w:t>
            </w:r>
          </w:p>
        </w:tc>
        <w:tc>
          <w:tcPr>
            <w:tcW w:w="6095" w:type="dxa"/>
            <w:gridSpan w:val="7"/>
            <w:tcBorders>
              <w:top w:val="single" w:color="000000" w:sz="4" w:space="0"/>
              <w:left w:val="single" w:color="000000" w:sz="4" w:space="0"/>
              <w:bottom w:val="single" w:color="000000" w:sz="4" w:space="0"/>
              <w:right w:val="single" w:color="000000" w:sz="4" w:space="0"/>
            </w:tcBorders>
            <w:vAlign w:val="center"/>
          </w:tcPr>
          <w:p w14:paraId="463E90D9">
            <w:pPr>
              <w:keepNext w:val="0"/>
              <w:keepLines w:val="0"/>
              <w:pageBreakBefore w:val="0"/>
              <w:widowControl w:val="0"/>
              <w:kinsoku/>
              <w:wordWrap w:val="0"/>
              <w:overflowPunct/>
              <w:topLinePunct w:val="0"/>
              <w:autoSpaceDE/>
              <w:autoSpaceDN/>
              <w:bidi w:val="0"/>
              <w:snapToGrid/>
              <w:rPr>
                <w:color w:val="auto"/>
                <w:highlight w:val="none"/>
              </w:rPr>
            </w:pPr>
          </w:p>
        </w:tc>
      </w:tr>
    </w:tbl>
    <w:p w14:paraId="28F56F8A">
      <w:pPr>
        <w:keepNext w:val="0"/>
        <w:keepLines w:val="0"/>
        <w:pageBreakBefore w:val="0"/>
        <w:widowControl w:val="0"/>
        <w:kinsoku/>
        <w:wordWrap w:val="0"/>
        <w:overflowPunct/>
        <w:topLinePunct w:val="0"/>
        <w:autoSpaceDE/>
        <w:autoSpaceDN/>
        <w:bidi w:val="0"/>
        <w:adjustRightInd/>
        <w:snapToGrid/>
        <w:spacing w:before="0" w:beforeLines="50" w:line="360" w:lineRule="auto"/>
        <w:ind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1.本表应填写项目经理和项目总工相关情况。</w:t>
      </w:r>
    </w:p>
    <w:p w14:paraId="534D27E9">
      <w:pPr>
        <w:keepNext w:val="0"/>
        <w:keepLines w:val="0"/>
        <w:pageBreakBefore w:val="0"/>
        <w:widowControl w:val="0"/>
        <w:kinsoku/>
        <w:wordWrap w:val="0"/>
        <w:overflowPunct/>
        <w:topLinePunct w:val="0"/>
        <w:autoSpaceDE/>
        <w:autoSpaceDN/>
        <w:bidi w:val="0"/>
        <w:adjustRightInd/>
        <w:snapToGrid/>
        <w:spacing w:line="360" w:lineRule="auto"/>
        <w:ind w:right="0" w:firstLine="792" w:firstLineChars="4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2.投标人应根据招标文件第二章“投标人须知”第 </w:t>
      </w:r>
      <w:r>
        <w:rPr>
          <w:rFonts w:hint="eastAsia" w:ascii="宋体" w:hAnsi="宋体" w:eastAsia="宋体" w:cs="宋体"/>
          <w:color w:val="auto"/>
          <w:sz w:val="21"/>
          <w:szCs w:val="21"/>
          <w:highlight w:val="none"/>
        </w:rPr>
        <w:t>3.5.5</w:t>
      </w:r>
      <w:r>
        <w:rPr>
          <w:rFonts w:hint="eastAsia" w:ascii="宋体" w:hAnsi="宋体" w:eastAsia="宋体" w:cs="宋体"/>
          <w:color w:val="auto"/>
          <w:spacing w:val="-10"/>
          <w:sz w:val="21"/>
          <w:szCs w:val="21"/>
          <w:highlight w:val="none"/>
        </w:rPr>
        <w:t xml:space="preserve"> </w:t>
      </w:r>
      <w:r>
        <w:rPr>
          <w:rFonts w:hint="eastAsia" w:ascii="宋体" w:hAnsi="宋体" w:eastAsia="宋体" w:cs="宋体"/>
          <w:color w:val="auto"/>
          <w:sz w:val="21"/>
          <w:szCs w:val="21"/>
          <w:highlight w:val="none"/>
        </w:rPr>
        <w:t>项的要求在本表后附相关证明材料。</w:t>
      </w:r>
    </w:p>
    <w:p w14:paraId="4406EB8D">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outlineLvl w:val="1"/>
        <w:rPr>
          <w:rFonts w:hint="eastAsia" w:ascii="宋体" w:hAnsi="宋体" w:cs="宋体"/>
          <w:color w:val="auto"/>
          <w:kern w:val="0"/>
          <w:sz w:val="28"/>
          <w:highlight w:val="none"/>
          <w:lang w:eastAsia="zh-CN"/>
        </w:rPr>
        <w:sectPr>
          <w:headerReference r:id="rId11" w:type="default"/>
          <w:pgSz w:w="11910" w:h="16850"/>
          <w:pgMar w:top="1587" w:right="1417" w:bottom="1417" w:left="1417" w:header="883" w:footer="845" w:gutter="0"/>
          <w:pgNumType w:fmt="decimal"/>
          <w:cols w:space="720" w:num="1"/>
        </w:sectPr>
      </w:pPr>
      <w:bookmarkStart w:id="533" w:name="_Toc500864557"/>
      <w:bookmarkStart w:id="534" w:name="_Toc24409"/>
      <w:bookmarkStart w:id="535" w:name="_Toc431367174"/>
      <w:bookmarkStart w:id="536" w:name="_Toc6890"/>
      <w:bookmarkStart w:id="537" w:name="_Toc37747018"/>
      <w:bookmarkStart w:id="538" w:name="_Toc37422302"/>
    </w:p>
    <w:p w14:paraId="2A7C56BA">
      <w:pPr>
        <w:keepNext w:val="0"/>
        <w:keepLines w:val="0"/>
        <w:pageBreakBefore w:val="0"/>
        <w:widowControl w:val="0"/>
        <w:kinsoku/>
        <w:wordWrap w:val="0"/>
        <w:overflowPunct/>
        <w:topLinePunct w:val="0"/>
        <w:autoSpaceDE/>
        <w:autoSpaceDN/>
        <w:bidi w:val="0"/>
        <w:adjustRightInd w:val="0"/>
        <w:snapToGrid/>
        <w:spacing w:line="360" w:lineRule="auto"/>
        <w:ind w:right="0" w:rightChars="0"/>
        <w:jc w:val="center"/>
        <w:textAlignment w:val="auto"/>
        <w:outlineLvl w:val="1"/>
        <w:rPr>
          <w:rFonts w:hint="eastAsia" w:ascii="宋体" w:hAnsi="宋体" w:eastAsia="宋体" w:cs="宋体"/>
          <w:b/>
          <w:bCs/>
          <w:color w:val="auto"/>
          <w:kern w:val="0"/>
          <w:sz w:val="30"/>
          <w:szCs w:val="30"/>
          <w:highlight w:val="none"/>
        </w:rPr>
      </w:pPr>
      <w:r>
        <w:rPr>
          <w:rFonts w:hint="eastAsia" w:ascii="宋体" w:hAnsi="宋体" w:eastAsia="宋体" w:cs="宋体"/>
          <w:b/>
          <w:bCs/>
          <w:color w:val="auto"/>
          <w:kern w:val="0"/>
          <w:sz w:val="30"/>
          <w:szCs w:val="30"/>
          <w:highlight w:val="none"/>
          <w:lang w:eastAsia="zh-CN"/>
        </w:rPr>
        <w:t>七</w:t>
      </w:r>
      <w:r>
        <w:rPr>
          <w:rFonts w:hint="eastAsia" w:ascii="宋体" w:hAnsi="宋体" w:eastAsia="宋体" w:cs="宋体"/>
          <w:b/>
          <w:bCs/>
          <w:color w:val="auto"/>
          <w:kern w:val="0"/>
          <w:sz w:val="30"/>
          <w:szCs w:val="30"/>
          <w:highlight w:val="none"/>
        </w:rPr>
        <w:t>、其他材料</w:t>
      </w:r>
      <w:bookmarkEnd w:id="533"/>
      <w:bookmarkEnd w:id="534"/>
      <w:bookmarkEnd w:id="535"/>
      <w:bookmarkEnd w:id="536"/>
      <w:bookmarkEnd w:id="537"/>
      <w:bookmarkEnd w:id="538"/>
    </w:p>
    <w:p w14:paraId="52ADAC93">
      <w:pPr>
        <w:keepNext w:val="0"/>
        <w:keepLines w:val="0"/>
        <w:pageBreakBefore w:val="0"/>
        <w:widowControl w:val="0"/>
        <w:kinsoku/>
        <w:wordWrap w:val="0"/>
        <w:overflowPunct/>
        <w:topLinePunct w:val="0"/>
        <w:autoSpaceDE/>
        <w:autoSpaceDN/>
        <w:bidi w:val="0"/>
        <w:adjustRightInd w:val="0"/>
        <w:snapToGrid/>
        <w:spacing w:line="400" w:lineRule="exact"/>
        <w:ind w:right="-34" w:rightChars="-16"/>
        <w:rPr>
          <w:rFonts w:ascii="宋体" w:hAnsi="宋体" w:cs="宋体"/>
          <w:b/>
          <w:color w:val="auto"/>
          <w:kern w:val="0"/>
          <w:sz w:val="30"/>
          <w:szCs w:val="30"/>
          <w:highlight w:val="none"/>
        </w:rPr>
      </w:pPr>
    </w:p>
    <w:p w14:paraId="252973F9">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6E1DCE8D">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77A6A89E">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7B69A3D2">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3811E57A">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0A43208E">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17CA2E13">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68E11D24">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01166ED6">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1D9590A7">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764E4EC8">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3AFA5269">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6DB63D1F">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66533DD6">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7C9EE1DA">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11912137">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345D0155">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1F910C89">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2F545A56">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14AA72BC">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319535CE">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44DBAE04">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41C48C83">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54310FCF">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0DDDBCF3">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6CC8A411">
      <w:pPr>
        <w:pStyle w:val="19"/>
        <w:keepNext w:val="0"/>
        <w:keepLines w:val="0"/>
        <w:pageBreakBefore w:val="0"/>
        <w:widowControl w:val="0"/>
        <w:kinsoku/>
        <w:wordWrap w:val="0"/>
        <w:overflowPunct/>
        <w:topLinePunct w:val="0"/>
        <w:autoSpaceDE/>
        <w:autoSpaceDN/>
        <w:bidi w:val="0"/>
        <w:snapToGrid/>
        <w:spacing w:line="450" w:lineRule="atLeast"/>
        <w:ind w:right="640"/>
        <w:jc w:val="center"/>
        <w:rPr>
          <w:rFonts w:ascii="宋体" w:hAnsi="宋体" w:cs="宋体"/>
          <w:color w:val="auto"/>
          <w:highlight w:val="none"/>
        </w:rPr>
      </w:pPr>
    </w:p>
    <w:p w14:paraId="4454F8F5">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hint="eastAsia" w:ascii="黑体" w:hAnsi="黑体" w:eastAsia="黑体"/>
          <w:b/>
          <w:color w:val="auto"/>
          <w:kern w:val="0"/>
          <w:sz w:val="30"/>
          <w:szCs w:val="30"/>
          <w:highlight w:val="none"/>
        </w:rPr>
      </w:pPr>
    </w:p>
    <w:p w14:paraId="69C13B52">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0"/>
          <w:szCs w:val="20"/>
          <w:highlight w:val="none"/>
        </w:rPr>
        <w:sectPr>
          <w:headerReference r:id="rId12" w:type="default"/>
          <w:pgSz w:w="11910" w:h="16850"/>
          <w:pgMar w:top="1587" w:right="1417" w:bottom="1417" w:left="1417" w:header="883" w:footer="845" w:gutter="0"/>
          <w:pgNumType w:fmt="decimal"/>
          <w:cols w:space="720" w:num="1"/>
        </w:sectPr>
      </w:pPr>
    </w:p>
    <w:p w14:paraId="6EE64895">
      <w:pPr>
        <w:pStyle w:val="21"/>
        <w:ind w:left="0" w:leftChars="0" w:firstLine="0" w:firstLineChars="0"/>
        <w:rPr>
          <w:color w:val="auto"/>
          <w:highlight w:val="none"/>
        </w:rPr>
      </w:pPr>
    </w:p>
    <w:p w14:paraId="369FFC04">
      <w:pPr>
        <w:pStyle w:val="21"/>
        <w:rPr>
          <w:color w:val="auto"/>
          <w:highlight w:val="none"/>
        </w:rPr>
      </w:pPr>
    </w:p>
    <w:p w14:paraId="1070B5A9">
      <w:pPr>
        <w:pStyle w:val="5"/>
        <w:keepNext w:val="0"/>
        <w:keepLines w:val="0"/>
        <w:pageBreakBefore w:val="0"/>
        <w:widowControl w:val="0"/>
        <w:tabs>
          <w:tab w:val="left" w:pos="3436"/>
        </w:tabs>
        <w:kinsoku/>
        <w:wordWrap w:val="0"/>
        <w:overflowPunct/>
        <w:topLinePunct w:val="0"/>
        <w:autoSpaceDE/>
        <w:autoSpaceDN/>
        <w:bidi w:val="0"/>
        <w:snapToGrid/>
        <w:spacing w:line="240" w:lineRule="auto"/>
        <w:ind w:left="1888" w:right="0"/>
        <w:jc w:val="left"/>
        <w:rPr>
          <w:color w:val="auto"/>
          <w:sz w:val="30"/>
          <w:szCs w:val="30"/>
          <w:highlight w:val="none"/>
          <w:u w:val="none"/>
        </w:rPr>
      </w:pPr>
      <w:r>
        <w:rPr>
          <w:rFonts w:ascii="Times New Roman" w:hAnsi="Times New Roman" w:eastAsia="Times New Roman" w:cs="Times New Roman"/>
          <w:color w:val="auto"/>
          <w:w w:val="99"/>
          <w:sz w:val="30"/>
          <w:szCs w:val="30"/>
          <w:highlight w:val="none"/>
          <w:u w:val="single" w:color="000000"/>
        </w:rPr>
        <w:t xml:space="preserve"> </w:t>
      </w:r>
      <w:r>
        <w:rPr>
          <w:rFonts w:ascii="Times New Roman" w:hAnsi="Times New Roman" w:eastAsia="Times New Roman" w:cs="Times New Roman"/>
          <w:color w:val="auto"/>
          <w:sz w:val="30"/>
          <w:szCs w:val="30"/>
          <w:highlight w:val="none"/>
          <w:u w:val="single" w:color="000000"/>
        </w:rPr>
        <w:tab/>
      </w:r>
      <w:r>
        <w:rPr>
          <w:color w:val="auto"/>
          <w:sz w:val="30"/>
          <w:szCs w:val="30"/>
          <w:highlight w:val="none"/>
          <w:u w:val="none"/>
        </w:rPr>
        <w:t>省（自治区、直辖市）</w:t>
      </w:r>
    </w:p>
    <w:p w14:paraId="19BE5336">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0"/>
          <w:szCs w:val="30"/>
          <w:highlight w:val="none"/>
        </w:rPr>
      </w:pPr>
    </w:p>
    <w:p w14:paraId="1A509E9E">
      <w:pPr>
        <w:keepNext w:val="0"/>
        <w:keepLines w:val="0"/>
        <w:pageBreakBefore w:val="0"/>
        <w:widowControl w:val="0"/>
        <w:kinsoku/>
        <w:wordWrap w:val="0"/>
        <w:overflowPunct/>
        <w:topLinePunct w:val="0"/>
        <w:autoSpaceDE/>
        <w:autoSpaceDN/>
        <w:bidi w:val="0"/>
        <w:snapToGrid/>
        <w:spacing w:before="6" w:line="240" w:lineRule="auto"/>
        <w:rPr>
          <w:rFonts w:ascii="黑体" w:hAnsi="黑体" w:eastAsia="黑体" w:cs="黑体"/>
          <w:color w:val="auto"/>
          <w:sz w:val="30"/>
          <w:szCs w:val="30"/>
          <w:highlight w:val="none"/>
        </w:rPr>
      </w:pPr>
    </w:p>
    <w:p w14:paraId="36742847">
      <w:pPr>
        <w:pStyle w:val="10"/>
        <w:keepNext w:val="0"/>
        <w:keepLines w:val="0"/>
        <w:pageBreakBefore w:val="0"/>
        <w:widowControl w:val="0"/>
        <w:tabs>
          <w:tab w:val="left" w:pos="2337"/>
          <w:tab w:val="left" w:pos="5042"/>
        </w:tabs>
        <w:kinsoku/>
        <w:wordWrap w:val="0"/>
        <w:overflowPunct/>
        <w:topLinePunct w:val="0"/>
        <w:autoSpaceDE/>
        <w:autoSpaceDN/>
        <w:bidi w:val="0"/>
        <w:snapToGrid/>
        <w:spacing w:before="26" w:line="240" w:lineRule="auto"/>
        <w:ind w:left="124" w:right="0"/>
        <w:jc w:val="center"/>
        <w:rPr>
          <w:rFonts w:ascii="黑体" w:hAnsi="黑体" w:eastAsia="黑体" w:cs="黑体"/>
          <w:color w:val="auto"/>
          <w:highlight w:val="none"/>
        </w:rPr>
      </w:pPr>
      <w:r>
        <w:rPr>
          <w:rFonts w:ascii="Times New Roman" w:hAnsi="Times New Roman" w:eastAsia="Times New Roman" w:cs="Times New Roman"/>
          <w:color w:val="auto"/>
          <w:sz w:val="30"/>
          <w:szCs w:val="30"/>
          <w:highlight w:val="none"/>
          <w:u w:val="single" w:color="000000"/>
        </w:rPr>
        <w:t xml:space="preserve"> </w:t>
      </w:r>
      <w:r>
        <w:rPr>
          <w:rFonts w:ascii="Times New Roman" w:hAnsi="Times New Roman" w:eastAsia="Times New Roman" w:cs="Times New Roman"/>
          <w:color w:val="auto"/>
          <w:sz w:val="30"/>
          <w:szCs w:val="30"/>
          <w:highlight w:val="none"/>
          <w:u w:val="single" w:color="000000"/>
        </w:rPr>
        <w:tab/>
      </w:r>
      <w:r>
        <w:rPr>
          <w:rFonts w:ascii="黑体" w:hAnsi="黑体" w:eastAsia="黑体" w:cs="黑体"/>
          <w:color w:val="auto"/>
          <w:sz w:val="30"/>
          <w:szCs w:val="30"/>
          <w:highlight w:val="none"/>
        </w:rPr>
        <w:t>（项目名称）</w:t>
      </w:r>
      <w:r>
        <w:rPr>
          <w:rFonts w:ascii="Times New Roman" w:hAnsi="Times New Roman" w:eastAsia="Times New Roman" w:cs="Times New Roman"/>
          <w:color w:val="auto"/>
          <w:sz w:val="30"/>
          <w:szCs w:val="30"/>
          <w:highlight w:val="none"/>
          <w:u w:val="single" w:color="000000"/>
        </w:rPr>
        <w:tab/>
      </w:r>
      <w:r>
        <w:rPr>
          <w:rFonts w:ascii="黑体" w:hAnsi="黑体" w:eastAsia="黑体" w:cs="黑体"/>
          <w:color w:val="auto"/>
          <w:sz w:val="30"/>
          <w:szCs w:val="30"/>
          <w:highlight w:val="none"/>
        </w:rPr>
        <w:t>标段施工招标</w:t>
      </w:r>
    </w:p>
    <w:p w14:paraId="27B12E51">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65714698">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379D1FA7">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23A60FB0">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535EC391">
      <w:pPr>
        <w:keepNext w:val="0"/>
        <w:keepLines w:val="0"/>
        <w:pageBreakBefore w:val="0"/>
        <w:widowControl w:val="0"/>
        <w:kinsoku/>
        <w:wordWrap w:val="0"/>
        <w:overflowPunct/>
        <w:topLinePunct w:val="0"/>
        <w:autoSpaceDE/>
        <w:autoSpaceDN/>
        <w:bidi w:val="0"/>
        <w:snapToGrid/>
        <w:spacing w:before="8" w:line="240" w:lineRule="auto"/>
        <w:rPr>
          <w:rFonts w:ascii="黑体" w:hAnsi="黑体" w:eastAsia="黑体" w:cs="黑体"/>
          <w:color w:val="auto"/>
          <w:sz w:val="33"/>
          <w:szCs w:val="33"/>
          <w:highlight w:val="none"/>
        </w:rPr>
      </w:pPr>
    </w:p>
    <w:p w14:paraId="781F70A5">
      <w:pPr>
        <w:keepNext w:val="0"/>
        <w:keepLines w:val="0"/>
        <w:pageBreakBefore w:val="0"/>
        <w:widowControl w:val="0"/>
        <w:tabs>
          <w:tab w:val="left" w:pos="1677"/>
          <w:tab w:val="left" w:pos="3117"/>
          <w:tab w:val="left" w:pos="4557"/>
        </w:tabs>
        <w:kinsoku/>
        <w:wordWrap w:val="0"/>
        <w:overflowPunct/>
        <w:topLinePunct w:val="0"/>
        <w:autoSpaceDE/>
        <w:autoSpaceDN/>
        <w:bidi w:val="0"/>
        <w:snapToGrid/>
        <w:spacing w:before="0"/>
        <w:ind w:left="236" w:right="0" w:firstLine="0"/>
        <w:jc w:val="center"/>
        <w:rPr>
          <w:rFonts w:ascii="黑体" w:hAnsi="黑体" w:eastAsia="黑体" w:cs="黑体"/>
          <w:color w:val="auto"/>
          <w:sz w:val="72"/>
          <w:szCs w:val="72"/>
          <w:highlight w:val="none"/>
        </w:rPr>
      </w:pPr>
      <w:bookmarkStart w:id="539" w:name="_bookmark322"/>
      <w:bookmarkEnd w:id="539"/>
      <w:r>
        <w:rPr>
          <w:rFonts w:ascii="黑体" w:hAnsi="黑体" w:eastAsia="黑体" w:cs="黑体"/>
          <w:color w:val="auto"/>
          <w:sz w:val="72"/>
          <w:szCs w:val="72"/>
          <w:highlight w:val="none"/>
        </w:rPr>
        <w:t>投</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标</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文</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件</w:t>
      </w:r>
    </w:p>
    <w:p w14:paraId="0FBEF608">
      <w:pPr>
        <w:pStyle w:val="4"/>
        <w:keepNext w:val="0"/>
        <w:keepLines w:val="0"/>
        <w:pageBreakBefore w:val="0"/>
        <w:widowControl w:val="0"/>
        <w:kinsoku/>
        <w:wordWrap w:val="0"/>
        <w:overflowPunct/>
        <w:topLinePunct w:val="0"/>
        <w:autoSpaceDE/>
        <w:autoSpaceDN/>
        <w:bidi w:val="0"/>
        <w:snapToGrid/>
        <w:spacing w:before="526" w:line="240" w:lineRule="auto"/>
        <w:ind w:left="237" w:right="0"/>
        <w:jc w:val="center"/>
        <w:rPr>
          <w:color w:val="auto"/>
          <w:highlight w:val="none"/>
        </w:rPr>
      </w:pPr>
      <w:r>
        <w:rPr>
          <w:color w:val="auto"/>
          <w:highlight w:val="none"/>
        </w:rPr>
        <w:t>（报价文件）</w:t>
      </w:r>
    </w:p>
    <w:p w14:paraId="6D99817E">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72E86E6C">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3A42A7E6">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7BBC931C">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78B3AFBD">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71751A9A">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63ED708F">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184DEBAB">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2FB3F29C">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0B733CA5">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3D68B620">
      <w:pPr>
        <w:keepNext w:val="0"/>
        <w:keepLines w:val="0"/>
        <w:pageBreakBefore w:val="0"/>
        <w:widowControl w:val="0"/>
        <w:kinsoku/>
        <w:wordWrap w:val="0"/>
        <w:overflowPunct/>
        <w:topLinePunct w:val="0"/>
        <w:autoSpaceDE/>
        <w:autoSpaceDN/>
        <w:bidi w:val="0"/>
        <w:snapToGrid/>
        <w:spacing w:before="9" w:line="240" w:lineRule="auto"/>
        <w:rPr>
          <w:rFonts w:ascii="黑体" w:hAnsi="黑体" w:eastAsia="黑体" w:cs="黑体"/>
          <w:color w:val="auto"/>
          <w:sz w:val="37"/>
          <w:szCs w:val="37"/>
          <w:highlight w:val="none"/>
        </w:rPr>
      </w:pPr>
    </w:p>
    <w:p w14:paraId="49DE1256">
      <w:pPr>
        <w:keepNext w:val="0"/>
        <w:keepLines w:val="0"/>
        <w:pageBreakBefore w:val="0"/>
        <w:widowControl w:val="0"/>
        <w:tabs>
          <w:tab w:val="left" w:pos="6120"/>
        </w:tabs>
        <w:kinsoku/>
        <w:wordWrap w:val="0"/>
        <w:overflowPunct/>
        <w:topLinePunct w:val="0"/>
        <w:autoSpaceDE/>
        <w:autoSpaceDN/>
        <w:bidi w:val="0"/>
        <w:snapToGrid/>
        <w:spacing w:before="0"/>
        <w:ind w:left="239" w:right="0" w:firstLine="0"/>
        <w:jc w:val="center"/>
        <w:rPr>
          <w:rFonts w:ascii="黑体" w:hAnsi="黑体" w:eastAsia="黑体" w:cs="黑体"/>
          <w:color w:val="auto"/>
          <w:sz w:val="28"/>
          <w:szCs w:val="28"/>
          <w:highlight w:val="none"/>
        </w:rPr>
      </w:pPr>
      <w:r>
        <w:rPr>
          <w:rFonts w:ascii="黑体" w:hAnsi="黑体" w:eastAsia="黑体" w:cs="黑体"/>
          <w:color w:val="auto"/>
          <w:sz w:val="28"/>
          <w:szCs w:val="28"/>
          <w:highlight w:val="none"/>
        </w:rPr>
        <w:t>投标人：</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（盖单位章）</w:t>
      </w:r>
    </w:p>
    <w:p w14:paraId="3267BA20">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8"/>
          <w:szCs w:val="28"/>
          <w:highlight w:val="none"/>
        </w:rPr>
      </w:pPr>
    </w:p>
    <w:p w14:paraId="3D60AACD">
      <w:pPr>
        <w:keepNext w:val="0"/>
        <w:keepLines w:val="0"/>
        <w:pageBreakBefore w:val="0"/>
        <w:widowControl w:val="0"/>
        <w:kinsoku/>
        <w:wordWrap w:val="0"/>
        <w:overflowPunct/>
        <w:topLinePunct w:val="0"/>
        <w:autoSpaceDE/>
        <w:autoSpaceDN/>
        <w:bidi w:val="0"/>
        <w:snapToGrid/>
        <w:spacing w:before="3" w:line="240" w:lineRule="auto"/>
        <w:rPr>
          <w:rFonts w:ascii="黑体" w:hAnsi="黑体" w:eastAsia="黑体" w:cs="黑体"/>
          <w:color w:val="auto"/>
          <w:sz w:val="28"/>
          <w:szCs w:val="28"/>
          <w:highlight w:val="none"/>
        </w:rPr>
      </w:pPr>
    </w:p>
    <w:p w14:paraId="5DA3CAE2">
      <w:pPr>
        <w:keepNext w:val="0"/>
        <w:keepLines w:val="0"/>
        <w:pageBreakBefore w:val="0"/>
        <w:widowControl w:val="0"/>
        <w:tabs>
          <w:tab w:val="left" w:pos="3470"/>
          <w:tab w:val="left" w:pos="4872"/>
          <w:tab w:val="left" w:pos="6410"/>
        </w:tabs>
        <w:kinsoku/>
        <w:wordWrap w:val="0"/>
        <w:overflowPunct/>
        <w:topLinePunct w:val="0"/>
        <w:autoSpaceDE/>
        <w:autoSpaceDN/>
        <w:bidi w:val="0"/>
        <w:snapToGrid/>
        <w:spacing w:before="14"/>
        <w:ind w:left="2352" w:right="0" w:firstLine="0"/>
        <w:jc w:val="left"/>
        <w:rPr>
          <w:rFonts w:ascii="Times New Roman" w:hAnsi="Times New Roman" w:eastAsia="Times New Roman" w:cs="Times New Roman"/>
          <w:color w:val="auto"/>
          <w:w w:val="100"/>
          <w:sz w:val="28"/>
          <w:szCs w:val="28"/>
          <w:highlight w:val="none"/>
          <w:u w:val="single" w:color="000000"/>
        </w:rPr>
      </w:pPr>
    </w:p>
    <w:p w14:paraId="0E42D861">
      <w:pPr>
        <w:keepNext w:val="0"/>
        <w:keepLines w:val="0"/>
        <w:pageBreakBefore w:val="0"/>
        <w:widowControl w:val="0"/>
        <w:tabs>
          <w:tab w:val="left" w:pos="3470"/>
          <w:tab w:val="left" w:pos="4872"/>
          <w:tab w:val="left" w:pos="6410"/>
        </w:tabs>
        <w:kinsoku/>
        <w:wordWrap w:val="0"/>
        <w:overflowPunct/>
        <w:topLinePunct w:val="0"/>
        <w:autoSpaceDE/>
        <w:autoSpaceDN/>
        <w:bidi w:val="0"/>
        <w:snapToGrid/>
        <w:spacing w:before="14"/>
        <w:ind w:left="2352" w:right="0" w:firstLine="0"/>
        <w:jc w:val="left"/>
        <w:rPr>
          <w:rFonts w:ascii="黑体" w:hAnsi="黑体" w:eastAsia="黑体" w:cs="黑体"/>
          <w:color w:val="auto"/>
          <w:sz w:val="28"/>
          <w:szCs w:val="28"/>
          <w:highlight w:val="none"/>
        </w:rPr>
      </w:pPr>
      <w:r>
        <w:rPr>
          <w:rFonts w:ascii="Times New Roman" w:hAnsi="Times New Roman" w:eastAsia="Times New Roman" w:cs="Times New Roman"/>
          <w:color w:val="auto"/>
          <w:w w:val="100"/>
          <w:sz w:val="28"/>
          <w:szCs w:val="28"/>
          <w:highlight w:val="none"/>
          <w:u w:val="single" w:color="000000"/>
        </w:rPr>
        <w:t xml:space="preserve"> </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年</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月</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日</w:t>
      </w:r>
    </w:p>
    <w:p w14:paraId="62A6F50A">
      <w:pPr>
        <w:keepNext w:val="0"/>
        <w:keepLines w:val="0"/>
        <w:pageBreakBefore w:val="0"/>
        <w:widowControl w:val="0"/>
        <w:kinsoku/>
        <w:wordWrap w:val="0"/>
        <w:overflowPunct/>
        <w:topLinePunct w:val="0"/>
        <w:autoSpaceDE/>
        <w:autoSpaceDN/>
        <w:bidi w:val="0"/>
        <w:snapToGrid/>
        <w:spacing w:after="0"/>
        <w:jc w:val="left"/>
        <w:rPr>
          <w:rFonts w:ascii="黑体" w:hAnsi="黑体" w:eastAsia="黑体" w:cs="黑体"/>
          <w:color w:val="auto"/>
          <w:sz w:val="28"/>
          <w:szCs w:val="28"/>
          <w:highlight w:val="none"/>
        </w:rPr>
        <w:sectPr>
          <w:headerReference r:id="rId13" w:type="default"/>
          <w:pgSz w:w="11910" w:h="16850"/>
          <w:pgMar w:top="1587" w:right="1417" w:bottom="1417" w:left="1417" w:header="883" w:footer="845" w:gutter="0"/>
          <w:pgNumType w:fmt="decimal"/>
          <w:cols w:space="720" w:num="1"/>
        </w:sectPr>
      </w:pPr>
    </w:p>
    <w:p w14:paraId="19EE65F1">
      <w:pPr>
        <w:keepNext w:val="0"/>
        <w:keepLines w:val="0"/>
        <w:pageBreakBefore w:val="0"/>
        <w:widowControl w:val="0"/>
        <w:tabs>
          <w:tab w:val="left" w:pos="1235"/>
        </w:tabs>
        <w:kinsoku/>
        <w:wordWrap w:val="0"/>
        <w:overflowPunct/>
        <w:topLinePunct w:val="0"/>
        <w:autoSpaceDE/>
        <w:autoSpaceDN/>
        <w:bidi w:val="0"/>
        <w:snapToGrid/>
        <w:spacing w:before="7"/>
        <w:ind w:left="183" w:right="0" w:firstLine="0"/>
        <w:jc w:val="center"/>
        <w:rPr>
          <w:rFonts w:ascii="黑体" w:hAnsi="黑体" w:eastAsia="黑体" w:cs="黑体"/>
          <w:b/>
          <w:bCs/>
          <w:color w:val="auto"/>
          <w:w w:val="95"/>
          <w:sz w:val="30"/>
          <w:szCs w:val="30"/>
          <w:highlight w:val="none"/>
        </w:rPr>
      </w:pPr>
    </w:p>
    <w:p w14:paraId="0F3393F9">
      <w:pPr>
        <w:keepNext w:val="0"/>
        <w:keepLines w:val="0"/>
        <w:pageBreakBefore w:val="0"/>
        <w:widowControl w:val="0"/>
        <w:tabs>
          <w:tab w:val="left" w:pos="1235"/>
        </w:tabs>
        <w:kinsoku/>
        <w:wordWrap w:val="0"/>
        <w:overflowPunct/>
        <w:topLinePunct w:val="0"/>
        <w:autoSpaceDE/>
        <w:autoSpaceDN/>
        <w:bidi w:val="0"/>
        <w:snapToGrid/>
        <w:spacing w:before="7"/>
        <w:ind w:left="183" w:right="0" w:firstLine="0"/>
        <w:jc w:val="center"/>
        <w:rPr>
          <w:rFonts w:ascii="黑体" w:hAnsi="黑体" w:eastAsia="黑体" w:cs="黑体"/>
          <w:b/>
          <w:bCs/>
          <w:color w:val="auto"/>
          <w:sz w:val="30"/>
          <w:szCs w:val="30"/>
          <w:highlight w:val="none"/>
        </w:rPr>
      </w:pPr>
      <w:r>
        <w:rPr>
          <w:rFonts w:ascii="黑体" w:hAnsi="黑体" w:eastAsia="黑体" w:cs="黑体"/>
          <w:b/>
          <w:bCs/>
          <w:color w:val="auto"/>
          <w:w w:val="95"/>
          <w:sz w:val="30"/>
          <w:szCs w:val="30"/>
          <w:highlight w:val="none"/>
        </w:rPr>
        <w:t>目</w:t>
      </w:r>
      <w:r>
        <w:rPr>
          <w:rFonts w:ascii="黑体" w:hAnsi="黑体" w:eastAsia="黑体" w:cs="黑体"/>
          <w:b/>
          <w:bCs/>
          <w:color w:val="auto"/>
          <w:w w:val="95"/>
          <w:sz w:val="30"/>
          <w:szCs w:val="30"/>
          <w:highlight w:val="none"/>
        </w:rPr>
        <w:tab/>
      </w:r>
      <w:r>
        <w:rPr>
          <w:rFonts w:ascii="黑体" w:hAnsi="黑体" w:eastAsia="黑体" w:cs="黑体"/>
          <w:b/>
          <w:bCs/>
          <w:color w:val="auto"/>
          <w:sz w:val="30"/>
          <w:szCs w:val="30"/>
          <w:highlight w:val="none"/>
        </w:rPr>
        <w:t>录</w:t>
      </w:r>
    </w:p>
    <w:p w14:paraId="00B19B79">
      <w:pPr>
        <w:keepNext w:val="0"/>
        <w:keepLines w:val="0"/>
        <w:pageBreakBefore w:val="0"/>
        <w:widowControl w:val="0"/>
        <w:tabs>
          <w:tab w:val="left" w:pos="1235"/>
        </w:tabs>
        <w:kinsoku/>
        <w:wordWrap w:val="0"/>
        <w:overflowPunct/>
        <w:topLinePunct w:val="0"/>
        <w:autoSpaceDE/>
        <w:autoSpaceDN/>
        <w:bidi w:val="0"/>
        <w:snapToGrid/>
        <w:spacing w:before="7"/>
        <w:ind w:left="183" w:right="0" w:firstLine="0"/>
        <w:jc w:val="center"/>
        <w:rPr>
          <w:rFonts w:ascii="黑体" w:hAnsi="黑体" w:eastAsia="黑体" w:cs="黑体"/>
          <w:b/>
          <w:bCs/>
          <w:color w:val="auto"/>
          <w:sz w:val="30"/>
          <w:szCs w:val="30"/>
          <w:highlight w:val="none"/>
        </w:rPr>
      </w:pPr>
    </w:p>
    <w:p w14:paraId="2728040A">
      <w:pPr>
        <w:pStyle w:val="10"/>
        <w:keepNext w:val="0"/>
        <w:keepLines w:val="0"/>
        <w:pageBreakBefore w:val="0"/>
        <w:widowControl w:val="0"/>
        <w:numPr>
          <w:ilvl w:val="0"/>
          <w:numId w:val="0"/>
        </w:numPr>
        <w:kinsoku/>
        <w:wordWrap w:val="0"/>
        <w:overflowPunct/>
        <w:topLinePunct w:val="0"/>
        <w:autoSpaceDE/>
        <w:autoSpaceDN/>
        <w:bidi w:val="0"/>
        <w:snapToGrid/>
        <w:spacing w:line="336" w:lineRule="auto"/>
        <w:ind w:right="3822" w:rightChars="0"/>
        <w:jc w:val="left"/>
        <w:rPr>
          <w:color w:val="auto"/>
          <w:highlight w:val="none"/>
        </w:rPr>
      </w:pPr>
    </w:p>
    <w:p w14:paraId="5BB78B67">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r>
        <w:rPr>
          <w:rFonts w:hint="eastAsia"/>
          <w:color w:val="auto"/>
          <w:highlight w:val="none"/>
          <w:lang w:eastAsia="zh-CN"/>
        </w:rPr>
        <w:t>一、</w:t>
      </w:r>
      <w:r>
        <w:rPr>
          <w:color w:val="auto"/>
          <w:highlight w:val="none"/>
        </w:rPr>
        <w:t>投标函</w:t>
      </w:r>
      <w:r>
        <w:rPr>
          <w:rFonts w:ascii="宋体" w:hAnsi="宋体" w:eastAsia="宋体" w:cs="宋体"/>
          <w:color w:val="auto"/>
          <w:highlight w:val="none"/>
        </w:rPr>
        <w:t xml:space="preserve"> </w:t>
      </w:r>
    </w:p>
    <w:p w14:paraId="5A7F1CE3">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r>
        <w:rPr>
          <w:color w:val="auto"/>
          <w:highlight w:val="none"/>
        </w:rPr>
        <w:t>二、已标价工程量清单</w:t>
      </w:r>
      <w:r>
        <w:rPr>
          <w:rFonts w:ascii="宋体" w:hAnsi="宋体" w:eastAsia="宋体" w:cs="宋体"/>
          <w:color w:val="auto"/>
          <w:highlight w:val="none"/>
        </w:rPr>
        <w:t xml:space="preserve"> </w:t>
      </w:r>
    </w:p>
    <w:p w14:paraId="3B9AE796">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r>
        <w:rPr>
          <w:color w:val="auto"/>
          <w:highlight w:val="none"/>
        </w:rPr>
        <w:t>三、合同用款估算表</w:t>
      </w:r>
      <w:r>
        <w:rPr>
          <w:rFonts w:ascii="宋体" w:hAnsi="宋体" w:eastAsia="宋体" w:cs="宋体"/>
          <w:color w:val="auto"/>
          <w:highlight w:val="none"/>
        </w:rPr>
        <w:t xml:space="preserve"> </w:t>
      </w:r>
    </w:p>
    <w:p w14:paraId="1FAE3BAE">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26F45ED7">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30F5607F">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55DF0F6D">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620E40C8">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1A940545">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3A415D36">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071985D1">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40F5E8F8">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1F81DBA2">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040D30BC">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0C2C6322">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0504C95B">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7B93761A">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078A6669">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1FAE56B4">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3622015F">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7DFA7E42">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484ED3EE">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50DB1666">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53C0F640">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46BE242F">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jc w:val="left"/>
        <w:textAlignment w:val="auto"/>
        <w:rPr>
          <w:rFonts w:ascii="宋体" w:hAnsi="宋体" w:eastAsia="宋体" w:cs="宋体"/>
          <w:color w:val="auto"/>
          <w:highlight w:val="none"/>
        </w:rPr>
        <w:sectPr>
          <w:headerReference r:id="rId14" w:type="default"/>
          <w:pgSz w:w="11910" w:h="16850"/>
          <w:pgMar w:top="1587" w:right="1417" w:bottom="1417" w:left="1417" w:header="883" w:footer="869" w:gutter="0"/>
          <w:pgNumType w:fmt="decimal"/>
          <w:cols w:space="720" w:num="1"/>
        </w:sectPr>
      </w:pPr>
    </w:p>
    <w:p w14:paraId="0BF7CA59">
      <w:pPr>
        <w:pStyle w:val="6"/>
        <w:keepNext w:val="0"/>
        <w:keepLines w:val="0"/>
        <w:pageBreakBefore w:val="0"/>
        <w:widowControl w:val="0"/>
        <w:kinsoku/>
        <w:wordWrap w:val="0"/>
        <w:overflowPunct/>
        <w:topLinePunct w:val="0"/>
        <w:autoSpaceDE/>
        <w:autoSpaceDN/>
        <w:bidi w:val="0"/>
        <w:snapToGrid/>
        <w:spacing w:line="240" w:lineRule="auto"/>
        <w:ind w:right="78"/>
        <w:jc w:val="center"/>
        <w:rPr>
          <w:rFonts w:ascii="黑体" w:hAnsi="黑体" w:eastAsia="黑体" w:cs="黑体"/>
          <w:color w:val="auto"/>
          <w:sz w:val="20"/>
          <w:szCs w:val="20"/>
          <w:highlight w:val="none"/>
        </w:rPr>
      </w:pPr>
      <w:r>
        <w:rPr>
          <w:rFonts w:hint="eastAsia" w:ascii="宋体" w:hAnsi="宋体" w:eastAsia="宋体" w:cs="宋体"/>
          <w:b/>
          <w:bCs/>
          <w:color w:val="auto"/>
          <w:highlight w:val="none"/>
        </w:rPr>
        <w:t>一、投标函</w:t>
      </w:r>
    </w:p>
    <w:p w14:paraId="2504BD03">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黑体" w:hAnsi="黑体" w:eastAsia="黑体" w:cs="黑体"/>
          <w:color w:val="auto"/>
          <w:sz w:val="21"/>
          <w:szCs w:val="21"/>
          <w:highlight w:val="none"/>
        </w:rPr>
      </w:pPr>
    </w:p>
    <w:p w14:paraId="785F7D11">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黑体" w:hAnsi="黑体" w:eastAsia="黑体" w:cs="黑体"/>
          <w:color w:val="auto"/>
          <w:sz w:val="21"/>
          <w:szCs w:val="21"/>
          <w:highlight w:val="none"/>
        </w:rPr>
      </w:pPr>
    </w:p>
    <w:p w14:paraId="34BC1031">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黑体" w:hAnsi="黑体" w:eastAsia="黑体" w:cs="黑体"/>
          <w:color w:val="auto"/>
          <w:sz w:val="21"/>
          <w:szCs w:val="21"/>
          <w:highlight w:val="none"/>
        </w:rPr>
      </w:pPr>
    </w:p>
    <w:p w14:paraId="0E9B2CB5">
      <w:pPr>
        <w:pStyle w:val="10"/>
        <w:keepNext w:val="0"/>
        <w:keepLines w:val="0"/>
        <w:pageBreakBefore w:val="0"/>
        <w:widowControl w:val="0"/>
        <w:tabs>
          <w:tab w:val="left" w:pos="3144"/>
        </w:tabs>
        <w:kinsoku/>
        <w:wordWrap w:val="0"/>
        <w:overflowPunct/>
        <w:topLinePunct w:val="0"/>
        <w:autoSpaceDE/>
        <w:autoSpaceDN/>
        <w:bidi w:val="0"/>
        <w:adjustRightInd/>
        <w:snapToGrid/>
        <w:spacing w:line="360"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pacing w:val="-15"/>
          <w:sz w:val="24"/>
          <w:szCs w:val="24"/>
          <w:highlight w:val="none"/>
        </w:rPr>
        <w:t>（招标人名称）：</w:t>
      </w:r>
    </w:p>
    <w:p w14:paraId="5670C962">
      <w:pPr>
        <w:pStyle w:val="10"/>
        <w:keepNext w:val="0"/>
        <w:keepLines w:val="0"/>
        <w:pageBreakBefore w:val="0"/>
        <w:widowControl w:val="0"/>
        <w:tabs>
          <w:tab w:val="left" w:pos="3596"/>
          <w:tab w:val="left" w:pos="4676"/>
          <w:tab w:val="left" w:pos="4844"/>
          <w:tab w:val="left" w:pos="7374"/>
        </w:tabs>
        <w:kinsoku/>
        <w:wordWrap w:val="0"/>
        <w:overflowPunct/>
        <w:topLinePunct w:val="0"/>
        <w:autoSpaceDE/>
        <w:autoSpaceDN/>
        <w:bidi w:val="0"/>
        <w:adjustRightInd/>
        <w:snapToGrid/>
        <w:spacing w:line="360" w:lineRule="auto"/>
        <w:ind w:right="225" w:firstLine="479"/>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1．我方已仔细研究</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 xml:space="preserve">标段施工招标 </w:t>
      </w:r>
      <w:r>
        <w:rPr>
          <w:rFonts w:hint="eastAsia" w:ascii="宋体" w:hAnsi="宋体" w:eastAsia="宋体" w:cs="宋体"/>
          <w:color w:val="auto"/>
          <w:spacing w:val="-3"/>
          <w:sz w:val="24"/>
          <w:szCs w:val="24"/>
          <w:highlight w:val="none"/>
        </w:rPr>
        <w:t>文件的全部内容（含补遗书第</w:t>
      </w:r>
      <w:r>
        <w:rPr>
          <w:rFonts w:hint="eastAsia" w:ascii="宋体" w:hAnsi="宋体" w:eastAsia="宋体" w:cs="宋体"/>
          <w:color w:val="auto"/>
          <w:spacing w:val="-3"/>
          <w:sz w:val="24"/>
          <w:szCs w:val="24"/>
          <w:highlight w:val="none"/>
          <w:u w:val="single" w:color="000000"/>
        </w:rPr>
        <w:tab/>
      </w:r>
      <w:r>
        <w:rPr>
          <w:rFonts w:hint="eastAsia" w:ascii="宋体" w:hAnsi="宋体" w:eastAsia="宋体" w:cs="宋体"/>
          <w:color w:val="auto"/>
          <w:sz w:val="24"/>
          <w:szCs w:val="24"/>
          <w:highlight w:val="none"/>
        </w:rPr>
        <w:t>号至第</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pacing w:val="-10"/>
          <w:sz w:val="24"/>
          <w:szCs w:val="24"/>
          <w:highlight w:val="none"/>
        </w:rPr>
        <w:t>号），在考察工程现场后，愿意以人民币</w:t>
      </w:r>
    </w:p>
    <w:p w14:paraId="37C13F42">
      <w:pPr>
        <w:pStyle w:val="10"/>
        <w:keepNext w:val="0"/>
        <w:keepLines w:val="0"/>
        <w:pageBreakBefore w:val="0"/>
        <w:widowControl w:val="0"/>
        <w:tabs>
          <w:tab w:val="left" w:pos="2436"/>
          <w:tab w:val="left" w:pos="4004"/>
          <w:tab w:val="left" w:pos="5809"/>
        </w:tabs>
        <w:kinsoku/>
        <w:wordWrap w:val="0"/>
        <w:overflowPunct/>
        <w:topLinePunct w:val="0"/>
        <w:autoSpaceDE/>
        <w:autoSpaceDN/>
        <w:bidi w:val="0"/>
        <w:adjustRightInd/>
        <w:snapToGrid/>
        <w:spacing w:line="360" w:lineRule="auto"/>
        <w:ind w:right="226"/>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pacing w:val="-1"/>
          <w:sz w:val="24"/>
          <w:szCs w:val="24"/>
          <w:highlight w:val="none"/>
        </w:rPr>
        <w:t>元（¥</w:t>
      </w:r>
      <w:r>
        <w:rPr>
          <w:rFonts w:hint="eastAsia" w:ascii="宋体" w:hAnsi="宋体" w:eastAsia="宋体" w:cs="宋体"/>
          <w:color w:val="auto"/>
          <w:spacing w:val="-1"/>
          <w:sz w:val="24"/>
          <w:szCs w:val="24"/>
          <w:highlight w:val="none"/>
          <w:u w:val="single" w:color="000000"/>
        </w:rPr>
        <w:tab/>
      </w:r>
      <w:r>
        <w:rPr>
          <w:rFonts w:hint="eastAsia" w:ascii="宋体" w:hAnsi="宋体" w:eastAsia="宋体" w:cs="宋体"/>
          <w:color w:val="auto"/>
          <w:sz w:val="24"/>
          <w:szCs w:val="24"/>
          <w:highlight w:val="none"/>
        </w:rPr>
        <w:t>）的投标总报价（或根据招标文件规定修正核</w:t>
      </w:r>
      <w:r>
        <w:rPr>
          <w:rFonts w:hint="eastAsia" w:ascii="宋体" w:hAnsi="宋体" w:eastAsia="宋体" w:cs="宋体"/>
          <w:color w:val="auto"/>
          <w:spacing w:val="-110"/>
          <w:sz w:val="24"/>
          <w:szCs w:val="24"/>
          <w:highlight w:val="none"/>
        </w:rPr>
        <w:t xml:space="preserve"> </w:t>
      </w:r>
      <w:r>
        <w:rPr>
          <w:rFonts w:hint="eastAsia" w:ascii="宋体" w:hAnsi="宋体" w:eastAsia="宋体" w:cs="宋体"/>
          <w:color w:val="auto"/>
          <w:sz w:val="24"/>
          <w:szCs w:val="24"/>
          <w:highlight w:val="none"/>
        </w:rPr>
        <w:t>实后确定的另一金额，其中，增值税税率为</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pacing w:val="-9"/>
          <w:sz w:val="24"/>
          <w:szCs w:val="24"/>
          <w:highlight w:val="none"/>
        </w:rPr>
        <w:t>），按合同约定实施和完成承</w:t>
      </w:r>
      <w:r>
        <w:rPr>
          <w:rFonts w:hint="eastAsia" w:ascii="宋体" w:hAnsi="宋体" w:eastAsia="宋体" w:cs="宋体"/>
          <w:color w:val="auto"/>
          <w:spacing w:val="-116"/>
          <w:sz w:val="24"/>
          <w:szCs w:val="24"/>
          <w:highlight w:val="none"/>
        </w:rPr>
        <w:t xml:space="preserve"> </w:t>
      </w:r>
      <w:r>
        <w:rPr>
          <w:rFonts w:hint="eastAsia" w:ascii="宋体" w:hAnsi="宋体" w:eastAsia="宋体" w:cs="宋体"/>
          <w:color w:val="auto"/>
          <w:sz w:val="24"/>
          <w:szCs w:val="24"/>
          <w:highlight w:val="none"/>
        </w:rPr>
        <w:t>包工程，修补工程中的任何缺陷。</w:t>
      </w:r>
    </w:p>
    <w:p w14:paraId="4D549CD4">
      <w:pPr>
        <w:pStyle w:val="10"/>
        <w:keepNext w:val="0"/>
        <w:keepLines w:val="0"/>
        <w:pageBreakBefore w:val="0"/>
        <w:widowControl w:val="0"/>
        <w:kinsoku/>
        <w:wordWrap w:val="0"/>
        <w:overflowPunct/>
        <w:topLinePunct w:val="0"/>
        <w:autoSpaceDE/>
        <w:autoSpaceDN/>
        <w:bidi w:val="0"/>
        <w:adjustRightInd/>
        <w:snapToGrid/>
        <w:spacing w:line="360" w:lineRule="auto"/>
        <w:ind w:right="0" w:firstLine="479"/>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2．在合同协议书正式签署生效之前，本投标函连同你方的中标通知书将构成我</w:t>
      </w:r>
      <w:r>
        <w:rPr>
          <w:rFonts w:hint="eastAsia" w:ascii="宋体" w:hAnsi="宋体" w:eastAsia="宋体" w:cs="宋体"/>
          <w:color w:val="auto"/>
          <w:sz w:val="24"/>
          <w:szCs w:val="24"/>
          <w:highlight w:val="none"/>
        </w:rPr>
        <w:t xml:space="preserve"> 们双方之间共同遵守的文件，对双方具有约束力。</w:t>
      </w:r>
    </w:p>
    <w:p w14:paraId="7B3A4CA3">
      <w:pPr>
        <w:pStyle w:val="10"/>
        <w:keepNext w:val="0"/>
        <w:keepLines w:val="0"/>
        <w:pageBreakBefore w:val="0"/>
        <w:widowControl w:val="0"/>
        <w:tabs>
          <w:tab w:val="left" w:pos="5665"/>
        </w:tabs>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pacing w:val="-14"/>
          <w:sz w:val="24"/>
          <w:szCs w:val="24"/>
          <w:highlight w:val="none"/>
        </w:rPr>
        <w:t>（其他补充说明）。</w:t>
      </w:r>
    </w:p>
    <w:p w14:paraId="679EE549">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5410A1C2">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w:t>
      </w:r>
      <w:r>
        <w:rPr>
          <w:rFonts w:hint="eastAsia" w:ascii="宋体" w:hAnsi="宋体" w:eastAsia="宋体" w:cs="宋体"/>
          <w:color w:val="auto"/>
          <w:spacing w:val="-4"/>
          <w:sz w:val="24"/>
          <w:szCs w:val="24"/>
          <w:highlight w:val="none"/>
        </w:rPr>
        <w:t>人：</w:t>
      </w:r>
      <w:r>
        <w:rPr>
          <w:rFonts w:hint="eastAsia" w:ascii="宋体" w:hAnsi="宋体" w:eastAsia="宋体" w:cs="宋体"/>
          <w:color w:val="auto"/>
          <w:spacing w:val="-4"/>
          <w:sz w:val="24"/>
          <w:szCs w:val="24"/>
          <w:highlight w:val="none"/>
          <w:u w:val="single" w:color="000000"/>
        </w:rPr>
        <w:tab/>
      </w:r>
      <w:r>
        <w:rPr>
          <w:rFonts w:hint="eastAsia" w:ascii="宋体" w:hAnsi="宋体" w:eastAsia="宋体" w:cs="宋体"/>
          <w:color w:val="auto"/>
          <w:sz w:val="24"/>
          <w:szCs w:val="24"/>
          <w:highlight w:val="none"/>
        </w:rPr>
        <w:t>（盖单位章）</w:t>
      </w:r>
    </w:p>
    <w:p w14:paraId="284C5915">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法定代表人或其委托代理人：</w:t>
      </w:r>
      <w:r>
        <w:rPr>
          <w:rFonts w:hint="eastAsia" w:ascii="宋体" w:hAnsi="宋体" w:eastAsia="宋体" w:cs="宋体"/>
          <w:color w:val="auto"/>
          <w:spacing w:val="-1"/>
          <w:sz w:val="24"/>
          <w:szCs w:val="24"/>
          <w:highlight w:val="none"/>
          <w:u w:val="single" w:color="000000"/>
        </w:rPr>
        <w:tab/>
      </w:r>
      <w:r>
        <w:rPr>
          <w:rFonts w:hint="eastAsia" w:ascii="宋体" w:hAnsi="宋体" w:eastAsia="宋体" w:cs="宋体"/>
          <w:color w:val="auto"/>
          <w:spacing w:val="-1"/>
          <w:sz w:val="24"/>
          <w:szCs w:val="24"/>
          <w:highlight w:val="none"/>
          <w:u w:val="single" w:color="000000"/>
        </w:rPr>
        <w:tab/>
      </w:r>
      <w:r>
        <w:rPr>
          <w:rFonts w:hint="eastAsia" w:ascii="宋体" w:hAnsi="宋体" w:eastAsia="宋体" w:cs="宋体"/>
          <w:color w:val="auto"/>
          <w:sz w:val="24"/>
          <w:szCs w:val="24"/>
          <w:highlight w:val="none"/>
        </w:rPr>
        <w:t>（签字） 地</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 xml:space="preserve"> </w:t>
      </w:r>
    </w:p>
    <w:p w14:paraId="03E4FED8">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4"/>
          <w:szCs w:val="24"/>
          <w:highlight w:val="none"/>
          <w:u w:val="single" w:color="000000"/>
        </w:rPr>
      </w:pPr>
      <w:r>
        <w:rPr>
          <w:rFonts w:hint="eastAsia" w:ascii="宋体" w:hAnsi="宋体" w:eastAsia="宋体" w:cs="宋体"/>
          <w:color w:val="auto"/>
          <w:sz w:val="24"/>
          <w:szCs w:val="24"/>
          <w:highlight w:val="none"/>
        </w:rPr>
        <w:t>网</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p>
    <w:p w14:paraId="1B14CE37">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4"/>
          <w:szCs w:val="24"/>
          <w:highlight w:val="none"/>
          <w:u w:val="single" w:color="000000"/>
        </w:rPr>
      </w:pPr>
      <w:r>
        <w:rPr>
          <w:rFonts w:hint="eastAsia" w:ascii="宋体" w:hAnsi="宋体" w:eastAsia="宋体" w:cs="宋体"/>
          <w:color w:val="auto"/>
          <w:sz w:val="24"/>
          <w:szCs w:val="24"/>
          <w:highlight w:val="none"/>
        </w:rPr>
        <w:t>电</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话：</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p>
    <w:p w14:paraId="5777FC4C">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4"/>
          <w:szCs w:val="24"/>
          <w:highlight w:val="none"/>
          <w:u w:val="single" w:color="000000"/>
        </w:rPr>
      </w:pPr>
      <w:r>
        <w:rPr>
          <w:rFonts w:hint="eastAsia" w:ascii="宋体" w:hAnsi="宋体" w:eastAsia="宋体" w:cs="宋体"/>
          <w:color w:val="auto"/>
          <w:sz w:val="24"/>
          <w:szCs w:val="24"/>
          <w:highlight w:val="none"/>
        </w:rPr>
        <w:t>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真：</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p>
    <w:p w14:paraId="521A9847">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p>
    <w:p w14:paraId="460EC1F9">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197667BD">
      <w:pPr>
        <w:pStyle w:val="10"/>
        <w:keepNext w:val="0"/>
        <w:keepLines w:val="0"/>
        <w:pageBreakBefore w:val="0"/>
        <w:widowControl w:val="0"/>
        <w:tabs>
          <w:tab w:val="left" w:pos="5965"/>
          <w:tab w:val="left" w:pos="7045"/>
          <w:tab w:val="left" w:pos="8125"/>
        </w:tabs>
        <w:kinsoku/>
        <w:wordWrap w:val="0"/>
        <w:overflowPunct/>
        <w:topLinePunct w:val="0"/>
        <w:autoSpaceDE/>
        <w:autoSpaceDN/>
        <w:bidi w:val="0"/>
        <w:adjustRightInd/>
        <w:snapToGrid/>
        <w:spacing w:line="360" w:lineRule="auto"/>
        <w:ind w:left="4885"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日</w:t>
      </w:r>
    </w:p>
    <w:p w14:paraId="0AC9BD41">
      <w:pPr>
        <w:keepNext w:val="0"/>
        <w:keepLines w:val="0"/>
        <w:pageBreakBefore w:val="0"/>
        <w:widowControl w:val="0"/>
        <w:kinsoku/>
        <w:wordWrap w:val="0"/>
        <w:overflowPunct/>
        <w:topLinePunct w:val="0"/>
        <w:autoSpaceDE/>
        <w:autoSpaceDN/>
        <w:bidi w:val="0"/>
        <w:snapToGrid/>
        <w:spacing w:before="0" w:line="240" w:lineRule="auto"/>
        <w:rPr>
          <w:rFonts w:hint="eastAsia" w:ascii="宋体" w:hAnsi="宋体" w:eastAsia="宋体" w:cs="宋体"/>
          <w:color w:val="auto"/>
          <w:sz w:val="24"/>
          <w:szCs w:val="24"/>
          <w:highlight w:val="none"/>
        </w:rPr>
      </w:pPr>
    </w:p>
    <w:p w14:paraId="67D85FF6">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2F6EBBA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0D9C4A7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20F8CFE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61FCC76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2F4FDE7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6B17DB53">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auto"/>
          <w:sz w:val="30"/>
          <w:szCs w:val="30"/>
          <w:highlight w:val="none"/>
        </w:rPr>
      </w:pPr>
      <w:r>
        <w:rPr>
          <w:rFonts w:hint="eastAsia" w:eastAsia="宋体" w:cs="Times New Roman"/>
          <w:b/>
          <w:bCs/>
          <w:color w:val="auto"/>
          <w:kern w:val="2"/>
          <w:sz w:val="30"/>
          <w:szCs w:val="30"/>
          <w:highlight w:val="none"/>
          <w:lang w:val="en-US" w:eastAsia="zh-CN" w:bidi="ar-SA"/>
        </w:rPr>
        <w:t>二</w:t>
      </w:r>
      <w:r>
        <w:rPr>
          <w:rFonts w:hint="default" w:ascii="Times New Roman" w:hAnsi="Times New Roman" w:eastAsia="宋体" w:cs="Times New Roman"/>
          <w:b/>
          <w:bCs/>
          <w:color w:val="auto"/>
          <w:kern w:val="2"/>
          <w:sz w:val="30"/>
          <w:szCs w:val="30"/>
          <w:highlight w:val="none"/>
          <w:lang w:val="en-US" w:eastAsia="zh-CN" w:bidi="ar-SA"/>
        </w:rPr>
        <w:t>、</w:t>
      </w:r>
      <w:r>
        <w:rPr>
          <w:rFonts w:hint="eastAsia" w:ascii="宋体" w:hAnsi="宋体" w:eastAsia="宋体" w:cs="宋体"/>
          <w:b/>
          <w:bCs/>
          <w:color w:val="auto"/>
          <w:sz w:val="30"/>
          <w:szCs w:val="30"/>
          <w:highlight w:val="none"/>
        </w:rPr>
        <w:t>已标价工程量清单</w:t>
      </w:r>
    </w:p>
    <w:p w14:paraId="1DD77B44">
      <w:pPr>
        <w:keepNext w:val="0"/>
        <w:keepLines w:val="0"/>
        <w:pageBreakBefore w:val="0"/>
        <w:widowControl w:val="0"/>
        <w:numPr>
          <w:ilvl w:val="0"/>
          <w:numId w:val="0"/>
        </w:numPr>
        <w:kinsoku/>
        <w:wordWrap w:val="0"/>
        <w:overflowPunct/>
        <w:topLinePunct w:val="0"/>
        <w:autoSpaceDE/>
        <w:autoSpaceDN/>
        <w:bidi w:val="0"/>
        <w:snapToGrid/>
        <w:spacing w:before="14"/>
        <w:ind w:right="0" w:rightChars="0"/>
        <w:jc w:val="left"/>
        <w:rPr>
          <w:rFonts w:hint="eastAsia" w:ascii="宋体" w:hAnsi="宋体" w:eastAsia="宋体" w:cs="宋体"/>
          <w:b/>
          <w:bCs/>
          <w:color w:val="auto"/>
          <w:sz w:val="30"/>
          <w:szCs w:val="30"/>
          <w:highlight w:val="none"/>
        </w:rPr>
      </w:pPr>
    </w:p>
    <w:p w14:paraId="05A17ED3">
      <w:pPr>
        <w:keepNext w:val="0"/>
        <w:keepLines w:val="0"/>
        <w:pageBreakBefore w:val="0"/>
        <w:widowControl w:val="0"/>
        <w:numPr>
          <w:ilvl w:val="0"/>
          <w:numId w:val="0"/>
        </w:numPr>
        <w:kinsoku/>
        <w:wordWrap w:val="0"/>
        <w:overflowPunct/>
        <w:topLinePunct w:val="0"/>
        <w:autoSpaceDE/>
        <w:autoSpaceDN/>
        <w:bidi w:val="0"/>
        <w:snapToGrid/>
        <w:spacing w:before="14"/>
        <w:ind w:right="0" w:rightChars="0"/>
        <w:jc w:val="left"/>
        <w:rPr>
          <w:rFonts w:hint="eastAsia" w:ascii="宋体" w:hAnsi="宋体" w:eastAsia="宋体" w:cs="宋体"/>
          <w:b/>
          <w:bCs/>
          <w:color w:val="auto"/>
          <w:sz w:val="30"/>
          <w:szCs w:val="30"/>
          <w:highlight w:val="none"/>
        </w:rPr>
      </w:pPr>
    </w:p>
    <w:p w14:paraId="6E60F0F1">
      <w:pPr>
        <w:keepNext w:val="0"/>
        <w:keepLines w:val="0"/>
        <w:pageBreakBefore w:val="0"/>
        <w:widowControl w:val="0"/>
        <w:numPr>
          <w:ilvl w:val="0"/>
          <w:numId w:val="0"/>
        </w:numPr>
        <w:kinsoku/>
        <w:wordWrap w:val="0"/>
        <w:overflowPunct/>
        <w:topLinePunct w:val="0"/>
        <w:autoSpaceDE/>
        <w:autoSpaceDN/>
        <w:bidi w:val="0"/>
        <w:snapToGrid/>
        <w:spacing w:before="14"/>
        <w:ind w:right="0" w:rightChars="0"/>
        <w:jc w:val="left"/>
        <w:rPr>
          <w:rFonts w:hint="eastAsia" w:ascii="宋体" w:hAnsi="宋体" w:eastAsia="宋体" w:cs="宋体"/>
          <w:b/>
          <w:bCs/>
          <w:color w:val="auto"/>
          <w:sz w:val="30"/>
          <w:szCs w:val="30"/>
          <w:highlight w:val="none"/>
        </w:rPr>
      </w:pPr>
    </w:p>
    <w:p w14:paraId="0BD9B7B6">
      <w:pPr>
        <w:keepNext w:val="0"/>
        <w:keepLines w:val="0"/>
        <w:pageBreakBefore w:val="0"/>
        <w:widowControl w:val="0"/>
        <w:numPr>
          <w:ilvl w:val="0"/>
          <w:numId w:val="0"/>
        </w:numPr>
        <w:kinsoku/>
        <w:wordWrap w:val="0"/>
        <w:overflowPunct/>
        <w:topLinePunct w:val="0"/>
        <w:autoSpaceDE/>
        <w:autoSpaceDN/>
        <w:bidi w:val="0"/>
        <w:snapToGrid/>
        <w:spacing w:before="14"/>
        <w:ind w:right="0" w:rightChars="0"/>
        <w:jc w:val="left"/>
        <w:rPr>
          <w:rFonts w:hint="eastAsia" w:ascii="宋体" w:hAnsi="宋体" w:eastAsia="宋体" w:cs="宋体"/>
          <w:b/>
          <w:bCs/>
          <w:color w:val="auto"/>
          <w:sz w:val="30"/>
          <w:szCs w:val="30"/>
          <w:highlight w:val="none"/>
        </w:rPr>
      </w:pPr>
    </w:p>
    <w:p w14:paraId="17D3A72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1FA6920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0F35FD2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A9E308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80FCF3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9ABF56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0A2B8D6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249144C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197FA15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FEDDAD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79A2AD7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7836616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7856AC3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7F55696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463C653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07BEECE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6BB092E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66158EB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2F02E82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77082C1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78C044B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6BA4B29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75DE47C">
      <w:pPr>
        <w:keepNext w:val="0"/>
        <w:keepLines w:val="0"/>
        <w:pageBreakBefore w:val="0"/>
        <w:widowControl w:val="0"/>
        <w:kinsoku/>
        <w:wordWrap w:val="0"/>
        <w:overflowPunct/>
        <w:topLinePunct w:val="0"/>
        <w:autoSpaceDE/>
        <w:autoSpaceDN/>
        <w:bidi w:val="0"/>
        <w:snapToGrid/>
        <w:spacing w:before="14"/>
        <w:ind w:left="0" w:right="301" w:firstLine="0"/>
        <w:jc w:val="center"/>
        <w:rPr>
          <w:rFonts w:ascii="黑体" w:hAnsi="黑体" w:eastAsia="黑体" w:cs="黑体"/>
          <w:color w:val="auto"/>
          <w:sz w:val="28"/>
          <w:szCs w:val="28"/>
          <w:highlight w:val="none"/>
        </w:rPr>
      </w:pPr>
      <w:r>
        <w:rPr>
          <w:rFonts w:hint="eastAsia" w:ascii="宋体" w:hAnsi="宋体" w:eastAsia="宋体" w:cs="宋体"/>
          <w:b/>
          <w:bCs/>
          <w:color w:val="auto"/>
          <w:sz w:val="30"/>
          <w:szCs w:val="30"/>
          <w:highlight w:val="none"/>
        </w:rPr>
        <w:t>三、合同用款估算表</w:t>
      </w:r>
    </w:p>
    <w:p w14:paraId="3F4589F1">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0"/>
          <w:szCs w:val="20"/>
          <w:highlight w:val="none"/>
        </w:rPr>
      </w:pPr>
    </w:p>
    <w:p w14:paraId="049CB60E">
      <w:pPr>
        <w:keepNext w:val="0"/>
        <w:keepLines w:val="0"/>
        <w:pageBreakBefore w:val="0"/>
        <w:widowControl w:val="0"/>
        <w:kinsoku/>
        <w:wordWrap w:val="0"/>
        <w:overflowPunct/>
        <w:topLinePunct w:val="0"/>
        <w:autoSpaceDE/>
        <w:autoSpaceDN/>
        <w:bidi w:val="0"/>
        <w:snapToGrid/>
        <w:spacing w:before="11" w:line="240" w:lineRule="auto"/>
        <w:rPr>
          <w:rFonts w:ascii="黑体" w:hAnsi="黑体" w:eastAsia="黑体" w:cs="黑体"/>
          <w:color w:val="auto"/>
          <w:sz w:val="13"/>
          <w:szCs w:val="13"/>
          <w:highlight w:val="none"/>
        </w:rPr>
      </w:pPr>
    </w:p>
    <w:tbl>
      <w:tblPr>
        <w:tblStyle w:val="23"/>
        <w:tblW w:w="0" w:type="auto"/>
        <w:tblInd w:w="108" w:type="dxa"/>
        <w:tblLayout w:type="fixed"/>
        <w:tblCellMar>
          <w:top w:w="0" w:type="dxa"/>
          <w:left w:w="0" w:type="dxa"/>
          <w:bottom w:w="0" w:type="dxa"/>
          <w:right w:w="0" w:type="dxa"/>
        </w:tblCellMar>
      </w:tblPr>
      <w:tblGrid>
        <w:gridCol w:w="628"/>
        <w:gridCol w:w="2025"/>
        <w:gridCol w:w="1544"/>
        <w:gridCol w:w="1547"/>
        <w:gridCol w:w="1547"/>
        <w:gridCol w:w="1548"/>
      </w:tblGrid>
      <w:tr w14:paraId="789EE386">
        <w:tblPrEx>
          <w:tblCellMar>
            <w:top w:w="0" w:type="dxa"/>
            <w:left w:w="0" w:type="dxa"/>
            <w:bottom w:w="0" w:type="dxa"/>
            <w:right w:w="0" w:type="dxa"/>
          </w:tblCellMar>
        </w:tblPrEx>
        <w:trPr>
          <w:trHeight w:val="515" w:hRule="exact"/>
        </w:trPr>
        <w:tc>
          <w:tcPr>
            <w:tcW w:w="2653" w:type="dxa"/>
            <w:gridSpan w:val="2"/>
            <w:vMerge w:val="restart"/>
            <w:tcBorders>
              <w:top w:val="single" w:color="000000" w:sz="6" w:space="0"/>
              <w:left w:val="single" w:color="000000" w:sz="6" w:space="0"/>
              <w:right w:val="single" w:color="000000" w:sz="6" w:space="0"/>
            </w:tcBorders>
          </w:tcPr>
          <w:p w14:paraId="4F38413D">
            <w:pPr>
              <w:pStyle w:val="106"/>
              <w:keepNext w:val="0"/>
              <w:keepLines w:val="0"/>
              <w:pageBreakBefore w:val="0"/>
              <w:widowControl w:val="0"/>
              <w:kinsoku/>
              <w:wordWrap w:val="0"/>
              <w:overflowPunct/>
              <w:topLinePunct w:val="0"/>
              <w:autoSpaceDE/>
              <w:autoSpaceDN/>
              <w:bidi w:val="0"/>
              <w:snapToGrid/>
              <w:spacing w:before="13" w:line="240" w:lineRule="auto"/>
              <w:ind w:right="0"/>
              <w:jc w:val="left"/>
              <w:rPr>
                <w:rFonts w:ascii="黑体" w:hAnsi="黑体" w:eastAsia="黑体" w:cs="黑体"/>
                <w:color w:val="auto"/>
                <w:sz w:val="14"/>
                <w:szCs w:val="14"/>
                <w:highlight w:val="none"/>
              </w:rPr>
            </w:pPr>
          </w:p>
          <w:p w14:paraId="4C74E95D">
            <w:pPr>
              <w:pStyle w:val="106"/>
              <w:keepNext w:val="0"/>
              <w:keepLines w:val="0"/>
              <w:pageBreakBefore w:val="0"/>
              <w:widowControl w:val="0"/>
              <w:kinsoku/>
              <w:wordWrap w:val="0"/>
              <w:overflowPunct/>
              <w:topLinePunct w:val="0"/>
              <w:autoSpaceDE/>
              <w:autoSpaceDN/>
              <w:bidi w:val="0"/>
              <w:snapToGrid/>
              <w:spacing w:line="240" w:lineRule="auto"/>
              <w:ind w:left="2"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从开工月算起的时间</w:t>
            </w:r>
          </w:p>
          <w:p w14:paraId="35423CCB">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（月）</w:t>
            </w:r>
          </w:p>
        </w:tc>
        <w:tc>
          <w:tcPr>
            <w:tcW w:w="6186" w:type="dxa"/>
            <w:gridSpan w:val="4"/>
            <w:tcBorders>
              <w:top w:val="single" w:color="000000" w:sz="6" w:space="0"/>
              <w:left w:val="single" w:color="000000" w:sz="6" w:space="0"/>
              <w:bottom w:val="single" w:color="000000" w:sz="6" w:space="0"/>
              <w:right w:val="single" w:color="000000" w:sz="6" w:space="0"/>
            </w:tcBorders>
          </w:tcPr>
          <w:p w14:paraId="5B87E44A">
            <w:pPr>
              <w:pStyle w:val="106"/>
              <w:keepNext w:val="0"/>
              <w:keepLines w:val="0"/>
              <w:pageBreakBefore w:val="0"/>
              <w:widowControl w:val="0"/>
              <w:kinsoku/>
              <w:wordWrap w:val="0"/>
              <w:overflowPunct/>
              <w:topLinePunct w:val="0"/>
              <w:autoSpaceDE/>
              <w:autoSpaceDN/>
              <w:bidi w:val="0"/>
              <w:snapToGrid/>
              <w:spacing w:before="153"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投标人的估算</w:t>
            </w:r>
          </w:p>
        </w:tc>
      </w:tr>
      <w:tr w14:paraId="2B40C50A">
        <w:tblPrEx>
          <w:tblCellMar>
            <w:top w:w="0" w:type="dxa"/>
            <w:left w:w="0" w:type="dxa"/>
            <w:bottom w:w="0" w:type="dxa"/>
            <w:right w:w="0" w:type="dxa"/>
          </w:tblCellMar>
        </w:tblPrEx>
        <w:trPr>
          <w:trHeight w:val="513" w:hRule="exact"/>
        </w:trPr>
        <w:tc>
          <w:tcPr>
            <w:tcW w:w="2653" w:type="dxa"/>
            <w:gridSpan w:val="2"/>
            <w:vMerge w:val="continue"/>
            <w:tcBorders>
              <w:left w:val="single" w:color="000000" w:sz="6" w:space="0"/>
              <w:right w:val="single" w:color="000000" w:sz="6" w:space="0"/>
            </w:tcBorders>
          </w:tcPr>
          <w:p w14:paraId="354F2381">
            <w:pPr>
              <w:keepNext w:val="0"/>
              <w:keepLines w:val="0"/>
              <w:pageBreakBefore w:val="0"/>
              <w:widowControl w:val="0"/>
              <w:kinsoku/>
              <w:wordWrap w:val="0"/>
              <w:overflowPunct/>
              <w:topLinePunct w:val="0"/>
              <w:autoSpaceDE/>
              <w:autoSpaceDN/>
              <w:bidi w:val="0"/>
              <w:snapToGrid/>
              <w:rPr>
                <w:color w:val="auto"/>
                <w:highlight w:val="none"/>
              </w:rPr>
            </w:pPr>
          </w:p>
        </w:tc>
        <w:tc>
          <w:tcPr>
            <w:tcW w:w="3091" w:type="dxa"/>
            <w:gridSpan w:val="2"/>
            <w:tcBorders>
              <w:top w:val="single" w:color="000000" w:sz="6" w:space="0"/>
              <w:left w:val="single" w:color="000000" w:sz="6" w:space="0"/>
              <w:bottom w:val="single" w:color="000000" w:sz="6" w:space="0"/>
              <w:right w:val="single" w:color="000000" w:sz="6" w:space="0"/>
            </w:tcBorders>
          </w:tcPr>
          <w:p w14:paraId="481EDDFD">
            <w:pPr>
              <w:pStyle w:val="106"/>
              <w:keepNext w:val="0"/>
              <w:keepLines w:val="0"/>
              <w:pageBreakBefore w:val="0"/>
              <w:widowControl w:val="0"/>
              <w:tabs>
                <w:tab w:val="left" w:pos="736"/>
              </w:tabs>
              <w:kinsoku/>
              <w:wordWrap w:val="0"/>
              <w:overflowPunct/>
              <w:topLinePunct w:val="0"/>
              <w:autoSpaceDE/>
              <w:autoSpaceDN/>
              <w:bidi w:val="0"/>
              <w:snapToGrid/>
              <w:spacing w:before="153"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分</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期</w:t>
            </w:r>
          </w:p>
        </w:tc>
        <w:tc>
          <w:tcPr>
            <w:tcW w:w="3095" w:type="dxa"/>
            <w:gridSpan w:val="2"/>
            <w:tcBorders>
              <w:top w:val="single" w:color="000000" w:sz="6" w:space="0"/>
              <w:left w:val="single" w:color="000000" w:sz="6" w:space="0"/>
              <w:bottom w:val="single" w:color="000000" w:sz="6" w:space="0"/>
              <w:right w:val="single" w:color="000000" w:sz="6" w:space="0"/>
            </w:tcBorders>
          </w:tcPr>
          <w:p w14:paraId="6C2CFC22">
            <w:pPr>
              <w:pStyle w:val="106"/>
              <w:keepNext w:val="0"/>
              <w:keepLines w:val="0"/>
              <w:pageBreakBefore w:val="0"/>
              <w:widowControl w:val="0"/>
              <w:tabs>
                <w:tab w:val="left" w:pos="739"/>
              </w:tabs>
              <w:kinsoku/>
              <w:wordWrap w:val="0"/>
              <w:overflowPunct/>
              <w:topLinePunct w:val="0"/>
              <w:autoSpaceDE/>
              <w:autoSpaceDN/>
              <w:bidi w:val="0"/>
              <w:snapToGrid/>
              <w:spacing w:before="153" w:line="240" w:lineRule="auto"/>
              <w:ind w:left="2"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累</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计</w:t>
            </w:r>
          </w:p>
        </w:tc>
      </w:tr>
      <w:tr w14:paraId="1BF538BA">
        <w:tblPrEx>
          <w:tblCellMar>
            <w:top w:w="0" w:type="dxa"/>
            <w:left w:w="0" w:type="dxa"/>
            <w:bottom w:w="0" w:type="dxa"/>
            <w:right w:w="0" w:type="dxa"/>
          </w:tblCellMar>
        </w:tblPrEx>
        <w:trPr>
          <w:trHeight w:val="515" w:hRule="exact"/>
        </w:trPr>
        <w:tc>
          <w:tcPr>
            <w:tcW w:w="2653" w:type="dxa"/>
            <w:gridSpan w:val="2"/>
            <w:vMerge w:val="continue"/>
            <w:tcBorders>
              <w:left w:val="single" w:color="000000" w:sz="6" w:space="0"/>
              <w:bottom w:val="single" w:color="000000" w:sz="6" w:space="0"/>
              <w:right w:val="single" w:color="000000" w:sz="6" w:space="0"/>
            </w:tcBorders>
          </w:tcPr>
          <w:p w14:paraId="74C528D0">
            <w:pPr>
              <w:keepNext w:val="0"/>
              <w:keepLines w:val="0"/>
              <w:pageBreakBefore w:val="0"/>
              <w:widowControl w:val="0"/>
              <w:kinsoku/>
              <w:wordWrap w:val="0"/>
              <w:overflowPunct/>
              <w:topLinePunct w:val="0"/>
              <w:autoSpaceDE/>
              <w:autoSpaceDN/>
              <w:bidi w:val="0"/>
              <w:snapToGrid/>
              <w:rPr>
                <w:color w:val="auto"/>
                <w:highlight w:val="none"/>
              </w:rPr>
            </w:pPr>
          </w:p>
        </w:tc>
        <w:tc>
          <w:tcPr>
            <w:tcW w:w="1544" w:type="dxa"/>
            <w:tcBorders>
              <w:top w:val="single" w:color="000000" w:sz="6" w:space="0"/>
              <w:left w:val="single" w:color="000000" w:sz="6" w:space="0"/>
              <w:bottom w:val="single" w:color="000000" w:sz="6" w:space="0"/>
              <w:right w:val="single" w:color="000000" w:sz="6" w:space="0"/>
            </w:tcBorders>
          </w:tcPr>
          <w:p w14:paraId="5E242FF0">
            <w:pPr>
              <w:pStyle w:val="106"/>
              <w:keepNext w:val="0"/>
              <w:keepLines w:val="0"/>
              <w:pageBreakBefore w:val="0"/>
              <w:widowControl w:val="0"/>
              <w:kinsoku/>
              <w:wordWrap w:val="0"/>
              <w:overflowPunct/>
              <w:topLinePunct w:val="0"/>
              <w:autoSpaceDE/>
              <w:autoSpaceDN/>
              <w:bidi w:val="0"/>
              <w:snapToGrid/>
              <w:spacing w:before="155" w:line="240" w:lineRule="auto"/>
              <w:ind w:left="23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金额（元）</w:t>
            </w:r>
          </w:p>
        </w:tc>
        <w:tc>
          <w:tcPr>
            <w:tcW w:w="1547" w:type="dxa"/>
            <w:tcBorders>
              <w:top w:val="single" w:color="000000" w:sz="6" w:space="0"/>
              <w:left w:val="single" w:color="000000" w:sz="6" w:space="0"/>
              <w:bottom w:val="single" w:color="000000" w:sz="6" w:space="0"/>
              <w:right w:val="single" w:color="000000" w:sz="6" w:space="0"/>
            </w:tcBorders>
          </w:tcPr>
          <w:p w14:paraId="7D5E8E5D">
            <w:pPr>
              <w:pStyle w:val="106"/>
              <w:keepNext w:val="0"/>
              <w:keepLines w:val="0"/>
              <w:pageBreakBefore w:val="0"/>
              <w:widowControl w:val="0"/>
              <w:kinsoku/>
              <w:wordWrap w:val="0"/>
              <w:overflowPunct/>
              <w:topLinePunct w:val="0"/>
              <w:autoSpaceDE/>
              <w:autoSpaceDN/>
              <w:bidi w:val="0"/>
              <w:snapToGrid/>
              <w:spacing w:before="155" w:line="240" w:lineRule="auto"/>
              <w:ind w:left="470"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w:t>
            </w:r>
            <w:r>
              <w:rPr>
                <w:rFonts w:ascii="Times New Roman" w:hAnsi="Times New Roman" w:eastAsia="Times New Roman" w:cs="Times New Roman"/>
                <w:color w:val="auto"/>
                <w:sz w:val="21"/>
                <w:szCs w:val="21"/>
                <w:highlight w:val="none"/>
              </w:rPr>
              <w:t>%</w:t>
            </w:r>
            <w:r>
              <w:rPr>
                <w:rFonts w:ascii="宋体" w:hAnsi="宋体" w:eastAsia="宋体" w:cs="宋体"/>
                <w:color w:val="auto"/>
                <w:sz w:val="21"/>
                <w:szCs w:val="21"/>
                <w:highlight w:val="none"/>
              </w:rPr>
              <w:t>）</w:t>
            </w:r>
          </w:p>
        </w:tc>
        <w:tc>
          <w:tcPr>
            <w:tcW w:w="1547" w:type="dxa"/>
            <w:tcBorders>
              <w:top w:val="single" w:color="000000" w:sz="6" w:space="0"/>
              <w:left w:val="single" w:color="000000" w:sz="6" w:space="0"/>
              <w:bottom w:val="single" w:color="000000" w:sz="6" w:space="0"/>
              <w:right w:val="single" w:color="000000" w:sz="6" w:space="0"/>
            </w:tcBorders>
          </w:tcPr>
          <w:p w14:paraId="731B20A0">
            <w:pPr>
              <w:pStyle w:val="106"/>
              <w:keepNext w:val="0"/>
              <w:keepLines w:val="0"/>
              <w:pageBreakBefore w:val="0"/>
              <w:widowControl w:val="0"/>
              <w:kinsoku/>
              <w:wordWrap w:val="0"/>
              <w:overflowPunct/>
              <w:topLinePunct w:val="0"/>
              <w:autoSpaceDE/>
              <w:autoSpaceDN/>
              <w:bidi w:val="0"/>
              <w:snapToGrid/>
              <w:spacing w:before="155" w:line="240" w:lineRule="auto"/>
              <w:ind w:left="24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金额（元）</w:t>
            </w:r>
          </w:p>
        </w:tc>
        <w:tc>
          <w:tcPr>
            <w:tcW w:w="1548" w:type="dxa"/>
            <w:tcBorders>
              <w:top w:val="single" w:color="000000" w:sz="6" w:space="0"/>
              <w:left w:val="single" w:color="000000" w:sz="6" w:space="0"/>
              <w:bottom w:val="single" w:color="000000" w:sz="6" w:space="0"/>
              <w:right w:val="single" w:color="000000" w:sz="6" w:space="0"/>
            </w:tcBorders>
          </w:tcPr>
          <w:p w14:paraId="0B099910">
            <w:pPr>
              <w:pStyle w:val="106"/>
              <w:keepNext w:val="0"/>
              <w:keepLines w:val="0"/>
              <w:pageBreakBefore w:val="0"/>
              <w:widowControl w:val="0"/>
              <w:kinsoku/>
              <w:wordWrap w:val="0"/>
              <w:overflowPunct/>
              <w:topLinePunct w:val="0"/>
              <w:autoSpaceDE/>
              <w:autoSpaceDN/>
              <w:bidi w:val="0"/>
              <w:snapToGrid/>
              <w:spacing w:before="155" w:line="240" w:lineRule="auto"/>
              <w:ind w:left="470"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w:t>
            </w:r>
            <w:r>
              <w:rPr>
                <w:rFonts w:ascii="Times New Roman" w:hAnsi="Times New Roman" w:eastAsia="Times New Roman" w:cs="Times New Roman"/>
                <w:color w:val="auto"/>
                <w:sz w:val="21"/>
                <w:szCs w:val="21"/>
                <w:highlight w:val="none"/>
              </w:rPr>
              <w:t>%</w:t>
            </w:r>
            <w:r>
              <w:rPr>
                <w:rFonts w:ascii="宋体" w:hAnsi="宋体" w:eastAsia="宋体" w:cs="宋体"/>
                <w:color w:val="auto"/>
                <w:sz w:val="21"/>
                <w:szCs w:val="21"/>
                <w:highlight w:val="none"/>
              </w:rPr>
              <w:t>）</w:t>
            </w:r>
          </w:p>
        </w:tc>
      </w:tr>
      <w:tr w14:paraId="2EABD7F3">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4A2BA404">
            <w:pPr>
              <w:pStyle w:val="106"/>
              <w:keepNext w:val="0"/>
              <w:keepLines w:val="0"/>
              <w:pageBreakBefore w:val="0"/>
              <w:widowControl w:val="0"/>
              <w:kinsoku/>
              <w:wordWrap w:val="0"/>
              <w:overflowPunct/>
              <w:topLinePunct w:val="0"/>
              <w:autoSpaceDE/>
              <w:autoSpaceDN/>
              <w:bidi w:val="0"/>
              <w:snapToGrid/>
              <w:spacing w:before="155" w:line="240" w:lineRule="auto"/>
              <w:ind w:left="47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第一次开工预付款</w:t>
            </w:r>
          </w:p>
        </w:tc>
        <w:tc>
          <w:tcPr>
            <w:tcW w:w="1544" w:type="dxa"/>
            <w:tcBorders>
              <w:top w:val="single" w:color="000000" w:sz="6" w:space="0"/>
              <w:left w:val="single" w:color="000000" w:sz="6" w:space="0"/>
              <w:bottom w:val="single" w:color="000000" w:sz="6" w:space="0"/>
              <w:right w:val="single" w:color="000000" w:sz="6" w:space="0"/>
            </w:tcBorders>
          </w:tcPr>
          <w:p w14:paraId="29A852DB">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4AD69790">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2875C208">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022FB133">
            <w:pPr>
              <w:keepNext w:val="0"/>
              <w:keepLines w:val="0"/>
              <w:pageBreakBefore w:val="0"/>
              <w:widowControl w:val="0"/>
              <w:kinsoku/>
              <w:wordWrap w:val="0"/>
              <w:overflowPunct/>
              <w:topLinePunct w:val="0"/>
              <w:autoSpaceDE/>
              <w:autoSpaceDN/>
              <w:bidi w:val="0"/>
              <w:snapToGrid/>
              <w:rPr>
                <w:color w:val="auto"/>
                <w:highlight w:val="none"/>
              </w:rPr>
            </w:pPr>
          </w:p>
        </w:tc>
      </w:tr>
      <w:tr w14:paraId="2C5D4240">
        <w:tblPrEx>
          <w:tblCellMar>
            <w:top w:w="0" w:type="dxa"/>
            <w:left w:w="0" w:type="dxa"/>
            <w:bottom w:w="0" w:type="dxa"/>
            <w:right w:w="0" w:type="dxa"/>
          </w:tblCellMar>
        </w:tblPrEx>
        <w:trPr>
          <w:trHeight w:val="516"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5D321A79">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r>
              <w:rPr>
                <w:rFonts w:ascii="Times New Roman"/>
                <w:color w:val="auto"/>
                <w:sz w:val="21"/>
                <w:highlight w:val="none"/>
              </w:rPr>
              <w:t>1 ~</w:t>
            </w:r>
            <w:r>
              <w:rPr>
                <w:rFonts w:ascii="Times New Roman"/>
                <w:color w:val="auto"/>
                <w:spacing w:val="1"/>
                <w:sz w:val="21"/>
                <w:highlight w:val="none"/>
              </w:rPr>
              <w:t xml:space="preserve"> </w:t>
            </w:r>
            <w:r>
              <w:rPr>
                <w:rFonts w:ascii="Times New Roman"/>
                <w:color w:val="auto"/>
                <w:sz w:val="21"/>
                <w:highlight w:val="none"/>
              </w:rPr>
              <w:t>3</w:t>
            </w:r>
          </w:p>
        </w:tc>
        <w:tc>
          <w:tcPr>
            <w:tcW w:w="1544" w:type="dxa"/>
            <w:tcBorders>
              <w:top w:val="single" w:color="000000" w:sz="6" w:space="0"/>
              <w:left w:val="single" w:color="000000" w:sz="6" w:space="0"/>
              <w:bottom w:val="single" w:color="000000" w:sz="6" w:space="0"/>
              <w:right w:val="single" w:color="000000" w:sz="6" w:space="0"/>
            </w:tcBorders>
          </w:tcPr>
          <w:p w14:paraId="69D952CD">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33F084CE">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7AB8599A">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646F89B8">
            <w:pPr>
              <w:keepNext w:val="0"/>
              <w:keepLines w:val="0"/>
              <w:pageBreakBefore w:val="0"/>
              <w:widowControl w:val="0"/>
              <w:kinsoku/>
              <w:wordWrap w:val="0"/>
              <w:overflowPunct/>
              <w:topLinePunct w:val="0"/>
              <w:autoSpaceDE/>
              <w:autoSpaceDN/>
              <w:bidi w:val="0"/>
              <w:snapToGrid/>
              <w:rPr>
                <w:color w:val="auto"/>
                <w:highlight w:val="none"/>
              </w:rPr>
            </w:pPr>
          </w:p>
        </w:tc>
      </w:tr>
      <w:tr w14:paraId="5763D448">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68DDD3F2">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r>
              <w:rPr>
                <w:rFonts w:ascii="Times New Roman"/>
                <w:color w:val="auto"/>
                <w:sz w:val="21"/>
                <w:highlight w:val="none"/>
              </w:rPr>
              <w:t>4 ~</w:t>
            </w:r>
            <w:r>
              <w:rPr>
                <w:rFonts w:ascii="Times New Roman"/>
                <w:color w:val="auto"/>
                <w:spacing w:val="1"/>
                <w:sz w:val="21"/>
                <w:highlight w:val="none"/>
              </w:rPr>
              <w:t xml:space="preserve"> </w:t>
            </w:r>
            <w:r>
              <w:rPr>
                <w:rFonts w:ascii="Times New Roman"/>
                <w:color w:val="auto"/>
                <w:sz w:val="21"/>
                <w:highlight w:val="none"/>
              </w:rPr>
              <w:t>6</w:t>
            </w:r>
          </w:p>
        </w:tc>
        <w:tc>
          <w:tcPr>
            <w:tcW w:w="1544" w:type="dxa"/>
            <w:tcBorders>
              <w:top w:val="single" w:color="000000" w:sz="6" w:space="0"/>
              <w:left w:val="single" w:color="000000" w:sz="6" w:space="0"/>
              <w:bottom w:val="single" w:color="000000" w:sz="6" w:space="0"/>
              <w:right w:val="single" w:color="000000" w:sz="6" w:space="0"/>
            </w:tcBorders>
          </w:tcPr>
          <w:p w14:paraId="1A82BFE5">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547F0D02">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6027BED7">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23EE3682">
            <w:pPr>
              <w:keepNext w:val="0"/>
              <w:keepLines w:val="0"/>
              <w:pageBreakBefore w:val="0"/>
              <w:widowControl w:val="0"/>
              <w:kinsoku/>
              <w:wordWrap w:val="0"/>
              <w:overflowPunct/>
              <w:topLinePunct w:val="0"/>
              <w:autoSpaceDE/>
              <w:autoSpaceDN/>
              <w:bidi w:val="0"/>
              <w:snapToGrid/>
              <w:rPr>
                <w:color w:val="auto"/>
                <w:highlight w:val="none"/>
              </w:rPr>
            </w:pPr>
          </w:p>
        </w:tc>
      </w:tr>
      <w:tr w14:paraId="23A54C84">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04934CB3">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r>
              <w:rPr>
                <w:rFonts w:ascii="Times New Roman"/>
                <w:color w:val="auto"/>
                <w:sz w:val="21"/>
                <w:highlight w:val="none"/>
              </w:rPr>
              <w:t>7 ~</w:t>
            </w:r>
            <w:r>
              <w:rPr>
                <w:rFonts w:ascii="Times New Roman"/>
                <w:color w:val="auto"/>
                <w:spacing w:val="1"/>
                <w:sz w:val="21"/>
                <w:highlight w:val="none"/>
              </w:rPr>
              <w:t xml:space="preserve"> </w:t>
            </w:r>
            <w:r>
              <w:rPr>
                <w:rFonts w:ascii="Times New Roman"/>
                <w:color w:val="auto"/>
                <w:sz w:val="21"/>
                <w:highlight w:val="none"/>
              </w:rPr>
              <w:t>9</w:t>
            </w:r>
          </w:p>
        </w:tc>
        <w:tc>
          <w:tcPr>
            <w:tcW w:w="1544" w:type="dxa"/>
            <w:tcBorders>
              <w:top w:val="single" w:color="000000" w:sz="6" w:space="0"/>
              <w:left w:val="single" w:color="000000" w:sz="6" w:space="0"/>
              <w:bottom w:val="single" w:color="000000" w:sz="6" w:space="0"/>
              <w:right w:val="single" w:color="000000" w:sz="6" w:space="0"/>
            </w:tcBorders>
          </w:tcPr>
          <w:p w14:paraId="269F67B2">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3621A084">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2F7D1C7A">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6F7D30B3">
            <w:pPr>
              <w:keepNext w:val="0"/>
              <w:keepLines w:val="0"/>
              <w:pageBreakBefore w:val="0"/>
              <w:widowControl w:val="0"/>
              <w:kinsoku/>
              <w:wordWrap w:val="0"/>
              <w:overflowPunct/>
              <w:topLinePunct w:val="0"/>
              <w:autoSpaceDE/>
              <w:autoSpaceDN/>
              <w:bidi w:val="0"/>
              <w:snapToGrid/>
              <w:rPr>
                <w:color w:val="auto"/>
                <w:highlight w:val="none"/>
              </w:rPr>
            </w:pPr>
          </w:p>
        </w:tc>
      </w:tr>
      <w:tr w14:paraId="500A1F06">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4030035A">
            <w:pPr>
              <w:pStyle w:val="106"/>
              <w:keepNext w:val="0"/>
              <w:keepLines w:val="0"/>
              <w:pageBreakBefore w:val="0"/>
              <w:widowControl w:val="0"/>
              <w:kinsoku/>
              <w:wordWrap w:val="0"/>
              <w:overflowPunct/>
              <w:topLinePunct w:val="0"/>
              <w:autoSpaceDE/>
              <w:autoSpaceDN/>
              <w:bidi w:val="0"/>
              <w:snapToGrid/>
              <w:spacing w:line="240" w:lineRule="auto"/>
              <w:ind w:left="1" w:right="0"/>
              <w:jc w:val="center"/>
              <w:rPr>
                <w:rFonts w:ascii="Times New Roman" w:hAnsi="Times New Roman" w:eastAsia="Times New Roman" w:cs="Times New Roman"/>
                <w:color w:val="auto"/>
                <w:sz w:val="21"/>
                <w:szCs w:val="21"/>
                <w:highlight w:val="none"/>
              </w:rPr>
            </w:pPr>
            <w:r>
              <w:rPr>
                <w:rFonts w:ascii="Times New Roman"/>
                <w:color w:val="auto"/>
                <w:sz w:val="21"/>
                <w:highlight w:val="none"/>
              </w:rPr>
              <w:t>10 ~</w:t>
            </w:r>
            <w:r>
              <w:rPr>
                <w:rFonts w:ascii="Times New Roman"/>
                <w:color w:val="auto"/>
                <w:spacing w:val="1"/>
                <w:sz w:val="21"/>
                <w:highlight w:val="none"/>
              </w:rPr>
              <w:t xml:space="preserve"> </w:t>
            </w:r>
            <w:r>
              <w:rPr>
                <w:rFonts w:ascii="Times New Roman"/>
                <w:color w:val="auto"/>
                <w:sz w:val="21"/>
                <w:highlight w:val="none"/>
              </w:rPr>
              <w:t>12</w:t>
            </w:r>
          </w:p>
        </w:tc>
        <w:tc>
          <w:tcPr>
            <w:tcW w:w="1544" w:type="dxa"/>
            <w:tcBorders>
              <w:top w:val="single" w:color="000000" w:sz="6" w:space="0"/>
              <w:left w:val="single" w:color="000000" w:sz="6" w:space="0"/>
              <w:bottom w:val="single" w:color="000000" w:sz="6" w:space="0"/>
              <w:right w:val="single" w:color="000000" w:sz="6" w:space="0"/>
            </w:tcBorders>
          </w:tcPr>
          <w:p w14:paraId="2EAFEDE5">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3507B507">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6CC5E920">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52959889">
            <w:pPr>
              <w:keepNext w:val="0"/>
              <w:keepLines w:val="0"/>
              <w:pageBreakBefore w:val="0"/>
              <w:widowControl w:val="0"/>
              <w:kinsoku/>
              <w:wordWrap w:val="0"/>
              <w:overflowPunct/>
              <w:topLinePunct w:val="0"/>
              <w:autoSpaceDE/>
              <w:autoSpaceDN/>
              <w:bidi w:val="0"/>
              <w:snapToGrid/>
              <w:rPr>
                <w:color w:val="auto"/>
                <w:highlight w:val="none"/>
              </w:rPr>
            </w:pPr>
          </w:p>
        </w:tc>
      </w:tr>
      <w:tr w14:paraId="0295361A">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30703A72">
            <w:pPr>
              <w:pStyle w:val="106"/>
              <w:keepNext w:val="0"/>
              <w:keepLines w:val="0"/>
              <w:pageBreakBefore w:val="0"/>
              <w:widowControl w:val="0"/>
              <w:kinsoku/>
              <w:wordWrap w:val="0"/>
              <w:overflowPunct/>
              <w:topLinePunct w:val="0"/>
              <w:autoSpaceDE/>
              <w:autoSpaceDN/>
              <w:bidi w:val="0"/>
              <w:snapToGrid/>
              <w:spacing w:line="240" w:lineRule="auto"/>
              <w:ind w:left="1" w:right="0"/>
              <w:jc w:val="center"/>
              <w:rPr>
                <w:rFonts w:ascii="Times New Roman" w:hAnsi="Times New Roman" w:eastAsia="Times New Roman" w:cs="Times New Roman"/>
                <w:color w:val="auto"/>
                <w:sz w:val="21"/>
                <w:szCs w:val="21"/>
                <w:highlight w:val="none"/>
              </w:rPr>
            </w:pPr>
            <w:r>
              <w:rPr>
                <w:rFonts w:ascii="Times New Roman"/>
                <w:color w:val="auto"/>
                <w:sz w:val="21"/>
                <w:highlight w:val="none"/>
              </w:rPr>
              <w:t>13 ~</w:t>
            </w:r>
            <w:r>
              <w:rPr>
                <w:rFonts w:ascii="Times New Roman"/>
                <w:color w:val="auto"/>
                <w:spacing w:val="1"/>
                <w:sz w:val="21"/>
                <w:highlight w:val="none"/>
              </w:rPr>
              <w:t xml:space="preserve"> </w:t>
            </w:r>
            <w:r>
              <w:rPr>
                <w:rFonts w:ascii="Times New Roman"/>
                <w:color w:val="auto"/>
                <w:sz w:val="21"/>
                <w:highlight w:val="none"/>
              </w:rPr>
              <w:t>15</w:t>
            </w:r>
          </w:p>
        </w:tc>
        <w:tc>
          <w:tcPr>
            <w:tcW w:w="1544" w:type="dxa"/>
            <w:tcBorders>
              <w:top w:val="single" w:color="000000" w:sz="6" w:space="0"/>
              <w:left w:val="single" w:color="000000" w:sz="6" w:space="0"/>
              <w:bottom w:val="single" w:color="000000" w:sz="6" w:space="0"/>
              <w:right w:val="single" w:color="000000" w:sz="6" w:space="0"/>
            </w:tcBorders>
          </w:tcPr>
          <w:p w14:paraId="7F1BED88">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472495FD">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0DFF304F">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751B67EC">
            <w:pPr>
              <w:keepNext w:val="0"/>
              <w:keepLines w:val="0"/>
              <w:pageBreakBefore w:val="0"/>
              <w:widowControl w:val="0"/>
              <w:kinsoku/>
              <w:wordWrap w:val="0"/>
              <w:overflowPunct/>
              <w:topLinePunct w:val="0"/>
              <w:autoSpaceDE/>
              <w:autoSpaceDN/>
              <w:bidi w:val="0"/>
              <w:snapToGrid/>
              <w:rPr>
                <w:color w:val="auto"/>
                <w:highlight w:val="none"/>
              </w:rPr>
            </w:pPr>
          </w:p>
        </w:tc>
      </w:tr>
      <w:tr w14:paraId="60AA235D">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2BD51D72">
            <w:pPr>
              <w:pStyle w:val="106"/>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6"/>
                <w:szCs w:val="16"/>
                <w:highlight w:val="none"/>
              </w:rPr>
            </w:pPr>
          </w:p>
          <w:p w14:paraId="167635B2">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544" w:type="dxa"/>
            <w:tcBorders>
              <w:top w:val="single" w:color="000000" w:sz="6" w:space="0"/>
              <w:left w:val="single" w:color="000000" w:sz="6" w:space="0"/>
              <w:bottom w:val="single" w:color="000000" w:sz="6" w:space="0"/>
              <w:right w:val="single" w:color="000000" w:sz="6" w:space="0"/>
            </w:tcBorders>
          </w:tcPr>
          <w:p w14:paraId="485ECC76">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563808C2">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4CDCEC9C">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07054935">
            <w:pPr>
              <w:keepNext w:val="0"/>
              <w:keepLines w:val="0"/>
              <w:pageBreakBefore w:val="0"/>
              <w:widowControl w:val="0"/>
              <w:kinsoku/>
              <w:wordWrap w:val="0"/>
              <w:overflowPunct/>
              <w:topLinePunct w:val="0"/>
              <w:autoSpaceDE/>
              <w:autoSpaceDN/>
              <w:bidi w:val="0"/>
              <w:snapToGrid/>
              <w:rPr>
                <w:color w:val="auto"/>
                <w:highlight w:val="none"/>
              </w:rPr>
            </w:pPr>
          </w:p>
        </w:tc>
      </w:tr>
      <w:tr w14:paraId="64A58DF4">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727054A5">
            <w:pPr>
              <w:pStyle w:val="106"/>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6"/>
                <w:szCs w:val="16"/>
                <w:highlight w:val="none"/>
              </w:rPr>
            </w:pPr>
          </w:p>
          <w:p w14:paraId="047EDF0F">
            <w:pPr>
              <w:pStyle w:val="106"/>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544" w:type="dxa"/>
            <w:tcBorders>
              <w:top w:val="single" w:color="000000" w:sz="6" w:space="0"/>
              <w:left w:val="single" w:color="000000" w:sz="6" w:space="0"/>
              <w:bottom w:val="single" w:color="000000" w:sz="6" w:space="0"/>
              <w:right w:val="single" w:color="000000" w:sz="6" w:space="0"/>
            </w:tcBorders>
          </w:tcPr>
          <w:p w14:paraId="49861D08">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69285BD4">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75993C95">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1CAEAA8D">
            <w:pPr>
              <w:keepNext w:val="0"/>
              <w:keepLines w:val="0"/>
              <w:pageBreakBefore w:val="0"/>
              <w:widowControl w:val="0"/>
              <w:kinsoku/>
              <w:wordWrap w:val="0"/>
              <w:overflowPunct/>
              <w:topLinePunct w:val="0"/>
              <w:autoSpaceDE/>
              <w:autoSpaceDN/>
              <w:bidi w:val="0"/>
              <w:snapToGrid/>
              <w:rPr>
                <w:color w:val="auto"/>
                <w:highlight w:val="none"/>
              </w:rPr>
            </w:pPr>
          </w:p>
        </w:tc>
      </w:tr>
      <w:tr w14:paraId="754F2C5B">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5846F21A">
            <w:pPr>
              <w:keepNext w:val="0"/>
              <w:keepLines w:val="0"/>
              <w:pageBreakBefore w:val="0"/>
              <w:widowControl w:val="0"/>
              <w:kinsoku/>
              <w:wordWrap w:val="0"/>
              <w:overflowPunct/>
              <w:topLinePunct w:val="0"/>
              <w:autoSpaceDE/>
              <w:autoSpaceDN/>
              <w:bidi w:val="0"/>
              <w:snapToGrid/>
              <w:rPr>
                <w:color w:val="auto"/>
                <w:highlight w:val="none"/>
              </w:rPr>
            </w:pPr>
          </w:p>
        </w:tc>
        <w:tc>
          <w:tcPr>
            <w:tcW w:w="1544" w:type="dxa"/>
            <w:tcBorders>
              <w:top w:val="single" w:color="000000" w:sz="6" w:space="0"/>
              <w:left w:val="single" w:color="000000" w:sz="6" w:space="0"/>
              <w:bottom w:val="single" w:color="000000" w:sz="6" w:space="0"/>
              <w:right w:val="single" w:color="000000" w:sz="6" w:space="0"/>
            </w:tcBorders>
          </w:tcPr>
          <w:p w14:paraId="2C9E0A35">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1313D256">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1962B8CF">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09E0D474">
            <w:pPr>
              <w:keepNext w:val="0"/>
              <w:keepLines w:val="0"/>
              <w:pageBreakBefore w:val="0"/>
              <w:widowControl w:val="0"/>
              <w:kinsoku/>
              <w:wordWrap w:val="0"/>
              <w:overflowPunct/>
              <w:topLinePunct w:val="0"/>
              <w:autoSpaceDE/>
              <w:autoSpaceDN/>
              <w:bidi w:val="0"/>
              <w:snapToGrid/>
              <w:rPr>
                <w:color w:val="auto"/>
                <w:highlight w:val="none"/>
              </w:rPr>
            </w:pPr>
          </w:p>
        </w:tc>
      </w:tr>
      <w:tr w14:paraId="6A845714">
        <w:tblPrEx>
          <w:tblCellMar>
            <w:top w:w="0" w:type="dxa"/>
            <w:left w:w="0" w:type="dxa"/>
            <w:bottom w:w="0" w:type="dxa"/>
            <w:right w:w="0" w:type="dxa"/>
          </w:tblCellMar>
        </w:tblPrEx>
        <w:trPr>
          <w:trHeight w:val="515"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6C0C7BC9">
            <w:pPr>
              <w:pStyle w:val="106"/>
              <w:keepNext w:val="0"/>
              <w:keepLines w:val="0"/>
              <w:pageBreakBefore w:val="0"/>
              <w:widowControl w:val="0"/>
              <w:kinsoku/>
              <w:wordWrap w:val="0"/>
              <w:overflowPunct/>
              <w:topLinePunct w:val="0"/>
              <w:autoSpaceDE/>
              <w:autoSpaceDN/>
              <w:bidi w:val="0"/>
              <w:snapToGrid/>
              <w:spacing w:before="153" w:line="240" w:lineRule="auto"/>
              <w:ind w:left="794"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缺陷责任期</w:t>
            </w:r>
          </w:p>
        </w:tc>
        <w:tc>
          <w:tcPr>
            <w:tcW w:w="1544" w:type="dxa"/>
            <w:tcBorders>
              <w:top w:val="single" w:color="000000" w:sz="6" w:space="0"/>
              <w:left w:val="single" w:color="000000" w:sz="6" w:space="0"/>
              <w:bottom w:val="single" w:color="000000" w:sz="6" w:space="0"/>
              <w:right w:val="single" w:color="000000" w:sz="6" w:space="0"/>
            </w:tcBorders>
          </w:tcPr>
          <w:p w14:paraId="0BD9BCF2">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756D13CD">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58BCA9B3">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45264D36">
            <w:pPr>
              <w:keepNext w:val="0"/>
              <w:keepLines w:val="0"/>
              <w:pageBreakBefore w:val="0"/>
              <w:widowControl w:val="0"/>
              <w:kinsoku/>
              <w:wordWrap w:val="0"/>
              <w:overflowPunct/>
              <w:topLinePunct w:val="0"/>
              <w:autoSpaceDE/>
              <w:autoSpaceDN/>
              <w:bidi w:val="0"/>
              <w:snapToGrid/>
              <w:rPr>
                <w:color w:val="auto"/>
                <w:highlight w:val="none"/>
              </w:rPr>
            </w:pPr>
          </w:p>
        </w:tc>
      </w:tr>
      <w:tr w14:paraId="66488431">
        <w:tblPrEx>
          <w:tblCellMar>
            <w:top w:w="0" w:type="dxa"/>
            <w:left w:w="0" w:type="dxa"/>
            <w:bottom w:w="0" w:type="dxa"/>
            <w:right w:w="0" w:type="dxa"/>
          </w:tblCellMar>
        </w:tblPrEx>
        <w:trPr>
          <w:trHeight w:val="513" w:hRule="exact"/>
        </w:trPr>
        <w:tc>
          <w:tcPr>
            <w:tcW w:w="2653" w:type="dxa"/>
            <w:gridSpan w:val="2"/>
            <w:tcBorders>
              <w:top w:val="single" w:color="000000" w:sz="6" w:space="0"/>
              <w:left w:val="single" w:color="000000" w:sz="6" w:space="0"/>
              <w:bottom w:val="single" w:color="000000" w:sz="6" w:space="0"/>
              <w:right w:val="single" w:color="000000" w:sz="6" w:space="0"/>
            </w:tcBorders>
          </w:tcPr>
          <w:p w14:paraId="0C12E07D">
            <w:pPr>
              <w:pStyle w:val="106"/>
              <w:keepNext w:val="0"/>
              <w:keepLines w:val="0"/>
              <w:pageBreakBefore w:val="0"/>
              <w:widowControl w:val="0"/>
              <w:tabs>
                <w:tab w:val="left" w:pos="1636"/>
              </w:tabs>
              <w:kinsoku/>
              <w:wordWrap w:val="0"/>
              <w:overflowPunct/>
              <w:topLinePunct w:val="0"/>
              <w:autoSpaceDE/>
              <w:autoSpaceDN/>
              <w:bidi w:val="0"/>
              <w:snapToGrid/>
              <w:spacing w:before="153" w:line="240" w:lineRule="auto"/>
              <w:ind w:left="794"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小</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计</w:t>
            </w:r>
          </w:p>
        </w:tc>
        <w:tc>
          <w:tcPr>
            <w:tcW w:w="1544" w:type="dxa"/>
            <w:tcBorders>
              <w:top w:val="single" w:color="000000" w:sz="6" w:space="0"/>
              <w:left w:val="single" w:color="000000" w:sz="6" w:space="0"/>
              <w:bottom w:val="single" w:color="000000" w:sz="6" w:space="0"/>
              <w:right w:val="single" w:color="000000" w:sz="6" w:space="0"/>
            </w:tcBorders>
          </w:tcPr>
          <w:p w14:paraId="55D949B4">
            <w:pPr>
              <w:keepNext w:val="0"/>
              <w:keepLines w:val="0"/>
              <w:pageBreakBefore w:val="0"/>
              <w:widowControl w:val="0"/>
              <w:kinsoku/>
              <w:wordWrap w:val="0"/>
              <w:overflowPunct/>
              <w:topLinePunct w:val="0"/>
              <w:autoSpaceDE/>
              <w:autoSpaceDN/>
              <w:bidi w:val="0"/>
              <w:snapToGrid/>
              <w:rPr>
                <w:color w:val="auto"/>
                <w:highlight w:val="none"/>
              </w:rPr>
            </w:pPr>
          </w:p>
        </w:tc>
        <w:tc>
          <w:tcPr>
            <w:tcW w:w="1547" w:type="dxa"/>
            <w:tcBorders>
              <w:top w:val="single" w:color="000000" w:sz="6" w:space="0"/>
              <w:left w:val="single" w:color="000000" w:sz="6" w:space="0"/>
              <w:bottom w:val="single" w:color="000000" w:sz="6" w:space="0"/>
              <w:right w:val="single" w:color="000000" w:sz="6" w:space="0"/>
            </w:tcBorders>
          </w:tcPr>
          <w:p w14:paraId="36F319E0">
            <w:pPr>
              <w:pStyle w:val="106"/>
              <w:keepNext w:val="0"/>
              <w:keepLines w:val="0"/>
              <w:pageBreakBefore w:val="0"/>
              <w:widowControl w:val="0"/>
              <w:kinsoku/>
              <w:wordWrap w:val="0"/>
              <w:overflowPunct/>
              <w:topLinePunct w:val="0"/>
              <w:autoSpaceDE/>
              <w:autoSpaceDN/>
              <w:bidi w:val="0"/>
              <w:snapToGrid/>
              <w:spacing w:line="240" w:lineRule="auto"/>
              <w:ind w:left="477" w:right="0"/>
              <w:jc w:val="left"/>
              <w:rPr>
                <w:rFonts w:ascii="Times New Roman" w:hAnsi="Times New Roman" w:eastAsia="Times New Roman" w:cs="Times New Roman"/>
                <w:color w:val="auto"/>
                <w:sz w:val="21"/>
                <w:szCs w:val="21"/>
                <w:highlight w:val="none"/>
              </w:rPr>
            </w:pPr>
            <w:r>
              <w:rPr>
                <w:rFonts w:ascii="Times New Roman"/>
                <w:color w:val="auto"/>
                <w:sz w:val="21"/>
                <w:highlight w:val="none"/>
              </w:rPr>
              <w:t>100.00</w:t>
            </w:r>
          </w:p>
        </w:tc>
        <w:tc>
          <w:tcPr>
            <w:tcW w:w="1547" w:type="dxa"/>
            <w:tcBorders>
              <w:top w:val="single" w:color="000000" w:sz="6" w:space="0"/>
              <w:left w:val="single" w:color="000000" w:sz="6" w:space="0"/>
              <w:bottom w:val="single" w:color="000000" w:sz="6" w:space="0"/>
              <w:right w:val="single" w:color="000000" w:sz="6" w:space="0"/>
            </w:tcBorders>
          </w:tcPr>
          <w:p w14:paraId="4192E187">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0E5B0C81">
            <w:pPr>
              <w:keepNext w:val="0"/>
              <w:keepLines w:val="0"/>
              <w:pageBreakBefore w:val="0"/>
              <w:widowControl w:val="0"/>
              <w:kinsoku/>
              <w:wordWrap w:val="0"/>
              <w:overflowPunct/>
              <w:topLinePunct w:val="0"/>
              <w:autoSpaceDE/>
              <w:autoSpaceDN/>
              <w:bidi w:val="0"/>
              <w:snapToGrid/>
              <w:rPr>
                <w:color w:val="auto"/>
                <w:highlight w:val="none"/>
              </w:rPr>
            </w:pPr>
          </w:p>
        </w:tc>
      </w:tr>
      <w:tr w14:paraId="58B06CFB">
        <w:tblPrEx>
          <w:tblCellMar>
            <w:top w:w="0" w:type="dxa"/>
            <w:left w:w="0" w:type="dxa"/>
            <w:bottom w:w="0" w:type="dxa"/>
            <w:right w:w="0" w:type="dxa"/>
          </w:tblCellMar>
        </w:tblPrEx>
        <w:trPr>
          <w:trHeight w:val="515" w:hRule="exact"/>
        </w:trPr>
        <w:tc>
          <w:tcPr>
            <w:tcW w:w="8839" w:type="dxa"/>
            <w:gridSpan w:val="6"/>
            <w:tcBorders>
              <w:top w:val="single" w:color="000000" w:sz="6" w:space="0"/>
              <w:left w:val="single" w:color="000000" w:sz="6" w:space="0"/>
              <w:bottom w:val="single" w:color="000000" w:sz="6" w:space="0"/>
              <w:right w:val="single" w:color="000000" w:sz="6" w:space="0"/>
            </w:tcBorders>
          </w:tcPr>
          <w:p w14:paraId="3A376159">
            <w:pPr>
              <w:pStyle w:val="106"/>
              <w:keepNext w:val="0"/>
              <w:keepLines w:val="0"/>
              <w:pageBreakBefore w:val="0"/>
              <w:widowControl w:val="0"/>
              <w:kinsoku/>
              <w:wordWrap w:val="0"/>
              <w:overflowPunct/>
              <w:topLinePunct w:val="0"/>
              <w:autoSpaceDE/>
              <w:autoSpaceDN/>
              <w:bidi w:val="0"/>
              <w:snapToGrid/>
              <w:spacing w:before="155" w:line="240" w:lineRule="auto"/>
              <w:ind w:left="2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投标价：</w:t>
            </w:r>
          </w:p>
        </w:tc>
      </w:tr>
      <w:tr w14:paraId="1EBB406A">
        <w:tblPrEx>
          <w:tblCellMar>
            <w:top w:w="0" w:type="dxa"/>
            <w:left w:w="0" w:type="dxa"/>
            <w:bottom w:w="0" w:type="dxa"/>
            <w:right w:w="0" w:type="dxa"/>
          </w:tblCellMar>
        </w:tblPrEx>
        <w:trPr>
          <w:trHeight w:val="3069" w:hRule="exact"/>
        </w:trPr>
        <w:tc>
          <w:tcPr>
            <w:tcW w:w="628" w:type="dxa"/>
            <w:tcBorders>
              <w:top w:val="single" w:color="000000" w:sz="6" w:space="0"/>
              <w:left w:val="single" w:color="000000" w:sz="6" w:space="0"/>
              <w:bottom w:val="single" w:color="000000" w:sz="6" w:space="0"/>
              <w:right w:val="single" w:color="000000" w:sz="6" w:space="0"/>
            </w:tcBorders>
          </w:tcPr>
          <w:p w14:paraId="4762F4B1">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2B6005E7">
            <w:pPr>
              <w:pStyle w:val="106"/>
              <w:keepNext w:val="0"/>
              <w:keepLines w:val="0"/>
              <w:pageBreakBefore w:val="0"/>
              <w:widowControl w:val="0"/>
              <w:kinsoku/>
              <w:wordWrap w:val="0"/>
              <w:overflowPunct/>
              <w:topLinePunct w:val="0"/>
              <w:autoSpaceDE/>
              <w:autoSpaceDN/>
              <w:bidi w:val="0"/>
              <w:snapToGrid/>
              <w:spacing w:before="153" w:line="240" w:lineRule="auto"/>
              <w:ind w:left="201" w:right="0"/>
              <w:jc w:val="left"/>
              <w:rPr>
                <w:rFonts w:ascii="宋体" w:hAnsi="宋体" w:eastAsia="宋体" w:cs="宋体"/>
                <w:color w:val="auto"/>
                <w:sz w:val="21"/>
                <w:szCs w:val="21"/>
                <w:highlight w:val="none"/>
              </w:rPr>
            </w:pPr>
            <w:r>
              <w:rPr>
                <w:rFonts w:ascii="宋体" w:hAnsi="宋体" w:eastAsia="宋体" w:cs="宋体"/>
                <w:color w:val="auto"/>
                <w:w w:val="100"/>
                <w:sz w:val="21"/>
                <w:szCs w:val="21"/>
                <w:highlight w:val="none"/>
              </w:rPr>
              <w:t>说</w:t>
            </w:r>
          </w:p>
          <w:p w14:paraId="602801C4">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2DE0C58A">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22EC1926">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41105A60">
            <w:pPr>
              <w:pStyle w:val="106"/>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3E875622">
            <w:pPr>
              <w:pStyle w:val="106"/>
              <w:keepNext w:val="0"/>
              <w:keepLines w:val="0"/>
              <w:pageBreakBefore w:val="0"/>
              <w:widowControl w:val="0"/>
              <w:kinsoku/>
              <w:wordWrap w:val="0"/>
              <w:overflowPunct/>
              <w:topLinePunct w:val="0"/>
              <w:autoSpaceDE/>
              <w:autoSpaceDN/>
              <w:bidi w:val="0"/>
              <w:snapToGrid/>
              <w:spacing w:before="2" w:line="240" w:lineRule="auto"/>
              <w:ind w:right="0"/>
              <w:jc w:val="left"/>
              <w:rPr>
                <w:rFonts w:ascii="黑体" w:hAnsi="黑体" w:eastAsia="黑体" w:cs="黑体"/>
                <w:color w:val="auto"/>
                <w:sz w:val="21"/>
                <w:szCs w:val="21"/>
                <w:highlight w:val="none"/>
              </w:rPr>
            </w:pPr>
          </w:p>
          <w:p w14:paraId="1BE37192">
            <w:pPr>
              <w:pStyle w:val="106"/>
              <w:keepNext w:val="0"/>
              <w:keepLines w:val="0"/>
              <w:pageBreakBefore w:val="0"/>
              <w:widowControl w:val="0"/>
              <w:kinsoku/>
              <w:wordWrap w:val="0"/>
              <w:overflowPunct/>
              <w:topLinePunct w:val="0"/>
              <w:autoSpaceDE/>
              <w:autoSpaceDN/>
              <w:bidi w:val="0"/>
              <w:snapToGrid/>
              <w:spacing w:line="240" w:lineRule="auto"/>
              <w:ind w:left="201" w:right="0"/>
              <w:jc w:val="left"/>
              <w:rPr>
                <w:rFonts w:ascii="宋体" w:hAnsi="宋体" w:eastAsia="宋体" w:cs="宋体"/>
                <w:color w:val="auto"/>
                <w:sz w:val="21"/>
                <w:szCs w:val="21"/>
                <w:highlight w:val="none"/>
              </w:rPr>
            </w:pPr>
            <w:r>
              <w:rPr>
                <w:rFonts w:ascii="宋体" w:hAnsi="宋体" w:eastAsia="宋体" w:cs="宋体"/>
                <w:color w:val="auto"/>
                <w:w w:val="100"/>
                <w:sz w:val="21"/>
                <w:szCs w:val="21"/>
                <w:highlight w:val="none"/>
              </w:rPr>
              <w:t>明</w:t>
            </w:r>
          </w:p>
        </w:tc>
        <w:tc>
          <w:tcPr>
            <w:tcW w:w="8211" w:type="dxa"/>
            <w:gridSpan w:val="5"/>
            <w:tcBorders>
              <w:top w:val="single" w:color="000000" w:sz="6" w:space="0"/>
              <w:left w:val="single" w:color="000000" w:sz="6" w:space="0"/>
              <w:bottom w:val="single" w:color="000000" w:sz="6" w:space="0"/>
              <w:right w:val="single" w:color="000000" w:sz="6" w:space="0"/>
            </w:tcBorders>
          </w:tcPr>
          <w:p w14:paraId="3985EA69">
            <w:pPr>
              <w:keepNext w:val="0"/>
              <w:keepLines w:val="0"/>
              <w:pageBreakBefore w:val="0"/>
              <w:widowControl w:val="0"/>
              <w:kinsoku/>
              <w:wordWrap w:val="0"/>
              <w:overflowPunct/>
              <w:topLinePunct w:val="0"/>
              <w:autoSpaceDE/>
              <w:autoSpaceDN/>
              <w:bidi w:val="0"/>
              <w:snapToGrid/>
              <w:rPr>
                <w:color w:val="auto"/>
                <w:highlight w:val="none"/>
              </w:rPr>
            </w:pPr>
          </w:p>
        </w:tc>
      </w:tr>
    </w:tbl>
    <w:p w14:paraId="60C3D74D">
      <w:pPr>
        <w:keepNext w:val="0"/>
        <w:keepLines w:val="0"/>
        <w:pageBreakBefore w:val="0"/>
        <w:widowControl w:val="0"/>
        <w:kinsoku/>
        <w:wordWrap w:val="0"/>
        <w:overflowPunct/>
        <w:topLinePunct w:val="0"/>
        <w:autoSpaceDE/>
        <w:autoSpaceDN/>
        <w:bidi w:val="0"/>
        <w:adjustRightInd/>
        <w:snapToGrid/>
        <w:spacing w:before="0" w:beforeLines="50"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注：1.投标人可按工程进度估算并填写本表。</w:t>
      </w:r>
    </w:p>
    <w:p w14:paraId="11D27A14">
      <w:pPr>
        <w:keepNext w:val="0"/>
        <w:keepLines w:val="0"/>
        <w:pageBreakBefore w:val="0"/>
        <w:widowControl w:val="0"/>
        <w:numPr>
          <w:ilvl w:val="0"/>
          <w:numId w:val="10"/>
        </w:numPr>
        <w:kinsoku/>
        <w:wordWrap w:val="0"/>
        <w:overflowPunct/>
        <w:topLinePunct w:val="0"/>
        <w:autoSpaceDE/>
        <w:autoSpaceDN/>
        <w:bidi w:val="0"/>
        <w:adjustRightInd/>
        <w:snapToGrid/>
        <w:spacing w:line="360" w:lineRule="auto"/>
        <w:ind w:left="1050" w:leftChars="400" w:right="0" w:hanging="210" w:hangingChars="100"/>
        <w:jc w:val="left"/>
        <w:textAlignment w:val="auto"/>
        <w:rPr>
          <w:rFonts w:ascii="宋体" w:hAnsi="宋体"/>
          <w:color w:val="auto"/>
          <w:spacing w:val="10"/>
          <w:sz w:val="19"/>
          <w:szCs w:val="19"/>
          <w:highlight w:val="none"/>
        </w:rPr>
      </w:pPr>
      <w:r>
        <w:rPr>
          <w:rFonts w:hint="eastAsia" w:ascii="宋体" w:hAnsi="宋体" w:eastAsia="宋体" w:cs="宋体"/>
          <w:color w:val="auto"/>
          <w:sz w:val="21"/>
          <w:szCs w:val="21"/>
          <w:highlight w:val="none"/>
        </w:rPr>
        <w:t>用款额按所报单价和总额价估算，不包括价格调整和暂列金额、暂估价，但应考虑开工预</w:t>
      </w:r>
      <w:r>
        <w:rPr>
          <w:rFonts w:hint="eastAsia" w:ascii="宋体" w:hAnsi="宋体" w:eastAsia="宋体" w:cs="宋体"/>
          <w:color w:val="auto"/>
          <w:spacing w:val="-43"/>
          <w:sz w:val="21"/>
          <w:szCs w:val="21"/>
          <w:highlight w:val="none"/>
        </w:rPr>
        <w:t xml:space="preserve"> </w:t>
      </w:r>
      <w:r>
        <w:rPr>
          <w:rFonts w:hint="eastAsia" w:ascii="宋体" w:hAnsi="宋体" w:eastAsia="宋体" w:cs="宋体"/>
          <w:color w:val="auto"/>
          <w:sz w:val="21"/>
          <w:szCs w:val="21"/>
          <w:highlight w:val="none"/>
        </w:rPr>
        <w:t>付款的扣回以及签发付款证书后到实际支</w:t>
      </w:r>
      <w:r>
        <w:rPr>
          <w:rFonts w:hint="eastAsia" w:ascii="宋体" w:hAnsi="宋体" w:eastAsia="宋体" w:cs="宋体"/>
          <w:color w:val="auto"/>
          <w:sz w:val="21"/>
          <w:szCs w:val="21"/>
          <w:highlight w:val="none"/>
          <w:lang w:eastAsia="zh-CN"/>
        </w:rPr>
        <w:t>付的时间隔。</w:t>
      </w:r>
    </w:p>
    <w:sectPr>
      <w:footerReference r:id="rId17" w:type="first"/>
      <w:headerReference r:id="rId15" w:type="default"/>
      <w:footerReference r:id="rId16" w:type="default"/>
      <w:pgSz w:w="11905" w:h="16838"/>
      <w:pgMar w:top="1440" w:right="1417" w:bottom="1440" w:left="1417" w:header="850" w:footer="1106" w:gutter="0"/>
      <w:pgBorders>
        <w:top w:val="none" w:sz="0" w:space="0"/>
        <w:left w:val="none" w:sz="0" w:space="0"/>
        <w:bottom w:val="none" w:sz="0" w:space="0"/>
        <w:right w:val="none" w:sz="0" w:space="0"/>
      </w:pgBorders>
      <w:pgNumType w:fmt="decimal"/>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1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auto"/>
    <w:pitch w:val="default"/>
    <w:sig w:usb0="00000000" w:usb1="00000000" w:usb2="00000000" w:usb3="00000000" w:csb0="00000001" w:csb1="00000000"/>
  </w:font>
  <w:font w:name="MingLiU">
    <w:altName w:val="Microsoft JhengHei UI"/>
    <w:panose1 w:val="02020509000000000000"/>
    <w:charset w:val="88"/>
    <w:family w:val="moder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Arial Unicode MS">
    <w:altName w:val="宋体"/>
    <w:panose1 w:val="020B0604020202020204"/>
    <w:charset w:val="86"/>
    <w:family w:val="roman"/>
    <w:pitch w:val="default"/>
    <w:sig w:usb0="00000000" w:usb1="00000000" w:usb2="0000003F" w:usb3="00000000" w:csb0="603F01FF" w:csb1="FFFF0000"/>
  </w:font>
  <w:font w:name="Batang">
    <w:altName w:val="Malgun Gothic"/>
    <w:panose1 w:val="02030600000101010101"/>
    <w:charset w:val="81"/>
    <w:family w:val="auto"/>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Candara">
    <w:panose1 w:val="020E0502030303020204"/>
    <w:charset w:val="00"/>
    <w:family w:val="swiss"/>
    <w:pitch w:val="default"/>
    <w:sig w:usb0="A00002EF" w:usb1="4000A44B" w:usb2="00000000" w:usb3="00000000" w:csb0="2000019F" w:csb1="00000000"/>
  </w:font>
  <w:font w:name="华文宋体">
    <w:altName w:val="宋体"/>
    <w:panose1 w:val="02010600040101010101"/>
    <w:charset w:val="86"/>
    <w:family w:val="auto"/>
    <w:pitch w:val="default"/>
    <w:sig w:usb0="00000000" w:usb1="00000000" w:usb2="00000000" w:usb3="00000000" w:csb0="0004009F" w:csb1="DFD70000"/>
  </w:font>
  <w:font w:name="MS Mincho">
    <w:altName w:val="Yu Gothic UI"/>
    <w:panose1 w:val="02020609040205080304"/>
    <w:charset w:val="80"/>
    <w:family w:val="roma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1DC6">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FC911">
    <w:pPr>
      <w:pStyle w:val="15"/>
      <w:tabs>
        <w:tab w:val="center" w:pos="4873"/>
      </w:tabs>
    </w:pP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32E87">
    <w:pPr>
      <w:pStyle w:val="15"/>
      <w:tabs>
        <w:tab w:val="center" w:pos="4153"/>
        <w:tab w:val="right" w:pos="830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35300">
    <w:pPr>
      <w:pStyle w:val="15"/>
      <w:tabs>
        <w:tab w:val="center" w:pos="4153"/>
        <w:tab w:val="right" w:pos="8306"/>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C1A7A">
    <w:pPr>
      <w:spacing w:before="0" w:after="0" w:line="14" w:lineRule="auto"/>
      <w:rPr>
        <w:sz w:val="2"/>
        <w:szCs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C0734E">
                          <w:pPr>
                            <w:pStyle w:val="15"/>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FC0734E">
                    <w:pPr>
                      <w:pStyle w:val="15"/>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FAEB4">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E573F1">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EE573F1">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CF0DB">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01B071">
                          <w:pPr>
                            <w:pStyle w:val="15"/>
                          </w:pPr>
                          <w:r>
                            <w:fldChar w:fldCharType="begin"/>
                          </w:r>
                          <w:r>
                            <w:instrText xml:space="preserve"> PAGE  \* MERGEFORMAT </w:instrText>
                          </w:r>
                          <w:r>
                            <w:fldChar w:fldCharType="separate"/>
                          </w:r>
                          <w:r>
                            <w:t>130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01B071">
                    <w:pPr>
                      <w:pStyle w:val="15"/>
                    </w:pPr>
                    <w:r>
                      <w:fldChar w:fldCharType="begin"/>
                    </w:r>
                    <w:r>
                      <w:instrText xml:space="preserve"> PAGE  \* MERGEFORMAT </w:instrText>
                    </w:r>
                    <w:r>
                      <w:fldChar w:fldCharType="separate"/>
                    </w:r>
                    <w:r>
                      <w:t>130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DC4AD">
    <w:pPr>
      <w:pStyle w:val="1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21E82">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1344D">
    <w:pPr>
      <w:pStyle w:val="1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90D25">
    <w:pPr>
      <w:pStyle w:val="1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D5158">
    <w:pPr>
      <w:pStyle w:val="1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4394A">
    <w:pPr>
      <w:pStyle w:val="1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D8F92">
    <w:pPr>
      <w:pStyle w:val="16"/>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0CBB3">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BB7CC8"/>
    <w:multiLevelType w:val="singleLevel"/>
    <w:tmpl w:val="8CBB7CC8"/>
    <w:lvl w:ilvl="0" w:tentative="0">
      <w:start w:val="1"/>
      <w:numFmt w:val="decimal"/>
      <w:suff w:val="nothing"/>
      <w:lvlText w:val="（%1）"/>
      <w:lvlJc w:val="left"/>
    </w:lvl>
  </w:abstractNum>
  <w:abstractNum w:abstractNumId="1">
    <w:nsid w:val="8E9802C4"/>
    <w:multiLevelType w:val="singleLevel"/>
    <w:tmpl w:val="8E9802C4"/>
    <w:lvl w:ilvl="0" w:tentative="0">
      <w:start w:val="1"/>
      <w:numFmt w:val="lowerLetter"/>
      <w:lvlText w:val="%1."/>
      <w:lvlJc w:val="left"/>
      <w:pPr>
        <w:tabs>
          <w:tab w:val="left" w:pos="312"/>
        </w:tabs>
      </w:pPr>
    </w:lvl>
  </w:abstractNum>
  <w:abstractNum w:abstractNumId="2">
    <w:nsid w:val="DB815AAB"/>
    <w:multiLevelType w:val="singleLevel"/>
    <w:tmpl w:val="DB815AAB"/>
    <w:lvl w:ilvl="0" w:tentative="0">
      <w:start w:val="2"/>
      <w:numFmt w:val="decimal"/>
      <w:lvlText w:val="%1."/>
      <w:lvlJc w:val="left"/>
      <w:pPr>
        <w:tabs>
          <w:tab w:val="left" w:pos="312"/>
        </w:tabs>
      </w:pPr>
    </w:lvl>
  </w:abstractNum>
  <w:abstractNum w:abstractNumId="3">
    <w:nsid w:val="F9EB1D62"/>
    <w:multiLevelType w:val="singleLevel"/>
    <w:tmpl w:val="F9EB1D62"/>
    <w:lvl w:ilvl="0" w:tentative="0">
      <w:start w:val="1"/>
      <w:numFmt w:val="decimal"/>
      <w:suff w:val="nothing"/>
      <w:lvlText w:val="（%1）"/>
      <w:lvlJc w:val="left"/>
    </w:lvl>
  </w:abstractNum>
  <w:abstractNum w:abstractNumId="4">
    <w:nsid w:val="FD3999C9"/>
    <w:multiLevelType w:val="singleLevel"/>
    <w:tmpl w:val="FD3999C9"/>
    <w:lvl w:ilvl="0" w:tentative="0">
      <w:start w:val="1"/>
      <w:numFmt w:val="chineseCounting"/>
      <w:suff w:val="nothing"/>
      <w:lvlText w:val="%1、"/>
      <w:lvlJc w:val="left"/>
      <w:rPr>
        <w:rFonts w:hint="eastAsia"/>
      </w:rPr>
    </w:lvl>
  </w:abstractNum>
  <w:abstractNum w:abstractNumId="5">
    <w:nsid w:val="2027350F"/>
    <w:multiLevelType w:val="multilevel"/>
    <w:tmpl w:val="2027350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4219DF0C"/>
    <w:multiLevelType w:val="singleLevel"/>
    <w:tmpl w:val="4219DF0C"/>
    <w:lvl w:ilvl="0" w:tentative="0">
      <w:start w:val="10"/>
      <w:numFmt w:val="decimal"/>
      <w:suff w:val="space"/>
      <w:lvlText w:val="%1."/>
      <w:lvlJc w:val="left"/>
    </w:lvl>
  </w:abstractNum>
  <w:abstractNum w:abstractNumId="7">
    <w:nsid w:val="428D6BFA"/>
    <w:multiLevelType w:val="multilevel"/>
    <w:tmpl w:val="428D6BFA"/>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52B43AC1"/>
    <w:multiLevelType w:val="singleLevel"/>
    <w:tmpl w:val="52B43AC1"/>
    <w:lvl w:ilvl="0" w:tentative="0">
      <w:start w:val="1"/>
      <w:numFmt w:val="decimal"/>
      <w:suff w:val="nothing"/>
      <w:lvlText w:val="（%1）"/>
      <w:lvlJc w:val="left"/>
    </w:lvl>
  </w:abstractNum>
  <w:abstractNum w:abstractNumId="9">
    <w:nsid w:val="73C9ACF5"/>
    <w:multiLevelType w:val="singleLevel"/>
    <w:tmpl w:val="73C9ACF5"/>
    <w:lvl w:ilvl="0" w:tentative="0">
      <w:start w:val="1"/>
      <w:numFmt w:val="decimal"/>
      <w:suff w:val="nothing"/>
      <w:lvlText w:val="（%1）"/>
      <w:lvlJc w:val="left"/>
    </w:lvl>
  </w:abstractNum>
  <w:num w:numId="1">
    <w:abstractNumId w:val="4"/>
  </w:num>
  <w:num w:numId="2">
    <w:abstractNumId w:val="6"/>
  </w:num>
  <w:num w:numId="3">
    <w:abstractNumId w:val="9"/>
  </w:num>
  <w:num w:numId="4">
    <w:abstractNumId w:val="1"/>
  </w:num>
  <w:num w:numId="5">
    <w:abstractNumId w:val="0"/>
  </w:num>
  <w:num w:numId="6">
    <w:abstractNumId w:val="3"/>
  </w:num>
  <w:num w:numId="7">
    <w:abstractNumId w:val="8"/>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zZTk1NzZiMTcxOTU4MDEwM2VkMmQ5ZjExMTQ1ZDgifQ=="/>
  </w:docVars>
  <w:rsids>
    <w:rsidRoot w:val="000B2617"/>
    <w:rsid w:val="000142AC"/>
    <w:rsid w:val="000B2617"/>
    <w:rsid w:val="000F5E6E"/>
    <w:rsid w:val="00105E0D"/>
    <w:rsid w:val="001559D7"/>
    <w:rsid w:val="00156925"/>
    <w:rsid w:val="00277140"/>
    <w:rsid w:val="002E6413"/>
    <w:rsid w:val="00317E9E"/>
    <w:rsid w:val="00365D48"/>
    <w:rsid w:val="00392C87"/>
    <w:rsid w:val="005933B9"/>
    <w:rsid w:val="005B389B"/>
    <w:rsid w:val="00643BE3"/>
    <w:rsid w:val="006A72B0"/>
    <w:rsid w:val="006F200E"/>
    <w:rsid w:val="00704336"/>
    <w:rsid w:val="007D2CFB"/>
    <w:rsid w:val="007E1E97"/>
    <w:rsid w:val="007E3E46"/>
    <w:rsid w:val="008E69F8"/>
    <w:rsid w:val="0094794C"/>
    <w:rsid w:val="009B05DA"/>
    <w:rsid w:val="009C26D9"/>
    <w:rsid w:val="00BD6E6A"/>
    <w:rsid w:val="00DA6C31"/>
    <w:rsid w:val="00DC5E6F"/>
    <w:rsid w:val="00E05DFC"/>
    <w:rsid w:val="00E865C2"/>
    <w:rsid w:val="00EB1120"/>
    <w:rsid w:val="00F16C90"/>
    <w:rsid w:val="00F67370"/>
    <w:rsid w:val="00FB5B96"/>
    <w:rsid w:val="00FD3077"/>
    <w:rsid w:val="01227D26"/>
    <w:rsid w:val="01236564"/>
    <w:rsid w:val="0136492A"/>
    <w:rsid w:val="01487061"/>
    <w:rsid w:val="018C519F"/>
    <w:rsid w:val="019404F8"/>
    <w:rsid w:val="01944054"/>
    <w:rsid w:val="01A746B1"/>
    <w:rsid w:val="01C0309B"/>
    <w:rsid w:val="01CF7782"/>
    <w:rsid w:val="01D95B81"/>
    <w:rsid w:val="020236B3"/>
    <w:rsid w:val="02704AC1"/>
    <w:rsid w:val="02906F11"/>
    <w:rsid w:val="02CF4893"/>
    <w:rsid w:val="02D1729F"/>
    <w:rsid w:val="02DA018C"/>
    <w:rsid w:val="02DA4630"/>
    <w:rsid w:val="02DF21EF"/>
    <w:rsid w:val="02FA60FB"/>
    <w:rsid w:val="033B3BA4"/>
    <w:rsid w:val="036B7D08"/>
    <w:rsid w:val="038D753E"/>
    <w:rsid w:val="03944B61"/>
    <w:rsid w:val="03B95516"/>
    <w:rsid w:val="03C70C12"/>
    <w:rsid w:val="03EC0177"/>
    <w:rsid w:val="03EE3C4B"/>
    <w:rsid w:val="0471015F"/>
    <w:rsid w:val="04897E29"/>
    <w:rsid w:val="04A15F13"/>
    <w:rsid w:val="04B36EE7"/>
    <w:rsid w:val="04BC0F1C"/>
    <w:rsid w:val="04CA439E"/>
    <w:rsid w:val="04F01EE9"/>
    <w:rsid w:val="05163834"/>
    <w:rsid w:val="0516626A"/>
    <w:rsid w:val="05461B09"/>
    <w:rsid w:val="055C132C"/>
    <w:rsid w:val="05701DE5"/>
    <w:rsid w:val="0575419C"/>
    <w:rsid w:val="05776166"/>
    <w:rsid w:val="058D43B1"/>
    <w:rsid w:val="05B979B1"/>
    <w:rsid w:val="05C375FE"/>
    <w:rsid w:val="05DE7F94"/>
    <w:rsid w:val="06090E6E"/>
    <w:rsid w:val="06164193"/>
    <w:rsid w:val="06426774"/>
    <w:rsid w:val="06497B03"/>
    <w:rsid w:val="064C13E1"/>
    <w:rsid w:val="064E5119"/>
    <w:rsid w:val="066C4852"/>
    <w:rsid w:val="068B5A0C"/>
    <w:rsid w:val="069468A4"/>
    <w:rsid w:val="06C70A8C"/>
    <w:rsid w:val="06E670D4"/>
    <w:rsid w:val="07187359"/>
    <w:rsid w:val="07204535"/>
    <w:rsid w:val="07470439"/>
    <w:rsid w:val="0763261D"/>
    <w:rsid w:val="076D2346"/>
    <w:rsid w:val="078910DD"/>
    <w:rsid w:val="07E83A8C"/>
    <w:rsid w:val="07EF764A"/>
    <w:rsid w:val="080E345D"/>
    <w:rsid w:val="081A31DA"/>
    <w:rsid w:val="0837398B"/>
    <w:rsid w:val="08412F2F"/>
    <w:rsid w:val="086230FE"/>
    <w:rsid w:val="087967EA"/>
    <w:rsid w:val="088F121B"/>
    <w:rsid w:val="08A36FCA"/>
    <w:rsid w:val="08E02E1C"/>
    <w:rsid w:val="092600E8"/>
    <w:rsid w:val="092B680F"/>
    <w:rsid w:val="092E3A4F"/>
    <w:rsid w:val="093C74AB"/>
    <w:rsid w:val="09845633"/>
    <w:rsid w:val="09D165FE"/>
    <w:rsid w:val="0A10767C"/>
    <w:rsid w:val="0A1E1F35"/>
    <w:rsid w:val="0A2F48AD"/>
    <w:rsid w:val="0A354248"/>
    <w:rsid w:val="0AD64479"/>
    <w:rsid w:val="0AEC68B1"/>
    <w:rsid w:val="0AF12517"/>
    <w:rsid w:val="0AFB1087"/>
    <w:rsid w:val="0B1E21E6"/>
    <w:rsid w:val="0B270FCB"/>
    <w:rsid w:val="0B356A7F"/>
    <w:rsid w:val="0B3F71B6"/>
    <w:rsid w:val="0B470389"/>
    <w:rsid w:val="0B4F3615"/>
    <w:rsid w:val="0BD240F7"/>
    <w:rsid w:val="0BF91683"/>
    <w:rsid w:val="0C4B4C0A"/>
    <w:rsid w:val="0C675B15"/>
    <w:rsid w:val="0C7D3CE3"/>
    <w:rsid w:val="0C875893"/>
    <w:rsid w:val="0C921FF3"/>
    <w:rsid w:val="0CA02447"/>
    <w:rsid w:val="0CB06B79"/>
    <w:rsid w:val="0CB675C8"/>
    <w:rsid w:val="0CBA2B3B"/>
    <w:rsid w:val="0CD00AD0"/>
    <w:rsid w:val="0D160588"/>
    <w:rsid w:val="0D196BD7"/>
    <w:rsid w:val="0D441024"/>
    <w:rsid w:val="0D471D94"/>
    <w:rsid w:val="0D760ECF"/>
    <w:rsid w:val="0D781E33"/>
    <w:rsid w:val="0D89122B"/>
    <w:rsid w:val="0D961658"/>
    <w:rsid w:val="0DAD0BA6"/>
    <w:rsid w:val="0DCF60DD"/>
    <w:rsid w:val="0DE42AC3"/>
    <w:rsid w:val="0DF32803"/>
    <w:rsid w:val="0E506DB7"/>
    <w:rsid w:val="0E574F58"/>
    <w:rsid w:val="0E836CCB"/>
    <w:rsid w:val="0F2309F9"/>
    <w:rsid w:val="0F44530B"/>
    <w:rsid w:val="0F5A1F76"/>
    <w:rsid w:val="0F6E05DA"/>
    <w:rsid w:val="0F9811B3"/>
    <w:rsid w:val="0FB36066"/>
    <w:rsid w:val="0FBA59D5"/>
    <w:rsid w:val="0FBD6E6C"/>
    <w:rsid w:val="0FC33500"/>
    <w:rsid w:val="0FED7751"/>
    <w:rsid w:val="0FEF171B"/>
    <w:rsid w:val="0FFA7BE8"/>
    <w:rsid w:val="0FFC339B"/>
    <w:rsid w:val="10196798"/>
    <w:rsid w:val="10234FF5"/>
    <w:rsid w:val="10280397"/>
    <w:rsid w:val="10416DF4"/>
    <w:rsid w:val="104D4694"/>
    <w:rsid w:val="10727C56"/>
    <w:rsid w:val="107D407E"/>
    <w:rsid w:val="109A0F5B"/>
    <w:rsid w:val="10A71EC1"/>
    <w:rsid w:val="10A74DC7"/>
    <w:rsid w:val="10F54A36"/>
    <w:rsid w:val="11335637"/>
    <w:rsid w:val="113C1605"/>
    <w:rsid w:val="115D7C23"/>
    <w:rsid w:val="115E01DA"/>
    <w:rsid w:val="11603762"/>
    <w:rsid w:val="11671785"/>
    <w:rsid w:val="1182211B"/>
    <w:rsid w:val="118C23FE"/>
    <w:rsid w:val="11A069A6"/>
    <w:rsid w:val="11A26319"/>
    <w:rsid w:val="11B549E1"/>
    <w:rsid w:val="11B80A78"/>
    <w:rsid w:val="11F052D6"/>
    <w:rsid w:val="12176D07"/>
    <w:rsid w:val="12211934"/>
    <w:rsid w:val="12275D54"/>
    <w:rsid w:val="12320EC9"/>
    <w:rsid w:val="123955FE"/>
    <w:rsid w:val="125D4693"/>
    <w:rsid w:val="127A2196"/>
    <w:rsid w:val="129E068A"/>
    <w:rsid w:val="12B0405A"/>
    <w:rsid w:val="12B752E8"/>
    <w:rsid w:val="12E52A16"/>
    <w:rsid w:val="13110905"/>
    <w:rsid w:val="136940B1"/>
    <w:rsid w:val="13A50945"/>
    <w:rsid w:val="13CC25DA"/>
    <w:rsid w:val="13E13A8D"/>
    <w:rsid w:val="14014D8E"/>
    <w:rsid w:val="14292D22"/>
    <w:rsid w:val="14354836"/>
    <w:rsid w:val="144F65D9"/>
    <w:rsid w:val="145F58ED"/>
    <w:rsid w:val="14667B09"/>
    <w:rsid w:val="147E0129"/>
    <w:rsid w:val="14CA0061"/>
    <w:rsid w:val="14CF43E0"/>
    <w:rsid w:val="14DE5FC6"/>
    <w:rsid w:val="14F67130"/>
    <w:rsid w:val="15001E10"/>
    <w:rsid w:val="15112E59"/>
    <w:rsid w:val="152146A4"/>
    <w:rsid w:val="152D0BF2"/>
    <w:rsid w:val="154F47FE"/>
    <w:rsid w:val="157E1022"/>
    <w:rsid w:val="158740CA"/>
    <w:rsid w:val="159352D7"/>
    <w:rsid w:val="159B37AB"/>
    <w:rsid w:val="15A7745D"/>
    <w:rsid w:val="15B11221"/>
    <w:rsid w:val="15D710CB"/>
    <w:rsid w:val="160475A2"/>
    <w:rsid w:val="160F7CF5"/>
    <w:rsid w:val="161E145D"/>
    <w:rsid w:val="16247C45"/>
    <w:rsid w:val="16436D08"/>
    <w:rsid w:val="164A7250"/>
    <w:rsid w:val="16523319"/>
    <w:rsid w:val="165E3157"/>
    <w:rsid w:val="166444E5"/>
    <w:rsid w:val="167101B4"/>
    <w:rsid w:val="16716242"/>
    <w:rsid w:val="167C182F"/>
    <w:rsid w:val="16895CFA"/>
    <w:rsid w:val="16A82624"/>
    <w:rsid w:val="16A83143"/>
    <w:rsid w:val="16C86822"/>
    <w:rsid w:val="16DB2158"/>
    <w:rsid w:val="16E15B36"/>
    <w:rsid w:val="16F65AEF"/>
    <w:rsid w:val="16FF6042"/>
    <w:rsid w:val="17180EB0"/>
    <w:rsid w:val="17237156"/>
    <w:rsid w:val="172B2925"/>
    <w:rsid w:val="17306175"/>
    <w:rsid w:val="174F1DAC"/>
    <w:rsid w:val="17513FBF"/>
    <w:rsid w:val="176302F9"/>
    <w:rsid w:val="178B73C7"/>
    <w:rsid w:val="17D304D2"/>
    <w:rsid w:val="17DD00AB"/>
    <w:rsid w:val="18153CE9"/>
    <w:rsid w:val="182D7643"/>
    <w:rsid w:val="18441ED8"/>
    <w:rsid w:val="18597DC9"/>
    <w:rsid w:val="1885398F"/>
    <w:rsid w:val="18E549FD"/>
    <w:rsid w:val="18FF0968"/>
    <w:rsid w:val="190A203B"/>
    <w:rsid w:val="19206C9F"/>
    <w:rsid w:val="19232806"/>
    <w:rsid w:val="19267418"/>
    <w:rsid w:val="19600F94"/>
    <w:rsid w:val="19826BD2"/>
    <w:rsid w:val="19BF4735"/>
    <w:rsid w:val="1A277D03"/>
    <w:rsid w:val="1A2A15A2"/>
    <w:rsid w:val="1A4B6A9E"/>
    <w:rsid w:val="1A5F124B"/>
    <w:rsid w:val="1A700243"/>
    <w:rsid w:val="1A86265D"/>
    <w:rsid w:val="1A8C2802"/>
    <w:rsid w:val="1A955654"/>
    <w:rsid w:val="1B11519E"/>
    <w:rsid w:val="1B244243"/>
    <w:rsid w:val="1B28788F"/>
    <w:rsid w:val="1B6376C3"/>
    <w:rsid w:val="1B9238A2"/>
    <w:rsid w:val="1B9852AF"/>
    <w:rsid w:val="1BAB226E"/>
    <w:rsid w:val="1BB60D11"/>
    <w:rsid w:val="1BBF1CAE"/>
    <w:rsid w:val="1BDA438A"/>
    <w:rsid w:val="1BE41952"/>
    <w:rsid w:val="1C0C002B"/>
    <w:rsid w:val="1C2F4C4D"/>
    <w:rsid w:val="1C3F2A4C"/>
    <w:rsid w:val="1C482575"/>
    <w:rsid w:val="1C4A7CD9"/>
    <w:rsid w:val="1C580200"/>
    <w:rsid w:val="1C8D74D1"/>
    <w:rsid w:val="1C9729AD"/>
    <w:rsid w:val="1CA83640"/>
    <w:rsid w:val="1CCC104A"/>
    <w:rsid w:val="1D152095"/>
    <w:rsid w:val="1D253AC8"/>
    <w:rsid w:val="1D8334A3"/>
    <w:rsid w:val="1DC25EB6"/>
    <w:rsid w:val="1DF5145A"/>
    <w:rsid w:val="1E0400F2"/>
    <w:rsid w:val="1E114F52"/>
    <w:rsid w:val="1E2C336A"/>
    <w:rsid w:val="1E355C25"/>
    <w:rsid w:val="1E544E3F"/>
    <w:rsid w:val="1E6E2B1C"/>
    <w:rsid w:val="1E84649B"/>
    <w:rsid w:val="1E9D0594"/>
    <w:rsid w:val="1E9F5661"/>
    <w:rsid w:val="1EAE7F57"/>
    <w:rsid w:val="1ED52284"/>
    <w:rsid w:val="1F1D7927"/>
    <w:rsid w:val="1F2A0F15"/>
    <w:rsid w:val="1F391BDB"/>
    <w:rsid w:val="1F49071C"/>
    <w:rsid w:val="1F6470C9"/>
    <w:rsid w:val="1F683430"/>
    <w:rsid w:val="1F7F5EEC"/>
    <w:rsid w:val="1FA0114B"/>
    <w:rsid w:val="1FC34EFD"/>
    <w:rsid w:val="1FC55DBE"/>
    <w:rsid w:val="1FCD0DA6"/>
    <w:rsid w:val="1FDF6D29"/>
    <w:rsid w:val="1FEB7F62"/>
    <w:rsid w:val="1FF91430"/>
    <w:rsid w:val="20322F5E"/>
    <w:rsid w:val="203477F5"/>
    <w:rsid w:val="2071600A"/>
    <w:rsid w:val="20855784"/>
    <w:rsid w:val="2091237A"/>
    <w:rsid w:val="20B6731E"/>
    <w:rsid w:val="20D90E52"/>
    <w:rsid w:val="20E72E33"/>
    <w:rsid w:val="20F601B2"/>
    <w:rsid w:val="20FA0C45"/>
    <w:rsid w:val="2107745D"/>
    <w:rsid w:val="211730FE"/>
    <w:rsid w:val="211A7A85"/>
    <w:rsid w:val="21236D5F"/>
    <w:rsid w:val="212E4C29"/>
    <w:rsid w:val="21356899"/>
    <w:rsid w:val="2136082C"/>
    <w:rsid w:val="21380A48"/>
    <w:rsid w:val="2142018C"/>
    <w:rsid w:val="2164183D"/>
    <w:rsid w:val="216E7FC6"/>
    <w:rsid w:val="21AD0AEE"/>
    <w:rsid w:val="21BD027C"/>
    <w:rsid w:val="21BE7913"/>
    <w:rsid w:val="22465C8A"/>
    <w:rsid w:val="224A27E1"/>
    <w:rsid w:val="224B3784"/>
    <w:rsid w:val="225262C8"/>
    <w:rsid w:val="22712F8D"/>
    <w:rsid w:val="22747619"/>
    <w:rsid w:val="22965A26"/>
    <w:rsid w:val="22D447A0"/>
    <w:rsid w:val="22D55499"/>
    <w:rsid w:val="22DB7D9B"/>
    <w:rsid w:val="22F10EAE"/>
    <w:rsid w:val="22F62727"/>
    <w:rsid w:val="2322550C"/>
    <w:rsid w:val="23296BD8"/>
    <w:rsid w:val="232E02C7"/>
    <w:rsid w:val="233D0598"/>
    <w:rsid w:val="23517B9F"/>
    <w:rsid w:val="237A3CFD"/>
    <w:rsid w:val="237E09E8"/>
    <w:rsid w:val="23897339"/>
    <w:rsid w:val="23BF5773"/>
    <w:rsid w:val="23CE11F0"/>
    <w:rsid w:val="23DA18D0"/>
    <w:rsid w:val="23FA3D93"/>
    <w:rsid w:val="23FF7188"/>
    <w:rsid w:val="240440CC"/>
    <w:rsid w:val="24A02B8C"/>
    <w:rsid w:val="24DA0EEF"/>
    <w:rsid w:val="25090731"/>
    <w:rsid w:val="250F3A01"/>
    <w:rsid w:val="25276FE1"/>
    <w:rsid w:val="252C2672"/>
    <w:rsid w:val="252F3F10"/>
    <w:rsid w:val="25487995"/>
    <w:rsid w:val="255B6AB3"/>
    <w:rsid w:val="25E37751"/>
    <w:rsid w:val="26626ADB"/>
    <w:rsid w:val="26655E3B"/>
    <w:rsid w:val="269229A8"/>
    <w:rsid w:val="269D000F"/>
    <w:rsid w:val="26DE3B37"/>
    <w:rsid w:val="26DF7388"/>
    <w:rsid w:val="26E1380E"/>
    <w:rsid w:val="26EA27E4"/>
    <w:rsid w:val="26F92A28"/>
    <w:rsid w:val="27103A7F"/>
    <w:rsid w:val="271909D4"/>
    <w:rsid w:val="27231852"/>
    <w:rsid w:val="272F6449"/>
    <w:rsid w:val="275207CE"/>
    <w:rsid w:val="27554102"/>
    <w:rsid w:val="276121F5"/>
    <w:rsid w:val="278D0BE4"/>
    <w:rsid w:val="27B178DB"/>
    <w:rsid w:val="27C13545"/>
    <w:rsid w:val="27D220D7"/>
    <w:rsid w:val="27E33A67"/>
    <w:rsid w:val="28254032"/>
    <w:rsid w:val="28304D46"/>
    <w:rsid w:val="283B57BB"/>
    <w:rsid w:val="285A74F6"/>
    <w:rsid w:val="28624E69"/>
    <w:rsid w:val="28800981"/>
    <w:rsid w:val="28963EDB"/>
    <w:rsid w:val="28C17575"/>
    <w:rsid w:val="28E27CCD"/>
    <w:rsid w:val="28E7767C"/>
    <w:rsid w:val="290872A8"/>
    <w:rsid w:val="297A2B93"/>
    <w:rsid w:val="29AA0009"/>
    <w:rsid w:val="29B64C00"/>
    <w:rsid w:val="29B669AE"/>
    <w:rsid w:val="29CC7F7F"/>
    <w:rsid w:val="29D12335"/>
    <w:rsid w:val="2A043DB8"/>
    <w:rsid w:val="2A067935"/>
    <w:rsid w:val="2A110088"/>
    <w:rsid w:val="2A2E247A"/>
    <w:rsid w:val="2A693A20"/>
    <w:rsid w:val="2ABC600B"/>
    <w:rsid w:val="2ABE5B1A"/>
    <w:rsid w:val="2B034B16"/>
    <w:rsid w:val="2B2E2CA4"/>
    <w:rsid w:val="2B42499D"/>
    <w:rsid w:val="2B6D57DA"/>
    <w:rsid w:val="2B784293"/>
    <w:rsid w:val="2B934E62"/>
    <w:rsid w:val="2BAA0794"/>
    <w:rsid w:val="2BB664DD"/>
    <w:rsid w:val="2BD97FBD"/>
    <w:rsid w:val="2BE10FDC"/>
    <w:rsid w:val="2BEF50B2"/>
    <w:rsid w:val="2BFF0AC1"/>
    <w:rsid w:val="2C081FC1"/>
    <w:rsid w:val="2C1E02B5"/>
    <w:rsid w:val="2C273B93"/>
    <w:rsid w:val="2C602C01"/>
    <w:rsid w:val="2C6556A5"/>
    <w:rsid w:val="2C7E1059"/>
    <w:rsid w:val="2C9C632F"/>
    <w:rsid w:val="2CAB0CC8"/>
    <w:rsid w:val="2CB54D9F"/>
    <w:rsid w:val="2D32328A"/>
    <w:rsid w:val="2D60735C"/>
    <w:rsid w:val="2D687FBF"/>
    <w:rsid w:val="2D927C68"/>
    <w:rsid w:val="2D963BA9"/>
    <w:rsid w:val="2DC23BAC"/>
    <w:rsid w:val="2E0A18D2"/>
    <w:rsid w:val="2E0A1F6A"/>
    <w:rsid w:val="2E1B7D45"/>
    <w:rsid w:val="2E1D14D9"/>
    <w:rsid w:val="2E2465DC"/>
    <w:rsid w:val="2E2E579B"/>
    <w:rsid w:val="2E652F0D"/>
    <w:rsid w:val="2E7C01C6"/>
    <w:rsid w:val="2E9665E0"/>
    <w:rsid w:val="2E9A689E"/>
    <w:rsid w:val="2ECB57C8"/>
    <w:rsid w:val="2ED60BC3"/>
    <w:rsid w:val="2EE30095"/>
    <w:rsid w:val="2EEB534C"/>
    <w:rsid w:val="2EEB70FA"/>
    <w:rsid w:val="2F3F3BD5"/>
    <w:rsid w:val="2F4A64A5"/>
    <w:rsid w:val="2F4F5F32"/>
    <w:rsid w:val="2F763CAE"/>
    <w:rsid w:val="2F7E5D66"/>
    <w:rsid w:val="2F870FB2"/>
    <w:rsid w:val="2FB03F14"/>
    <w:rsid w:val="2FD1060C"/>
    <w:rsid w:val="2FEB7E18"/>
    <w:rsid w:val="2FF10740"/>
    <w:rsid w:val="2FFD70E5"/>
    <w:rsid w:val="30187332"/>
    <w:rsid w:val="303F594F"/>
    <w:rsid w:val="306233EC"/>
    <w:rsid w:val="306B4E7D"/>
    <w:rsid w:val="30851D1F"/>
    <w:rsid w:val="30BF6A65"/>
    <w:rsid w:val="30D64E51"/>
    <w:rsid w:val="30E861C4"/>
    <w:rsid w:val="31305298"/>
    <w:rsid w:val="31553C02"/>
    <w:rsid w:val="315712CA"/>
    <w:rsid w:val="316F4012"/>
    <w:rsid w:val="31802C7E"/>
    <w:rsid w:val="31A876A2"/>
    <w:rsid w:val="31AB7B22"/>
    <w:rsid w:val="31D6746F"/>
    <w:rsid w:val="31D76A2D"/>
    <w:rsid w:val="31F44517"/>
    <w:rsid w:val="321719DD"/>
    <w:rsid w:val="321B1AA4"/>
    <w:rsid w:val="32537490"/>
    <w:rsid w:val="325D3E6B"/>
    <w:rsid w:val="328533C1"/>
    <w:rsid w:val="32A31C4C"/>
    <w:rsid w:val="32D147E3"/>
    <w:rsid w:val="32E018D2"/>
    <w:rsid w:val="33072028"/>
    <w:rsid w:val="332A30ED"/>
    <w:rsid w:val="333E1EEE"/>
    <w:rsid w:val="336C69A3"/>
    <w:rsid w:val="336E013E"/>
    <w:rsid w:val="33801A8B"/>
    <w:rsid w:val="33824F21"/>
    <w:rsid w:val="338E1155"/>
    <w:rsid w:val="339D29F6"/>
    <w:rsid w:val="33B96B1E"/>
    <w:rsid w:val="33C274C9"/>
    <w:rsid w:val="33C361FD"/>
    <w:rsid w:val="33C45E8B"/>
    <w:rsid w:val="33DD02E9"/>
    <w:rsid w:val="33FB7DDF"/>
    <w:rsid w:val="33FF7B8F"/>
    <w:rsid w:val="34194CAE"/>
    <w:rsid w:val="342C3844"/>
    <w:rsid w:val="34471173"/>
    <w:rsid w:val="347F4209"/>
    <w:rsid w:val="34916165"/>
    <w:rsid w:val="349D49F2"/>
    <w:rsid w:val="34B47F8E"/>
    <w:rsid w:val="34C26DED"/>
    <w:rsid w:val="34C4064B"/>
    <w:rsid w:val="34E3096A"/>
    <w:rsid w:val="351B5994"/>
    <w:rsid w:val="351F7AFD"/>
    <w:rsid w:val="35205513"/>
    <w:rsid w:val="353510CF"/>
    <w:rsid w:val="3538296D"/>
    <w:rsid w:val="359B7CE1"/>
    <w:rsid w:val="35FD4A19"/>
    <w:rsid w:val="361B3B70"/>
    <w:rsid w:val="362B5B9C"/>
    <w:rsid w:val="36453593"/>
    <w:rsid w:val="364D069A"/>
    <w:rsid w:val="369547CF"/>
    <w:rsid w:val="36B30238"/>
    <w:rsid w:val="36B349A1"/>
    <w:rsid w:val="36B424C7"/>
    <w:rsid w:val="370B2A16"/>
    <w:rsid w:val="37177E68"/>
    <w:rsid w:val="37180BE2"/>
    <w:rsid w:val="37744847"/>
    <w:rsid w:val="37A6648B"/>
    <w:rsid w:val="37BE35FD"/>
    <w:rsid w:val="37BE6012"/>
    <w:rsid w:val="37F06328"/>
    <w:rsid w:val="37F4701F"/>
    <w:rsid w:val="38061323"/>
    <w:rsid w:val="38335D24"/>
    <w:rsid w:val="38394719"/>
    <w:rsid w:val="383E4663"/>
    <w:rsid w:val="38507FCD"/>
    <w:rsid w:val="38514471"/>
    <w:rsid w:val="385F0069"/>
    <w:rsid w:val="3864285C"/>
    <w:rsid w:val="38CE65E1"/>
    <w:rsid w:val="38EA0710"/>
    <w:rsid w:val="3902773E"/>
    <w:rsid w:val="390E707E"/>
    <w:rsid w:val="39167DE9"/>
    <w:rsid w:val="391B4A7F"/>
    <w:rsid w:val="39242C23"/>
    <w:rsid w:val="392A0C82"/>
    <w:rsid w:val="393E01A9"/>
    <w:rsid w:val="3942200C"/>
    <w:rsid w:val="39567866"/>
    <w:rsid w:val="39592D00"/>
    <w:rsid w:val="395B30CE"/>
    <w:rsid w:val="39903AEB"/>
    <w:rsid w:val="399A7CBE"/>
    <w:rsid w:val="399F16B8"/>
    <w:rsid w:val="39C8164D"/>
    <w:rsid w:val="39CD3FCC"/>
    <w:rsid w:val="39EC23F0"/>
    <w:rsid w:val="39FA7411"/>
    <w:rsid w:val="39FD13E3"/>
    <w:rsid w:val="3A172CEC"/>
    <w:rsid w:val="3A1A62F9"/>
    <w:rsid w:val="3A375D56"/>
    <w:rsid w:val="3A571AE7"/>
    <w:rsid w:val="3A5D1B43"/>
    <w:rsid w:val="3A616FC3"/>
    <w:rsid w:val="3A7B62F5"/>
    <w:rsid w:val="3A8D7822"/>
    <w:rsid w:val="3A9C74FA"/>
    <w:rsid w:val="3AB552C8"/>
    <w:rsid w:val="3AB61CE0"/>
    <w:rsid w:val="3ABC7A3F"/>
    <w:rsid w:val="3AFE4D0B"/>
    <w:rsid w:val="3B181184"/>
    <w:rsid w:val="3B442D86"/>
    <w:rsid w:val="3B4F061F"/>
    <w:rsid w:val="3B781D15"/>
    <w:rsid w:val="3B9449E3"/>
    <w:rsid w:val="3BAE5737"/>
    <w:rsid w:val="3C3C22E5"/>
    <w:rsid w:val="3C3C71E7"/>
    <w:rsid w:val="3C53337D"/>
    <w:rsid w:val="3C5F4C83"/>
    <w:rsid w:val="3C613C13"/>
    <w:rsid w:val="3C722C08"/>
    <w:rsid w:val="3C7C3A87"/>
    <w:rsid w:val="3C811ABC"/>
    <w:rsid w:val="3C9E2725"/>
    <w:rsid w:val="3CB44FCF"/>
    <w:rsid w:val="3CB94393"/>
    <w:rsid w:val="3CDD09B4"/>
    <w:rsid w:val="3D267967"/>
    <w:rsid w:val="3D2A7B7D"/>
    <w:rsid w:val="3D7E3963"/>
    <w:rsid w:val="3D9077EA"/>
    <w:rsid w:val="3D9B2C39"/>
    <w:rsid w:val="3DA60DBB"/>
    <w:rsid w:val="3DD9580C"/>
    <w:rsid w:val="3DE034A8"/>
    <w:rsid w:val="3DE411D5"/>
    <w:rsid w:val="3E4A3DEF"/>
    <w:rsid w:val="3E6207FE"/>
    <w:rsid w:val="3E67330A"/>
    <w:rsid w:val="3E6A3B8B"/>
    <w:rsid w:val="3E802161"/>
    <w:rsid w:val="3E946E66"/>
    <w:rsid w:val="3EC25994"/>
    <w:rsid w:val="3EF67997"/>
    <w:rsid w:val="3F147463"/>
    <w:rsid w:val="3F2302B8"/>
    <w:rsid w:val="3F3F333C"/>
    <w:rsid w:val="3F626F64"/>
    <w:rsid w:val="3F6E3B5B"/>
    <w:rsid w:val="3F712390"/>
    <w:rsid w:val="3F7D2F50"/>
    <w:rsid w:val="3F8B54F5"/>
    <w:rsid w:val="3F93737E"/>
    <w:rsid w:val="3FEC0081"/>
    <w:rsid w:val="3FEE25A6"/>
    <w:rsid w:val="40132052"/>
    <w:rsid w:val="401A6EC9"/>
    <w:rsid w:val="402C1320"/>
    <w:rsid w:val="405F48F5"/>
    <w:rsid w:val="4094502C"/>
    <w:rsid w:val="40A315E2"/>
    <w:rsid w:val="40BD3642"/>
    <w:rsid w:val="40C8653D"/>
    <w:rsid w:val="40E340D5"/>
    <w:rsid w:val="41126768"/>
    <w:rsid w:val="41214B61"/>
    <w:rsid w:val="41485D02"/>
    <w:rsid w:val="41526080"/>
    <w:rsid w:val="41E77BCB"/>
    <w:rsid w:val="41F12821"/>
    <w:rsid w:val="421F1BC9"/>
    <w:rsid w:val="42470693"/>
    <w:rsid w:val="42557587"/>
    <w:rsid w:val="42BD2703"/>
    <w:rsid w:val="431A443B"/>
    <w:rsid w:val="43282273"/>
    <w:rsid w:val="43292984"/>
    <w:rsid w:val="433E55F2"/>
    <w:rsid w:val="436F7EA2"/>
    <w:rsid w:val="437F439D"/>
    <w:rsid w:val="438C45B0"/>
    <w:rsid w:val="43B600AD"/>
    <w:rsid w:val="43D45F57"/>
    <w:rsid w:val="43F403A7"/>
    <w:rsid w:val="44003B83"/>
    <w:rsid w:val="4404683C"/>
    <w:rsid w:val="44071E88"/>
    <w:rsid w:val="44BE7A04"/>
    <w:rsid w:val="44C164DB"/>
    <w:rsid w:val="44C271F2"/>
    <w:rsid w:val="44C63AF1"/>
    <w:rsid w:val="44CE56D9"/>
    <w:rsid w:val="44DC0BDB"/>
    <w:rsid w:val="44E623E5"/>
    <w:rsid w:val="44E91527"/>
    <w:rsid w:val="44F5417B"/>
    <w:rsid w:val="45010FB7"/>
    <w:rsid w:val="450B72BB"/>
    <w:rsid w:val="450F5065"/>
    <w:rsid w:val="451B6E96"/>
    <w:rsid w:val="45260A34"/>
    <w:rsid w:val="45365559"/>
    <w:rsid w:val="453C0257"/>
    <w:rsid w:val="458D0AB3"/>
    <w:rsid w:val="45941E41"/>
    <w:rsid w:val="45B47338"/>
    <w:rsid w:val="45EB27DC"/>
    <w:rsid w:val="45F60406"/>
    <w:rsid w:val="4607430F"/>
    <w:rsid w:val="462B7A62"/>
    <w:rsid w:val="463F7FFF"/>
    <w:rsid w:val="46670BC7"/>
    <w:rsid w:val="469B7FD9"/>
    <w:rsid w:val="46A95479"/>
    <w:rsid w:val="46C422B2"/>
    <w:rsid w:val="470A6FA0"/>
    <w:rsid w:val="470B7EE1"/>
    <w:rsid w:val="47106EE2"/>
    <w:rsid w:val="4714323A"/>
    <w:rsid w:val="47191F3B"/>
    <w:rsid w:val="475227AB"/>
    <w:rsid w:val="477503E3"/>
    <w:rsid w:val="478E1ED9"/>
    <w:rsid w:val="47953C4F"/>
    <w:rsid w:val="47AD0F98"/>
    <w:rsid w:val="47DB78B4"/>
    <w:rsid w:val="4801400D"/>
    <w:rsid w:val="48026F58"/>
    <w:rsid w:val="48036FE2"/>
    <w:rsid w:val="481B05F8"/>
    <w:rsid w:val="48281712"/>
    <w:rsid w:val="48304D58"/>
    <w:rsid w:val="48360E41"/>
    <w:rsid w:val="48486A94"/>
    <w:rsid w:val="48496760"/>
    <w:rsid w:val="48A420A7"/>
    <w:rsid w:val="48A44149"/>
    <w:rsid w:val="48AE5CCA"/>
    <w:rsid w:val="48D35C1B"/>
    <w:rsid w:val="48E1539E"/>
    <w:rsid w:val="48E16E12"/>
    <w:rsid w:val="48F50E49"/>
    <w:rsid w:val="49125B3D"/>
    <w:rsid w:val="49292CBC"/>
    <w:rsid w:val="496833C9"/>
    <w:rsid w:val="49A03F9C"/>
    <w:rsid w:val="49D942C7"/>
    <w:rsid w:val="49DA4781"/>
    <w:rsid w:val="49DD60C4"/>
    <w:rsid w:val="49FA51D7"/>
    <w:rsid w:val="4A1672C9"/>
    <w:rsid w:val="4A1C2405"/>
    <w:rsid w:val="4A4B459B"/>
    <w:rsid w:val="4A6D331C"/>
    <w:rsid w:val="4A8A5355"/>
    <w:rsid w:val="4AEC627C"/>
    <w:rsid w:val="4AF33C85"/>
    <w:rsid w:val="4AFB201B"/>
    <w:rsid w:val="4B2E58D5"/>
    <w:rsid w:val="4B3814C1"/>
    <w:rsid w:val="4B3D2BF8"/>
    <w:rsid w:val="4B4A51F9"/>
    <w:rsid w:val="4BBE4A86"/>
    <w:rsid w:val="4BBE6123"/>
    <w:rsid w:val="4BF955AC"/>
    <w:rsid w:val="4C4A00F0"/>
    <w:rsid w:val="4C5B0FC3"/>
    <w:rsid w:val="4C683A2B"/>
    <w:rsid w:val="4C6E5CB9"/>
    <w:rsid w:val="4C83676C"/>
    <w:rsid w:val="4CA9635E"/>
    <w:rsid w:val="4CAF7561"/>
    <w:rsid w:val="4CB80042"/>
    <w:rsid w:val="4CB81FAF"/>
    <w:rsid w:val="4D0C49B3"/>
    <w:rsid w:val="4D1B4BF6"/>
    <w:rsid w:val="4D63515F"/>
    <w:rsid w:val="4D830F94"/>
    <w:rsid w:val="4D8A3CAB"/>
    <w:rsid w:val="4D9E25AB"/>
    <w:rsid w:val="4DE35714"/>
    <w:rsid w:val="4E257D35"/>
    <w:rsid w:val="4E4A7B2B"/>
    <w:rsid w:val="4E6519F8"/>
    <w:rsid w:val="4EB64BD7"/>
    <w:rsid w:val="4EBC01AF"/>
    <w:rsid w:val="4ED35788"/>
    <w:rsid w:val="4ED570B4"/>
    <w:rsid w:val="4EF32E4E"/>
    <w:rsid w:val="4EF37C3D"/>
    <w:rsid w:val="4F193510"/>
    <w:rsid w:val="4F331B48"/>
    <w:rsid w:val="4F3B332E"/>
    <w:rsid w:val="4F457D08"/>
    <w:rsid w:val="4F504A2E"/>
    <w:rsid w:val="4F674123"/>
    <w:rsid w:val="4F857DBD"/>
    <w:rsid w:val="4F8C7A5C"/>
    <w:rsid w:val="4FA345DA"/>
    <w:rsid w:val="4FA35C7A"/>
    <w:rsid w:val="4FB16006"/>
    <w:rsid w:val="4FB64093"/>
    <w:rsid w:val="4FDD43E5"/>
    <w:rsid w:val="50160FEC"/>
    <w:rsid w:val="503F0BFC"/>
    <w:rsid w:val="506D7743"/>
    <w:rsid w:val="508F3C1A"/>
    <w:rsid w:val="509402B4"/>
    <w:rsid w:val="50A349B5"/>
    <w:rsid w:val="513E7B65"/>
    <w:rsid w:val="51505BB3"/>
    <w:rsid w:val="517174DB"/>
    <w:rsid w:val="518A5EA7"/>
    <w:rsid w:val="519A433C"/>
    <w:rsid w:val="51AB6955"/>
    <w:rsid w:val="51BB7195"/>
    <w:rsid w:val="521E2410"/>
    <w:rsid w:val="52202DFC"/>
    <w:rsid w:val="52614E59"/>
    <w:rsid w:val="52752746"/>
    <w:rsid w:val="527C72FC"/>
    <w:rsid w:val="529C40E3"/>
    <w:rsid w:val="529C5C35"/>
    <w:rsid w:val="52BB0A0D"/>
    <w:rsid w:val="52C75604"/>
    <w:rsid w:val="52CC5674"/>
    <w:rsid w:val="52ED5960"/>
    <w:rsid w:val="531719BC"/>
    <w:rsid w:val="531E76EE"/>
    <w:rsid w:val="533414A6"/>
    <w:rsid w:val="53542C10"/>
    <w:rsid w:val="535B5D4C"/>
    <w:rsid w:val="536157AC"/>
    <w:rsid w:val="5372721D"/>
    <w:rsid w:val="5376002F"/>
    <w:rsid w:val="537C2650"/>
    <w:rsid w:val="53984C6E"/>
    <w:rsid w:val="539A4C0B"/>
    <w:rsid w:val="53A1405D"/>
    <w:rsid w:val="53E04BF9"/>
    <w:rsid w:val="53F229C4"/>
    <w:rsid w:val="53F33752"/>
    <w:rsid w:val="54261308"/>
    <w:rsid w:val="54282699"/>
    <w:rsid w:val="544929FF"/>
    <w:rsid w:val="545E6613"/>
    <w:rsid w:val="547868A6"/>
    <w:rsid w:val="548D63DA"/>
    <w:rsid w:val="54A4559D"/>
    <w:rsid w:val="54A83213"/>
    <w:rsid w:val="54A85E53"/>
    <w:rsid w:val="54BC7FA2"/>
    <w:rsid w:val="54EA382C"/>
    <w:rsid w:val="54F56475"/>
    <w:rsid w:val="55042FEC"/>
    <w:rsid w:val="55172147"/>
    <w:rsid w:val="551729C3"/>
    <w:rsid w:val="551F522C"/>
    <w:rsid w:val="55200FFC"/>
    <w:rsid w:val="552420A8"/>
    <w:rsid w:val="557F21C6"/>
    <w:rsid w:val="55B47996"/>
    <w:rsid w:val="55C1529A"/>
    <w:rsid w:val="55FB150F"/>
    <w:rsid w:val="55FC39D9"/>
    <w:rsid w:val="55FE77C9"/>
    <w:rsid w:val="56041D46"/>
    <w:rsid w:val="561C5C67"/>
    <w:rsid w:val="56293EE0"/>
    <w:rsid w:val="56486A5C"/>
    <w:rsid w:val="565C0BAF"/>
    <w:rsid w:val="56717635"/>
    <w:rsid w:val="56825435"/>
    <w:rsid w:val="568B73E6"/>
    <w:rsid w:val="56AD0C13"/>
    <w:rsid w:val="56E63204"/>
    <w:rsid w:val="56F37E2F"/>
    <w:rsid w:val="56F7571F"/>
    <w:rsid w:val="56FA762A"/>
    <w:rsid w:val="570922EB"/>
    <w:rsid w:val="575916E1"/>
    <w:rsid w:val="575B631B"/>
    <w:rsid w:val="578515EA"/>
    <w:rsid w:val="57AC4DC9"/>
    <w:rsid w:val="57CF6D09"/>
    <w:rsid w:val="57D460CD"/>
    <w:rsid w:val="57D60097"/>
    <w:rsid w:val="58004D2C"/>
    <w:rsid w:val="5815647A"/>
    <w:rsid w:val="584F521B"/>
    <w:rsid w:val="58694A68"/>
    <w:rsid w:val="587F072F"/>
    <w:rsid w:val="58802EB5"/>
    <w:rsid w:val="58953F56"/>
    <w:rsid w:val="589A10C5"/>
    <w:rsid w:val="58AE1510"/>
    <w:rsid w:val="58C46E3D"/>
    <w:rsid w:val="58F34C16"/>
    <w:rsid w:val="59077279"/>
    <w:rsid w:val="59736F01"/>
    <w:rsid w:val="598F04FE"/>
    <w:rsid w:val="59934492"/>
    <w:rsid w:val="59A044B9"/>
    <w:rsid w:val="59B3529A"/>
    <w:rsid w:val="59BE5287"/>
    <w:rsid w:val="59DE3233"/>
    <w:rsid w:val="59E864AE"/>
    <w:rsid w:val="59F1740B"/>
    <w:rsid w:val="5A1243DA"/>
    <w:rsid w:val="5A1255F6"/>
    <w:rsid w:val="5A1D7E89"/>
    <w:rsid w:val="5A214E6E"/>
    <w:rsid w:val="5A2E41BB"/>
    <w:rsid w:val="5A3B739B"/>
    <w:rsid w:val="5A461F0B"/>
    <w:rsid w:val="5A585FE6"/>
    <w:rsid w:val="5A6220B6"/>
    <w:rsid w:val="5A9B73B9"/>
    <w:rsid w:val="5AA53BA4"/>
    <w:rsid w:val="5ABF3065"/>
    <w:rsid w:val="5B4524B8"/>
    <w:rsid w:val="5B5C073F"/>
    <w:rsid w:val="5B6F7720"/>
    <w:rsid w:val="5B715A8A"/>
    <w:rsid w:val="5B8C73EB"/>
    <w:rsid w:val="5BAA2E28"/>
    <w:rsid w:val="5BB36D43"/>
    <w:rsid w:val="5BB53EFB"/>
    <w:rsid w:val="5BEC1C38"/>
    <w:rsid w:val="5BF0749C"/>
    <w:rsid w:val="5C217B6E"/>
    <w:rsid w:val="5C3830CF"/>
    <w:rsid w:val="5C7F199D"/>
    <w:rsid w:val="5C8F0D4E"/>
    <w:rsid w:val="5C9A5B38"/>
    <w:rsid w:val="5CB141F4"/>
    <w:rsid w:val="5CC11316"/>
    <w:rsid w:val="5CE46DB3"/>
    <w:rsid w:val="5D011713"/>
    <w:rsid w:val="5D830942"/>
    <w:rsid w:val="5D8312FB"/>
    <w:rsid w:val="5D9A7F01"/>
    <w:rsid w:val="5DAA7A9B"/>
    <w:rsid w:val="5DAF3625"/>
    <w:rsid w:val="5DDD2180"/>
    <w:rsid w:val="5DDF2774"/>
    <w:rsid w:val="5E381A8A"/>
    <w:rsid w:val="5E3F3EB8"/>
    <w:rsid w:val="5E4A533B"/>
    <w:rsid w:val="5E53650C"/>
    <w:rsid w:val="5EB01B7C"/>
    <w:rsid w:val="5EC039A1"/>
    <w:rsid w:val="5EF0706A"/>
    <w:rsid w:val="5F116F65"/>
    <w:rsid w:val="5F426012"/>
    <w:rsid w:val="5F5E2FD2"/>
    <w:rsid w:val="5F791DC2"/>
    <w:rsid w:val="5F824661"/>
    <w:rsid w:val="5F986345"/>
    <w:rsid w:val="5F9E76ED"/>
    <w:rsid w:val="5FB73766"/>
    <w:rsid w:val="5FBD556C"/>
    <w:rsid w:val="5FC15189"/>
    <w:rsid w:val="5FCA6734"/>
    <w:rsid w:val="5FF615BD"/>
    <w:rsid w:val="600912C5"/>
    <w:rsid w:val="6065645C"/>
    <w:rsid w:val="60685D35"/>
    <w:rsid w:val="606F4BE5"/>
    <w:rsid w:val="608F4BC8"/>
    <w:rsid w:val="60941A94"/>
    <w:rsid w:val="60A30D33"/>
    <w:rsid w:val="60A30E16"/>
    <w:rsid w:val="60DD5FF3"/>
    <w:rsid w:val="60E02D21"/>
    <w:rsid w:val="60F2692D"/>
    <w:rsid w:val="60FA7009"/>
    <w:rsid w:val="61183386"/>
    <w:rsid w:val="61241E74"/>
    <w:rsid w:val="61333E65"/>
    <w:rsid w:val="61363955"/>
    <w:rsid w:val="614763AC"/>
    <w:rsid w:val="61671D60"/>
    <w:rsid w:val="616878AC"/>
    <w:rsid w:val="617475DE"/>
    <w:rsid w:val="619B3576"/>
    <w:rsid w:val="61B37EAD"/>
    <w:rsid w:val="61B9132D"/>
    <w:rsid w:val="61E73529"/>
    <w:rsid w:val="62017B7F"/>
    <w:rsid w:val="62037172"/>
    <w:rsid w:val="62233ED9"/>
    <w:rsid w:val="623954AB"/>
    <w:rsid w:val="623C1711"/>
    <w:rsid w:val="624350F9"/>
    <w:rsid w:val="62B337E3"/>
    <w:rsid w:val="62CC4571"/>
    <w:rsid w:val="6312303F"/>
    <w:rsid w:val="6331400B"/>
    <w:rsid w:val="635456C4"/>
    <w:rsid w:val="635A1B7D"/>
    <w:rsid w:val="636C365E"/>
    <w:rsid w:val="63A70B3A"/>
    <w:rsid w:val="63C80FC1"/>
    <w:rsid w:val="64144421"/>
    <w:rsid w:val="64287ECD"/>
    <w:rsid w:val="642A77A1"/>
    <w:rsid w:val="64303203"/>
    <w:rsid w:val="643273F2"/>
    <w:rsid w:val="643D27AA"/>
    <w:rsid w:val="64402948"/>
    <w:rsid w:val="6444183E"/>
    <w:rsid w:val="6466598A"/>
    <w:rsid w:val="64746D9B"/>
    <w:rsid w:val="647F0FFA"/>
    <w:rsid w:val="64AD03D2"/>
    <w:rsid w:val="64AE0A9B"/>
    <w:rsid w:val="64B67287"/>
    <w:rsid w:val="64BE46DD"/>
    <w:rsid w:val="65095BA8"/>
    <w:rsid w:val="6511270F"/>
    <w:rsid w:val="65136487"/>
    <w:rsid w:val="652C579B"/>
    <w:rsid w:val="6549634D"/>
    <w:rsid w:val="65834B32"/>
    <w:rsid w:val="658E0532"/>
    <w:rsid w:val="65AE4402"/>
    <w:rsid w:val="65B5337B"/>
    <w:rsid w:val="65FA40E8"/>
    <w:rsid w:val="66083B12"/>
    <w:rsid w:val="660D737A"/>
    <w:rsid w:val="662F72F1"/>
    <w:rsid w:val="6635242D"/>
    <w:rsid w:val="664A412A"/>
    <w:rsid w:val="66785510"/>
    <w:rsid w:val="6692787F"/>
    <w:rsid w:val="66A01F9C"/>
    <w:rsid w:val="66DF6952"/>
    <w:rsid w:val="66E06A14"/>
    <w:rsid w:val="66EC51E2"/>
    <w:rsid w:val="6716225F"/>
    <w:rsid w:val="67386679"/>
    <w:rsid w:val="67670D0C"/>
    <w:rsid w:val="678A48FB"/>
    <w:rsid w:val="678C0773"/>
    <w:rsid w:val="679D64DC"/>
    <w:rsid w:val="67A05FCC"/>
    <w:rsid w:val="67B114D6"/>
    <w:rsid w:val="67CB4B96"/>
    <w:rsid w:val="67E35883"/>
    <w:rsid w:val="67EA0CAD"/>
    <w:rsid w:val="67FA392E"/>
    <w:rsid w:val="68035532"/>
    <w:rsid w:val="68411AA8"/>
    <w:rsid w:val="68456F93"/>
    <w:rsid w:val="68686AEA"/>
    <w:rsid w:val="686D5FFE"/>
    <w:rsid w:val="686F60CA"/>
    <w:rsid w:val="6870260E"/>
    <w:rsid w:val="687963F4"/>
    <w:rsid w:val="6880562B"/>
    <w:rsid w:val="688F5AB3"/>
    <w:rsid w:val="68BC5088"/>
    <w:rsid w:val="68F30574"/>
    <w:rsid w:val="69276D04"/>
    <w:rsid w:val="69476318"/>
    <w:rsid w:val="696D617A"/>
    <w:rsid w:val="6974326C"/>
    <w:rsid w:val="69A41DA4"/>
    <w:rsid w:val="69F753B3"/>
    <w:rsid w:val="6A06480C"/>
    <w:rsid w:val="6A0A6887"/>
    <w:rsid w:val="6A22245E"/>
    <w:rsid w:val="6A386564"/>
    <w:rsid w:val="6A4B0471"/>
    <w:rsid w:val="6A785DC3"/>
    <w:rsid w:val="6A7C062B"/>
    <w:rsid w:val="6A7C58E7"/>
    <w:rsid w:val="6A902328"/>
    <w:rsid w:val="6ADB724B"/>
    <w:rsid w:val="6B011627"/>
    <w:rsid w:val="6B20545A"/>
    <w:rsid w:val="6B340F05"/>
    <w:rsid w:val="6B4868B9"/>
    <w:rsid w:val="6B7B4D86"/>
    <w:rsid w:val="6B8D0B2A"/>
    <w:rsid w:val="6BA10FFF"/>
    <w:rsid w:val="6BCB232F"/>
    <w:rsid w:val="6C2471CC"/>
    <w:rsid w:val="6C494E84"/>
    <w:rsid w:val="6C5B53FF"/>
    <w:rsid w:val="6C62678B"/>
    <w:rsid w:val="6C7B0C8B"/>
    <w:rsid w:val="6C891725"/>
    <w:rsid w:val="6C8F1D13"/>
    <w:rsid w:val="6CA749BD"/>
    <w:rsid w:val="6CE07597"/>
    <w:rsid w:val="6CE10F5F"/>
    <w:rsid w:val="6CEA3DAE"/>
    <w:rsid w:val="6D8F2D6B"/>
    <w:rsid w:val="6DD50783"/>
    <w:rsid w:val="6DEE2AC4"/>
    <w:rsid w:val="6DF110EA"/>
    <w:rsid w:val="6DF26FC2"/>
    <w:rsid w:val="6E2C20FC"/>
    <w:rsid w:val="6E3A312B"/>
    <w:rsid w:val="6E427DDD"/>
    <w:rsid w:val="6E6048AE"/>
    <w:rsid w:val="6E9A66EC"/>
    <w:rsid w:val="6EAF63DD"/>
    <w:rsid w:val="6EB011EB"/>
    <w:rsid w:val="6EB8014D"/>
    <w:rsid w:val="6EC151A6"/>
    <w:rsid w:val="6ECB6E3A"/>
    <w:rsid w:val="6F0926A9"/>
    <w:rsid w:val="6F1235F6"/>
    <w:rsid w:val="6F1352D6"/>
    <w:rsid w:val="6F3A0AB4"/>
    <w:rsid w:val="6F712728"/>
    <w:rsid w:val="6F7E4E45"/>
    <w:rsid w:val="6F9E00F8"/>
    <w:rsid w:val="6FA523D2"/>
    <w:rsid w:val="6FB021AD"/>
    <w:rsid w:val="6FB756DC"/>
    <w:rsid w:val="6FDE58E3"/>
    <w:rsid w:val="6FF15617"/>
    <w:rsid w:val="703C668E"/>
    <w:rsid w:val="706F2CCD"/>
    <w:rsid w:val="708A7B80"/>
    <w:rsid w:val="70B7060E"/>
    <w:rsid w:val="70BA27C6"/>
    <w:rsid w:val="70EE00BF"/>
    <w:rsid w:val="70FC0717"/>
    <w:rsid w:val="70FD0E77"/>
    <w:rsid w:val="713C28C8"/>
    <w:rsid w:val="71595B2F"/>
    <w:rsid w:val="716B0B0E"/>
    <w:rsid w:val="71770F3C"/>
    <w:rsid w:val="7185070D"/>
    <w:rsid w:val="71975EBA"/>
    <w:rsid w:val="71AE1AED"/>
    <w:rsid w:val="71E4391E"/>
    <w:rsid w:val="71EE0BF4"/>
    <w:rsid w:val="72014659"/>
    <w:rsid w:val="72053532"/>
    <w:rsid w:val="72086C48"/>
    <w:rsid w:val="7214383E"/>
    <w:rsid w:val="72235642"/>
    <w:rsid w:val="7274556F"/>
    <w:rsid w:val="727F4D46"/>
    <w:rsid w:val="72850298"/>
    <w:rsid w:val="72BA0B6E"/>
    <w:rsid w:val="72D37256"/>
    <w:rsid w:val="730E64E0"/>
    <w:rsid w:val="73155AC0"/>
    <w:rsid w:val="73886292"/>
    <w:rsid w:val="73F51ED3"/>
    <w:rsid w:val="73F8066C"/>
    <w:rsid w:val="74021198"/>
    <w:rsid w:val="74145D78"/>
    <w:rsid w:val="74170692"/>
    <w:rsid w:val="74534AF2"/>
    <w:rsid w:val="74884070"/>
    <w:rsid w:val="74890514"/>
    <w:rsid w:val="74CF1C9F"/>
    <w:rsid w:val="74EE65C9"/>
    <w:rsid w:val="75045DEC"/>
    <w:rsid w:val="7507768A"/>
    <w:rsid w:val="75181898"/>
    <w:rsid w:val="752234DB"/>
    <w:rsid w:val="753A7A60"/>
    <w:rsid w:val="75516763"/>
    <w:rsid w:val="75526B58"/>
    <w:rsid w:val="75626666"/>
    <w:rsid w:val="757E794D"/>
    <w:rsid w:val="758B02BC"/>
    <w:rsid w:val="75C94E67"/>
    <w:rsid w:val="76200A04"/>
    <w:rsid w:val="76617192"/>
    <w:rsid w:val="76663819"/>
    <w:rsid w:val="7691545E"/>
    <w:rsid w:val="76A038F3"/>
    <w:rsid w:val="76CE33B8"/>
    <w:rsid w:val="770B6722"/>
    <w:rsid w:val="770F0450"/>
    <w:rsid w:val="77255275"/>
    <w:rsid w:val="774B42AF"/>
    <w:rsid w:val="77702036"/>
    <w:rsid w:val="779571D0"/>
    <w:rsid w:val="77C76D18"/>
    <w:rsid w:val="77C80792"/>
    <w:rsid w:val="77EE068E"/>
    <w:rsid w:val="78290354"/>
    <w:rsid w:val="78410251"/>
    <w:rsid w:val="784A6072"/>
    <w:rsid w:val="78570929"/>
    <w:rsid w:val="787B213F"/>
    <w:rsid w:val="78827754"/>
    <w:rsid w:val="78832A30"/>
    <w:rsid w:val="789400EA"/>
    <w:rsid w:val="789456D9"/>
    <w:rsid w:val="789E20B4"/>
    <w:rsid w:val="78D92F95"/>
    <w:rsid w:val="78DC47C4"/>
    <w:rsid w:val="790E0ADF"/>
    <w:rsid w:val="791F31F5"/>
    <w:rsid w:val="79226841"/>
    <w:rsid w:val="793C7E31"/>
    <w:rsid w:val="79584959"/>
    <w:rsid w:val="7960721B"/>
    <w:rsid w:val="796360B9"/>
    <w:rsid w:val="79A239FC"/>
    <w:rsid w:val="7A0643B5"/>
    <w:rsid w:val="7A0A4093"/>
    <w:rsid w:val="7A342CD0"/>
    <w:rsid w:val="7A490096"/>
    <w:rsid w:val="7A637111"/>
    <w:rsid w:val="7A9D16AD"/>
    <w:rsid w:val="7AB83901"/>
    <w:rsid w:val="7AF64429"/>
    <w:rsid w:val="7B2A2B5F"/>
    <w:rsid w:val="7B377E82"/>
    <w:rsid w:val="7B662DB0"/>
    <w:rsid w:val="7B807B83"/>
    <w:rsid w:val="7B8E6FD6"/>
    <w:rsid w:val="7BA07EF1"/>
    <w:rsid w:val="7BB843EC"/>
    <w:rsid w:val="7C012C7C"/>
    <w:rsid w:val="7C27037B"/>
    <w:rsid w:val="7C2B1EB0"/>
    <w:rsid w:val="7C2C29FE"/>
    <w:rsid w:val="7C845068"/>
    <w:rsid w:val="7C86358B"/>
    <w:rsid w:val="7C9904E9"/>
    <w:rsid w:val="7CB03EC6"/>
    <w:rsid w:val="7CD262A7"/>
    <w:rsid w:val="7D0E4629"/>
    <w:rsid w:val="7D2314D6"/>
    <w:rsid w:val="7D231D04"/>
    <w:rsid w:val="7D24527D"/>
    <w:rsid w:val="7D2821A2"/>
    <w:rsid w:val="7D2E2777"/>
    <w:rsid w:val="7D625DA6"/>
    <w:rsid w:val="7D6C6DC5"/>
    <w:rsid w:val="7D9B3066"/>
    <w:rsid w:val="7DA93788"/>
    <w:rsid w:val="7DAF23AB"/>
    <w:rsid w:val="7DB01666"/>
    <w:rsid w:val="7DB639FC"/>
    <w:rsid w:val="7DBB3D0E"/>
    <w:rsid w:val="7DC375E5"/>
    <w:rsid w:val="7DCC1471"/>
    <w:rsid w:val="7DE20C95"/>
    <w:rsid w:val="7DF10515"/>
    <w:rsid w:val="7E0907BF"/>
    <w:rsid w:val="7E550621"/>
    <w:rsid w:val="7E570E85"/>
    <w:rsid w:val="7E5E47BF"/>
    <w:rsid w:val="7E7E3BD2"/>
    <w:rsid w:val="7E83555B"/>
    <w:rsid w:val="7E8D2010"/>
    <w:rsid w:val="7E955D07"/>
    <w:rsid w:val="7ECF5DAB"/>
    <w:rsid w:val="7EE54599"/>
    <w:rsid w:val="7F453F63"/>
    <w:rsid w:val="7F5C59BA"/>
    <w:rsid w:val="7F797CAA"/>
    <w:rsid w:val="7F814F64"/>
    <w:rsid w:val="7F8E458E"/>
    <w:rsid w:val="7FA3511F"/>
    <w:rsid w:val="7FBB354B"/>
    <w:rsid w:val="7FC136F1"/>
    <w:rsid w:val="7FE012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1"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99" w:semiHidden="0" w:name="Salutation"/>
    <w:lsdException w:uiPriority="99" w:name="Date"/>
    <w:lsdException w:qFormat="1"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33"/>
    <w:qFormat/>
    <w:uiPriority w:val="99"/>
    <w:pPr>
      <w:keepNext/>
      <w:keepLines/>
      <w:spacing w:line="576" w:lineRule="auto"/>
      <w:outlineLvl w:val="0"/>
    </w:pPr>
    <w:rPr>
      <w:b/>
      <w:kern w:val="44"/>
      <w:sz w:val="44"/>
      <w:szCs w:val="44"/>
    </w:rPr>
  </w:style>
  <w:style w:type="paragraph" w:styleId="3">
    <w:name w:val="heading 2"/>
    <w:basedOn w:val="1"/>
    <w:next w:val="1"/>
    <w:link w:val="34"/>
    <w:qFormat/>
    <w:uiPriority w:val="99"/>
    <w:pPr>
      <w:keepNext/>
      <w:spacing w:before="100" w:beforeAutospacing="1" w:after="100" w:afterAutospacing="1" w:line="480" w:lineRule="auto"/>
      <w:ind w:left="1548" w:hanging="1128"/>
      <w:outlineLvl w:val="1"/>
    </w:pPr>
    <w:rPr>
      <w:rFonts w:ascii="黑体" w:hAnsi="宋体" w:eastAsia="黑体"/>
      <w:color w:val="000000"/>
      <w:sz w:val="32"/>
      <w:szCs w:val="32"/>
    </w:rPr>
  </w:style>
  <w:style w:type="paragraph" w:styleId="4">
    <w:name w:val="heading 3"/>
    <w:basedOn w:val="1"/>
    <w:link w:val="35"/>
    <w:qFormat/>
    <w:uiPriority w:val="99"/>
    <w:pPr>
      <w:keepNext/>
      <w:spacing w:before="100" w:beforeAutospacing="1" w:after="100" w:afterAutospacing="1"/>
      <w:ind w:left="2940" w:hanging="420"/>
      <w:outlineLvl w:val="2"/>
    </w:pPr>
    <w:rPr>
      <w:rFonts w:eastAsia="黑体"/>
      <w:b/>
      <w:bCs/>
      <w:sz w:val="30"/>
      <w:szCs w:val="30"/>
    </w:rPr>
  </w:style>
  <w:style w:type="paragraph" w:styleId="5">
    <w:name w:val="heading 4"/>
    <w:basedOn w:val="1"/>
    <w:qFormat/>
    <w:uiPriority w:val="1"/>
    <w:pPr>
      <w:spacing w:before="4"/>
      <w:ind w:left="1668"/>
      <w:outlineLvl w:val="4"/>
    </w:pPr>
    <w:rPr>
      <w:rFonts w:ascii="黑体" w:hAnsi="黑体" w:eastAsia="黑体"/>
      <w:sz w:val="31"/>
      <w:szCs w:val="31"/>
      <w:u w:val="single"/>
    </w:rPr>
  </w:style>
  <w:style w:type="paragraph" w:styleId="6">
    <w:name w:val="heading 5"/>
    <w:basedOn w:val="1"/>
    <w:qFormat/>
    <w:uiPriority w:val="1"/>
    <w:pPr>
      <w:spacing w:before="7"/>
      <w:outlineLvl w:val="5"/>
    </w:pPr>
    <w:rPr>
      <w:rFonts w:ascii="黑体" w:hAnsi="黑体" w:eastAsia="黑体"/>
      <w:sz w:val="30"/>
      <w:szCs w:val="30"/>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adjustRightInd w:val="0"/>
      <w:ind w:firstLine="420"/>
      <w:jc w:val="left"/>
      <w:textAlignment w:val="baseline"/>
    </w:pPr>
    <w:rPr>
      <w:rFonts w:eastAsia="楷体_GB2312"/>
      <w:sz w:val="24"/>
    </w:rPr>
  </w:style>
  <w:style w:type="paragraph" w:styleId="8">
    <w:name w:val="annotation text"/>
    <w:basedOn w:val="1"/>
    <w:semiHidden/>
    <w:unhideWhenUsed/>
    <w:qFormat/>
    <w:uiPriority w:val="99"/>
    <w:pPr>
      <w:jc w:val="left"/>
    </w:pPr>
  </w:style>
  <w:style w:type="paragraph" w:styleId="9">
    <w:name w:val="Salutation"/>
    <w:basedOn w:val="1"/>
    <w:next w:val="1"/>
    <w:link w:val="49"/>
    <w:unhideWhenUsed/>
    <w:qFormat/>
    <w:uiPriority w:val="99"/>
    <w:rPr>
      <w:rFonts w:ascii="宋体"/>
      <w:sz w:val="24"/>
      <w:szCs w:val="24"/>
    </w:rPr>
  </w:style>
  <w:style w:type="paragraph" w:styleId="10">
    <w:name w:val="Body Text"/>
    <w:basedOn w:val="1"/>
    <w:link w:val="36"/>
    <w:unhideWhenUsed/>
    <w:qFormat/>
    <w:uiPriority w:val="99"/>
    <w:pPr>
      <w:spacing w:line="520" w:lineRule="exact"/>
    </w:pPr>
    <w:rPr>
      <w:rFonts w:ascii="仿宋_GB2312" w:hAnsi="宋体"/>
      <w:color w:val="008000"/>
      <w:sz w:val="24"/>
      <w:szCs w:val="24"/>
    </w:rPr>
  </w:style>
  <w:style w:type="paragraph" w:styleId="11">
    <w:name w:val="Body Text Indent"/>
    <w:basedOn w:val="1"/>
    <w:next w:val="12"/>
    <w:link w:val="38"/>
    <w:unhideWhenUsed/>
    <w:qFormat/>
    <w:uiPriority w:val="99"/>
    <w:pPr>
      <w:spacing w:line="360" w:lineRule="auto"/>
      <w:ind w:firstLine="482" w:firstLineChars="100"/>
      <w:jc w:val="center"/>
    </w:pPr>
    <w:rPr>
      <w:rFonts w:ascii="黑体" w:eastAsia="黑体"/>
      <w:b/>
      <w:sz w:val="48"/>
      <w:szCs w:val="48"/>
    </w:rPr>
  </w:style>
  <w:style w:type="paragraph" w:styleId="12">
    <w:name w:val="envelope return"/>
    <w:basedOn w:val="1"/>
    <w:unhideWhenUsed/>
    <w:qFormat/>
    <w:uiPriority w:val="99"/>
    <w:pPr>
      <w:snapToGrid w:val="0"/>
    </w:pPr>
    <w:rPr>
      <w:rFonts w:ascii="Arial" w:hAnsi="Arial"/>
    </w:rPr>
  </w:style>
  <w:style w:type="paragraph" w:styleId="13">
    <w:name w:val="Plain Text"/>
    <w:basedOn w:val="1"/>
    <w:next w:val="10"/>
    <w:link w:val="47"/>
    <w:unhideWhenUsed/>
    <w:qFormat/>
    <w:uiPriority w:val="99"/>
    <w:rPr>
      <w:rFonts w:ascii="宋体" w:hAnsi="Courier New"/>
    </w:rPr>
  </w:style>
  <w:style w:type="paragraph" w:styleId="14">
    <w:name w:val="Body Text Indent 2"/>
    <w:basedOn w:val="1"/>
    <w:qFormat/>
    <w:uiPriority w:val="0"/>
    <w:pPr>
      <w:spacing w:after="120" w:line="480" w:lineRule="auto"/>
      <w:ind w:left="200" w:leftChars="200"/>
    </w:pPr>
  </w:style>
  <w:style w:type="paragraph" w:styleId="15">
    <w:name w:val="footer"/>
    <w:basedOn w:val="1"/>
    <w:link w:val="61"/>
    <w:unhideWhenUsed/>
    <w:qFormat/>
    <w:uiPriority w:val="99"/>
    <w:pPr>
      <w:snapToGrid w:val="0"/>
      <w:jc w:val="left"/>
    </w:pPr>
    <w:rPr>
      <w:sz w:val="18"/>
      <w:szCs w:val="18"/>
    </w:rPr>
  </w:style>
  <w:style w:type="paragraph" w:styleId="16">
    <w:name w:val="header"/>
    <w:basedOn w:val="1"/>
    <w:next w:val="15"/>
    <w:link w:val="62"/>
    <w:unhideWhenUsed/>
    <w:qFormat/>
    <w:uiPriority w:val="99"/>
    <w:pPr>
      <w:snapToGrid w:val="0"/>
    </w:pPr>
    <w:rPr>
      <w:sz w:val="18"/>
      <w:szCs w:val="18"/>
    </w:rPr>
  </w:style>
  <w:style w:type="paragraph" w:styleId="17">
    <w:name w:val="toc 1"/>
    <w:basedOn w:val="1"/>
    <w:next w:val="1"/>
    <w:autoRedefine/>
    <w:unhideWhenUsed/>
    <w:qFormat/>
    <w:uiPriority w:val="99"/>
    <w:pPr>
      <w:spacing w:line="360" w:lineRule="auto"/>
    </w:pPr>
    <w:rPr>
      <w:rFonts w:ascii="黑体" w:eastAsia="黑体"/>
      <w:b/>
      <w:bCs/>
      <w:sz w:val="24"/>
      <w:szCs w:val="24"/>
    </w:rPr>
  </w:style>
  <w:style w:type="paragraph" w:styleId="18">
    <w:name w:val="Body Text 2"/>
    <w:basedOn w:val="1"/>
    <w:next w:val="10"/>
    <w:qFormat/>
    <w:uiPriority w:val="99"/>
    <w:pPr>
      <w:spacing w:line="500" w:lineRule="exact"/>
      <w:jc w:val="center"/>
    </w:pPr>
    <w:rPr>
      <w:rFonts w:hAnsi="宋体" w:eastAsia="方正小标宋_GBK"/>
      <w:spacing w:val="-20"/>
      <w:sz w:val="44"/>
    </w:rPr>
  </w:style>
  <w:style w:type="paragraph" w:styleId="19">
    <w:name w:val="Normal (Web)"/>
    <w:basedOn w:val="1"/>
    <w:unhideWhenUsed/>
    <w:qFormat/>
    <w:uiPriority w:val="99"/>
    <w:pPr>
      <w:jc w:val="left"/>
    </w:pPr>
    <w:rPr>
      <w:kern w:val="0"/>
      <w:sz w:val="24"/>
      <w:szCs w:val="24"/>
    </w:rPr>
  </w:style>
  <w:style w:type="paragraph" w:styleId="20">
    <w:name w:val="Title"/>
    <w:basedOn w:val="1"/>
    <w:link w:val="50"/>
    <w:qFormat/>
    <w:uiPriority w:val="99"/>
    <w:pPr>
      <w:jc w:val="center"/>
      <w:outlineLvl w:val="0"/>
    </w:pPr>
    <w:rPr>
      <w:rFonts w:ascii="Cambria" w:hAnsi="Cambria"/>
      <w:b/>
      <w:bCs/>
      <w:sz w:val="32"/>
      <w:szCs w:val="32"/>
    </w:rPr>
  </w:style>
  <w:style w:type="paragraph" w:styleId="21">
    <w:name w:val="Body Text First Indent"/>
    <w:basedOn w:val="10"/>
    <w:next w:val="1"/>
    <w:link w:val="37"/>
    <w:unhideWhenUsed/>
    <w:qFormat/>
    <w:uiPriority w:val="99"/>
    <w:pPr>
      <w:spacing w:line="360" w:lineRule="auto"/>
      <w:ind w:firstLine="420" w:firstLineChars="100"/>
    </w:pPr>
  </w:style>
  <w:style w:type="paragraph" w:styleId="22">
    <w:name w:val="Body Text First Indent 2"/>
    <w:basedOn w:val="11"/>
    <w:next w:val="21"/>
    <w:link w:val="39"/>
    <w:unhideWhenUsed/>
    <w:qFormat/>
    <w:uiPriority w:val="99"/>
    <w:pPr>
      <w:ind w:firstLine="420"/>
    </w:pPr>
  </w:style>
  <w:style w:type="table" w:styleId="24">
    <w:name w:val="Table Grid"/>
    <w:basedOn w:val="2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FollowedHyperlink"/>
    <w:basedOn w:val="25"/>
    <w:unhideWhenUsed/>
    <w:qFormat/>
    <w:uiPriority w:val="99"/>
    <w:rPr>
      <w:color w:val="800080"/>
      <w:u w:val="single"/>
    </w:rPr>
  </w:style>
  <w:style w:type="character" w:styleId="27">
    <w:name w:val="Hyperlink"/>
    <w:basedOn w:val="25"/>
    <w:unhideWhenUsed/>
    <w:qFormat/>
    <w:uiPriority w:val="99"/>
    <w:rPr>
      <w:color w:val="0000FF"/>
      <w:u w:val="single"/>
    </w:rPr>
  </w:style>
  <w:style w:type="paragraph" w:customStyle="1" w:styleId="28">
    <w:name w:val="正文（缩进）"/>
    <w:basedOn w:val="1"/>
    <w:qFormat/>
    <w:uiPriority w:val="0"/>
    <w:pPr>
      <w:spacing w:before="156" w:after="156"/>
      <w:ind w:firstLine="480" w:firstLineChars="200"/>
    </w:pPr>
  </w:style>
  <w:style w:type="paragraph" w:customStyle="1" w:styleId="29">
    <w:name w:val="style4"/>
    <w:basedOn w:val="30"/>
    <w:next w:val="31"/>
    <w:qFormat/>
    <w:uiPriority w:val="0"/>
    <w:pPr>
      <w:widowControl/>
      <w:autoSpaceDE/>
      <w:autoSpaceDN/>
      <w:spacing w:before="280" w:after="280" w:line="240" w:lineRule="auto"/>
      <w:ind w:left="0" w:firstLine="0"/>
      <w:jc w:val="both"/>
    </w:pPr>
    <w:rPr>
      <w:rFonts w:ascii="宋体" w:eastAsia="宋体"/>
      <w:sz w:val="18"/>
    </w:rPr>
  </w:style>
  <w:style w:type="paragraph" w:customStyle="1" w:styleId="30">
    <w:name w:val="Normal"/>
    <w:next w:val="21"/>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31">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2">
    <w:name w:val="样式 正文首行缩进 2 + Arial"/>
    <w:basedOn w:val="1"/>
    <w:next w:val="1"/>
    <w:qFormat/>
    <w:uiPriority w:val="0"/>
    <w:pPr>
      <w:spacing w:before="100" w:beforeAutospacing="1" w:after="120" w:line="320" w:lineRule="atLeast"/>
      <w:ind w:firstLine="200" w:firstLineChars="200"/>
    </w:pPr>
    <w:rPr>
      <w:rFonts w:ascii="Arial" w:hAnsi="Arial"/>
      <w:kern w:val="0"/>
    </w:rPr>
  </w:style>
  <w:style w:type="character" w:customStyle="1" w:styleId="33">
    <w:name w:val="标题 1 Char"/>
    <w:basedOn w:val="25"/>
    <w:link w:val="2"/>
    <w:qFormat/>
    <w:uiPriority w:val="99"/>
    <w:rPr>
      <w:rFonts w:ascii="Times New Roman" w:hAnsi="Times New Roman" w:eastAsia="宋体" w:cs="Times New Roman"/>
      <w:b/>
      <w:kern w:val="44"/>
      <w:sz w:val="44"/>
      <w:szCs w:val="44"/>
    </w:rPr>
  </w:style>
  <w:style w:type="character" w:customStyle="1" w:styleId="34">
    <w:name w:val="标题 2 Char"/>
    <w:basedOn w:val="25"/>
    <w:link w:val="3"/>
    <w:qFormat/>
    <w:uiPriority w:val="99"/>
    <w:rPr>
      <w:rFonts w:ascii="黑体" w:hAnsi="宋体" w:eastAsia="黑体" w:cs="Times New Roman"/>
      <w:color w:val="000000"/>
      <w:sz w:val="32"/>
      <w:szCs w:val="32"/>
    </w:rPr>
  </w:style>
  <w:style w:type="character" w:customStyle="1" w:styleId="35">
    <w:name w:val="标题 3 Char"/>
    <w:basedOn w:val="25"/>
    <w:link w:val="4"/>
    <w:qFormat/>
    <w:uiPriority w:val="99"/>
    <w:rPr>
      <w:rFonts w:ascii="Times New Roman" w:hAnsi="Times New Roman" w:eastAsia="黑体" w:cs="Times New Roman"/>
      <w:b/>
      <w:bCs/>
      <w:sz w:val="30"/>
      <w:szCs w:val="30"/>
    </w:rPr>
  </w:style>
  <w:style w:type="character" w:customStyle="1" w:styleId="36">
    <w:name w:val="正文文本 Char"/>
    <w:basedOn w:val="25"/>
    <w:link w:val="10"/>
    <w:qFormat/>
    <w:uiPriority w:val="99"/>
    <w:rPr>
      <w:rFonts w:ascii="仿宋_GB2312" w:hAnsi="宋体" w:eastAsia="宋体" w:cs="Times New Roman"/>
      <w:color w:val="008000"/>
      <w:sz w:val="24"/>
      <w:szCs w:val="24"/>
    </w:rPr>
  </w:style>
  <w:style w:type="character" w:customStyle="1" w:styleId="37">
    <w:name w:val="正文首行缩进 Char"/>
    <w:basedOn w:val="36"/>
    <w:link w:val="21"/>
    <w:qFormat/>
    <w:uiPriority w:val="99"/>
  </w:style>
  <w:style w:type="character" w:customStyle="1" w:styleId="38">
    <w:name w:val="正文文本缩进 Char"/>
    <w:basedOn w:val="25"/>
    <w:link w:val="11"/>
    <w:qFormat/>
    <w:uiPriority w:val="99"/>
    <w:rPr>
      <w:rFonts w:ascii="黑体" w:hAnsi="Times New Roman" w:eastAsia="黑体" w:cs="Times New Roman"/>
      <w:b/>
      <w:sz w:val="48"/>
      <w:szCs w:val="48"/>
    </w:rPr>
  </w:style>
  <w:style w:type="character" w:customStyle="1" w:styleId="39">
    <w:name w:val="正文首行缩进 2 Char"/>
    <w:basedOn w:val="38"/>
    <w:link w:val="22"/>
    <w:qFormat/>
    <w:uiPriority w:val="99"/>
  </w:style>
  <w:style w:type="paragraph" w:customStyle="1" w:styleId="40">
    <w:name w:val="标题 #12"/>
    <w:basedOn w:val="1"/>
    <w:qFormat/>
    <w:uiPriority w:val="0"/>
    <w:pPr>
      <w:shd w:val="clear" w:color="auto" w:fill="FFFFFF"/>
      <w:spacing w:line="0" w:lineRule="atLeast"/>
      <w:jc w:val="center"/>
    </w:pPr>
    <w:rPr>
      <w:rFonts w:ascii="MingLiU" w:hAnsi="MingLiU" w:eastAsia="MingLiU" w:cs="宋体"/>
      <w:spacing w:val="10"/>
      <w:sz w:val="28"/>
      <w:szCs w:val="28"/>
    </w:rPr>
  </w:style>
  <w:style w:type="paragraph" w:customStyle="1" w:styleId="41">
    <w:name w:val="正文文本8"/>
    <w:basedOn w:val="1"/>
    <w:qFormat/>
    <w:uiPriority w:val="0"/>
    <w:pPr>
      <w:shd w:val="clear" w:color="auto" w:fill="FFFFFF"/>
      <w:spacing w:line="398" w:lineRule="exact"/>
      <w:ind w:hanging="3860"/>
      <w:jc w:val="distribute"/>
    </w:pPr>
    <w:rPr>
      <w:rFonts w:ascii="MingLiU" w:hAnsi="MingLiU" w:eastAsia="MingLiU" w:cs="宋体"/>
      <w:sz w:val="22"/>
      <w:szCs w:val="22"/>
    </w:rPr>
  </w:style>
  <w:style w:type="paragraph" w:customStyle="1" w:styleId="42">
    <w:name w:val="p0"/>
    <w:basedOn w:val="1"/>
    <w:qFormat/>
    <w:uiPriority w:val="0"/>
    <w:pPr>
      <w:widowControl/>
      <w:jc w:val="left"/>
    </w:pPr>
    <w:rPr>
      <w:rFonts w:ascii="宋体" w:hAnsi="宋体" w:cs="宋体"/>
      <w:kern w:val="0"/>
      <w:sz w:val="24"/>
      <w:szCs w:val="24"/>
    </w:rPr>
  </w:style>
  <w:style w:type="paragraph" w:customStyle="1" w:styleId="43">
    <w:name w:val="Default"/>
    <w:basedOn w:val="13"/>
    <w:qFormat/>
    <w:uiPriority w:val="0"/>
    <w:pPr>
      <w:autoSpaceDE w:val="0"/>
      <w:autoSpaceDN w:val="0"/>
      <w:adjustRightInd w:val="0"/>
      <w:jc w:val="left"/>
    </w:pPr>
    <w:rPr>
      <w:rFonts w:cs="宋体"/>
      <w:color w:val="000000"/>
      <w:kern w:val="0"/>
      <w:sz w:val="24"/>
      <w:szCs w:val="24"/>
    </w:rPr>
  </w:style>
  <w:style w:type="paragraph" w:customStyle="1" w:styleId="44">
    <w:name w:val="样式 标题 2 + Times New Roman 四号 非加粗 段前: 5 磅 段后: 0 磅 行距: 固定值 20..."/>
    <w:basedOn w:val="3"/>
    <w:qFormat/>
    <w:uiPriority w:val="0"/>
    <w:pPr>
      <w:keepLines/>
      <w:spacing w:before="0" w:beforeAutospacing="0" w:after="0" w:afterAutospacing="0" w:line="400" w:lineRule="exact"/>
      <w:ind w:left="0" w:firstLine="0"/>
    </w:pPr>
    <w:rPr>
      <w:rFonts w:ascii="Times New Roman" w:hAnsi="Times New Roman" w:cs="宋体"/>
      <w:color w:val="auto"/>
      <w:sz w:val="28"/>
      <w:szCs w:val="28"/>
    </w:rPr>
  </w:style>
  <w:style w:type="paragraph" w:customStyle="1" w:styleId="45">
    <w:name w:val="样式 标题 3 + (中文) 黑体 小四 非加粗 段前: 7.8 磅 段后: 0 磅 行距: 固定值 20 磅"/>
    <w:basedOn w:val="4"/>
    <w:qFormat/>
    <w:uiPriority w:val="0"/>
    <w:pPr>
      <w:keepLines/>
      <w:spacing w:before="0" w:beforeAutospacing="0" w:after="0" w:afterAutospacing="0" w:line="400" w:lineRule="exact"/>
      <w:ind w:left="0" w:firstLine="0"/>
    </w:pPr>
    <w:rPr>
      <w:rFonts w:cs="宋体"/>
      <w:b w:val="0"/>
      <w:bCs w:val="0"/>
      <w:sz w:val="24"/>
      <w:szCs w:val="24"/>
    </w:rPr>
  </w:style>
  <w:style w:type="paragraph" w:customStyle="1" w:styleId="46">
    <w:name w:val="Char1 Char Char Char"/>
    <w:basedOn w:val="1"/>
    <w:qFormat/>
    <w:uiPriority w:val="0"/>
  </w:style>
  <w:style w:type="character" w:customStyle="1" w:styleId="47">
    <w:name w:val="纯文本 Char"/>
    <w:basedOn w:val="25"/>
    <w:link w:val="13"/>
    <w:qFormat/>
    <w:uiPriority w:val="99"/>
    <w:rPr>
      <w:rFonts w:ascii="宋体" w:hAnsi="Courier New" w:eastAsia="宋体" w:cs="Times New Roman"/>
      <w:szCs w:val="21"/>
    </w:rPr>
  </w:style>
  <w:style w:type="paragraph" w:customStyle="1" w:styleId="48">
    <w:name w:val="xl54"/>
    <w:basedOn w:val="1"/>
    <w:qFormat/>
    <w:uiPriority w:val="0"/>
    <w:pPr>
      <w:widowControl/>
      <w:spacing w:before="100" w:beforeAutospacing="1" w:after="100" w:afterAutospacing="1"/>
      <w:jc w:val="left"/>
      <w:textAlignment w:val="center"/>
    </w:pPr>
    <w:rPr>
      <w:rFonts w:ascii="仿宋_GB2312" w:hAnsi="Arial Unicode MS"/>
      <w:kern w:val="0"/>
      <w:sz w:val="18"/>
      <w:szCs w:val="18"/>
    </w:rPr>
  </w:style>
  <w:style w:type="character" w:customStyle="1" w:styleId="49">
    <w:name w:val="称呼 Char"/>
    <w:basedOn w:val="25"/>
    <w:link w:val="9"/>
    <w:qFormat/>
    <w:uiPriority w:val="99"/>
    <w:rPr>
      <w:rFonts w:ascii="宋体" w:hAnsi="Times New Roman" w:eastAsia="宋体" w:cs="Times New Roman"/>
      <w:sz w:val="24"/>
      <w:szCs w:val="24"/>
    </w:rPr>
  </w:style>
  <w:style w:type="character" w:customStyle="1" w:styleId="50">
    <w:name w:val="标题 Char"/>
    <w:basedOn w:val="25"/>
    <w:link w:val="20"/>
    <w:qFormat/>
    <w:uiPriority w:val="99"/>
    <w:rPr>
      <w:rFonts w:ascii="Cambria" w:hAnsi="Cambria" w:eastAsia="宋体" w:cs="Times New Roman"/>
      <w:b/>
      <w:bCs/>
      <w:sz w:val="32"/>
      <w:szCs w:val="32"/>
    </w:rPr>
  </w:style>
  <w:style w:type="paragraph" w:customStyle="1" w:styleId="51">
    <w:name w:val="正文文本9"/>
    <w:basedOn w:val="1"/>
    <w:qFormat/>
    <w:uiPriority w:val="0"/>
    <w:pPr>
      <w:shd w:val="clear" w:color="auto" w:fill="FFFFFF"/>
      <w:spacing w:line="398" w:lineRule="exact"/>
      <w:jc w:val="distribute"/>
    </w:pPr>
    <w:rPr>
      <w:rFonts w:ascii="MingLiU" w:hAnsi="MingLiU" w:eastAsia="MingLiU" w:cs="宋体"/>
      <w:sz w:val="23"/>
      <w:szCs w:val="23"/>
    </w:rPr>
  </w:style>
  <w:style w:type="paragraph" w:customStyle="1" w:styleId="52">
    <w:name w:val="正文文本 (16)6"/>
    <w:basedOn w:val="1"/>
    <w:qFormat/>
    <w:uiPriority w:val="0"/>
    <w:pPr>
      <w:shd w:val="clear" w:color="auto" w:fill="FFFFFF"/>
      <w:spacing w:line="293" w:lineRule="exact"/>
      <w:ind w:hanging="260"/>
      <w:jc w:val="distribute"/>
    </w:pPr>
    <w:rPr>
      <w:rFonts w:ascii="MingLiU" w:hAnsi="MingLiU" w:eastAsia="MingLiU" w:cs="宋体"/>
      <w:sz w:val="17"/>
      <w:szCs w:val="17"/>
    </w:rPr>
  </w:style>
  <w:style w:type="paragraph" w:customStyle="1" w:styleId="53">
    <w:name w:val="表格标题5"/>
    <w:basedOn w:val="1"/>
    <w:qFormat/>
    <w:uiPriority w:val="0"/>
    <w:pPr>
      <w:shd w:val="clear" w:color="auto" w:fill="FFFFFF"/>
      <w:spacing w:line="278" w:lineRule="exact"/>
      <w:jc w:val="distribute"/>
    </w:pPr>
    <w:rPr>
      <w:rFonts w:ascii="MingLiU" w:hAnsi="MingLiU" w:eastAsia="MingLiU" w:cs="宋体"/>
      <w:sz w:val="17"/>
      <w:szCs w:val="17"/>
    </w:rPr>
  </w:style>
  <w:style w:type="paragraph" w:customStyle="1" w:styleId="54">
    <w:name w:val="表格标题 (5)"/>
    <w:basedOn w:val="1"/>
    <w:qFormat/>
    <w:uiPriority w:val="0"/>
    <w:pPr>
      <w:shd w:val="clear" w:color="auto" w:fill="FFFFFF"/>
      <w:spacing w:line="0" w:lineRule="atLeast"/>
    </w:pPr>
    <w:rPr>
      <w:rFonts w:ascii="MingLiU" w:hAnsi="MingLiU" w:eastAsia="MingLiU" w:cs="宋体"/>
      <w:b/>
      <w:bCs/>
      <w:spacing w:val="10"/>
      <w:sz w:val="20"/>
      <w:szCs w:val="20"/>
    </w:rPr>
  </w:style>
  <w:style w:type="paragraph" w:customStyle="1" w:styleId="55">
    <w:name w:val="正文文本 (11)3"/>
    <w:basedOn w:val="1"/>
    <w:qFormat/>
    <w:uiPriority w:val="0"/>
    <w:pPr>
      <w:shd w:val="clear" w:color="auto" w:fill="FFFFFF"/>
      <w:spacing w:line="0" w:lineRule="atLeast"/>
      <w:jc w:val="center"/>
    </w:pPr>
    <w:rPr>
      <w:rFonts w:ascii="MingLiU" w:hAnsi="MingLiU" w:eastAsia="MingLiU" w:cs="宋体"/>
      <w:sz w:val="19"/>
      <w:szCs w:val="19"/>
    </w:rPr>
  </w:style>
  <w:style w:type="paragraph" w:customStyle="1" w:styleId="56">
    <w:name w:val="表格标题 (2)2"/>
    <w:basedOn w:val="1"/>
    <w:qFormat/>
    <w:uiPriority w:val="0"/>
    <w:pPr>
      <w:shd w:val="clear" w:color="auto" w:fill="FFFFFF"/>
      <w:spacing w:line="0" w:lineRule="atLeast"/>
    </w:pPr>
    <w:rPr>
      <w:rFonts w:ascii="MingLiU" w:hAnsi="MingLiU" w:eastAsia="MingLiU" w:cs="宋体"/>
      <w:sz w:val="19"/>
      <w:szCs w:val="19"/>
    </w:rPr>
  </w:style>
  <w:style w:type="paragraph" w:customStyle="1" w:styleId="57">
    <w:name w:val="正文文本 (6)"/>
    <w:basedOn w:val="1"/>
    <w:qFormat/>
    <w:uiPriority w:val="0"/>
    <w:pPr>
      <w:shd w:val="clear" w:color="auto" w:fill="FFFFFF"/>
      <w:spacing w:line="432" w:lineRule="exact"/>
      <w:ind w:hanging="3860"/>
      <w:jc w:val="right"/>
    </w:pPr>
    <w:rPr>
      <w:rFonts w:ascii="MingLiU" w:hAnsi="MingLiU" w:eastAsia="MingLiU" w:cs="宋体"/>
      <w:spacing w:val="50"/>
      <w:sz w:val="28"/>
      <w:szCs w:val="28"/>
    </w:rPr>
  </w:style>
  <w:style w:type="paragraph" w:customStyle="1" w:styleId="58">
    <w:name w:val="正文文本 (24)"/>
    <w:basedOn w:val="1"/>
    <w:qFormat/>
    <w:uiPriority w:val="0"/>
    <w:pPr>
      <w:shd w:val="clear" w:color="auto" w:fill="FFFFFF"/>
      <w:spacing w:line="0" w:lineRule="atLeast"/>
      <w:jc w:val="right"/>
    </w:pPr>
    <w:rPr>
      <w:rFonts w:ascii="MingLiU" w:hAnsi="MingLiU" w:eastAsia="MingLiU" w:cs="宋体"/>
      <w:b/>
      <w:bCs/>
      <w:spacing w:val="10"/>
      <w:sz w:val="27"/>
      <w:szCs w:val="27"/>
    </w:rPr>
  </w:style>
  <w:style w:type="paragraph" w:customStyle="1" w:styleId="59">
    <w:name w:val="标题 #103"/>
    <w:basedOn w:val="1"/>
    <w:qFormat/>
    <w:uiPriority w:val="0"/>
    <w:pPr>
      <w:shd w:val="clear" w:color="auto" w:fill="FFFFFF"/>
      <w:spacing w:line="0" w:lineRule="atLeast"/>
      <w:ind w:hanging="540"/>
    </w:pPr>
    <w:rPr>
      <w:rFonts w:ascii="MingLiU" w:hAnsi="MingLiU" w:eastAsia="MingLiU" w:cs="宋体"/>
      <w:spacing w:val="20"/>
      <w:sz w:val="28"/>
      <w:szCs w:val="28"/>
    </w:rPr>
  </w:style>
  <w:style w:type="paragraph" w:customStyle="1" w:styleId="60">
    <w:name w:val="正文文本 (17)5"/>
    <w:basedOn w:val="1"/>
    <w:qFormat/>
    <w:uiPriority w:val="0"/>
    <w:pPr>
      <w:shd w:val="clear" w:color="auto" w:fill="FFFFFF"/>
      <w:spacing w:line="0" w:lineRule="atLeast"/>
      <w:jc w:val="distribute"/>
    </w:pPr>
    <w:rPr>
      <w:rFonts w:ascii="Batang" w:hAnsi="Batang" w:eastAsia="Batang" w:cs="宋体"/>
      <w:sz w:val="22"/>
      <w:szCs w:val="22"/>
    </w:rPr>
  </w:style>
  <w:style w:type="character" w:customStyle="1" w:styleId="61">
    <w:name w:val="页脚 Char"/>
    <w:basedOn w:val="25"/>
    <w:link w:val="15"/>
    <w:qFormat/>
    <w:uiPriority w:val="99"/>
    <w:rPr>
      <w:rFonts w:ascii="Times New Roman" w:hAnsi="Times New Roman" w:eastAsia="宋体" w:cs="Times New Roman"/>
      <w:sz w:val="18"/>
      <w:szCs w:val="18"/>
    </w:rPr>
  </w:style>
  <w:style w:type="character" w:customStyle="1" w:styleId="62">
    <w:name w:val="页眉 Char"/>
    <w:basedOn w:val="25"/>
    <w:link w:val="16"/>
    <w:qFormat/>
    <w:uiPriority w:val="99"/>
    <w:rPr>
      <w:rFonts w:ascii="Times New Roman" w:hAnsi="Times New Roman" w:eastAsia="宋体" w:cs="Times New Roman"/>
      <w:sz w:val="18"/>
      <w:szCs w:val="18"/>
    </w:rPr>
  </w:style>
  <w:style w:type="character" w:customStyle="1" w:styleId="63">
    <w:name w:val="10"/>
    <w:basedOn w:val="25"/>
    <w:qFormat/>
    <w:uiPriority w:val="0"/>
    <w:rPr>
      <w:rFonts w:hint="default" w:ascii="Times New Roman" w:hAnsi="Times New Roman" w:cs="Times New Roman"/>
    </w:rPr>
  </w:style>
  <w:style w:type="character" w:customStyle="1" w:styleId="64">
    <w:name w:val="15"/>
    <w:basedOn w:val="25"/>
    <w:qFormat/>
    <w:uiPriority w:val="0"/>
    <w:rPr>
      <w:rFonts w:hint="eastAsia" w:ascii="Batang" w:hAnsi="Batang" w:eastAsia="Batang"/>
      <w:sz w:val="22"/>
      <w:szCs w:val="22"/>
    </w:rPr>
  </w:style>
  <w:style w:type="character" w:customStyle="1" w:styleId="65">
    <w:name w:val="16"/>
    <w:basedOn w:val="25"/>
    <w:qFormat/>
    <w:uiPriority w:val="0"/>
    <w:rPr>
      <w:rFonts w:hint="eastAsia" w:ascii="黑体" w:hAnsi="宋体" w:eastAsia="黑体"/>
      <w:color w:val="000000"/>
      <w:sz w:val="32"/>
      <w:szCs w:val="32"/>
    </w:rPr>
  </w:style>
  <w:style w:type="character" w:customStyle="1" w:styleId="66">
    <w:name w:val="17"/>
    <w:basedOn w:val="25"/>
    <w:qFormat/>
    <w:uiPriority w:val="0"/>
    <w:rPr>
      <w:rFonts w:hint="default" w:ascii="Times New Roman" w:hAnsi="Times New Roman" w:eastAsia="黑体" w:cs="Times New Roman"/>
      <w:b/>
      <w:bCs/>
      <w:sz w:val="30"/>
      <w:szCs w:val="30"/>
    </w:rPr>
  </w:style>
  <w:style w:type="character" w:customStyle="1" w:styleId="67">
    <w:name w:val="19"/>
    <w:basedOn w:val="25"/>
    <w:qFormat/>
    <w:uiPriority w:val="0"/>
    <w:rPr>
      <w:rFonts w:hint="eastAsia" w:ascii="MingLiU" w:hAnsi="MingLiU" w:eastAsia="MingLiU"/>
      <w:sz w:val="23"/>
      <w:szCs w:val="23"/>
    </w:rPr>
  </w:style>
  <w:style w:type="character" w:customStyle="1" w:styleId="68">
    <w:name w:val="18"/>
    <w:basedOn w:val="25"/>
    <w:qFormat/>
    <w:uiPriority w:val="0"/>
    <w:rPr>
      <w:rFonts w:hint="eastAsia" w:ascii="MingLiU" w:hAnsi="MingLiU" w:eastAsia="MingLiU"/>
      <w:color w:val="000000"/>
      <w:spacing w:val="0"/>
      <w:sz w:val="17"/>
      <w:szCs w:val="17"/>
    </w:rPr>
  </w:style>
  <w:style w:type="character" w:customStyle="1" w:styleId="69">
    <w:name w:val="20"/>
    <w:basedOn w:val="25"/>
    <w:qFormat/>
    <w:uiPriority w:val="0"/>
    <w:rPr>
      <w:rFonts w:hint="eastAsia" w:ascii="MingLiU" w:hAnsi="MingLiU" w:eastAsia="MingLiU"/>
      <w:color w:val="000000"/>
      <w:spacing w:val="-20"/>
      <w:sz w:val="17"/>
      <w:szCs w:val="17"/>
    </w:rPr>
  </w:style>
  <w:style w:type="character" w:customStyle="1" w:styleId="70">
    <w:name w:val="21"/>
    <w:basedOn w:val="25"/>
    <w:qFormat/>
    <w:uiPriority w:val="0"/>
    <w:rPr>
      <w:rFonts w:hint="eastAsia" w:ascii="MingLiU" w:hAnsi="MingLiU" w:eastAsia="MingLiU"/>
      <w:color w:val="000000"/>
      <w:spacing w:val="0"/>
      <w:sz w:val="17"/>
      <w:szCs w:val="17"/>
    </w:rPr>
  </w:style>
  <w:style w:type="character" w:customStyle="1" w:styleId="71">
    <w:name w:val="22"/>
    <w:basedOn w:val="25"/>
    <w:qFormat/>
    <w:uiPriority w:val="0"/>
    <w:rPr>
      <w:rFonts w:hint="eastAsia" w:ascii="MingLiU" w:hAnsi="MingLiU" w:eastAsia="MingLiU"/>
      <w:color w:val="000000"/>
      <w:spacing w:val="30"/>
      <w:sz w:val="17"/>
      <w:szCs w:val="17"/>
    </w:rPr>
  </w:style>
  <w:style w:type="character" w:customStyle="1" w:styleId="72">
    <w:name w:val="24"/>
    <w:basedOn w:val="25"/>
    <w:qFormat/>
    <w:uiPriority w:val="0"/>
    <w:rPr>
      <w:rFonts w:hint="eastAsia" w:ascii="MingLiU" w:hAnsi="MingLiU" w:eastAsia="MingLiU"/>
      <w:spacing w:val="10"/>
      <w:sz w:val="28"/>
      <w:szCs w:val="28"/>
    </w:rPr>
  </w:style>
  <w:style w:type="character" w:customStyle="1" w:styleId="73">
    <w:name w:val="23"/>
    <w:basedOn w:val="25"/>
    <w:qFormat/>
    <w:uiPriority w:val="0"/>
    <w:rPr>
      <w:rFonts w:hint="eastAsia" w:ascii="MingLiU" w:hAnsi="MingLiU" w:eastAsia="MingLiU"/>
      <w:color w:val="000000"/>
      <w:spacing w:val="0"/>
      <w:sz w:val="30"/>
      <w:szCs w:val="30"/>
    </w:rPr>
  </w:style>
  <w:style w:type="character" w:customStyle="1" w:styleId="74">
    <w:name w:val="25"/>
    <w:basedOn w:val="25"/>
    <w:qFormat/>
    <w:uiPriority w:val="0"/>
    <w:rPr>
      <w:rFonts w:hint="eastAsia" w:ascii="MingLiU" w:hAnsi="MingLiU" w:eastAsia="MingLiU"/>
      <w:color w:val="000000"/>
      <w:spacing w:val="0"/>
      <w:sz w:val="17"/>
      <w:szCs w:val="17"/>
    </w:rPr>
  </w:style>
  <w:style w:type="character" w:customStyle="1" w:styleId="75">
    <w:name w:val="27"/>
    <w:basedOn w:val="25"/>
    <w:qFormat/>
    <w:uiPriority w:val="0"/>
    <w:rPr>
      <w:rFonts w:hint="eastAsia" w:ascii="MingLiU" w:hAnsi="MingLiU" w:eastAsia="MingLiU"/>
      <w:sz w:val="17"/>
      <w:szCs w:val="17"/>
    </w:rPr>
  </w:style>
  <w:style w:type="character" w:customStyle="1" w:styleId="76">
    <w:name w:val="26"/>
    <w:basedOn w:val="25"/>
    <w:qFormat/>
    <w:uiPriority w:val="0"/>
    <w:rPr>
      <w:rFonts w:hint="eastAsia" w:ascii="MingLiU" w:hAnsi="MingLiU" w:eastAsia="MingLiU"/>
      <w:color w:val="000000"/>
      <w:spacing w:val="0"/>
      <w:sz w:val="17"/>
      <w:szCs w:val="17"/>
    </w:rPr>
  </w:style>
  <w:style w:type="character" w:customStyle="1" w:styleId="77">
    <w:name w:val="28"/>
    <w:basedOn w:val="25"/>
    <w:qFormat/>
    <w:uiPriority w:val="0"/>
    <w:rPr>
      <w:rFonts w:hint="eastAsia" w:ascii="MingLiU" w:hAnsi="MingLiU" w:eastAsia="MingLiU"/>
      <w:color w:val="000000"/>
      <w:spacing w:val="0"/>
      <w:sz w:val="17"/>
      <w:szCs w:val="17"/>
    </w:rPr>
  </w:style>
  <w:style w:type="character" w:customStyle="1" w:styleId="78">
    <w:name w:val="30"/>
    <w:basedOn w:val="25"/>
    <w:qFormat/>
    <w:uiPriority w:val="0"/>
    <w:rPr>
      <w:rFonts w:hint="eastAsia" w:ascii="MingLiU" w:hAnsi="MingLiU" w:eastAsia="MingLiU"/>
      <w:sz w:val="17"/>
      <w:szCs w:val="17"/>
    </w:rPr>
  </w:style>
  <w:style w:type="character" w:customStyle="1" w:styleId="79">
    <w:name w:val="29"/>
    <w:basedOn w:val="25"/>
    <w:qFormat/>
    <w:uiPriority w:val="0"/>
    <w:rPr>
      <w:rFonts w:hint="eastAsia" w:ascii="MingLiU" w:hAnsi="MingLiU" w:eastAsia="MingLiU"/>
      <w:color w:val="000000"/>
      <w:spacing w:val="0"/>
      <w:sz w:val="17"/>
      <w:szCs w:val="17"/>
    </w:rPr>
  </w:style>
  <w:style w:type="character" w:customStyle="1" w:styleId="80">
    <w:name w:val="31"/>
    <w:basedOn w:val="25"/>
    <w:qFormat/>
    <w:uiPriority w:val="0"/>
    <w:rPr>
      <w:rFonts w:hint="eastAsia" w:ascii="MingLiU" w:hAnsi="MingLiU" w:eastAsia="MingLiU"/>
      <w:color w:val="000000"/>
      <w:spacing w:val="0"/>
      <w:sz w:val="22"/>
      <w:szCs w:val="22"/>
    </w:rPr>
  </w:style>
  <w:style w:type="character" w:customStyle="1" w:styleId="81">
    <w:name w:val="32"/>
    <w:basedOn w:val="25"/>
    <w:qFormat/>
    <w:uiPriority w:val="0"/>
    <w:rPr>
      <w:rFonts w:hint="eastAsia" w:ascii="MingLiU" w:hAnsi="MingLiU" w:eastAsia="MingLiU"/>
      <w:color w:val="000000"/>
      <w:spacing w:val="10"/>
      <w:sz w:val="19"/>
      <w:szCs w:val="19"/>
    </w:rPr>
  </w:style>
  <w:style w:type="character" w:customStyle="1" w:styleId="82">
    <w:name w:val="33"/>
    <w:basedOn w:val="25"/>
    <w:qFormat/>
    <w:uiPriority w:val="0"/>
    <w:rPr>
      <w:rFonts w:hint="eastAsia" w:ascii="MingLiU" w:hAnsi="MingLiU" w:eastAsia="MingLiU"/>
      <w:color w:val="000000"/>
      <w:spacing w:val="0"/>
      <w:sz w:val="19"/>
      <w:szCs w:val="19"/>
    </w:rPr>
  </w:style>
  <w:style w:type="character" w:customStyle="1" w:styleId="83">
    <w:name w:val="34"/>
    <w:basedOn w:val="25"/>
    <w:qFormat/>
    <w:uiPriority w:val="0"/>
    <w:rPr>
      <w:rFonts w:hint="default" w:ascii="Candara" w:hAnsi="Candara"/>
      <w:color w:val="000000"/>
      <w:spacing w:val="20"/>
      <w:sz w:val="11"/>
      <w:szCs w:val="11"/>
    </w:rPr>
  </w:style>
  <w:style w:type="character" w:customStyle="1" w:styleId="84">
    <w:name w:val="36"/>
    <w:basedOn w:val="25"/>
    <w:qFormat/>
    <w:uiPriority w:val="0"/>
    <w:rPr>
      <w:rFonts w:hint="eastAsia" w:ascii="MingLiU" w:hAnsi="MingLiU" w:eastAsia="MingLiU"/>
      <w:sz w:val="19"/>
      <w:szCs w:val="19"/>
    </w:rPr>
  </w:style>
  <w:style w:type="character" w:customStyle="1" w:styleId="85">
    <w:name w:val="35"/>
    <w:basedOn w:val="25"/>
    <w:qFormat/>
    <w:uiPriority w:val="0"/>
    <w:rPr>
      <w:rFonts w:hint="eastAsia" w:ascii="MingLiU" w:hAnsi="MingLiU" w:eastAsia="MingLiU"/>
      <w:color w:val="000000"/>
      <w:spacing w:val="10"/>
      <w:sz w:val="19"/>
      <w:szCs w:val="19"/>
    </w:rPr>
  </w:style>
  <w:style w:type="character" w:customStyle="1" w:styleId="86">
    <w:name w:val="37"/>
    <w:basedOn w:val="25"/>
    <w:qFormat/>
    <w:uiPriority w:val="0"/>
    <w:rPr>
      <w:rFonts w:hint="eastAsia" w:ascii="MingLiU" w:hAnsi="MingLiU" w:eastAsia="MingLiU"/>
      <w:color w:val="000000"/>
      <w:spacing w:val="10"/>
      <w:sz w:val="19"/>
      <w:szCs w:val="19"/>
    </w:rPr>
  </w:style>
  <w:style w:type="character" w:customStyle="1" w:styleId="87">
    <w:name w:val="38"/>
    <w:basedOn w:val="25"/>
    <w:qFormat/>
    <w:uiPriority w:val="0"/>
    <w:rPr>
      <w:rFonts w:hint="eastAsia" w:ascii="Batang" w:hAnsi="Batang" w:eastAsia="Batang"/>
      <w:color w:val="000000"/>
      <w:spacing w:val="0"/>
      <w:sz w:val="19"/>
      <w:szCs w:val="19"/>
    </w:rPr>
  </w:style>
  <w:style w:type="character" w:customStyle="1" w:styleId="88">
    <w:name w:val="40"/>
    <w:basedOn w:val="25"/>
    <w:qFormat/>
    <w:uiPriority w:val="0"/>
    <w:rPr>
      <w:rFonts w:hint="eastAsia" w:ascii="MingLiU" w:hAnsi="MingLiU" w:eastAsia="MingLiU"/>
      <w:sz w:val="19"/>
      <w:szCs w:val="19"/>
    </w:rPr>
  </w:style>
  <w:style w:type="character" w:customStyle="1" w:styleId="89">
    <w:name w:val="39"/>
    <w:basedOn w:val="25"/>
    <w:qFormat/>
    <w:uiPriority w:val="0"/>
    <w:rPr>
      <w:rFonts w:hint="eastAsia" w:ascii="MingLiU" w:hAnsi="MingLiU" w:eastAsia="MingLiU"/>
      <w:color w:val="000000"/>
      <w:spacing w:val="10"/>
      <w:sz w:val="19"/>
      <w:szCs w:val="19"/>
    </w:rPr>
  </w:style>
  <w:style w:type="character" w:customStyle="1" w:styleId="90">
    <w:name w:val="41"/>
    <w:basedOn w:val="25"/>
    <w:qFormat/>
    <w:uiPriority w:val="0"/>
    <w:rPr>
      <w:rFonts w:hint="eastAsia" w:ascii="Batang" w:hAnsi="Batang" w:eastAsia="Batang"/>
      <w:color w:val="000000"/>
      <w:spacing w:val="0"/>
      <w:sz w:val="19"/>
      <w:szCs w:val="19"/>
    </w:rPr>
  </w:style>
  <w:style w:type="character" w:customStyle="1" w:styleId="91">
    <w:name w:val="42"/>
    <w:basedOn w:val="25"/>
    <w:qFormat/>
    <w:uiPriority w:val="0"/>
    <w:rPr>
      <w:rFonts w:hint="eastAsia" w:ascii="MingLiU" w:hAnsi="MingLiU" w:eastAsia="MingLiU"/>
      <w:color w:val="000000"/>
      <w:spacing w:val="0"/>
      <w:sz w:val="19"/>
      <w:szCs w:val="19"/>
    </w:rPr>
  </w:style>
  <w:style w:type="character" w:customStyle="1" w:styleId="92">
    <w:name w:val="43"/>
    <w:basedOn w:val="25"/>
    <w:qFormat/>
    <w:uiPriority w:val="0"/>
    <w:rPr>
      <w:rFonts w:hint="eastAsia" w:ascii="MingLiU" w:hAnsi="MingLiU" w:eastAsia="MingLiU"/>
      <w:color w:val="000000"/>
      <w:spacing w:val="0"/>
      <w:sz w:val="19"/>
      <w:szCs w:val="19"/>
    </w:rPr>
  </w:style>
  <w:style w:type="character" w:customStyle="1" w:styleId="93">
    <w:name w:val="44"/>
    <w:basedOn w:val="25"/>
    <w:qFormat/>
    <w:uiPriority w:val="0"/>
    <w:rPr>
      <w:rFonts w:hint="eastAsia" w:ascii="MingLiU" w:hAnsi="MingLiU" w:eastAsia="MingLiU"/>
      <w:color w:val="000000"/>
      <w:spacing w:val="10"/>
      <w:sz w:val="19"/>
      <w:szCs w:val="19"/>
    </w:rPr>
  </w:style>
  <w:style w:type="character" w:customStyle="1" w:styleId="94">
    <w:name w:val="45"/>
    <w:basedOn w:val="25"/>
    <w:qFormat/>
    <w:uiPriority w:val="0"/>
    <w:rPr>
      <w:rFonts w:hint="eastAsia" w:ascii="MingLiU" w:hAnsi="MingLiU" w:eastAsia="MingLiU"/>
      <w:color w:val="000000"/>
      <w:spacing w:val="10"/>
      <w:sz w:val="19"/>
      <w:szCs w:val="19"/>
    </w:rPr>
  </w:style>
  <w:style w:type="character" w:customStyle="1" w:styleId="95">
    <w:name w:val="46"/>
    <w:basedOn w:val="25"/>
    <w:qFormat/>
    <w:uiPriority w:val="0"/>
    <w:rPr>
      <w:rFonts w:hint="eastAsia" w:ascii="MingLiU" w:hAnsi="MingLiU" w:eastAsia="MingLiU"/>
      <w:color w:val="000000"/>
      <w:spacing w:val="0"/>
      <w:sz w:val="19"/>
      <w:szCs w:val="19"/>
    </w:rPr>
  </w:style>
  <w:style w:type="character" w:customStyle="1" w:styleId="96">
    <w:name w:val="48"/>
    <w:basedOn w:val="25"/>
    <w:qFormat/>
    <w:uiPriority w:val="0"/>
    <w:rPr>
      <w:rFonts w:hint="eastAsia" w:ascii="MingLiU" w:hAnsi="MingLiU" w:eastAsia="MingLiU"/>
      <w:spacing w:val="20"/>
      <w:sz w:val="28"/>
      <w:szCs w:val="28"/>
    </w:rPr>
  </w:style>
  <w:style w:type="character" w:customStyle="1" w:styleId="97">
    <w:name w:val="47"/>
    <w:basedOn w:val="25"/>
    <w:qFormat/>
    <w:uiPriority w:val="0"/>
    <w:rPr>
      <w:rFonts w:hint="eastAsia" w:ascii="MingLiU" w:hAnsi="MingLiU" w:eastAsia="MingLiU"/>
      <w:color w:val="000000"/>
      <w:spacing w:val="10"/>
      <w:sz w:val="28"/>
      <w:szCs w:val="28"/>
    </w:rPr>
  </w:style>
  <w:style w:type="character" w:customStyle="1" w:styleId="98">
    <w:name w:val="49"/>
    <w:basedOn w:val="25"/>
    <w:qFormat/>
    <w:uiPriority w:val="0"/>
    <w:rPr>
      <w:rFonts w:hint="eastAsia" w:ascii="Batang" w:hAnsi="Batang" w:eastAsia="Batang"/>
      <w:color w:val="000000"/>
      <w:spacing w:val="0"/>
      <w:sz w:val="22"/>
      <w:szCs w:val="22"/>
    </w:rPr>
  </w:style>
  <w:style w:type="character" w:customStyle="1" w:styleId="99">
    <w:name w:val="50"/>
    <w:basedOn w:val="25"/>
    <w:qFormat/>
    <w:uiPriority w:val="0"/>
    <w:rPr>
      <w:rFonts w:hint="eastAsia" w:ascii="MingLiU" w:hAnsi="MingLiU" w:eastAsia="MingLiU"/>
      <w:color w:val="000000"/>
      <w:spacing w:val="70"/>
      <w:sz w:val="22"/>
      <w:szCs w:val="22"/>
    </w:rPr>
  </w:style>
  <w:style w:type="character" w:customStyle="1" w:styleId="100">
    <w:name w:val="51"/>
    <w:basedOn w:val="25"/>
    <w:qFormat/>
    <w:uiPriority w:val="0"/>
    <w:rPr>
      <w:rFonts w:hint="eastAsia" w:ascii="MingLiU" w:hAnsi="MingLiU" w:eastAsia="MingLiU"/>
      <w:color w:val="000000"/>
      <w:spacing w:val="0"/>
      <w:sz w:val="22"/>
      <w:szCs w:val="22"/>
    </w:rPr>
  </w:style>
  <w:style w:type="character" w:customStyle="1" w:styleId="101">
    <w:name w:val="52"/>
    <w:basedOn w:val="25"/>
    <w:qFormat/>
    <w:uiPriority w:val="0"/>
    <w:rPr>
      <w:rFonts w:hint="eastAsia" w:ascii="MingLiU" w:hAnsi="MingLiU" w:eastAsia="MingLiU"/>
      <w:color w:val="000000"/>
      <w:spacing w:val="0"/>
      <w:sz w:val="22"/>
      <w:szCs w:val="22"/>
    </w:rPr>
  </w:style>
  <w:style w:type="character" w:customStyle="1" w:styleId="102">
    <w:name w:val="53"/>
    <w:basedOn w:val="25"/>
    <w:qFormat/>
    <w:uiPriority w:val="0"/>
    <w:rPr>
      <w:rFonts w:hint="eastAsia" w:ascii="MingLiU" w:hAnsi="MingLiU" w:eastAsia="MingLiU"/>
      <w:color w:val="000000"/>
      <w:spacing w:val="-20"/>
      <w:sz w:val="19"/>
      <w:szCs w:val="19"/>
    </w:rPr>
  </w:style>
  <w:style w:type="character" w:customStyle="1" w:styleId="103">
    <w:name w:val="54"/>
    <w:basedOn w:val="25"/>
    <w:qFormat/>
    <w:uiPriority w:val="0"/>
    <w:rPr>
      <w:rFonts w:hint="eastAsia" w:ascii="MingLiU" w:hAnsi="MingLiU" w:eastAsia="MingLiU"/>
      <w:color w:val="000000"/>
      <w:spacing w:val="-20"/>
      <w:sz w:val="19"/>
      <w:szCs w:val="19"/>
    </w:rPr>
  </w:style>
  <w:style w:type="character" w:customStyle="1" w:styleId="104">
    <w:name w:val="55"/>
    <w:basedOn w:val="25"/>
    <w:qFormat/>
    <w:uiPriority w:val="0"/>
    <w:rPr>
      <w:rFonts w:hint="default" w:ascii="Times New Roman" w:hAnsi="Times New Roman" w:cs="Times New Roman"/>
    </w:rPr>
  </w:style>
  <w:style w:type="table" w:customStyle="1" w:styleId="105">
    <w:name w:val="Table Normal"/>
    <w:unhideWhenUsed/>
    <w:qFormat/>
    <w:uiPriority w:val="0"/>
    <w:tblPr>
      <w:tblCellMar>
        <w:top w:w="0" w:type="dxa"/>
        <w:left w:w="0" w:type="dxa"/>
        <w:bottom w:w="0" w:type="dxa"/>
        <w:right w:w="0" w:type="dxa"/>
      </w:tblCellMar>
    </w:tblPr>
  </w:style>
  <w:style w:type="paragraph" w:customStyle="1" w:styleId="106">
    <w:name w:val="Table Paragraph"/>
    <w:basedOn w:val="1"/>
    <w:qFormat/>
    <w:uiPriority w:val="1"/>
  </w:style>
  <w:style w:type="paragraph" w:customStyle="1" w:styleId="107">
    <w:name w:val="Char1 Char Char Char1"/>
    <w:basedOn w:val="1"/>
    <w:qFormat/>
    <w:uiPriority w:val="0"/>
  </w:style>
  <w:style w:type="paragraph" w:customStyle="1" w:styleId="108">
    <w:name w:val=" Char1 Char Char Char"/>
    <w:basedOn w:val="1"/>
    <w:qFormat/>
    <w:uiPriority w:val="0"/>
    <w:rPr>
      <w:rFonts w:ascii="Times New Roman" w:hAnsi="Times New Roman" w:eastAsia="宋体" w:cs="Times New Roman"/>
    </w:rPr>
  </w:style>
  <w:style w:type="paragraph" w:customStyle="1" w:styleId="109">
    <w:name w:val="正文1"/>
    <w:basedOn w:val="1"/>
    <w:qFormat/>
    <w:uiPriority w:val="0"/>
    <w:pPr>
      <w:spacing w:line="360" w:lineRule="auto"/>
    </w:pPr>
    <w:rPr>
      <w:rFonts w:ascii="宋体" w:hAnsi="华文宋体"/>
      <w:kern w:val="20"/>
      <w:sz w:val="24"/>
      <w:szCs w:val="20"/>
    </w:rPr>
  </w:style>
  <w:style w:type="paragraph" w:styleId="110">
    <w:name w:val="List Paragraph"/>
    <w:basedOn w:val="1"/>
    <w:qFormat/>
    <w:uiPriority w:val="1"/>
    <w:pPr>
      <w:ind w:left="424" w:firstLine="48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127</Pages>
  <Words>32746</Words>
  <Characters>35570</Characters>
  <Lines>516</Lines>
  <Paragraphs>145</Paragraphs>
  <TotalTime>42</TotalTime>
  <ScaleCrop>false</ScaleCrop>
  <LinksUpToDate>false</LinksUpToDate>
  <CharactersWithSpaces>36436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2025-08-05T04:34:00Z</dcterms:created>
  <dc:creator>Administrator</dc:creator>
  <cp:lastModifiedBy>龍飝凤舞</cp:lastModifiedBy>
  <cp:lastPrinted>2026-10-24T11:47:00Z</cp:lastPrinted>
  <dcterms:modified xsi:type="dcterms:W3CDTF">2026-11-02T06:51:55Z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708F7E87A43B4A0D92B68173B96A9D7D_13</vt:lpwstr>
  </property>
  <property fmtid="{D5CDD505-2E9C-101B-9397-08002B2CF9AE}" pid="4" name="KSOTemplateDocerSaveRecord">
    <vt:lpwstr>eyJoZGlkIjoiY2NjZmJiMDM3MmY1ZTk0OTFiMzZiNjY2MmQwZGRlMjgiLCJ1c2VySWQiOiIzNjI5MTAzMzAifQ==</vt:lpwstr>
  </property>
</Properties>
</file>