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kinsoku/>
        <w:wordWrap/>
        <w:overflowPunct/>
        <w:topLinePunct/>
        <w:autoSpaceDE/>
        <w:autoSpaceDN/>
        <w:bidi w:val="0"/>
        <w:spacing w:line="360" w:lineRule="auto"/>
        <w:jc w:val="both"/>
        <w:rPr>
          <w:rFonts w:hint="eastAsia" w:ascii="宋体" w:hAnsi="宋体" w:eastAsia="宋体" w:cs="宋体"/>
          <w:b/>
          <w:bCs/>
          <w:sz w:val="52"/>
          <w:szCs w:val="52"/>
        </w:rPr>
      </w:pPr>
    </w:p>
    <w:p>
      <w:pPr>
        <w:keepNext w:val="0"/>
        <w:keepLines w:val="0"/>
        <w:pageBreakBefore w:val="0"/>
        <w:kinsoku/>
        <w:wordWrap/>
        <w:overflowPunct/>
        <w:topLinePunct/>
        <w:autoSpaceDE/>
        <w:autoSpaceDN/>
        <w:bidi w:val="0"/>
        <w:spacing w:line="360" w:lineRule="auto"/>
        <w:jc w:val="center"/>
        <w:rPr>
          <w:rFonts w:hint="eastAsia" w:ascii="宋体" w:hAnsi="宋体" w:eastAsia="宋体" w:cs="宋体"/>
          <w:b/>
          <w:bCs/>
          <w:kern w:val="0"/>
          <w:sz w:val="36"/>
          <w:szCs w:val="36"/>
          <w:lang w:eastAsia="zh-CN"/>
        </w:rPr>
      </w:pPr>
      <w:r>
        <w:rPr>
          <w:rFonts w:hint="eastAsia" w:ascii="宋体" w:hAnsi="宋体" w:eastAsia="宋体" w:cs="宋体"/>
          <w:b/>
          <w:bCs/>
          <w:sz w:val="36"/>
          <w:szCs w:val="36"/>
        </w:rPr>
        <w:t>河南省人民医院</w:t>
      </w:r>
      <w:r>
        <w:rPr>
          <w:rFonts w:hint="eastAsia" w:ascii="宋体" w:hAnsi="宋体" w:cs="宋体"/>
          <w:b/>
          <w:bCs/>
          <w:sz w:val="36"/>
          <w:szCs w:val="36"/>
          <w:lang w:eastAsia="zh-CN"/>
        </w:rPr>
        <w:t>2024-2027年度全院服务器及存储设备维保服务项目</w:t>
      </w:r>
    </w:p>
    <w:p>
      <w:pPr>
        <w:keepNext w:val="0"/>
        <w:keepLines w:val="0"/>
        <w:pageBreakBefore w:val="0"/>
        <w:kinsoku/>
        <w:wordWrap/>
        <w:overflowPunct/>
        <w:topLinePunct/>
        <w:autoSpaceDE/>
        <w:autoSpaceDN/>
        <w:bidi w:val="0"/>
        <w:spacing w:line="360" w:lineRule="auto"/>
        <w:rPr>
          <w:rFonts w:hint="eastAsia" w:ascii="宋体" w:hAnsi="宋体" w:eastAsia="宋体" w:cs="宋体"/>
          <w:lang w:eastAsia="zh-CN"/>
        </w:rPr>
      </w:pPr>
    </w:p>
    <w:p>
      <w:pPr>
        <w:keepNext w:val="0"/>
        <w:keepLines w:val="0"/>
        <w:pageBreakBefore w:val="0"/>
        <w:kinsoku/>
        <w:wordWrap/>
        <w:overflowPunct/>
        <w:topLinePunct/>
        <w:autoSpaceDE/>
        <w:autoSpaceDN/>
        <w:bidi w:val="0"/>
        <w:spacing w:line="360" w:lineRule="auto"/>
        <w:rPr>
          <w:rFonts w:hint="eastAsia" w:ascii="宋体" w:hAnsi="宋体" w:eastAsia="宋体" w:cs="宋体"/>
          <w:lang w:eastAsia="zh-CN"/>
        </w:rPr>
      </w:pPr>
    </w:p>
    <w:p>
      <w:pPr>
        <w:keepNext w:val="0"/>
        <w:keepLines w:val="0"/>
        <w:pageBreakBefore w:val="0"/>
        <w:kinsoku/>
        <w:wordWrap/>
        <w:overflowPunct/>
        <w:topLinePunct/>
        <w:autoSpaceDE/>
        <w:autoSpaceDN/>
        <w:bidi w:val="0"/>
        <w:spacing w:line="360" w:lineRule="auto"/>
        <w:rPr>
          <w:rFonts w:hint="eastAsia" w:ascii="宋体" w:hAnsi="宋体" w:eastAsia="宋体" w:cs="宋体"/>
          <w:lang w:eastAsia="zh-CN"/>
        </w:rPr>
      </w:pPr>
    </w:p>
    <w:p>
      <w:pPr>
        <w:keepNext w:val="0"/>
        <w:keepLines w:val="0"/>
        <w:pageBreakBefore w:val="0"/>
        <w:kinsoku/>
        <w:wordWrap/>
        <w:overflowPunct/>
        <w:topLinePunct/>
        <w:autoSpaceDE/>
        <w:autoSpaceDN/>
        <w:bidi w:val="0"/>
        <w:spacing w:line="360" w:lineRule="auto"/>
        <w:rPr>
          <w:rFonts w:hint="eastAsia" w:ascii="宋体" w:hAnsi="宋体" w:eastAsia="宋体" w:cs="宋体"/>
          <w:lang w:eastAsia="zh-CN"/>
        </w:rPr>
      </w:pPr>
    </w:p>
    <w:p>
      <w:pPr>
        <w:keepNext w:val="0"/>
        <w:keepLines w:val="0"/>
        <w:pageBreakBefore w:val="0"/>
        <w:kinsoku/>
        <w:wordWrap/>
        <w:overflowPunct/>
        <w:topLinePunct/>
        <w:autoSpaceDE/>
        <w:autoSpaceDN/>
        <w:bidi w:val="0"/>
        <w:spacing w:line="360" w:lineRule="auto"/>
        <w:rPr>
          <w:rFonts w:hint="eastAsia" w:ascii="宋体" w:hAnsi="宋体" w:eastAsia="宋体" w:cs="宋体"/>
          <w:highlight w:val="none"/>
        </w:rPr>
      </w:pPr>
    </w:p>
    <w:p>
      <w:pPr>
        <w:keepNext w:val="0"/>
        <w:keepLines w:val="0"/>
        <w:pageBreakBefore w:val="0"/>
        <w:widowControl/>
        <w:kinsoku/>
        <w:wordWrap/>
        <w:overflowPunct/>
        <w:topLinePunct/>
        <w:autoSpaceDE/>
        <w:autoSpaceDN/>
        <w:bidi w:val="0"/>
        <w:adjustRightInd w:val="0"/>
        <w:snapToGrid w:val="0"/>
        <w:spacing w:after="200" w:line="360" w:lineRule="auto"/>
        <w:jc w:val="center"/>
        <w:rPr>
          <w:rFonts w:hint="eastAsia" w:ascii="宋体" w:hAnsi="宋体" w:eastAsia="宋体" w:cs="宋体"/>
          <w:b/>
          <w:sz w:val="100"/>
          <w:szCs w:val="100"/>
          <w:highlight w:val="none"/>
        </w:rPr>
      </w:pPr>
      <w:r>
        <w:rPr>
          <w:rFonts w:hint="eastAsia" w:ascii="宋体" w:hAnsi="宋体" w:eastAsia="宋体" w:cs="宋体"/>
          <w:b/>
          <w:sz w:val="100"/>
          <w:szCs w:val="100"/>
          <w:highlight w:val="none"/>
        </w:rPr>
        <w:t>招 标 文 件</w:t>
      </w:r>
    </w:p>
    <w:p>
      <w:pPr>
        <w:keepNext w:val="0"/>
        <w:keepLines w:val="0"/>
        <w:pageBreakBefore w:val="0"/>
        <w:kinsoku/>
        <w:wordWrap/>
        <w:overflowPunct/>
        <w:topLinePunct/>
        <w:autoSpaceDE/>
        <w:autoSpaceDN/>
        <w:bidi w:val="0"/>
        <w:spacing w:line="360" w:lineRule="auto"/>
        <w:jc w:val="both"/>
        <w:rPr>
          <w:rFonts w:hint="eastAsia" w:ascii="宋体" w:hAnsi="宋体" w:eastAsia="宋体" w:cs="宋体"/>
          <w:b/>
          <w:bCs/>
          <w:sz w:val="28"/>
          <w:szCs w:val="28"/>
          <w:highlight w:val="none"/>
        </w:rPr>
      </w:pPr>
    </w:p>
    <w:p>
      <w:pPr>
        <w:keepNext w:val="0"/>
        <w:keepLines w:val="0"/>
        <w:pageBreakBefore w:val="0"/>
        <w:kinsoku/>
        <w:wordWrap/>
        <w:overflowPunct/>
        <w:topLinePunct/>
        <w:autoSpaceDE/>
        <w:autoSpaceDN/>
        <w:bidi w:val="0"/>
        <w:spacing w:line="360" w:lineRule="auto"/>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采购编号：豫财招标采购-2024-589</w:t>
      </w:r>
    </w:p>
    <w:p>
      <w:pPr>
        <w:keepNext w:val="0"/>
        <w:keepLines w:val="0"/>
        <w:pageBreakBefore w:val="0"/>
        <w:widowControl/>
        <w:kinsoku/>
        <w:wordWrap/>
        <w:overflowPunct/>
        <w:topLinePunct/>
        <w:autoSpaceDE/>
        <w:autoSpaceDN/>
        <w:bidi w:val="0"/>
        <w:adjustRightInd w:val="0"/>
        <w:snapToGrid w:val="0"/>
        <w:spacing w:line="360" w:lineRule="auto"/>
        <w:jc w:val="left"/>
        <w:rPr>
          <w:rFonts w:hint="eastAsia" w:ascii="宋体" w:hAnsi="宋体" w:eastAsia="宋体" w:cs="宋体"/>
          <w:b/>
          <w:bCs/>
          <w:kern w:val="0"/>
          <w:sz w:val="30"/>
          <w:szCs w:val="30"/>
          <w:highlight w:val="none"/>
        </w:rPr>
      </w:pPr>
    </w:p>
    <w:p>
      <w:pPr>
        <w:keepNext w:val="0"/>
        <w:keepLines w:val="0"/>
        <w:pageBreakBefore w:val="0"/>
        <w:kinsoku/>
        <w:wordWrap/>
        <w:overflowPunct/>
        <w:topLinePunct/>
        <w:autoSpaceDE/>
        <w:autoSpaceDN/>
        <w:bidi w:val="0"/>
        <w:spacing w:line="360" w:lineRule="auto"/>
        <w:rPr>
          <w:rFonts w:hint="eastAsia" w:ascii="宋体" w:hAnsi="宋体" w:eastAsia="宋体" w:cs="宋体"/>
          <w:highlight w:val="none"/>
        </w:rPr>
      </w:pPr>
    </w:p>
    <w:p>
      <w:pPr>
        <w:keepNext w:val="0"/>
        <w:keepLines w:val="0"/>
        <w:pageBreakBefore w:val="0"/>
        <w:kinsoku/>
        <w:wordWrap/>
        <w:overflowPunct/>
        <w:topLinePunct/>
        <w:autoSpaceDE/>
        <w:autoSpaceDN/>
        <w:bidi w:val="0"/>
        <w:spacing w:line="360" w:lineRule="auto"/>
        <w:rPr>
          <w:rFonts w:hint="eastAsia" w:ascii="宋体" w:hAnsi="宋体" w:eastAsia="宋体" w:cs="宋体"/>
          <w:highlight w:val="none"/>
        </w:rPr>
      </w:pPr>
    </w:p>
    <w:p>
      <w:pPr>
        <w:keepNext w:val="0"/>
        <w:keepLines w:val="0"/>
        <w:pageBreakBefore w:val="0"/>
        <w:kinsoku/>
        <w:wordWrap/>
        <w:overflowPunct/>
        <w:topLinePunct/>
        <w:autoSpaceDE/>
        <w:autoSpaceDN/>
        <w:bidi w:val="0"/>
        <w:spacing w:line="360" w:lineRule="auto"/>
        <w:rPr>
          <w:rFonts w:hint="eastAsia" w:ascii="宋体" w:hAnsi="宋体" w:eastAsia="宋体" w:cs="宋体"/>
          <w:highlight w:val="none"/>
        </w:rPr>
      </w:pPr>
    </w:p>
    <w:p>
      <w:pPr>
        <w:keepNext w:val="0"/>
        <w:keepLines w:val="0"/>
        <w:pageBreakBefore w:val="0"/>
        <w:kinsoku/>
        <w:wordWrap/>
        <w:overflowPunct/>
        <w:topLinePunct/>
        <w:autoSpaceDE/>
        <w:autoSpaceDN/>
        <w:bidi w:val="0"/>
        <w:spacing w:line="360" w:lineRule="auto"/>
        <w:rPr>
          <w:rFonts w:hint="eastAsia" w:ascii="宋体" w:hAnsi="宋体" w:eastAsia="宋体" w:cs="宋体"/>
          <w:highlight w:val="none"/>
        </w:rPr>
      </w:pPr>
    </w:p>
    <w:p>
      <w:pPr>
        <w:keepNext w:val="0"/>
        <w:keepLines w:val="0"/>
        <w:pageBreakBefore w:val="0"/>
        <w:kinsoku/>
        <w:wordWrap/>
        <w:overflowPunct/>
        <w:topLinePunct/>
        <w:autoSpaceDE/>
        <w:autoSpaceDN/>
        <w:bidi w:val="0"/>
        <w:spacing w:line="360" w:lineRule="auto"/>
        <w:rPr>
          <w:rFonts w:hint="eastAsia" w:ascii="宋体" w:hAnsi="宋体" w:eastAsia="宋体" w:cs="宋体"/>
          <w:highlight w:val="none"/>
        </w:rPr>
      </w:pPr>
    </w:p>
    <w:p>
      <w:pPr>
        <w:keepNext w:val="0"/>
        <w:keepLines w:val="0"/>
        <w:pageBreakBefore w:val="0"/>
        <w:kinsoku/>
        <w:wordWrap/>
        <w:overflowPunct/>
        <w:topLinePunct/>
        <w:autoSpaceDE/>
        <w:autoSpaceDN/>
        <w:bidi w:val="0"/>
        <w:spacing w:line="360" w:lineRule="auto"/>
        <w:rPr>
          <w:rFonts w:hint="eastAsia" w:ascii="宋体" w:hAnsi="宋体" w:eastAsia="宋体" w:cs="宋体"/>
          <w:highlight w:val="none"/>
        </w:rPr>
      </w:pPr>
    </w:p>
    <w:p>
      <w:pPr>
        <w:keepNext w:val="0"/>
        <w:keepLines w:val="0"/>
        <w:pageBreakBefore w:val="0"/>
        <w:kinsoku/>
        <w:wordWrap/>
        <w:overflowPunct/>
        <w:topLinePunct/>
        <w:autoSpaceDE/>
        <w:autoSpaceDN/>
        <w:bidi w:val="0"/>
        <w:spacing w:line="360" w:lineRule="auto"/>
        <w:rPr>
          <w:rFonts w:hint="eastAsia" w:ascii="宋体" w:hAnsi="宋体" w:eastAsia="宋体" w:cs="宋体"/>
          <w:highlight w:val="none"/>
        </w:rPr>
      </w:pPr>
    </w:p>
    <w:p>
      <w:pPr>
        <w:keepNext w:val="0"/>
        <w:keepLines w:val="0"/>
        <w:pageBreakBefore w:val="0"/>
        <w:kinsoku/>
        <w:wordWrap/>
        <w:overflowPunct/>
        <w:topLinePunct/>
        <w:autoSpaceDE/>
        <w:autoSpaceDN/>
        <w:bidi w:val="0"/>
        <w:spacing w:line="360" w:lineRule="auto"/>
        <w:rPr>
          <w:rFonts w:hint="eastAsia" w:ascii="宋体" w:hAnsi="宋体" w:eastAsia="宋体" w:cs="宋体"/>
          <w:highlight w:val="none"/>
        </w:rPr>
      </w:pPr>
    </w:p>
    <w:p>
      <w:pPr>
        <w:keepNext w:val="0"/>
        <w:keepLines w:val="0"/>
        <w:pageBreakBefore w:val="0"/>
        <w:widowControl/>
        <w:kinsoku/>
        <w:wordWrap/>
        <w:overflowPunct/>
        <w:topLinePunct/>
        <w:autoSpaceDE/>
        <w:autoSpaceDN/>
        <w:bidi w:val="0"/>
        <w:adjustRightInd w:val="0"/>
        <w:snapToGrid w:val="0"/>
        <w:spacing w:line="360" w:lineRule="auto"/>
        <w:jc w:val="center"/>
        <w:rPr>
          <w:rFonts w:hint="eastAsia" w:ascii="宋体" w:hAnsi="宋体" w:eastAsia="宋体" w:cs="宋体"/>
          <w:b/>
          <w:bCs/>
          <w:spacing w:val="17"/>
          <w:kern w:val="0"/>
          <w:sz w:val="36"/>
          <w:szCs w:val="36"/>
          <w:highlight w:val="none"/>
        </w:rPr>
      </w:pPr>
      <w:r>
        <w:rPr>
          <w:rFonts w:hint="eastAsia" w:ascii="宋体" w:hAnsi="宋体" w:eastAsia="宋体" w:cs="宋体"/>
          <w:b/>
          <w:bCs/>
          <w:kern w:val="0"/>
          <w:sz w:val="36"/>
          <w:szCs w:val="36"/>
          <w:highlight w:val="none"/>
        </w:rPr>
        <w:t>采 购 人：</w:t>
      </w:r>
      <w:r>
        <w:rPr>
          <w:rFonts w:hint="eastAsia" w:ascii="宋体" w:hAnsi="宋体" w:eastAsia="宋体" w:cs="宋体"/>
          <w:b/>
          <w:bCs/>
          <w:spacing w:val="91"/>
          <w:kern w:val="0"/>
          <w:sz w:val="36"/>
          <w:szCs w:val="36"/>
          <w:highlight w:val="none"/>
        </w:rPr>
        <w:t>河南省人民医院</w:t>
      </w:r>
    </w:p>
    <w:p>
      <w:pPr>
        <w:keepNext w:val="0"/>
        <w:keepLines w:val="0"/>
        <w:pageBreakBefore w:val="0"/>
        <w:widowControl/>
        <w:kinsoku/>
        <w:wordWrap/>
        <w:overflowPunct/>
        <w:topLinePunct/>
        <w:autoSpaceDE/>
        <w:autoSpaceDN/>
        <w:bidi w:val="0"/>
        <w:adjustRightInd w:val="0"/>
        <w:snapToGrid w:val="0"/>
        <w:spacing w:line="360" w:lineRule="auto"/>
        <w:jc w:val="center"/>
        <w:rPr>
          <w:rFonts w:hint="eastAsia" w:ascii="宋体" w:hAnsi="宋体" w:eastAsia="宋体" w:cs="宋体"/>
          <w:b/>
          <w:bCs/>
          <w:spacing w:val="17"/>
          <w:kern w:val="0"/>
          <w:sz w:val="36"/>
          <w:szCs w:val="36"/>
          <w:highlight w:val="none"/>
          <w:lang w:eastAsia="zh-CN"/>
        </w:rPr>
      </w:pPr>
      <w:r>
        <w:rPr>
          <w:rFonts w:hint="eastAsia" w:ascii="宋体" w:hAnsi="宋体" w:eastAsia="宋体" w:cs="宋体"/>
          <w:b/>
          <w:bCs/>
          <w:kern w:val="0"/>
          <w:sz w:val="36"/>
          <w:szCs w:val="36"/>
          <w:highlight w:val="none"/>
        </w:rPr>
        <w:t>代理机构：</w:t>
      </w:r>
      <w:r>
        <w:rPr>
          <w:rFonts w:hint="eastAsia" w:ascii="宋体" w:hAnsi="宋体" w:eastAsia="宋体" w:cs="宋体"/>
          <w:b/>
          <w:bCs/>
          <w:spacing w:val="17"/>
          <w:kern w:val="0"/>
          <w:sz w:val="36"/>
          <w:szCs w:val="36"/>
          <w:highlight w:val="none"/>
          <w:lang w:eastAsia="zh-CN"/>
        </w:rPr>
        <w:t>河南省伟信招标管理咨询有限公司</w:t>
      </w:r>
    </w:p>
    <w:p>
      <w:pPr>
        <w:keepNext w:val="0"/>
        <w:keepLines w:val="0"/>
        <w:pageBreakBefore w:val="0"/>
        <w:kinsoku/>
        <w:wordWrap/>
        <w:overflowPunct/>
        <w:topLinePunct/>
        <w:autoSpaceDE/>
        <w:autoSpaceDN/>
        <w:bidi w:val="0"/>
        <w:spacing w:line="360" w:lineRule="auto"/>
        <w:jc w:val="center"/>
        <w:rPr>
          <w:rFonts w:hint="eastAsia" w:ascii="宋体" w:hAnsi="宋体" w:eastAsia="宋体" w:cs="宋体"/>
          <w:sz w:val="36"/>
          <w:szCs w:val="36"/>
        </w:rPr>
      </w:pPr>
      <w:r>
        <w:rPr>
          <w:rFonts w:hint="eastAsia" w:ascii="宋体" w:hAnsi="宋体" w:eastAsia="宋体" w:cs="宋体"/>
          <w:b/>
          <w:bCs/>
          <w:spacing w:val="62"/>
          <w:kern w:val="0"/>
          <w:sz w:val="36"/>
          <w:szCs w:val="36"/>
          <w:highlight w:val="none"/>
        </w:rPr>
        <w:t>二〇二</w:t>
      </w:r>
      <w:r>
        <w:rPr>
          <w:rFonts w:hint="eastAsia" w:ascii="宋体" w:hAnsi="宋体" w:eastAsia="宋体" w:cs="宋体"/>
          <w:b/>
          <w:bCs/>
          <w:spacing w:val="62"/>
          <w:kern w:val="0"/>
          <w:sz w:val="36"/>
          <w:szCs w:val="36"/>
          <w:highlight w:val="none"/>
          <w:lang w:val="en-US" w:eastAsia="zh-CN"/>
        </w:rPr>
        <w:t>四</w:t>
      </w:r>
      <w:r>
        <w:rPr>
          <w:rFonts w:hint="eastAsia" w:ascii="宋体" w:hAnsi="宋体" w:eastAsia="宋体" w:cs="宋体"/>
          <w:b/>
          <w:bCs/>
          <w:spacing w:val="62"/>
          <w:kern w:val="0"/>
          <w:sz w:val="36"/>
          <w:szCs w:val="36"/>
          <w:highlight w:val="none"/>
        </w:rPr>
        <w:t>年</w:t>
      </w:r>
      <w:r>
        <w:rPr>
          <w:rFonts w:hint="eastAsia" w:ascii="宋体" w:hAnsi="宋体" w:cs="宋体"/>
          <w:b/>
          <w:bCs/>
          <w:spacing w:val="62"/>
          <w:kern w:val="0"/>
          <w:sz w:val="36"/>
          <w:szCs w:val="36"/>
          <w:highlight w:val="none"/>
          <w:lang w:val="en-US" w:eastAsia="zh-CN"/>
        </w:rPr>
        <w:t>六</w:t>
      </w:r>
      <w:r>
        <w:rPr>
          <w:rFonts w:hint="eastAsia" w:ascii="宋体" w:hAnsi="宋体" w:eastAsia="宋体" w:cs="宋体"/>
          <w:b/>
          <w:bCs/>
          <w:spacing w:val="62"/>
          <w:kern w:val="0"/>
          <w:sz w:val="36"/>
          <w:szCs w:val="36"/>
          <w:highlight w:val="none"/>
        </w:rPr>
        <w:t>月</w:t>
      </w:r>
    </w:p>
    <w:p>
      <w:pPr>
        <w:kinsoku/>
        <w:wordWrap/>
        <w:overflowPunct/>
        <w:topLinePunct/>
        <w:autoSpaceDE/>
        <w:autoSpaceDN/>
        <w:bidi w:val="0"/>
        <w:rPr>
          <w:rFonts w:hint="eastAsia" w:ascii="宋体" w:hAnsi="宋体" w:eastAsia="宋体" w:cs="宋体"/>
          <w:sz w:val="30"/>
          <w:szCs w:val="30"/>
        </w:rPr>
      </w:pPr>
      <w:r>
        <w:rPr>
          <w:rFonts w:hint="eastAsia" w:ascii="宋体" w:hAnsi="宋体" w:eastAsia="宋体" w:cs="宋体"/>
          <w:sz w:val="30"/>
          <w:szCs w:val="30"/>
        </w:rPr>
        <w:br w:type="page"/>
      </w:r>
    </w:p>
    <w:p>
      <w:pPr>
        <w:pStyle w:val="57"/>
        <w:tabs>
          <w:tab w:val="right" w:leader="dot" w:pos="9752"/>
        </w:tabs>
        <w:kinsoku/>
        <w:wordWrap/>
        <w:overflowPunct/>
        <w:topLinePunct/>
        <w:autoSpaceDE/>
        <w:autoSpaceDN/>
        <w:bidi w:val="0"/>
        <w:jc w:val="center"/>
        <w:outlineLvl w:val="0"/>
        <w:rPr>
          <w:rFonts w:hint="eastAsia" w:ascii="宋体" w:hAnsi="宋体" w:eastAsia="宋体" w:cs="宋体"/>
          <w:sz w:val="30"/>
          <w:szCs w:val="30"/>
        </w:rPr>
      </w:pPr>
      <w:bookmarkStart w:id="0" w:name="_Toc19187"/>
      <w:r>
        <w:rPr>
          <w:rFonts w:hint="eastAsia" w:ascii="宋体" w:hAnsi="宋体" w:eastAsia="宋体" w:cs="宋体"/>
          <w:sz w:val="30"/>
          <w:szCs w:val="30"/>
        </w:rPr>
        <w:t>目 录</w:t>
      </w:r>
      <w:bookmarkEnd w:id="0"/>
    </w:p>
    <w:p>
      <w:pPr>
        <w:pStyle w:val="57"/>
        <w:keepNext w:val="0"/>
        <w:keepLines w:val="0"/>
        <w:pageBreakBefore w:val="0"/>
        <w:widowControl w:val="0"/>
        <w:tabs>
          <w:tab w:val="right" w:leader="dot" w:pos="8732"/>
        </w:tabs>
        <w:kinsoku/>
        <w:wordWrap/>
        <w:overflowPunct/>
        <w:autoSpaceDE/>
        <w:autoSpaceDN/>
        <w:bidi w:val="0"/>
        <w:adjustRightInd/>
        <w:snapToGrid/>
        <w:spacing w:before="0" w:after="0" w:line="480" w:lineRule="auto"/>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TOC \o "1-3" \h \z \u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_Toc16441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第一章  招标公告</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_Toc16441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57"/>
        <w:keepNext w:val="0"/>
        <w:keepLines w:val="0"/>
        <w:pageBreakBefore w:val="0"/>
        <w:widowControl w:val="0"/>
        <w:tabs>
          <w:tab w:val="right" w:leader="dot" w:pos="8732"/>
        </w:tabs>
        <w:kinsoku/>
        <w:wordWrap/>
        <w:overflowPunct/>
        <w:autoSpaceDE/>
        <w:autoSpaceDN/>
        <w:bidi w:val="0"/>
        <w:adjustRightInd/>
        <w:snapToGrid/>
        <w:spacing w:before="0" w:after="0" w:line="480" w:lineRule="auto"/>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_Toc2402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第二章  投标人须知</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_Toc2402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7</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57"/>
        <w:keepNext w:val="0"/>
        <w:keepLines w:val="0"/>
        <w:pageBreakBefore w:val="0"/>
        <w:widowControl w:val="0"/>
        <w:tabs>
          <w:tab w:val="right" w:leader="dot" w:pos="8732"/>
        </w:tabs>
        <w:kinsoku/>
        <w:wordWrap/>
        <w:overflowPunct/>
        <w:autoSpaceDE/>
        <w:autoSpaceDN/>
        <w:bidi w:val="0"/>
        <w:adjustRightInd/>
        <w:snapToGrid/>
        <w:spacing w:before="0" w:after="0" w:line="480" w:lineRule="auto"/>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_Toc3600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第三章  采购人要求</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_Toc3600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26</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57"/>
        <w:keepNext w:val="0"/>
        <w:keepLines w:val="0"/>
        <w:pageBreakBefore w:val="0"/>
        <w:widowControl w:val="0"/>
        <w:tabs>
          <w:tab w:val="right" w:leader="dot" w:pos="8732"/>
        </w:tabs>
        <w:kinsoku/>
        <w:wordWrap/>
        <w:overflowPunct/>
        <w:autoSpaceDE/>
        <w:autoSpaceDN/>
        <w:bidi w:val="0"/>
        <w:adjustRightInd/>
        <w:snapToGrid/>
        <w:spacing w:before="0" w:after="0" w:line="480" w:lineRule="auto"/>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_Toc21166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 xml:space="preserve">第四章 </w:t>
      </w:r>
      <w:r>
        <w:rPr>
          <w:rFonts w:hint="eastAsia" w:ascii="宋体" w:hAnsi="宋体" w:cs="宋体"/>
          <w:b w:val="0"/>
          <w:bCs/>
          <w:sz w:val="21"/>
          <w:szCs w:val="21"/>
          <w:lang w:val="en-US" w:eastAsia="zh-CN"/>
        </w:rPr>
        <w:t xml:space="preserve"> </w:t>
      </w:r>
      <w:r>
        <w:rPr>
          <w:rFonts w:hint="eastAsia" w:ascii="宋体" w:hAnsi="宋体" w:eastAsia="宋体" w:cs="宋体"/>
          <w:b w:val="0"/>
          <w:bCs/>
          <w:sz w:val="21"/>
          <w:szCs w:val="21"/>
        </w:rPr>
        <w:t>合同条款</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_Toc21166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51</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57"/>
        <w:keepNext w:val="0"/>
        <w:keepLines w:val="0"/>
        <w:pageBreakBefore w:val="0"/>
        <w:widowControl w:val="0"/>
        <w:tabs>
          <w:tab w:val="right" w:leader="dot" w:pos="8732"/>
        </w:tabs>
        <w:kinsoku/>
        <w:wordWrap/>
        <w:overflowPunct/>
        <w:autoSpaceDE/>
        <w:autoSpaceDN/>
        <w:bidi w:val="0"/>
        <w:adjustRightInd/>
        <w:snapToGrid/>
        <w:spacing w:before="0" w:after="0" w:line="480" w:lineRule="auto"/>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_Toc18236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第五章  投标文件相关格式</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_Toc18236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62</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_Toc10142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第一部分   经济部分</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_Toc10142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64</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_Toc13690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一、投标函</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_Toc13690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65</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_Toc20077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二、投标报价一览表</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_Toc20077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66</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_Toc4842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第二部分   技术部分</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_Toc4842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68</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_Toc21157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一、技术偏离表</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_Toc21157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69</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_Toc31312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二、服务方案</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_Toc31312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80</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_Toc25446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lang w:val="en-US" w:eastAsia="zh-CN"/>
        </w:rPr>
        <w:t>三、优惠服务承诺</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_Toc25446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81</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_Toc2510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四、投标人认为有利于本项目竞争的其他资料。</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_Toc2510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83</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_Toc11213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第三部分   综合部分</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_Toc11213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84</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_Toc6045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一、法定代表人身份证明（本格式仅供参考）</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_Toc6045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85</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_Toc27249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二、法定代表人授权委托书（本格式仅供参考）</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_Toc27249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86</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_Toc19484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三、商务条款偏离表</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_Toc19484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87</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_Toc465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四、基本账户开户许可证（或基本存款账户信息）</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_Toc465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88</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_Toc21759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五、资格审查资料</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_Toc21759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89</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_Toc12607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六、反商业贿赂承诺书</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_Toc12607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104</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_Toc17173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七、中小微企业证明</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_Toc17173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105</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pStyle w:val="72"/>
        <w:keepNext w:val="0"/>
        <w:keepLines w:val="0"/>
        <w:pageBreakBefore w:val="0"/>
        <w:widowControl w:val="0"/>
        <w:tabs>
          <w:tab w:val="right" w:leader="dot" w:pos="8732"/>
        </w:tabs>
        <w:kinsoku/>
        <w:wordWrap/>
        <w:overflowPunct/>
        <w:autoSpaceDE/>
        <w:autoSpaceDN/>
        <w:bidi w:val="0"/>
        <w:adjustRightInd/>
        <w:snapToGrid/>
        <w:spacing w:line="48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_Toc28495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八、</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_Toc26857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河南省政府采购合同融资政策告知函</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_Toc26857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108</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pPr>
        <w:keepNext w:val="0"/>
        <w:keepLines w:val="0"/>
        <w:pageBreakBefore w:val="0"/>
        <w:widowControl w:val="0"/>
        <w:kinsoku/>
        <w:wordWrap/>
        <w:overflowPunct/>
        <w:topLinePunct/>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b w:val="0"/>
          <w:bCs/>
          <w:sz w:val="21"/>
          <w:szCs w:val="21"/>
        </w:rPr>
        <w:fldChar w:fldCharType="end"/>
      </w:r>
    </w:p>
    <w:p>
      <w:pPr>
        <w:kinsoku/>
        <w:wordWrap/>
        <w:overflowPunct/>
        <w:topLinePunct/>
        <w:autoSpaceDE/>
        <w:autoSpaceDN/>
        <w:bidi w:val="0"/>
        <w:rPr>
          <w:rFonts w:hint="eastAsia" w:ascii="宋体" w:hAnsi="宋体" w:eastAsia="宋体" w:cs="宋体"/>
        </w:rPr>
      </w:pPr>
      <w:bookmarkStart w:id="1" w:name="_Toc393361116"/>
      <w:bookmarkStart w:id="2" w:name="_Toc393361016"/>
      <w:bookmarkStart w:id="3" w:name="_Toc393360895"/>
      <w:r>
        <w:rPr>
          <w:rFonts w:hint="eastAsia" w:ascii="宋体" w:hAnsi="宋体" w:eastAsia="宋体" w:cs="宋体"/>
        </w:rPr>
        <w:br w:type="page"/>
      </w:r>
    </w:p>
    <w:p>
      <w:pPr>
        <w:pStyle w:val="2"/>
        <w:kinsoku/>
        <w:wordWrap/>
        <w:overflowPunct/>
        <w:topLinePunct/>
        <w:autoSpaceDE/>
        <w:autoSpaceDN/>
        <w:bidi w:val="0"/>
        <w:rPr>
          <w:rFonts w:hint="eastAsia"/>
        </w:rPr>
      </w:pPr>
      <w:bookmarkStart w:id="4" w:name="_Toc16441"/>
      <w:r>
        <w:rPr>
          <w:rFonts w:hint="eastAsia"/>
        </w:rPr>
        <w:t>第一章  招标公告</w:t>
      </w:r>
      <w:bookmarkEnd w:id="1"/>
      <w:bookmarkEnd w:id="2"/>
      <w:bookmarkEnd w:id="3"/>
      <w:bookmarkEnd w:id="4"/>
    </w:p>
    <w:p>
      <w:pPr>
        <w:keepNext w:val="0"/>
        <w:keepLines w:val="0"/>
        <w:pageBreakBefore w:val="0"/>
        <w:widowControl w:val="0"/>
        <w:tabs>
          <w:tab w:val="left" w:pos="3225"/>
          <w:tab w:val="center" w:pos="4923"/>
        </w:tabs>
        <w:kinsoku/>
        <w:wordWrap/>
        <w:overflowPunct/>
        <w:topLinePunct/>
        <w:autoSpaceDE/>
        <w:autoSpaceDN/>
        <w:bidi w:val="0"/>
        <w:adjustRightInd/>
        <w:snapToGrid/>
        <w:spacing w:line="360" w:lineRule="auto"/>
        <w:jc w:val="center"/>
        <w:textAlignment w:val="auto"/>
        <w:rPr>
          <w:rFonts w:hint="eastAsia" w:ascii="宋体" w:hAnsi="宋体" w:eastAsia="宋体" w:cs="宋体"/>
          <w:sz w:val="32"/>
          <w:szCs w:val="32"/>
        </w:rPr>
      </w:pPr>
      <w:r>
        <w:rPr>
          <w:rFonts w:hint="eastAsia" w:ascii="宋体" w:hAnsi="宋体" w:eastAsia="宋体" w:cs="宋体"/>
          <w:b/>
          <w:kern w:val="0"/>
          <w:sz w:val="32"/>
          <w:szCs w:val="32"/>
        </w:rPr>
        <w:t>河南省人民医院</w:t>
      </w:r>
      <w:r>
        <w:rPr>
          <w:rFonts w:hint="eastAsia" w:ascii="宋体" w:hAnsi="宋体" w:cs="宋体"/>
          <w:b/>
          <w:kern w:val="0"/>
          <w:sz w:val="32"/>
          <w:szCs w:val="32"/>
          <w:lang w:eastAsia="zh-CN"/>
        </w:rPr>
        <w:t>2024-2027年度全院服务器及存储设备维保服务项目</w:t>
      </w:r>
      <w:r>
        <w:rPr>
          <w:rFonts w:hint="eastAsia" w:ascii="宋体" w:hAnsi="宋体" w:eastAsia="宋体" w:cs="宋体"/>
          <w:b/>
          <w:kern w:val="0"/>
          <w:sz w:val="32"/>
          <w:szCs w:val="32"/>
        </w:rPr>
        <w:t>招标公告</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项目概况</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sz w:val="21"/>
          <w:szCs w:val="21"/>
        </w:rPr>
        <w:t>河南省人民医院</w:t>
      </w:r>
      <w:r>
        <w:rPr>
          <w:rFonts w:hint="eastAsia" w:ascii="宋体" w:hAnsi="宋体" w:cs="宋体"/>
          <w:sz w:val="21"/>
          <w:szCs w:val="21"/>
          <w:lang w:eastAsia="zh-CN"/>
        </w:rPr>
        <w:t>2024-2027年度全院服务器</w:t>
      </w:r>
      <w:r>
        <w:rPr>
          <w:rFonts w:hint="eastAsia" w:ascii="宋体" w:hAnsi="宋体" w:cs="宋体"/>
          <w:color w:val="auto"/>
          <w:sz w:val="21"/>
          <w:szCs w:val="21"/>
          <w:lang w:eastAsia="zh-CN"/>
        </w:rPr>
        <w:t>及存储设备维保服务项目</w:t>
      </w:r>
      <w:r>
        <w:rPr>
          <w:rFonts w:hint="eastAsia" w:ascii="宋体" w:hAnsi="宋体" w:eastAsia="宋体" w:cs="宋体"/>
          <w:color w:val="auto"/>
          <w:sz w:val="21"/>
          <w:szCs w:val="21"/>
        </w:rPr>
        <w:t>招标项目的潜在投标人</w:t>
      </w:r>
      <w:r>
        <w:rPr>
          <w:rFonts w:hint="eastAsia" w:ascii="宋体" w:hAnsi="宋体" w:eastAsia="宋体" w:cs="宋体"/>
          <w:color w:val="auto"/>
          <w:sz w:val="21"/>
          <w:szCs w:val="21"/>
          <w:lang w:val="en-US" w:eastAsia="zh-CN"/>
        </w:rPr>
        <w:t>应在</w:t>
      </w:r>
      <w:r>
        <w:rPr>
          <w:rFonts w:hint="eastAsia" w:ascii="宋体" w:hAnsi="宋体" w:eastAsia="宋体" w:cs="宋体"/>
          <w:color w:val="auto"/>
          <w:sz w:val="21"/>
          <w:szCs w:val="21"/>
        </w:rPr>
        <w:t>河南省公共资源交易中心网站下载获取招标文件，并于2024年</w:t>
      </w: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日</w:t>
      </w: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时00分（北京时间）前递交投标文件。</w:t>
      </w:r>
    </w:p>
    <w:p>
      <w:pPr>
        <w:pStyle w:val="463"/>
        <w:keepNext w:val="0"/>
        <w:keepLines w:val="0"/>
        <w:pageBreakBefore w:val="0"/>
        <w:widowControl w:val="0"/>
        <w:numPr>
          <w:ilvl w:val="0"/>
          <w:numId w:val="10"/>
        </w:numPr>
        <w:kinsoku/>
        <w:wordWrap/>
        <w:overflowPunct/>
        <w:topLinePunct/>
        <w:autoSpaceDE/>
        <w:autoSpaceDN/>
        <w:bidi w:val="0"/>
        <w:adjustRightInd w:val="0"/>
        <w:snapToGrid/>
        <w:spacing w:line="420" w:lineRule="auto"/>
        <w:textAlignment w:val="auto"/>
        <w:rPr>
          <w:rFonts w:hint="eastAsia" w:ascii="宋体" w:hAnsi="宋体" w:eastAsia="宋体" w:cs="宋体"/>
          <w:sz w:val="21"/>
          <w:szCs w:val="21"/>
          <w:lang w:bidi="ar"/>
        </w:rPr>
      </w:pPr>
      <w:r>
        <w:rPr>
          <w:rFonts w:hint="eastAsia" w:ascii="宋体" w:hAnsi="宋体" w:eastAsia="宋体" w:cs="宋体"/>
          <w:sz w:val="21"/>
          <w:szCs w:val="21"/>
          <w:lang w:bidi="ar"/>
        </w:rPr>
        <w:t>项目基本情况</w:t>
      </w:r>
    </w:p>
    <w:p>
      <w:pPr>
        <w:pStyle w:val="463"/>
        <w:keepNext w:val="0"/>
        <w:keepLines w:val="0"/>
        <w:pageBreakBefore w:val="0"/>
        <w:widowControl w:val="0"/>
        <w:kinsoku/>
        <w:wordWrap/>
        <w:overflowPunct/>
        <w:topLinePunct/>
        <w:autoSpaceDE/>
        <w:autoSpaceDN/>
        <w:bidi w:val="0"/>
        <w:adjustRightInd w:val="0"/>
        <w:snapToGrid/>
        <w:spacing w:line="420" w:lineRule="auto"/>
        <w:textAlignment w:val="auto"/>
        <w:rPr>
          <w:rFonts w:hint="eastAsia" w:ascii="宋体" w:hAnsi="宋体" w:eastAsia="宋体" w:cs="宋体"/>
          <w:color w:val="auto"/>
          <w:sz w:val="21"/>
          <w:szCs w:val="21"/>
          <w:lang w:bidi="ar"/>
        </w:rPr>
      </w:pPr>
      <w:r>
        <w:rPr>
          <w:rFonts w:hint="eastAsia" w:ascii="宋体" w:hAnsi="宋体" w:cs="宋体"/>
          <w:color w:val="auto"/>
          <w:sz w:val="21"/>
          <w:szCs w:val="21"/>
          <w:lang w:val="en-US" w:eastAsia="zh-CN" w:bidi="ar"/>
        </w:rPr>
        <w:t>1、</w:t>
      </w:r>
      <w:r>
        <w:rPr>
          <w:rFonts w:hint="eastAsia" w:ascii="宋体" w:hAnsi="宋体" w:eastAsia="宋体" w:cs="宋体"/>
          <w:color w:val="auto"/>
          <w:sz w:val="21"/>
          <w:szCs w:val="21"/>
          <w:lang w:bidi="ar"/>
        </w:rPr>
        <w:t>项目编号：豫财招标采购-2024-589</w:t>
      </w:r>
    </w:p>
    <w:p>
      <w:pPr>
        <w:pStyle w:val="463"/>
        <w:keepNext w:val="0"/>
        <w:keepLines w:val="0"/>
        <w:pageBreakBefore w:val="0"/>
        <w:widowControl w:val="0"/>
        <w:kinsoku/>
        <w:wordWrap/>
        <w:overflowPunct/>
        <w:topLinePunct/>
        <w:autoSpaceDE/>
        <w:autoSpaceDN/>
        <w:bidi w:val="0"/>
        <w:adjustRightInd w:val="0"/>
        <w:snapToGrid/>
        <w:spacing w:line="420" w:lineRule="auto"/>
        <w:textAlignment w:val="auto"/>
        <w:rPr>
          <w:rFonts w:hint="eastAsia" w:ascii="宋体" w:hAnsi="宋体" w:eastAsia="宋体" w:cs="宋体"/>
          <w:sz w:val="21"/>
          <w:szCs w:val="21"/>
          <w:lang w:eastAsia="zh-CN" w:bidi="ar"/>
        </w:rPr>
      </w:pPr>
      <w:r>
        <w:rPr>
          <w:rFonts w:hint="eastAsia" w:ascii="宋体" w:hAnsi="宋体" w:cs="宋体"/>
          <w:sz w:val="21"/>
          <w:szCs w:val="21"/>
          <w:lang w:val="en-US" w:eastAsia="zh-CN" w:bidi="ar"/>
        </w:rPr>
        <w:t>2、</w:t>
      </w:r>
      <w:r>
        <w:rPr>
          <w:rFonts w:hint="eastAsia" w:ascii="宋体" w:hAnsi="宋体" w:eastAsia="宋体" w:cs="宋体"/>
          <w:sz w:val="21"/>
          <w:szCs w:val="21"/>
          <w:lang w:bidi="ar"/>
        </w:rPr>
        <w:t>项目名称：河南省人民医院</w:t>
      </w:r>
      <w:r>
        <w:rPr>
          <w:rFonts w:hint="eastAsia" w:ascii="宋体" w:hAnsi="宋体" w:cs="宋体"/>
          <w:sz w:val="21"/>
          <w:szCs w:val="21"/>
          <w:lang w:eastAsia="zh-CN" w:bidi="ar"/>
        </w:rPr>
        <w:t>2024-2027年度全院服务器及存储设备维保服务项目</w:t>
      </w:r>
    </w:p>
    <w:p>
      <w:pPr>
        <w:pStyle w:val="463"/>
        <w:keepNext w:val="0"/>
        <w:keepLines w:val="0"/>
        <w:pageBreakBefore w:val="0"/>
        <w:widowControl w:val="0"/>
        <w:kinsoku/>
        <w:wordWrap/>
        <w:overflowPunct/>
        <w:topLinePunct/>
        <w:autoSpaceDE/>
        <w:autoSpaceDN/>
        <w:bidi w:val="0"/>
        <w:adjustRightInd w:val="0"/>
        <w:snapToGrid/>
        <w:spacing w:line="420" w:lineRule="auto"/>
        <w:textAlignment w:val="auto"/>
        <w:rPr>
          <w:rFonts w:hint="eastAsia" w:ascii="宋体" w:hAnsi="宋体" w:eastAsia="宋体" w:cs="宋体"/>
          <w:sz w:val="21"/>
          <w:szCs w:val="21"/>
          <w:lang w:bidi="ar"/>
        </w:rPr>
      </w:pPr>
      <w:r>
        <w:rPr>
          <w:rFonts w:hint="eastAsia" w:ascii="宋体" w:hAnsi="宋体" w:cs="宋体"/>
          <w:sz w:val="21"/>
          <w:szCs w:val="21"/>
          <w:lang w:val="en-US" w:eastAsia="zh-CN" w:bidi="ar"/>
        </w:rPr>
        <w:t>3、</w:t>
      </w:r>
      <w:r>
        <w:rPr>
          <w:rFonts w:hint="eastAsia" w:ascii="宋体" w:hAnsi="宋体" w:eastAsia="宋体" w:cs="宋体"/>
          <w:sz w:val="21"/>
          <w:szCs w:val="21"/>
          <w:lang w:bidi="ar"/>
        </w:rPr>
        <w:t>采购方式：公开招标</w:t>
      </w:r>
    </w:p>
    <w:p>
      <w:pPr>
        <w:pStyle w:val="463"/>
        <w:keepNext w:val="0"/>
        <w:keepLines w:val="0"/>
        <w:pageBreakBefore w:val="0"/>
        <w:widowControl w:val="0"/>
        <w:kinsoku/>
        <w:wordWrap/>
        <w:overflowPunct/>
        <w:topLinePunct/>
        <w:autoSpaceDE/>
        <w:autoSpaceDN/>
        <w:bidi w:val="0"/>
        <w:adjustRightInd w:val="0"/>
        <w:snapToGrid/>
        <w:spacing w:line="420" w:lineRule="auto"/>
        <w:textAlignment w:val="auto"/>
        <w:rPr>
          <w:rFonts w:hint="eastAsia" w:ascii="宋体" w:hAnsi="宋体" w:eastAsia="宋体" w:cs="宋体"/>
          <w:sz w:val="21"/>
          <w:szCs w:val="21"/>
          <w:lang w:bidi="ar"/>
        </w:rPr>
      </w:pPr>
      <w:r>
        <w:rPr>
          <w:rFonts w:hint="eastAsia" w:ascii="宋体" w:hAnsi="宋体" w:eastAsia="宋体" w:cs="宋体"/>
          <w:sz w:val="21"/>
          <w:szCs w:val="21"/>
          <w:lang w:bidi="ar"/>
        </w:rPr>
        <w:t>4、预算金额：510</w:t>
      </w:r>
      <w:r>
        <w:rPr>
          <w:rFonts w:hint="eastAsia" w:ascii="宋体" w:hAnsi="宋体" w:eastAsia="宋体" w:cs="宋体"/>
          <w:sz w:val="21"/>
          <w:szCs w:val="21"/>
          <w:lang w:val="en-US" w:eastAsia="zh-CN" w:bidi="ar"/>
        </w:rPr>
        <w:t>0000</w:t>
      </w:r>
      <w:r>
        <w:rPr>
          <w:rFonts w:hint="eastAsia" w:ascii="宋体" w:hAnsi="宋体" w:eastAsia="宋体" w:cs="宋体"/>
          <w:sz w:val="21"/>
          <w:szCs w:val="21"/>
          <w:lang w:bidi="ar"/>
        </w:rPr>
        <w:t>.00元</w:t>
      </w:r>
      <w:r>
        <w:rPr>
          <w:rFonts w:hint="eastAsia" w:ascii="宋体" w:hAnsi="宋体" w:eastAsia="宋体" w:cs="宋体"/>
          <w:sz w:val="21"/>
          <w:szCs w:val="21"/>
          <w:lang w:eastAsia="zh-CN" w:bidi="ar"/>
        </w:rPr>
        <w:t>；</w:t>
      </w:r>
      <w:r>
        <w:rPr>
          <w:rFonts w:hint="eastAsia" w:ascii="宋体" w:hAnsi="宋体" w:eastAsia="宋体" w:cs="宋体"/>
          <w:sz w:val="21"/>
          <w:szCs w:val="21"/>
          <w:lang w:bidi="ar"/>
        </w:rPr>
        <w:t>最高限价：510</w:t>
      </w:r>
      <w:r>
        <w:rPr>
          <w:rFonts w:hint="eastAsia" w:ascii="宋体" w:hAnsi="宋体" w:eastAsia="宋体" w:cs="宋体"/>
          <w:sz w:val="21"/>
          <w:szCs w:val="21"/>
          <w:lang w:val="en-US" w:eastAsia="zh-CN" w:bidi="ar"/>
        </w:rPr>
        <w:t>0000.00</w:t>
      </w:r>
      <w:r>
        <w:rPr>
          <w:rFonts w:hint="eastAsia" w:ascii="宋体" w:hAnsi="宋体" w:eastAsia="宋体" w:cs="宋体"/>
          <w:sz w:val="21"/>
          <w:szCs w:val="21"/>
          <w:lang w:bidi="ar"/>
        </w:rPr>
        <w:t>元</w:t>
      </w:r>
    </w:p>
    <w:tbl>
      <w:tblPr>
        <w:tblStyle w:val="86"/>
        <w:tblW w:w="9354"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573"/>
        <w:gridCol w:w="1722"/>
        <w:gridCol w:w="3390"/>
        <w:gridCol w:w="1710"/>
        <w:gridCol w:w="195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24" w:hRule="atLeast"/>
          <w:jc w:val="center"/>
        </w:trPr>
        <w:tc>
          <w:tcPr>
            <w:tcW w:w="5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autoSpaceDE/>
              <w:autoSpaceDN/>
              <w:bidi w:val="0"/>
              <w:adjustRightInd w:val="0"/>
              <w:snapToGrid/>
              <w:spacing w:line="276"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序号</w:t>
            </w:r>
          </w:p>
        </w:tc>
        <w:tc>
          <w:tcPr>
            <w:tcW w:w="172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autoSpaceDE/>
              <w:autoSpaceDN/>
              <w:bidi w:val="0"/>
              <w:adjustRightInd w:val="0"/>
              <w:snapToGrid/>
              <w:spacing w:line="276"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包号</w:t>
            </w:r>
          </w:p>
        </w:tc>
        <w:tc>
          <w:tcPr>
            <w:tcW w:w="339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autoSpaceDE/>
              <w:autoSpaceDN/>
              <w:bidi w:val="0"/>
              <w:adjustRightInd w:val="0"/>
              <w:snapToGrid/>
              <w:spacing w:line="276"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包名称</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autoSpaceDE/>
              <w:autoSpaceDN/>
              <w:bidi w:val="0"/>
              <w:adjustRightInd w:val="0"/>
              <w:snapToGrid/>
              <w:spacing w:line="276"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包预算（元）</w:t>
            </w:r>
          </w:p>
        </w:tc>
        <w:tc>
          <w:tcPr>
            <w:tcW w:w="1959"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autoSpaceDE/>
              <w:autoSpaceDN/>
              <w:bidi w:val="0"/>
              <w:adjustRightInd w:val="0"/>
              <w:snapToGrid/>
              <w:spacing w:line="276"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包最高限价（元）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24" w:hRule="atLeast"/>
          <w:jc w:val="center"/>
        </w:trPr>
        <w:tc>
          <w:tcPr>
            <w:tcW w:w="573"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autoSpaceDE/>
              <w:autoSpaceDN/>
              <w:bidi w:val="0"/>
              <w:adjustRightInd w:val="0"/>
              <w:snapToGrid/>
              <w:spacing w:line="276"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1722"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autoSpaceDE/>
              <w:autoSpaceDN/>
              <w:bidi w:val="0"/>
              <w:adjustRightInd w:val="0"/>
              <w:snapToGrid/>
              <w:spacing w:line="276"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豫政采(2)20240740-1</w:t>
            </w:r>
          </w:p>
        </w:tc>
        <w:tc>
          <w:tcPr>
            <w:tcW w:w="339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autoSpaceDE/>
              <w:autoSpaceDN/>
              <w:bidi w:val="0"/>
              <w:adjustRightInd w:val="0"/>
              <w:snapToGrid/>
              <w:spacing w:line="276"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bidi="ar"/>
              </w:rPr>
              <w:t>河南省人民医院</w:t>
            </w:r>
            <w:r>
              <w:rPr>
                <w:rFonts w:hint="eastAsia" w:ascii="宋体" w:hAnsi="宋体" w:cs="宋体"/>
                <w:color w:val="auto"/>
                <w:kern w:val="0"/>
                <w:sz w:val="21"/>
                <w:szCs w:val="21"/>
                <w:lang w:eastAsia="zh-CN" w:bidi="ar"/>
              </w:rPr>
              <w:t>2024-2027年度全院服务器及存储设备维保服务项目</w:t>
            </w:r>
          </w:p>
        </w:tc>
        <w:tc>
          <w:tcPr>
            <w:tcW w:w="1710"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autoSpaceDE/>
              <w:autoSpaceDN/>
              <w:bidi w:val="0"/>
              <w:adjustRightInd w:val="0"/>
              <w:snapToGrid/>
              <w:spacing w:line="276"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510</w:t>
            </w:r>
            <w:r>
              <w:rPr>
                <w:rFonts w:hint="eastAsia" w:ascii="宋体" w:hAnsi="宋体" w:eastAsia="宋体" w:cs="宋体"/>
                <w:color w:val="auto"/>
                <w:sz w:val="21"/>
                <w:szCs w:val="21"/>
                <w:lang w:val="en-US" w:eastAsia="zh-CN" w:bidi="ar"/>
              </w:rPr>
              <w:t>0000</w:t>
            </w:r>
          </w:p>
        </w:tc>
        <w:tc>
          <w:tcPr>
            <w:tcW w:w="1959" w:type="dxa"/>
            <w:tcBorders>
              <w:top w:val="outset" w:color="auto" w:sz="6" w:space="0"/>
              <w:left w:val="outset" w:color="auto" w:sz="6" w:space="0"/>
              <w:bottom w:val="outset" w:color="auto" w:sz="6" w:space="0"/>
              <w:right w:val="outset" w:color="auto" w:sz="6" w:space="0"/>
            </w:tcBorders>
            <w:vAlign w:val="center"/>
          </w:tcPr>
          <w:p>
            <w:pPr>
              <w:keepNext w:val="0"/>
              <w:keepLines w:val="0"/>
              <w:pageBreakBefore w:val="0"/>
              <w:widowControl/>
              <w:kinsoku/>
              <w:wordWrap/>
              <w:overflowPunct/>
              <w:topLinePunct/>
              <w:autoSpaceDE/>
              <w:autoSpaceDN/>
              <w:bidi w:val="0"/>
              <w:adjustRightInd w:val="0"/>
              <w:snapToGrid/>
              <w:spacing w:line="276"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bidi="ar"/>
              </w:rPr>
              <w:t>510</w:t>
            </w:r>
            <w:r>
              <w:rPr>
                <w:rFonts w:hint="eastAsia" w:ascii="宋体" w:hAnsi="宋体" w:eastAsia="宋体" w:cs="宋体"/>
                <w:color w:val="auto"/>
                <w:sz w:val="21"/>
                <w:szCs w:val="21"/>
                <w:lang w:val="en-US" w:eastAsia="zh-CN" w:bidi="ar"/>
              </w:rPr>
              <w:t>0000</w:t>
            </w:r>
          </w:p>
        </w:tc>
      </w:tr>
    </w:tbl>
    <w:p>
      <w:pPr>
        <w:pStyle w:val="463"/>
        <w:keepNext w:val="0"/>
        <w:keepLines w:val="0"/>
        <w:pageBreakBefore w:val="0"/>
        <w:widowControl w:val="0"/>
        <w:numPr>
          <w:ilvl w:val="0"/>
          <w:numId w:val="0"/>
        </w:numPr>
        <w:kinsoku/>
        <w:wordWrap/>
        <w:overflowPunct/>
        <w:topLinePunct/>
        <w:autoSpaceDE/>
        <w:autoSpaceDN/>
        <w:bidi w:val="0"/>
        <w:adjustRightInd w:val="0"/>
        <w:snapToGrid/>
        <w:spacing w:before="157" w:beforeLines="50" w:line="420" w:lineRule="auto"/>
        <w:textAlignment w:val="auto"/>
        <w:rPr>
          <w:rFonts w:hint="eastAsia" w:ascii="宋体" w:hAnsi="宋体" w:eastAsia="宋体" w:cs="宋体"/>
          <w:sz w:val="21"/>
          <w:szCs w:val="21"/>
          <w:lang w:bidi="ar"/>
        </w:rPr>
      </w:pPr>
      <w:r>
        <w:rPr>
          <w:rFonts w:hint="eastAsia" w:ascii="宋体" w:hAnsi="宋体" w:eastAsia="宋体" w:cs="宋体"/>
          <w:sz w:val="21"/>
          <w:szCs w:val="21"/>
          <w:lang w:val="en-US" w:eastAsia="zh-CN" w:bidi="ar"/>
        </w:rPr>
        <w:t>5、</w:t>
      </w:r>
      <w:r>
        <w:rPr>
          <w:rFonts w:hint="eastAsia" w:ascii="宋体" w:hAnsi="宋体" w:eastAsia="宋体" w:cs="宋体"/>
          <w:sz w:val="21"/>
          <w:szCs w:val="21"/>
          <w:lang w:bidi="ar"/>
        </w:rPr>
        <w:t>采购需求（包括但不限于标的的名称、数量、简要技术需求或服务要求等）</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5.1项目概况：为加强我院服务器及存储设备的稳定运行、保障正常医疗秩序，保护医疗数据及患者信息不因设备故障而损失。现拟对河南省人民医院</w:t>
      </w:r>
      <w:r>
        <w:rPr>
          <w:rFonts w:hint="eastAsia" w:ascii="宋体" w:hAnsi="宋体" w:eastAsia="宋体" w:cs="宋体"/>
          <w:sz w:val="21"/>
          <w:szCs w:val="21"/>
        </w:rPr>
        <w:t>全院服务器及存储设备维保服务</w:t>
      </w:r>
      <w:r>
        <w:rPr>
          <w:rFonts w:hint="eastAsia" w:ascii="宋体" w:hAnsi="宋体" w:eastAsia="宋体" w:cs="宋体"/>
          <w:sz w:val="21"/>
          <w:szCs w:val="21"/>
          <w:lang w:bidi="ar"/>
        </w:rPr>
        <w:t>进行公开招标。</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5.2标包划分：1个标包。</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5.3招标范围：本项目招标文件范围内全部内容。</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5.4资金来源：自筹资金，已落实。</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5.5项目实施地点：采购人指定地点。</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5.6项目期限要求：合同签订之日起三年。</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5.7质量要求：达到国家、行业相关规范、规定合格标准及本项目招标文件的要求。</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6、合同履行期限：合同签订之日起三年。</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7、本项目是否接受联合体投标：否。</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8、是否接受进口产品：否。</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9、是否专门面向中小企业：否。</w:t>
      </w:r>
    </w:p>
    <w:p>
      <w:pPr>
        <w:pStyle w:val="463"/>
        <w:keepNext w:val="0"/>
        <w:keepLines w:val="0"/>
        <w:pageBreakBefore w:val="0"/>
        <w:widowControl w:val="0"/>
        <w:kinsoku/>
        <w:wordWrap/>
        <w:overflowPunct/>
        <w:topLinePunct/>
        <w:autoSpaceDE/>
        <w:autoSpaceDN/>
        <w:bidi w:val="0"/>
        <w:adjustRightInd w:val="0"/>
        <w:snapToGrid/>
        <w:spacing w:line="420" w:lineRule="auto"/>
        <w:textAlignment w:val="auto"/>
        <w:rPr>
          <w:rFonts w:hint="eastAsia" w:ascii="宋体" w:hAnsi="宋体" w:eastAsia="宋体" w:cs="宋体"/>
          <w:sz w:val="21"/>
          <w:szCs w:val="21"/>
          <w:lang w:bidi="ar"/>
        </w:rPr>
      </w:pPr>
      <w:r>
        <w:rPr>
          <w:rFonts w:hint="eastAsia" w:ascii="宋体" w:hAnsi="宋体" w:eastAsia="宋体" w:cs="宋体"/>
          <w:sz w:val="21"/>
          <w:szCs w:val="21"/>
          <w:lang w:bidi="ar"/>
        </w:rPr>
        <w:t>二、申请人资格要求：</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1、满足《中华人民共和国政府采购法》第二十二条规定；</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bidi="ar"/>
        </w:rPr>
        <w:t>2、落实政府采购政策满足的资格要求：</w:t>
      </w:r>
      <w:r>
        <w:rPr>
          <w:rFonts w:hint="eastAsia" w:ascii="宋体" w:hAnsi="宋体" w:eastAsia="宋体" w:cs="宋体"/>
          <w:sz w:val="21"/>
          <w:szCs w:val="21"/>
          <w:lang w:val="en-US" w:eastAsia="zh-CN" w:bidi="ar"/>
        </w:rPr>
        <w:t>无</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3、本项目的特定资格要求</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3.1 具有独立承担民事责任的能力；供应商是企业（包括合伙企业），应提供有效“企业法人营业执照”或“营业执照”复印件或扫描件；供应商是事业单位，应提供有效的“事业单位法人证书”复印件或扫描件；</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3.2 具有良好的商业信誉和健全的财务会计制度（提供2022年财务审计报告或银行出具的资信证明，如有供应商成立时限不足要求时限的，由供应商提供其基本开户银行出具的资信证明）。</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3.3 具有履行合同所必需的设备和专业技术能力（自行承诺或提供相关证明材料）。</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3.4 具有依法缴纳税收和社会保障资金的良好记录（提供202</w:t>
      </w:r>
      <w:r>
        <w:rPr>
          <w:rFonts w:hint="eastAsia" w:ascii="宋体" w:hAnsi="宋体" w:eastAsia="宋体" w:cs="宋体"/>
          <w:sz w:val="21"/>
          <w:szCs w:val="21"/>
          <w:lang w:val="en-US" w:eastAsia="zh-CN" w:bidi="ar"/>
        </w:rPr>
        <w:t>4</w:t>
      </w:r>
      <w:r>
        <w:rPr>
          <w:rFonts w:hint="eastAsia" w:ascii="宋体" w:hAnsi="宋体" w:eastAsia="宋体" w:cs="宋体"/>
          <w:sz w:val="21"/>
          <w:szCs w:val="21"/>
          <w:lang w:bidi="ar"/>
        </w:rPr>
        <w:t>年1月份以来任意一个月份依法纳税和缴纳社会保障资金的证明材料，如有供应商成立时限不足要求时限的，由供应商根据自身成立时间提供证明材料。依法免税或不需要缴纳社会保障资金的供应商，应提供相应文件证明其依法免税或不需要缴纳社会保障资金）。</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3.5 参加政府采购活动前三年内，在经营活动中没有重大违法记录的书面声明。</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3.6 根据《关于在政府采购活动中查询及使用信用记录有关问题的通知》(财库[2016]125号)的规定，对列入失信被执行人、重大税收违法失信主体、政府采购严重违法失信行为记录名单的投标供应商，拒绝参与本项目政府采购活动；</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查询渠道：</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失信被执行人查询渠道：“中国执行信息公开网”网站；</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重大税收违法失信主体查询渠道：“信用中国”网站；</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政府采购严重违法失信行为查询渠道：“中国政府采购网”。</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color w:val="auto"/>
          <w:sz w:val="21"/>
          <w:szCs w:val="21"/>
          <w:highlight w:val="none"/>
          <w:lang w:bidi="ar"/>
        </w:rPr>
      </w:pPr>
      <w:r>
        <w:rPr>
          <w:rFonts w:hint="eastAsia" w:ascii="宋体" w:hAnsi="宋体" w:eastAsia="宋体" w:cs="宋体"/>
          <w:sz w:val="21"/>
          <w:szCs w:val="21"/>
          <w:lang w:bidi="ar"/>
        </w:rPr>
        <w:t>3.7 单位负责人</w:t>
      </w:r>
      <w:r>
        <w:rPr>
          <w:rFonts w:hint="eastAsia" w:ascii="宋体" w:hAnsi="宋体" w:eastAsia="宋体" w:cs="宋体"/>
          <w:sz w:val="21"/>
          <w:szCs w:val="21"/>
          <w:highlight w:val="none"/>
          <w:lang w:bidi="ar"/>
        </w:rPr>
        <w:t>为同一人或者存在控股关系、管理关系的不同单位，不得参加同一标段投标或未划分标段的</w:t>
      </w:r>
      <w:r>
        <w:rPr>
          <w:rFonts w:hint="eastAsia" w:ascii="宋体" w:hAnsi="宋体" w:eastAsia="宋体" w:cs="宋体"/>
          <w:color w:val="auto"/>
          <w:sz w:val="21"/>
          <w:szCs w:val="21"/>
          <w:highlight w:val="none"/>
          <w:lang w:bidi="ar"/>
        </w:rPr>
        <w:t>同一招标项目投标</w:t>
      </w:r>
      <w:r>
        <w:rPr>
          <w:rFonts w:hint="eastAsia" w:ascii="宋体" w:hAnsi="宋体" w:cs="宋体"/>
          <w:color w:val="auto"/>
          <w:sz w:val="21"/>
          <w:szCs w:val="21"/>
          <w:highlight w:val="none"/>
          <w:lang w:eastAsia="zh-CN" w:bidi="ar"/>
        </w:rPr>
        <w:t>，</w:t>
      </w:r>
      <w:r>
        <w:rPr>
          <w:rFonts w:hint="eastAsia" w:ascii="宋体" w:hAnsi="宋体" w:eastAsia="宋体" w:cs="宋体"/>
          <w:color w:val="auto"/>
          <w:sz w:val="21"/>
          <w:szCs w:val="21"/>
          <w:highlight w:val="none"/>
          <w:lang w:val="en-US" w:eastAsia="zh-CN" w:bidi="ar"/>
        </w:rPr>
        <w:t>提供加盖公章的承诺函</w:t>
      </w:r>
      <w:r>
        <w:rPr>
          <w:rFonts w:hint="eastAsia" w:ascii="宋体" w:hAnsi="宋体" w:eastAsia="宋体" w:cs="宋体"/>
          <w:color w:val="auto"/>
          <w:sz w:val="21"/>
          <w:szCs w:val="21"/>
          <w:highlight w:val="none"/>
          <w:lang w:bidi="ar"/>
        </w:rPr>
        <w:t>；</w:t>
      </w:r>
    </w:p>
    <w:p>
      <w:pPr>
        <w:pStyle w:val="463"/>
        <w:keepNext w:val="0"/>
        <w:keepLines w:val="0"/>
        <w:pageBreakBefore w:val="0"/>
        <w:widowControl w:val="0"/>
        <w:kinsoku/>
        <w:wordWrap/>
        <w:overflowPunct/>
        <w:topLinePunct/>
        <w:autoSpaceDE/>
        <w:autoSpaceDN/>
        <w:bidi w:val="0"/>
        <w:adjustRightInd w:val="0"/>
        <w:snapToGrid/>
        <w:spacing w:line="420" w:lineRule="auto"/>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三、获取招标文件</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color w:val="auto"/>
          <w:sz w:val="21"/>
          <w:szCs w:val="21"/>
          <w:lang w:eastAsia="zh-CN" w:bidi="ar"/>
        </w:rPr>
      </w:pPr>
      <w:r>
        <w:rPr>
          <w:rFonts w:hint="eastAsia" w:ascii="宋体" w:hAnsi="宋体" w:eastAsia="宋体" w:cs="宋体"/>
          <w:color w:val="auto"/>
          <w:sz w:val="21"/>
          <w:szCs w:val="21"/>
          <w:lang w:bidi="ar"/>
        </w:rPr>
        <w:t>1.时间：2024年</w:t>
      </w:r>
      <w:r>
        <w:rPr>
          <w:rFonts w:hint="eastAsia" w:ascii="宋体" w:hAnsi="宋体" w:cs="宋体"/>
          <w:color w:val="auto"/>
          <w:sz w:val="21"/>
          <w:szCs w:val="21"/>
          <w:lang w:val="en-US" w:eastAsia="zh-CN" w:bidi="ar"/>
        </w:rPr>
        <w:t>6</w:t>
      </w:r>
      <w:r>
        <w:rPr>
          <w:rFonts w:hint="eastAsia" w:ascii="宋体" w:hAnsi="宋体" w:eastAsia="宋体" w:cs="宋体"/>
          <w:color w:val="auto"/>
          <w:sz w:val="21"/>
          <w:szCs w:val="21"/>
          <w:lang w:bidi="ar"/>
        </w:rPr>
        <w:t>月</w:t>
      </w:r>
      <w:r>
        <w:rPr>
          <w:rFonts w:hint="eastAsia" w:ascii="宋体" w:hAnsi="宋体" w:cs="宋体"/>
          <w:color w:val="auto"/>
          <w:sz w:val="21"/>
          <w:szCs w:val="21"/>
          <w:lang w:val="en-US" w:eastAsia="zh-CN" w:bidi="ar"/>
        </w:rPr>
        <w:t>18</w:t>
      </w:r>
      <w:r>
        <w:rPr>
          <w:rFonts w:hint="eastAsia" w:ascii="宋体" w:hAnsi="宋体" w:eastAsia="宋体" w:cs="宋体"/>
          <w:color w:val="auto"/>
          <w:sz w:val="21"/>
          <w:szCs w:val="21"/>
          <w:lang w:bidi="ar"/>
        </w:rPr>
        <w:t>日至2024年</w:t>
      </w:r>
      <w:r>
        <w:rPr>
          <w:rFonts w:hint="eastAsia" w:ascii="宋体" w:hAnsi="宋体" w:cs="宋体"/>
          <w:color w:val="auto"/>
          <w:sz w:val="21"/>
          <w:szCs w:val="21"/>
          <w:lang w:val="en-US" w:eastAsia="zh-CN" w:bidi="ar"/>
        </w:rPr>
        <w:t>6</w:t>
      </w:r>
      <w:r>
        <w:rPr>
          <w:rFonts w:hint="eastAsia" w:ascii="宋体" w:hAnsi="宋体" w:eastAsia="宋体" w:cs="宋体"/>
          <w:color w:val="auto"/>
          <w:sz w:val="21"/>
          <w:szCs w:val="21"/>
          <w:lang w:bidi="ar"/>
        </w:rPr>
        <w:t>月</w:t>
      </w:r>
      <w:r>
        <w:rPr>
          <w:rFonts w:hint="eastAsia" w:ascii="宋体" w:hAnsi="宋体" w:cs="宋体"/>
          <w:color w:val="auto"/>
          <w:sz w:val="21"/>
          <w:szCs w:val="21"/>
          <w:lang w:val="en-US" w:eastAsia="zh-CN" w:bidi="ar"/>
        </w:rPr>
        <w:t>24</w:t>
      </w:r>
      <w:r>
        <w:rPr>
          <w:rFonts w:hint="eastAsia" w:ascii="宋体" w:hAnsi="宋体" w:eastAsia="宋体" w:cs="宋体"/>
          <w:color w:val="auto"/>
          <w:sz w:val="21"/>
          <w:szCs w:val="21"/>
          <w:lang w:bidi="ar"/>
        </w:rPr>
        <w:t>日，每天上午00:00至12:00，下午12:00至23:59（北京时间，法定节假日除外）</w:t>
      </w:r>
      <w:r>
        <w:rPr>
          <w:rFonts w:hint="eastAsia" w:ascii="宋体" w:hAnsi="宋体" w:eastAsia="宋体" w:cs="宋体"/>
          <w:color w:val="auto"/>
          <w:sz w:val="21"/>
          <w:szCs w:val="21"/>
          <w:lang w:eastAsia="zh-CN" w:bidi="ar"/>
        </w:rPr>
        <w:t>；</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eastAsia="zh-CN" w:bidi="ar"/>
        </w:rPr>
      </w:pPr>
      <w:r>
        <w:rPr>
          <w:rFonts w:hint="eastAsia" w:ascii="宋体" w:hAnsi="宋体" w:eastAsia="宋体" w:cs="宋体"/>
          <w:color w:val="auto"/>
          <w:sz w:val="21"/>
          <w:szCs w:val="21"/>
          <w:lang w:bidi="ar"/>
        </w:rPr>
        <w:t>2.地点：河南省公共资源交易中心网站下</w:t>
      </w:r>
      <w:r>
        <w:rPr>
          <w:rFonts w:hint="eastAsia" w:ascii="宋体" w:hAnsi="宋体" w:eastAsia="宋体" w:cs="宋体"/>
          <w:sz w:val="21"/>
          <w:szCs w:val="21"/>
          <w:lang w:bidi="ar"/>
        </w:rPr>
        <w:t>载</w:t>
      </w:r>
      <w:r>
        <w:rPr>
          <w:rFonts w:hint="eastAsia" w:ascii="宋体" w:hAnsi="宋体" w:eastAsia="宋体" w:cs="宋体"/>
          <w:sz w:val="21"/>
          <w:szCs w:val="21"/>
          <w:lang w:eastAsia="zh-CN" w:bidi="ar"/>
        </w:rPr>
        <w:t>；</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3.方式：凭CA密钥市场主体登录并在规定时间内按网上提示下载</w:t>
      </w:r>
      <w:r>
        <w:rPr>
          <w:rFonts w:hint="eastAsia" w:ascii="宋体" w:hAnsi="宋体" w:eastAsia="宋体" w:cs="宋体"/>
          <w:sz w:val="21"/>
          <w:szCs w:val="21"/>
          <w:lang w:val="en-US" w:eastAsia="zh-CN" w:bidi="ar"/>
        </w:rPr>
        <w:t>招标</w:t>
      </w:r>
      <w:r>
        <w:rPr>
          <w:rFonts w:hint="eastAsia" w:ascii="宋体" w:hAnsi="宋体" w:eastAsia="宋体" w:cs="宋体"/>
          <w:sz w:val="21"/>
          <w:szCs w:val="21"/>
          <w:lang w:bidi="ar"/>
        </w:rPr>
        <w:t>文件及资料；供应商需要完成信息登记及CA数字证书办理，才能通过省公共资源交易平台参与交易活动，具体办理事宜请查阅河南省公共资源交易中心网站“办事指南”专区的《河南省公共资源交易平台使用手册》。</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4.售价：</w:t>
      </w:r>
      <w:r>
        <w:rPr>
          <w:rFonts w:hint="eastAsia" w:ascii="宋体" w:hAnsi="宋体" w:eastAsia="宋体" w:cs="宋体"/>
          <w:color w:val="auto"/>
          <w:sz w:val="21"/>
          <w:szCs w:val="21"/>
          <w:lang w:val="en-US" w:eastAsia="zh-CN" w:bidi="ar"/>
        </w:rPr>
        <w:t>0</w:t>
      </w:r>
      <w:r>
        <w:rPr>
          <w:rFonts w:hint="eastAsia" w:ascii="宋体" w:hAnsi="宋体" w:eastAsia="宋体" w:cs="宋体"/>
          <w:color w:val="auto"/>
          <w:sz w:val="21"/>
          <w:szCs w:val="21"/>
          <w:lang w:bidi="ar"/>
        </w:rPr>
        <w:t>元</w:t>
      </w:r>
    </w:p>
    <w:p>
      <w:pPr>
        <w:pStyle w:val="463"/>
        <w:keepNext w:val="0"/>
        <w:keepLines w:val="0"/>
        <w:pageBreakBefore w:val="0"/>
        <w:widowControl w:val="0"/>
        <w:kinsoku/>
        <w:wordWrap/>
        <w:overflowPunct/>
        <w:topLinePunct/>
        <w:autoSpaceDE/>
        <w:autoSpaceDN/>
        <w:bidi w:val="0"/>
        <w:adjustRightInd w:val="0"/>
        <w:snapToGrid/>
        <w:spacing w:line="420" w:lineRule="auto"/>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四、投标截止时间及地点</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1.时间：2024年</w:t>
      </w:r>
      <w:r>
        <w:rPr>
          <w:rFonts w:hint="eastAsia" w:ascii="宋体" w:hAnsi="宋体" w:cs="宋体"/>
          <w:color w:val="auto"/>
          <w:sz w:val="21"/>
          <w:szCs w:val="21"/>
          <w:lang w:val="en-US" w:eastAsia="zh-CN" w:bidi="ar"/>
        </w:rPr>
        <w:t>7</w:t>
      </w:r>
      <w:r>
        <w:rPr>
          <w:rFonts w:hint="eastAsia" w:ascii="宋体" w:hAnsi="宋体" w:eastAsia="宋体" w:cs="宋体"/>
          <w:color w:val="auto"/>
          <w:sz w:val="21"/>
          <w:szCs w:val="21"/>
          <w:lang w:bidi="ar"/>
        </w:rPr>
        <w:t>月</w:t>
      </w:r>
      <w:r>
        <w:rPr>
          <w:rFonts w:hint="eastAsia" w:ascii="宋体" w:hAnsi="宋体" w:cs="宋体"/>
          <w:color w:val="auto"/>
          <w:sz w:val="21"/>
          <w:szCs w:val="21"/>
          <w:lang w:val="en-US" w:eastAsia="zh-CN" w:bidi="ar"/>
        </w:rPr>
        <w:t>9</w:t>
      </w:r>
      <w:r>
        <w:rPr>
          <w:rFonts w:hint="eastAsia" w:ascii="宋体" w:hAnsi="宋体" w:eastAsia="宋体" w:cs="宋体"/>
          <w:color w:val="auto"/>
          <w:sz w:val="21"/>
          <w:szCs w:val="21"/>
          <w:lang w:bidi="ar"/>
        </w:rPr>
        <w:t>日</w:t>
      </w:r>
      <w:r>
        <w:rPr>
          <w:rFonts w:hint="eastAsia" w:ascii="宋体" w:hAnsi="宋体" w:cs="宋体"/>
          <w:color w:val="auto"/>
          <w:sz w:val="21"/>
          <w:szCs w:val="21"/>
          <w:lang w:val="en-US" w:eastAsia="zh-CN" w:bidi="ar"/>
        </w:rPr>
        <w:t>9</w:t>
      </w:r>
      <w:r>
        <w:rPr>
          <w:rFonts w:hint="eastAsia" w:ascii="宋体" w:hAnsi="宋体" w:eastAsia="宋体" w:cs="宋体"/>
          <w:color w:val="auto"/>
          <w:sz w:val="21"/>
          <w:szCs w:val="21"/>
          <w:lang w:bidi="ar"/>
        </w:rPr>
        <w:t>时00分（北京时间）</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2.地点：加密电子响应文件须在响应截止时间前上传至河南省公共资源交易中心交易系统。逾期上传的或者未上传至指定地点的响应文件，采购人不予受理。</w:t>
      </w:r>
    </w:p>
    <w:p>
      <w:pPr>
        <w:pStyle w:val="463"/>
        <w:keepNext w:val="0"/>
        <w:keepLines w:val="0"/>
        <w:pageBreakBefore w:val="0"/>
        <w:widowControl w:val="0"/>
        <w:kinsoku/>
        <w:wordWrap/>
        <w:overflowPunct/>
        <w:topLinePunct/>
        <w:autoSpaceDE/>
        <w:autoSpaceDN/>
        <w:bidi w:val="0"/>
        <w:adjustRightInd w:val="0"/>
        <w:snapToGrid/>
        <w:spacing w:line="420" w:lineRule="auto"/>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五、开标时间及地点</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1.时间：2024年</w:t>
      </w:r>
      <w:r>
        <w:rPr>
          <w:rFonts w:hint="eastAsia" w:ascii="宋体" w:hAnsi="宋体" w:cs="宋体"/>
          <w:color w:val="auto"/>
          <w:sz w:val="21"/>
          <w:szCs w:val="21"/>
          <w:lang w:val="en-US" w:eastAsia="zh-CN" w:bidi="ar"/>
        </w:rPr>
        <w:t>7</w:t>
      </w:r>
      <w:r>
        <w:rPr>
          <w:rFonts w:hint="eastAsia" w:ascii="宋体" w:hAnsi="宋体" w:eastAsia="宋体" w:cs="宋体"/>
          <w:color w:val="auto"/>
          <w:sz w:val="21"/>
          <w:szCs w:val="21"/>
          <w:lang w:bidi="ar"/>
        </w:rPr>
        <w:t>月</w:t>
      </w:r>
      <w:r>
        <w:rPr>
          <w:rFonts w:hint="eastAsia" w:ascii="宋体" w:hAnsi="宋体" w:cs="宋体"/>
          <w:color w:val="auto"/>
          <w:sz w:val="21"/>
          <w:szCs w:val="21"/>
          <w:lang w:val="en-US" w:eastAsia="zh-CN" w:bidi="ar"/>
        </w:rPr>
        <w:t>9</w:t>
      </w:r>
      <w:r>
        <w:rPr>
          <w:rFonts w:hint="eastAsia" w:ascii="宋体" w:hAnsi="宋体" w:eastAsia="宋体" w:cs="宋体"/>
          <w:color w:val="auto"/>
          <w:sz w:val="21"/>
          <w:szCs w:val="21"/>
          <w:lang w:bidi="ar"/>
        </w:rPr>
        <w:t>日</w:t>
      </w:r>
      <w:r>
        <w:rPr>
          <w:rFonts w:hint="eastAsia" w:ascii="宋体" w:hAnsi="宋体" w:cs="宋体"/>
          <w:color w:val="auto"/>
          <w:sz w:val="21"/>
          <w:szCs w:val="21"/>
          <w:lang w:val="en-US" w:eastAsia="zh-CN" w:bidi="ar"/>
        </w:rPr>
        <w:t>9</w:t>
      </w:r>
      <w:r>
        <w:rPr>
          <w:rFonts w:hint="eastAsia" w:ascii="宋体" w:hAnsi="宋体" w:eastAsia="宋体" w:cs="宋体"/>
          <w:color w:val="auto"/>
          <w:sz w:val="21"/>
          <w:szCs w:val="21"/>
          <w:lang w:bidi="ar"/>
        </w:rPr>
        <w:t>时00分（北京时间）</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2.地点：河南省公共资源交易中心远程开标室(四)-2。</w:t>
      </w:r>
    </w:p>
    <w:p>
      <w:pPr>
        <w:pStyle w:val="463"/>
        <w:keepNext w:val="0"/>
        <w:keepLines w:val="0"/>
        <w:pageBreakBefore w:val="0"/>
        <w:widowControl w:val="0"/>
        <w:kinsoku/>
        <w:wordWrap/>
        <w:overflowPunct/>
        <w:topLinePunct/>
        <w:autoSpaceDE/>
        <w:autoSpaceDN/>
        <w:bidi w:val="0"/>
        <w:adjustRightInd w:val="0"/>
        <w:snapToGrid/>
        <w:spacing w:line="420" w:lineRule="auto"/>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六、发布公告的媒介及招标公告期限</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本次招标公告在《河南省政府采购网》、《河南省公共资源交易中心网》上发布，招标公告期限为五个工作日。</w:t>
      </w:r>
    </w:p>
    <w:p>
      <w:pPr>
        <w:pStyle w:val="463"/>
        <w:keepNext w:val="0"/>
        <w:keepLines w:val="0"/>
        <w:pageBreakBefore w:val="0"/>
        <w:widowControl w:val="0"/>
        <w:kinsoku/>
        <w:wordWrap/>
        <w:overflowPunct/>
        <w:topLinePunct/>
        <w:autoSpaceDE/>
        <w:autoSpaceDN/>
        <w:bidi w:val="0"/>
        <w:adjustRightInd w:val="0"/>
        <w:snapToGrid/>
        <w:spacing w:line="420" w:lineRule="auto"/>
        <w:textAlignment w:val="auto"/>
        <w:rPr>
          <w:rFonts w:hint="eastAsia" w:ascii="宋体" w:hAnsi="宋体" w:eastAsia="宋体" w:cs="宋体"/>
          <w:sz w:val="21"/>
          <w:szCs w:val="21"/>
          <w:lang w:bidi="ar"/>
        </w:rPr>
      </w:pPr>
      <w:r>
        <w:rPr>
          <w:rFonts w:hint="eastAsia" w:ascii="宋体" w:hAnsi="宋体" w:eastAsia="宋体" w:cs="宋体"/>
          <w:sz w:val="21"/>
          <w:szCs w:val="21"/>
          <w:lang w:bidi="ar"/>
        </w:rPr>
        <w:t>七、其他补充事宜</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1、执行《政府采购促进中小企业发展管理办法》（财库〔2020〕46号）；</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2、执行《关于进一步加大政府采购支持中小企业力度的通知》（财库〔2022〕19号）；</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3、执行《河南省财政厅关于进一步做好政府采购支持中小企业发展有关事项的通知》（豫财购〔2022〕5号）</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4、执行《财政部 司法部关于政府采购支持监狱企业发展有关问题的通知》（财库〔2014〕68号）；</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5、执行《财政部 民政部 中国残疾人联合会关于促进残疾人就业政府采购政策的通知》（财库〔2017〕141号）。</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6、执行《关于调整优化节能产品、环境标志产品政府采购执行机制的通知》（财库〔2019〕9号）。</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7、执行《关于印发节能产品政府采购品目清单的通知》（财库〔2019〕19号）；</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8、执行《关于印发环境标志产品政府采购品目清单的通知》（财库〔2019〕18号）；</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9、中标服务费：招标代理服务费参照“计价格[2002]1980号、发改办价格[2003]857号、发改价格[2011]534号”文件附表（服务类）招标代理服务收费标准的90%向中标人收取。</w:t>
      </w:r>
    </w:p>
    <w:p>
      <w:pPr>
        <w:pStyle w:val="463"/>
        <w:keepNext w:val="0"/>
        <w:keepLines w:val="0"/>
        <w:pageBreakBefore w:val="0"/>
        <w:widowControl w:val="0"/>
        <w:kinsoku/>
        <w:wordWrap/>
        <w:overflowPunct/>
        <w:topLinePunct/>
        <w:autoSpaceDE/>
        <w:autoSpaceDN/>
        <w:bidi w:val="0"/>
        <w:adjustRightInd w:val="0"/>
        <w:snapToGrid/>
        <w:spacing w:line="420" w:lineRule="auto"/>
        <w:textAlignment w:val="auto"/>
        <w:rPr>
          <w:rFonts w:hint="eastAsia" w:ascii="宋体" w:hAnsi="宋体" w:eastAsia="宋体" w:cs="宋体"/>
          <w:sz w:val="21"/>
          <w:szCs w:val="21"/>
          <w:lang w:bidi="ar"/>
        </w:rPr>
      </w:pPr>
      <w:r>
        <w:rPr>
          <w:rFonts w:hint="eastAsia" w:ascii="宋体" w:hAnsi="宋体" w:eastAsia="宋体" w:cs="宋体"/>
          <w:sz w:val="21"/>
          <w:szCs w:val="21"/>
          <w:lang w:bidi="ar"/>
        </w:rPr>
        <w:t>八、凡对本次招标提出询问，请按照以下方式联系</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1. 采购人信息</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名称：</w:t>
      </w:r>
      <w:r>
        <w:rPr>
          <w:rFonts w:hint="eastAsia" w:ascii="宋体" w:hAnsi="宋体" w:eastAsia="宋体" w:cs="宋体"/>
          <w:sz w:val="21"/>
          <w:szCs w:val="21"/>
        </w:rPr>
        <w:t>河南省人民医院</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地址：</w:t>
      </w:r>
      <w:r>
        <w:rPr>
          <w:rFonts w:hint="eastAsia" w:ascii="宋体" w:hAnsi="宋体" w:eastAsia="宋体" w:cs="宋体"/>
          <w:sz w:val="21"/>
          <w:szCs w:val="21"/>
        </w:rPr>
        <w:t>郑州市黄河路与经二路交叉口</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联系人：</w:t>
      </w:r>
      <w:r>
        <w:rPr>
          <w:rFonts w:hint="eastAsia" w:ascii="宋体" w:hAnsi="宋体" w:eastAsia="宋体" w:cs="宋体"/>
          <w:sz w:val="21"/>
          <w:szCs w:val="21"/>
        </w:rPr>
        <w:t>常女士</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联系方式：0371-65580108</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2.采购代理机构信息（如有）</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名    称：河南省伟信招标管理咨询有限公司</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地    址：郑州市郑东新区东风南路与创业路交叉口绿地中心北塔16楼</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联 系 人：</w:t>
      </w:r>
      <w:r>
        <w:rPr>
          <w:rFonts w:hint="eastAsia" w:ascii="宋体" w:hAnsi="宋体" w:eastAsia="宋体" w:cs="宋体"/>
          <w:sz w:val="21"/>
          <w:szCs w:val="21"/>
          <w:lang w:val="en-US" w:eastAsia="zh-CN" w:bidi="ar"/>
        </w:rPr>
        <w:t>贺献伟、</w:t>
      </w:r>
      <w:r>
        <w:rPr>
          <w:rFonts w:hint="eastAsia" w:ascii="宋体" w:hAnsi="宋体" w:eastAsia="宋体" w:cs="宋体"/>
          <w:sz w:val="21"/>
          <w:szCs w:val="21"/>
          <w:lang w:bidi="ar"/>
        </w:rPr>
        <w:t>乔灿</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电    话：0371-65359921</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3、项目联系方式</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项目联系人：</w:t>
      </w:r>
      <w:r>
        <w:rPr>
          <w:rFonts w:hint="eastAsia" w:ascii="宋体" w:hAnsi="宋体" w:eastAsia="宋体" w:cs="宋体"/>
          <w:sz w:val="21"/>
          <w:szCs w:val="21"/>
          <w:lang w:val="en-US" w:eastAsia="zh-CN" w:bidi="ar"/>
        </w:rPr>
        <w:t>贺献伟、</w:t>
      </w:r>
      <w:r>
        <w:rPr>
          <w:rFonts w:hint="eastAsia" w:ascii="宋体" w:hAnsi="宋体" w:eastAsia="宋体" w:cs="宋体"/>
          <w:sz w:val="21"/>
          <w:szCs w:val="21"/>
          <w:lang w:bidi="ar"/>
        </w:rPr>
        <w:t>乔灿</w:t>
      </w:r>
    </w:p>
    <w:p>
      <w:pPr>
        <w:pStyle w:val="463"/>
        <w:keepNext w:val="0"/>
        <w:keepLines w:val="0"/>
        <w:pageBreakBefore w:val="0"/>
        <w:widowControl w:val="0"/>
        <w:kinsoku/>
        <w:wordWrap/>
        <w:overflowPunct/>
        <w:topLinePunct/>
        <w:autoSpaceDE/>
        <w:autoSpaceDN/>
        <w:bidi w:val="0"/>
        <w:adjustRightInd w:val="0"/>
        <w:snapToGrid/>
        <w:spacing w:line="420" w:lineRule="auto"/>
        <w:ind w:firstLine="420" w:firstLineChars="200"/>
        <w:textAlignment w:val="auto"/>
        <w:rPr>
          <w:rFonts w:hint="eastAsia" w:ascii="宋体" w:hAnsi="宋体" w:eastAsia="宋体" w:cs="宋体"/>
          <w:sz w:val="21"/>
          <w:szCs w:val="21"/>
          <w:lang w:bidi="ar"/>
        </w:rPr>
      </w:pPr>
      <w:r>
        <w:rPr>
          <w:rFonts w:hint="eastAsia" w:ascii="宋体" w:hAnsi="宋体" w:eastAsia="宋体" w:cs="宋体"/>
          <w:sz w:val="21"/>
          <w:szCs w:val="21"/>
          <w:lang w:bidi="ar"/>
        </w:rPr>
        <w:t>联系方式：0371-65359921</w:t>
      </w:r>
    </w:p>
    <w:p>
      <w:pPr>
        <w:pStyle w:val="463"/>
        <w:keepNext w:val="0"/>
        <w:keepLines w:val="0"/>
        <w:pageBreakBefore w:val="0"/>
        <w:kinsoku/>
        <w:wordWrap/>
        <w:overflowPunct/>
        <w:topLinePunct/>
        <w:autoSpaceDE/>
        <w:autoSpaceDN/>
        <w:bidi w:val="0"/>
        <w:snapToGrid/>
        <w:spacing w:line="396" w:lineRule="auto"/>
        <w:textAlignment w:val="auto"/>
        <w:rPr>
          <w:rFonts w:hint="eastAsia" w:ascii="宋体" w:hAnsi="宋体" w:eastAsia="宋体" w:cs="宋体"/>
          <w:sz w:val="21"/>
          <w:szCs w:val="21"/>
          <w:lang w:bidi="ar"/>
        </w:rPr>
      </w:pPr>
    </w:p>
    <w:p>
      <w:pPr>
        <w:pStyle w:val="463"/>
        <w:keepNext w:val="0"/>
        <w:keepLines w:val="0"/>
        <w:pageBreakBefore w:val="0"/>
        <w:kinsoku/>
        <w:wordWrap/>
        <w:overflowPunct/>
        <w:topLinePunct/>
        <w:autoSpaceDE/>
        <w:autoSpaceDN/>
        <w:bidi w:val="0"/>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bidi w:val="0"/>
        <w:rPr>
          <w:rFonts w:hint="eastAsia"/>
        </w:rPr>
      </w:pPr>
      <w:bookmarkStart w:id="5" w:name="_Toc393361017"/>
      <w:bookmarkStart w:id="6" w:name="_Toc393360896"/>
      <w:bookmarkStart w:id="7" w:name="_Toc2402"/>
      <w:bookmarkStart w:id="8" w:name="_Toc393361117"/>
      <w:bookmarkStart w:id="9" w:name="_Toc393359756"/>
      <w:r>
        <w:rPr>
          <w:rFonts w:hint="eastAsia" w:ascii="宋体" w:hAnsi="宋体" w:eastAsia="宋体" w:cs="宋体"/>
        </w:rPr>
        <w:t>第二章  投标人须知</w:t>
      </w:r>
      <w:bookmarkEnd w:id="5"/>
      <w:bookmarkEnd w:id="6"/>
      <w:bookmarkEnd w:id="7"/>
      <w:bookmarkEnd w:id="8"/>
      <w:bookmarkEnd w:id="9"/>
    </w:p>
    <w:p>
      <w:pPr>
        <w:pStyle w:val="3"/>
        <w:bidi w:val="0"/>
        <w:rPr>
          <w:rFonts w:hint="eastAsia"/>
        </w:rPr>
      </w:pPr>
      <w:bookmarkStart w:id="10" w:name="_Toc25641"/>
      <w:r>
        <w:rPr>
          <w:rFonts w:hint="eastAsia"/>
        </w:rPr>
        <w:t>一、投标人须知前附表</w:t>
      </w:r>
      <w:bookmarkEnd w:id="10"/>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88"/>
        <w:gridCol w:w="300"/>
        <w:gridCol w:w="6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内   容</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项目名称</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lang w:eastAsia="zh-CN"/>
              </w:rPr>
            </w:pPr>
            <w:r>
              <w:rPr>
                <w:rFonts w:hint="eastAsia" w:ascii="宋体" w:hAnsi="宋体" w:eastAsia="宋体" w:cs="宋体"/>
                <w:sz w:val="21"/>
                <w:szCs w:val="21"/>
                <w:shd w:val="clear" w:color="auto" w:fill="FFFFFF"/>
              </w:rPr>
              <w:t>河南省人民医院</w:t>
            </w:r>
            <w:r>
              <w:rPr>
                <w:rFonts w:hint="eastAsia" w:ascii="宋体" w:hAnsi="宋体" w:cs="宋体"/>
                <w:sz w:val="21"/>
                <w:szCs w:val="21"/>
                <w:shd w:val="clear" w:color="auto" w:fill="FFFFFF"/>
                <w:lang w:eastAsia="zh-CN"/>
              </w:rPr>
              <w:t>2024-2027年度全院服务器及存储设备维保服务项目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采购人</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采</w:t>
            </w:r>
            <w:r>
              <w:rPr>
                <w:rFonts w:hint="eastAsia" w:ascii="宋体" w:hAnsi="宋体" w:cs="宋体"/>
                <w:sz w:val="21"/>
                <w:szCs w:val="21"/>
                <w:shd w:val="clear" w:color="auto" w:fill="FFFFFF"/>
                <w:lang w:val="en-US" w:eastAsia="zh-CN"/>
              </w:rPr>
              <w:t xml:space="preserve"> </w:t>
            </w:r>
            <w:r>
              <w:rPr>
                <w:rFonts w:hint="eastAsia" w:ascii="宋体" w:hAnsi="宋体" w:eastAsia="宋体" w:cs="宋体"/>
                <w:sz w:val="21"/>
                <w:szCs w:val="21"/>
                <w:shd w:val="clear" w:color="auto" w:fill="FFFFFF"/>
              </w:rPr>
              <w:t>购</w:t>
            </w:r>
            <w:r>
              <w:rPr>
                <w:rFonts w:hint="eastAsia" w:ascii="宋体" w:hAnsi="宋体" w:cs="宋体"/>
                <w:sz w:val="21"/>
                <w:szCs w:val="21"/>
                <w:shd w:val="clear" w:color="auto" w:fill="FFFFFF"/>
                <w:lang w:val="en-US" w:eastAsia="zh-CN"/>
              </w:rPr>
              <w:t xml:space="preserve"> </w:t>
            </w:r>
            <w:r>
              <w:rPr>
                <w:rFonts w:hint="eastAsia" w:ascii="宋体" w:hAnsi="宋体" w:eastAsia="宋体" w:cs="宋体"/>
                <w:sz w:val="21"/>
                <w:szCs w:val="21"/>
                <w:shd w:val="clear" w:color="auto" w:fill="FFFFFF"/>
              </w:rPr>
              <w:t>人：河南省人民医院</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地</w:t>
            </w:r>
            <w:r>
              <w:rPr>
                <w:rFonts w:hint="eastAsia" w:ascii="宋体" w:hAnsi="宋体" w:cs="宋体"/>
                <w:sz w:val="21"/>
                <w:szCs w:val="21"/>
                <w:shd w:val="clear" w:color="auto" w:fill="FFFFFF"/>
                <w:lang w:val="en-US" w:eastAsia="zh-CN"/>
              </w:rPr>
              <w:t xml:space="preserve">   </w:t>
            </w:r>
            <w:r>
              <w:rPr>
                <w:rFonts w:hint="eastAsia" w:ascii="宋体" w:hAnsi="宋体" w:eastAsia="宋体" w:cs="宋体"/>
                <w:sz w:val="21"/>
                <w:szCs w:val="21"/>
                <w:shd w:val="clear" w:color="auto" w:fill="FFFFFF"/>
              </w:rPr>
              <w:t xml:space="preserve"> 址：郑州市黄河路与经二路交叉口</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联</w:t>
            </w:r>
            <w:r>
              <w:rPr>
                <w:rFonts w:hint="eastAsia" w:ascii="宋体" w:hAnsi="宋体" w:cs="宋体"/>
                <w:sz w:val="21"/>
                <w:szCs w:val="21"/>
                <w:shd w:val="clear" w:color="auto" w:fill="FFFFFF"/>
                <w:lang w:val="en-US" w:eastAsia="zh-CN"/>
              </w:rPr>
              <w:t xml:space="preserve"> </w:t>
            </w:r>
            <w:r>
              <w:rPr>
                <w:rFonts w:hint="eastAsia" w:ascii="宋体" w:hAnsi="宋体" w:eastAsia="宋体" w:cs="宋体"/>
                <w:sz w:val="21"/>
                <w:szCs w:val="21"/>
                <w:shd w:val="clear" w:color="auto" w:fill="FFFFFF"/>
              </w:rPr>
              <w:t>系</w:t>
            </w:r>
            <w:r>
              <w:rPr>
                <w:rFonts w:hint="eastAsia" w:ascii="宋体" w:hAnsi="宋体" w:cs="宋体"/>
                <w:sz w:val="21"/>
                <w:szCs w:val="21"/>
                <w:shd w:val="clear" w:color="auto" w:fill="FFFFFF"/>
                <w:lang w:val="en-US" w:eastAsia="zh-CN"/>
              </w:rPr>
              <w:t xml:space="preserve"> </w:t>
            </w:r>
            <w:r>
              <w:rPr>
                <w:rFonts w:hint="eastAsia" w:ascii="宋体" w:hAnsi="宋体" w:eastAsia="宋体" w:cs="宋体"/>
                <w:sz w:val="21"/>
                <w:szCs w:val="21"/>
                <w:shd w:val="clear" w:color="auto" w:fill="FFFFFF"/>
              </w:rPr>
              <w:t>人：常女士</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电</w:t>
            </w:r>
            <w:r>
              <w:rPr>
                <w:rFonts w:hint="eastAsia" w:ascii="宋体" w:hAnsi="宋体" w:cs="宋体"/>
                <w:sz w:val="21"/>
                <w:szCs w:val="21"/>
                <w:shd w:val="clear" w:color="auto" w:fill="FFFFFF"/>
                <w:lang w:val="en-US" w:eastAsia="zh-CN"/>
              </w:rPr>
              <w:t xml:space="preserve">   </w:t>
            </w:r>
            <w:r>
              <w:rPr>
                <w:rFonts w:hint="eastAsia" w:ascii="宋体" w:hAnsi="宋体" w:eastAsia="宋体" w:cs="宋体"/>
                <w:sz w:val="21"/>
                <w:szCs w:val="21"/>
                <w:shd w:val="clear" w:color="auto" w:fill="FFFFFF"/>
              </w:rPr>
              <w:t xml:space="preserve"> 话：0371-65580108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采购代理机构</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采购代理：</w:t>
            </w:r>
            <w:r>
              <w:rPr>
                <w:rFonts w:hint="eastAsia" w:ascii="宋体" w:hAnsi="宋体" w:eastAsia="宋体" w:cs="宋体"/>
                <w:sz w:val="21"/>
                <w:szCs w:val="21"/>
                <w:highlight w:val="none"/>
                <w:lang w:eastAsia="zh-CN"/>
              </w:rPr>
              <w:t>河南省伟信招标管理咨询有限公司</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地    址：郑州市郑东新区东风南路与创业路交叉口绿地中心北塔16楼</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联 系 人：</w:t>
            </w:r>
            <w:r>
              <w:rPr>
                <w:rFonts w:hint="eastAsia" w:ascii="宋体" w:hAnsi="宋体" w:eastAsia="宋体" w:cs="宋体"/>
                <w:sz w:val="21"/>
                <w:szCs w:val="21"/>
                <w:shd w:val="clear" w:color="auto" w:fill="FFFFFF"/>
                <w:lang w:val="en-US" w:eastAsia="zh-CN"/>
              </w:rPr>
              <w:t>贺献伟、</w:t>
            </w:r>
            <w:r>
              <w:rPr>
                <w:rFonts w:hint="eastAsia" w:ascii="宋体" w:hAnsi="宋体" w:eastAsia="宋体" w:cs="宋体"/>
                <w:sz w:val="21"/>
                <w:szCs w:val="21"/>
                <w:shd w:val="clear" w:color="auto" w:fill="FFFFFF"/>
              </w:rPr>
              <w:t>乔灿</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电    话：0371-65359921</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lang w:val="en-US" w:eastAsia="zh-CN"/>
              </w:rPr>
            </w:pPr>
            <w:r>
              <w:rPr>
                <w:rFonts w:hint="eastAsia" w:ascii="宋体" w:hAnsi="宋体" w:eastAsia="宋体" w:cs="宋体"/>
                <w:sz w:val="21"/>
                <w:szCs w:val="21"/>
                <w:shd w:val="clear" w:color="auto" w:fill="FFFFFF"/>
                <w:lang w:val="en-US" w:eastAsia="zh-CN"/>
              </w:rPr>
              <w:t>邮    箱：hnwxzx@126.com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资金来源</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自筹资金，已落实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招标方式</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招标范围</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本项目招标文件范围内全部内容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项目实施地点</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default" w:ascii="宋体" w:hAnsi="宋体" w:eastAsia="宋体" w:cs="宋体"/>
                <w:sz w:val="21"/>
                <w:szCs w:val="21"/>
                <w:shd w:val="clear" w:color="auto" w:fill="FFFFFF"/>
                <w:lang w:val="en-US" w:eastAsia="zh-CN"/>
              </w:rPr>
            </w:pPr>
            <w:r>
              <w:rPr>
                <w:rFonts w:hint="eastAsia" w:ascii="宋体" w:hAnsi="宋体" w:eastAsia="宋体" w:cs="宋体"/>
                <w:sz w:val="21"/>
                <w:szCs w:val="21"/>
                <w:shd w:val="clear" w:color="auto" w:fill="FFFFFF"/>
              </w:rPr>
              <w:t>采购人指定地点</w:t>
            </w:r>
            <w:r>
              <w:rPr>
                <w:rFonts w:hint="eastAsia" w:ascii="宋体" w:hAnsi="宋体" w:cs="宋体"/>
                <w:sz w:val="21"/>
                <w:szCs w:val="21"/>
                <w:shd w:val="clear" w:color="auto" w:fill="FFFFFF"/>
                <w:lang w:eastAsia="zh-CN"/>
              </w:rPr>
              <w:t>，</w:t>
            </w:r>
            <w:r>
              <w:rPr>
                <w:rFonts w:hint="eastAsia" w:ascii="宋体" w:hAnsi="宋体" w:cs="宋体"/>
                <w:sz w:val="21"/>
                <w:szCs w:val="21"/>
                <w:shd w:val="clear" w:color="auto" w:fill="FFFFFF"/>
                <w:lang w:val="en-US" w:eastAsia="zh-CN"/>
              </w:rPr>
              <w:t>河南省人民医院医疗机构执业许可证地址范围内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项目期限要求</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合同签订之日起三年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9</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质量要求</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达到国家、行业相关规范、规定合格标准及本项目招标文件的要求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合同期限</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签订合同之日起三年。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11</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投标人资格</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要求</w:t>
            </w:r>
          </w:p>
        </w:tc>
        <w:tc>
          <w:tcPr>
            <w:tcW w:w="7089" w:type="dxa"/>
            <w:gridSpan w:val="2"/>
            <w:vAlign w:val="center"/>
          </w:tcPr>
          <w:p>
            <w:pPr>
              <w:pStyle w:val="74"/>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详见招标公告“二、申请人资格要求”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资格审查方式</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13</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投标有效期</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180日历天（从投标截止之日算起）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14</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购买招标文件</w:t>
            </w:r>
          </w:p>
        </w:tc>
        <w:tc>
          <w:tcPr>
            <w:tcW w:w="7089" w:type="dxa"/>
            <w:gridSpan w:val="2"/>
            <w:vAlign w:val="center"/>
          </w:tcPr>
          <w:p>
            <w:pPr>
              <w:keepNext w:val="0"/>
              <w:keepLines w:val="0"/>
              <w:pageBreakBefore w:val="0"/>
              <w:widowControl w:val="0"/>
              <w:numPr>
                <w:ilvl w:val="0"/>
                <w:numId w:val="11"/>
              </w:numPr>
              <w:kinsoku/>
              <w:wordWrap w:val="0"/>
              <w:overflowPunct/>
              <w:topLinePunct/>
              <w:autoSpaceDE/>
              <w:autoSpaceDN/>
              <w:bidi w:val="0"/>
              <w:adjustRightInd/>
              <w:snapToGrid/>
              <w:spacing w:before="48" w:beforeLines="15" w:after="48" w:afterLines="15" w:line="276" w:lineRule="auto"/>
              <w:ind w:left="0" w:leftChars="0" w:right="0" w:rightChars="0" w:firstLine="0" w:firstLineChars="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投标人须完成市场主体信息库登记并取得CA数字证书，凭CA数字证书登录市场主体系统并按网上提示自行下载每个项目所含格式(.hnzf)的招标文件及资料。</w:t>
            </w:r>
          </w:p>
          <w:p>
            <w:pPr>
              <w:keepNext w:val="0"/>
              <w:keepLines w:val="0"/>
              <w:pageBreakBefore w:val="0"/>
              <w:widowControl w:val="0"/>
              <w:numPr>
                <w:ilvl w:val="0"/>
                <w:numId w:val="11"/>
              </w:numPr>
              <w:kinsoku/>
              <w:wordWrap w:val="0"/>
              <w:overflowPunct/>
              <w:topLinePunct/>
              <w:autoSpaceDE/>
              <w:autoSpaceDN/>
              <w:bidi w:val="0"/>
              <w:adjustRightInd/>
              <w:snapToGrid/>
              <w:spacing w:before="48" w:beforeLines="15" w:after="48" w:afterLines="15" w:line="276" w:lineRule="auto"/>
              <w:ind w:left="0" w:leftChars="0" w:right="0" w:rightChars="0" w:firstLine="0" w:firstLineChars="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获取招标文件后，投标人请到河南省公共资源交易中心(http://www.hnggzy.net/)—公共服务—下载专区栏目下载最新版本的投标文件制作工具安装包，并使用安装后的最新版本投标文件制作工具制作电子投标文件。供应商未按规定时间在网上下载招标文件的，其投标将被拒绝。</w:t>
            </w:r>
          </w:p>
          <w:p>
            <w:pPr>
              <w:keepNext w:val="0"/>
              <w:keepLines w:val="0"/>
              <w:pageBreakBefore w:val="0"/>
              <w:widowControl w:val="0"/>
              <w:numPr>
                <w:ilvl w:val="0"/>
                <w:numId w:val="11"/>
              </w:numPr>
              <w:kinsoku/>
              <w:wordWrap w:val="0"/>
              <w:overflowPunct/>
              <w:topLinePunct/>
              <w:autoSpaceDE/>
              <w:autoSpaceDN/>
              <w:bidi w:val="0"/>
              <w:adjustRightInd/>
              <w:snapToGrid/>
              <w:spacing w:before="48" w:beforeLines="15" w:after="48" w:afterLines="15" w:line="276" w:lineRule="auto"/>
              <w:ind w:left="0" w:leftChars="0" w:right="0" w:rightChars="0" w:firstLine="0" w:firstLineChars="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招标文件费用：</w:t>
            </w:r>
            <w:r>
              <w:rPr>
                <w:rFonts w:hint="eastAsia" w:ascii="宋体" w:hAnsi="宋体" w:eastAsia="宋体" w:cs="宋体"/>
                <w:spacing w:val="0"/>
                <w:sz w:val="21"/>
                <w:szCs w:val="21"/>
                <w:lang w:val="en-US" w:eastAsia="zh-CN"/>
              </w:rPr>
              <w:t>0</w:t>
            </w:r>
            <w:r>
              <w:rPr>
                <w:rFonts w:hint="eastAsia" w:ascii="宋体" w:hAnsi="宋体" w:eastAsia="宋体" w:cs="宋体"/>
                <w:spacing w:val="0"/>
                <w:sz w:val="21"/>
                <w:szCs w:val="21"/>
              </w:rPr>
              <w:t>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7"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15</w:t>
            </w:r>
          </w:p>
        </w:tc>
        <w:tc>
          <w:tcPr>
            <w:tcW w:w="1588" w:type="dxa"/>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投标文件要求</w:t>
            </w:r>
          </w:p>
        </w:tc>
        <w:tc>
          <w:tcPr>
            <w:tcW w:w="7089" w:type="dxa"/>
            <w:gridSpan w:val="2"/>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b/>
                <w:sz w:val="21"/>
                <w:szCs w:val="21"/>
              </w:rPr>
            </w:pPr>
            <w:r>
              <w:rPr>
                <w:rFonts w:hint="eastAsia" w:ascii="宋体" w:hAnsi="宋体" w:eastAsia="宋体" w:cs="宋体"/>
                <w:b/>
                <w:sz w:val="21"/>
                <w:szCs w:val="21"/>
              </w:rPr>
              <w:t>1）加密电子版投标文件（*.hnzf 格式，在会员系统指定位置上传）通过CA钥匙上传至河南省公共资源交易中心服务平台。未在规定时间内按要求上传的，作无效标处理。</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b/>
                <w:sz w:val="21"/>
                <w:szCs w:val="21"/>
              </w:rPr>
            </w:pPr>
            <w:r>
              <w:rPr>
                <w:rFonts w:hint="eastAsia" w:ascii="宋体" w:hAnsi="宋体" w:eastAsia="宋体" w:cs="宋体"/>
                <w:b/>
                <w:sz w:val="21"/>
                <w:szCs w:val="21"/>
              </w:rPr>
              <w:t>2）如加密电子投标文件出现问题，经河南省公共资源交易中心确认以投标人提供的其他电子投标文件为准。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投标文件递交</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地点及投标截止时间</w:t>
            </w:r>
          </w:p>
        </w:tc>
        <w:tc>
          <w:tcPr>
            <w:tcW w:w="70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620"/>
              </w:tabs>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投标文件递交地点：加密电子投标文件须在投标截止时间前通过“河南省公共资源交易中心（www.hnggzy.net）”电子交易平台加密上传。逾期上传的或者未上传指定地点的投标文件，采购人不予受理。</w:t>
            </w:r>
          </w:p>
          <w:p>
            <w:pPr>
              <w:keepNext w:val="0"/>
              <w:keepLines w:val="0"/>
              <w:pageBreakBefore w:val="0"/>
              <w:widowControl w:val="0"/>
              <w:tabs>
                <w:tab w:val="left" w:pos="1620"/>
              </w:tabs>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投标截止时间：2024年</w:t>
            </w:r>
            <w:r>
              <w:rPr>
                <w:rFonts w:hint="eastAsia" w:ascii="宋体" w:hAnsi="宋体" w:cs="宋体"/>
                <w:color w:val="auto"/>
                <w:sz w:val="21"/>
                <w:szCs w:val="21"/>
                <w:shd w:val="clear" w:color="auto" w:fill="FFFFFF"/>
                <w:lang w:val="en-US" w:eastAsia="zh-CN"/>
              </w:rPr>
              <w:t>7</w:t>
            </w:r>
            <w:r>
              <w:rPr>
                <w:rFonts w:hint="eastAsia" w:ascii="宋体" w:hAnsi="宋体" w:eastAsia="宋体" w:cs="宋体"/>
                <w:color w:val="auto"/>
                <w:sz w:val="21"/>
                <w:szCs w:val="21"/>
                <w:shd w:val="clear" w:color="auto" w:fill="FFFFFF"/>
              </w:rPr>
              <w:t>月</w:t>
            </w:r>
            <w:r>
              <w:rPr>
                <w:rFonts w:hint="eastAsia" w:ascii="宋体" w:hAnsi="宋体" w:cs="宋体"/>
                <w:color w:val="auto"/>
                <w:sz w:val="21"/>
                <w:szCs w:val="21"/>
                <w:shd w:val="clear" w:color="auto" w:fill="FFFFFF"/>
                <w:lang w:val="en-US" w:eastAsia="zh-CN"/>
              </w:rPr>
              <w:t>9</w:t>
            </w:r>
            <w:r>
              <w:rPr>
                <w:rFonts w:hint="eastAsia" w:ascii="宋体" w:hAnsi="宋体" w:eastAsia="宋体" w:cs="宋体"/>
                <w:color w:val="auto"/>
                <w:sz w:val="21"/>
                <w:szCs w:val="21"/>
                <w:shd w:val="clear" w:color="auto" w:fill="FFFFFF"/>
              </w:rPr>
              <w:t>日</w:t>
            </w:r>
            <w:r>
              <w:rPr>
                <w:rFonts w:hint="eastAsia" w:ascii="宋体" w:hAnsi="宋体" w:eastAsia="宋体" w:cs="宋体"/>
                <w:color w:val="auto"/>
                <w:sz w:val="21"/>
                <w:szCs w:val="21"/>
                <w:shd w:val="clear" w:color="auto" w:fill="FFFFFF"/>
                <w:lang w:val="en-US" w:eastAsia="zh-CN"/>
              </w:rPr>
              <w:t>9</w:t>
            </w:r>
            <w:r>
              <w:rPr>
                <w:rFonts w:hint="eastAsia" w:ascii="宋体" w:hAnsi="宋体" w:eastAsia="宋体" w:cs="宋体"/>
                <w:color w:val="auto"/>
                <w:sz w:val="21"/>
                <w:szCs w:val="21"/>
                <w:shd w:val="clear" w:color="auto" w:fill="FFFFFF"/>
              </w:rPr>
              <w:t>时00分（北京时间，下同）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    标</w:t>
            </w:r>
          </w:p>
        </w:tc>
        <w:tc>
          <w:tcPr>
            <w:tcW w:w="70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620"/>
              </w:tabs>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b/>
                <w:bCs/>
                <w:color w:val="auto"/>
                <w:sz w:val="21"/>
                <w:szCs w:val="21"/>
                <w:shd w:val="clear" w:color="auto" w:fill="FFFFFF"/>
              </w:rPr>
            </w:pPr>
            <w:r>
              <w:rPr>
                <w:rFonts w:hint="eastAsia" w:ascii="宋体" w:hAnsi="宋体" w:eastAsia="宋体" w:cs="宋体"/>
                <w:b/>
                <w:bCs/>
                <w:color w:val="auto"/>
                <w:sz w:val="21"/>
                <w:szCs w:val="21"/>
                <w:shd w:val="clear" w:color="auto" w:fill="FFFFFF"/>
              </w:rPr>
              <w:t>开标时间：2024年</w:t>
            </w:r>
            <w:r>
              <w:rPr>
                <w:rFonts w:hint="eastAsia" w:ascii="宋体" w:hAnsi="宋体" w:cs="宋体"/>
                <w:b/>
                <w:bCs/>
                <w:color w:val="auto"/>
                <w:sz w:val="21"/>
                <w:szCs w:val="21"/>
                <w:shd w:val="clear" w:color="auto" w:fill="FFFFFF"/>
                <w:lang w:val="en-US" w:eastAsia="zh-CN"/>
              </w:rPr>
              <w:t>7</w:t>
            </w:r>
            <w:r>
              <w:rPr>
                <w:rFonts w:hint="eastAsia" w:ascii="宋体" w:hAnsi="宋体" w:eastAsia="宋体" w:cs="宋体"/>
                <w:b/>
                <w:bCs/>
                <w:color w:val="auto"/>
                <w:sz w:val="21"/>
                <w:szCs w:val="21"/>
                <w:shd w:val="clear" w:color="auto" w:fill="FFFFFF"/>
              </w:rPr>
              <w:t>月</w:t>
            </w:r>
            <w:r>
              <w:rPr>
                <w:rFonts w:hint="eastAsia" w:ascii="宋体" w:hAnsi="宋体" w:cs="宋体"/>
                <w:b/>
                <w:bCs/>
                <w:color w:val="auto"/>
                <w:sz w:val="21"/>
                <w:szCs w:val="21"/>
                <w:shd w:val="clear" w:color="auto" w:fill="FFFFFF"/>
                <w:lang w:val="en-US" w:eastAsia="zh-CN"/>
              </w:rPr>
              <w:t>9</w:t>
            </w:r>
            <w:r>
              <w:rPr>
                <w:rFonts w:hint="eastAsia" w:ascii="宋体" w:hAnsi="宋体" w:eastAsia="宋体" w:cs="宋体"/>
                <w:b/>
                <w:bCs/>
                <w:color w:val="auto"/>
                <w:sz w:val="21"/>
                <w:szCs w:val="21"/>
                <w:shd w:val="clear" w:color="auto" w:fill="FFFFFF"/>
              </w:rPr>
              <w:t>日</w:t>
            </w:r>
            <w:r>
              <w:rPr>
                <w:rFonts w:hint="eastAsia" w:ascii="宋体" w:hAnsi="宋体" w:cs="宋体"/>
                <w:b/>
                <w:bCs/>
                <w:color w:val="auto"/>
                <w:sz w:val="21"/>
                <w:szCs w:val="21"/>
                <w:shd w:val="clear" w:color="auto" w:fill="FFFFFF"/>
                <w:lang w:val="en-US" w:eastAsia="zh-CN"/>
              </w:rPr>
              <w:t>9</w:t>
            </w:r>
            <w:r>
              <w:rPr>
                <w:rFonts w:hint="eastAsia" w:ascii="宋体" w:hAnsi="宋体" w:eastAsia="宋体" w:cs="宋体"/>
                <w:b/>
                <w:bCs/>
                <w:color w:val="auto"/>
                <w:sz w:val="21"/>
                <w:szCs w:val="21"/>
                <w:shd w:val="clear" w:color="auto" w:fill="FFFFFF"/>
              </w:rPr>
              <w:t>时00分</w:t>
            </w:r>
          </w:p>
          <w:p>
            <w:pPr>
              <w:keepNext w:val="0"/>
              <w:keepLines w:val="0"/>
              <w:pageBreakBefore w:val="0"/>
              <w:widowControl w:val="0"/>
              <w:tabs>
                <w:tab w:val="left" w:pos="1620"/>
              </w:tabs>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color w:val="auto"/>
                <w:sz w:val="21"/>
                <w:szCs w:val="21"/>
                <w:shd w:val="clear" w:color="auto" w:fill="FFFFFF"/>
              </w:rPr>
            </w:pPr>
            <w:r>
              <w:rPr>
                <w:rFonts w:hint="eastAsia" w:ascii="宋体" w:hAnsi="宋体" w:eastAsia="宋体" w:cs="宋体"/>
                <w:b/>
                <w:bCs/>
                <w:color w:val="auto"/>
                <w:sz w:val="21"/>
                <w:szCs w:val="21"/>
                <w:shd w:val="clear" w:color="auto" w:fill="FFFFFF"/>
              </w:rPr>
              <w:t>开标地点：南省公共资源交易中心远程开标室(四)-2（郑州市经二路12号（经二路与纬四路向南50米路西））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18</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评标方法</w:t>
            </w:r>
          </w:p>
        </w:tc>
        <w:tc>
          <w:tcPr>
            <w:tcW w:w="70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综合评估法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19</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val="0"/>
              <w:snapToGrid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bCs/>
                <w:sz w:val="21"/>
                <w:szCs w:val="21"/>
              </w:rPr>
            </w:pPr>
            <w:r>
              <w:rPr>
                <w:rFonts w:hint="eastAsia" w:ascii="宋体" w:hAnsi="宋体" w:eastAsia="宋体" w:cs="宋体"/>
                <w:bCs/>
                <w:sz w:val="21"/>
                <w:szCs w:val="21"/>
              </w:rPr>
              <w:t>评标委员会的</w:t>
            </w:r>
          </w:p>
          <w:p>
            <w:pPr>
              <w:keepNext w:val="0"/>
              <w:keepLines w:val="0"/>
              <w:pageBreakBefore w:val="0"/>
              <w:widowControl w:val="0"/>
              <w:kinsoku/>
              <w:wordWrap/>
              <w:overflowPunct/>
              <w:topLinePunct/>
              <w:autoSpaceDE/>
              <w:autoSpaceDN/>
              <w:bidi w:val="0"/>
              <w:adjustRightInd w:val="0"/>
              <w:snapToGrid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Cs/>
                <w:sz w:val="21"/>
                <w:szCs w:val="21"/>
              </w:rPr>
              <w:t>组建</w:t>
            </w:r>
          </w:p>
        </w:tc>
        <w:tc>
          <w:tcPr>
            <w:tcW w:w="70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val="0"/>
              <w:snapToGrid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评标委员会由从河南省政府采购评审专家库中随机抽取的专家及采购人代表组成，评标委员会成员为7人。其中相关方面专家5人，采购人代表2人。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20</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备选投标方案</w:t>
            </w:r>
          </w:p>
        </w:tc>
        <w:tc>
          <w:tcPr>
            <w:tcW w:w="70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不允许投标人提交备选投标方案。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付款方式</w:t>
            </w:r>
          </w:p>
        </w:tc>
        <w:tc>
          <w:tcPr>
            <w:tcW w:w="70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default" w:ascii="宋体" w:hAnsi="宋体" w:eastAsia="宋体" w:cs="宋体"/>
                <w:sz w:val="21"/>
                <w:szCs w:val="21"/>
                <w:highlight w:val="none"/>
                <w:lang w:val="en-US"/>
              </w:rPr>
            </w:pPr>
            <w:r>
              <w:rPr>
                <w:rFonts w:hint="eastAsia" w:ascii="宋体" w:hAnsi="宋体" w:eastAsia="宋体" w:cs="宋体"/>
                <w:sz w:val="21"/>
                <w:szCs w:val="21"/>
                <w:highlight w:val="none"/>
              </w:rPr>
              <w:t>合同签订之日起计算设备维保服务期，</w:t>
            </w:r>
            <w:r>
              <w:rPr>
                <w:rFonts w:hint="eastAsia" w:ascii="宋体" w:hAnsi="宋体" w:cs="宋体"/>
                <w:sz w:val="21"/>
                <w:szCs w:val="21"/>
                <w:highlight w:val="none"/>
                <w:lang w:val="en-US" w:eastAsia="zh-CN"/>
              </w:rPr>
              <w:t>合同签订后，驻场人员到场经</w:t>
            </w:r>
            <w:r>
              <w:rPr>
                <w:rFonts w:hint="eastAsia" w:ascii="宋体" w:hAnsi="宋体" w:eastAsia="宋体" w:cs="宋体"/>
                <w:sz w:val="21"/>
                <w:szCs w:val="21"/>
                <w:highlight w:val="none"/>
              </w:rPr>
              <w:t>甲方</w:t>
            </w:r>
            <w:r>
              <w:rPr>
                <w:rFonts w:hint="eastAsia" w:ascii="宋体" w:hAnsi="宋体" w:cs="宋体"/>
                <w:sz w:val="21"/>
                <w:szCs w:val="21"/>
                <w:highlight w:val="none"/>
                <w:lang w:val="en-US" w:eastAsia="zh-CN"/>
              </w:rPr>
              <w:t>网络信息中心认定后，向乙方支付合同总金额的10%。第一年服务期到期后，经甲方网络信息中心验收合格后，向乙方支付合同总金额的30%。第二年服务期到期后，经甲方网络信息中心验收合格后，向乙方支付合同总金额的30%。第三年服务期到期后，经甲方网络信息中心验收合格后，向乙方支付合同总金额的30%。付款时乙方需提供合规发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cs="宋体"/>
                <w:sz w:val="21"/>
                <w:szCs w:val="21"/>
                <w:lang w:val="en-US" w:eastAsia="zh-CN"/>
              </w:rPr>
              <w:t>2</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招标代理</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服务费</w:t>
            </w:r>
          </w:p>
        </w:tc>
        <w:tc>
          <w:tcPr>
            <w:tcW w:w="70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中标人须向采购代理机构按如下标准和规定交纳招标代理服务费。</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（1）招标代理服务费以本次中标通知书金额作为收费的计算基数。</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（2）招标代理服务费：招标代理服务费参照“计价格[2002]1980号、发改办价格[2003]857号、发改价格[2011]534号”文件附表（服务类）招标代理服务收费标准</w:t>
            </w:r>
            <w:r>
              <w:rPr>
                <w:rFonts w:hint="eastAsia" w:ascii="宋体" w:hAnsi="宋体" w:eastAsia="宋体" w:cs="宋体"/>
                <w:sz w:val="21"/>
                <w:szCs w:val="21"/>
                <w:lang w:val="en-US" w:eastAsia="zh-CN"/>
              </w:rPr>
              <w:t>的90%</w:t>
            </w:r>
            <w:r>
              <w:rPr>
                <w:rFonts w:hint="eastAsia" w:ascii="宋体" w:hAnsi="宋体" w:eastAsia="宋体" w:cs="宋体"/>
                <w:sz w:val="21"/>
                <w:szCs w:val="21"/>
              </w:rPr>
              <w:t>向中标人收取。</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（3）招标代理服务费包含在投标报价中，但不应在分项报价中单独列项。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cs="宋体"/>
                <w:sz w:val="21"/>
                <w:szCs w:val="21"/>
                <w:lang w:val="en-US" w:eastAsia="zh-CN"/>
              </w:rPr>
              <w:t>3</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是否授权评标委员会确定中标人</w:t>
            </w:r>
          </w:p>
        </w:tc>
        <w:tc>
          <w:tcPr>
            <w:tcW w:w="70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否，推荐的</w:t>
            </w:r>
            <w:r>
              <w:rPr>
                <w:rFonts w:hint="eastAsia" w:ascii="宋体" w:hAnsi="宋体" w:cs="宋体"/>
                <w:sz w:val="21"/>
                <w:szCs w:val="21"/>
                <w:lang w:eastAsia="zh-CN"/>
              </w:rPr>
              <w:t>中标候选人</w:t>
            </w:r>
            <w:r>
              <w:rPr>
                <w:rFonts w:hint="eastAsia" w:ascii="宋体" w:hAnsi="宋体" w:eastAsia="宋体" w:cs="宋体"/>
                <w:sz w:val="21"/>
                <w:szCs w:val="21"/>
              </w:rPr>
              <w:t>人数：1-3名。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cs="宋体"/>
                <w:sz w:val="21"/>
                <w:szCs w:val="21"/>
                <w:lang w:val="en-US" w:eastAsia="zh-CN"/>
              </w:rPr>
              <w:t>4</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电子招标投标</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b/>
                <w:bCs/>
                <w:sz w:val="21"/>
                <w:szCs w:val="21"/>
              </w:rPr>
              <w:t>特别提醒</w:t>
            </w:r>
          </w:p>
        </w:tc>
        <w:tc>
          <w:tcPr>
            <w:tcW w:w="70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1)采购人根据招标需要，可能会不定期在河南省公共资源交易平台（网址：</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"http://www.hnggzy.com）。" </w:instrText>
            </w:r>
            <w:r>
              <w:rPr>
                <w:rFonts w:hint="eastAsia" w:ascii="宋体" w:hAnsi="宋体" w:eastAsia="宋体" w:cs="宋体"/>
                <w:sz w:val="21"/>
                <w:szCs w:val="21"/>
              </w:rPr>
              <w:fldChar w:fldCharType="separate"/>
            </w:r>
            <w:r>
              <w:rPr>
                <w:rFonts w:hint="eastAsia" w:ascii="宋体" w:hAnsi="宋体" w:eastAsia="宋体" w:cs="宋体"/>
                <w:b/>
                <w:bCs/>
                <w:sz w:val="21"/>
                <w:szCs w:val="21"/>
              </w:rPr>
              <w:t>http://www.hnggzy.net/）发布</w:t>
            </w:r>
            <w:r>
              <w:rPr>
                <w:rFonts w:hint="eastAsia" w:ascii="宋体" w:hAnsi="宋体" w:eastAsia="宋体" w:cs="宋体"/>
                <w:b/>
                <w:bCs/>
                <w:sz w:val="21"/>
                <w:szCs w:val="21"/>
              </w:rPr>
              <w:fldChar w:fldCharType="end"/>
            </w:r>
            <w:r>
              <w:rPr>
                <w:rFonts w:hint="eastAsia" w:ascii="宋体" w:hAnsi="宋体" w:eastAsia="宋体" w:cs="宋体"/>
                <w:b/>
                <w:bCs/>
                <w:sz w:val="21"/>
                <w:szCs w:val="21"/>
              </w:rPr>
              <w:t>该项目补充、修改、答疑等澄清文件，请投标人及时关注，自行查阅并下载文件。若因未及时查阅而影响投标的，结果由投标人负责。</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2）投标人须通过河南省公共资源交易中心受理大厅 CA 密钥窗口办理电子认证，所有要求投标人加盖公章的地方都应用投标人单位的 CA 印章；所有要求法定代表人（单位负责人）或其委托代理人：签字或盖章的地方都应用法定代表人（单位负责人）或其委托代理人：的CA 印章。</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3）请于投标截止时间前将加密电子版投标文件上传至河南省公共资源交易平台（网址：</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"http://www.hnggzy.com）。" </w:instrText>
            </w:r>
            <w:r>
              <w:rPr>
                <w:rFonts w:hint="eastAsia" w:ascii="宋体" w:hAnsi="宋体" w:eastAsia="宋体" w:cs="宋体"/>
                <w:sz w:val="21"/>
                <w:szCs w:val="21"/>
              </w:rPr>
              <w:fldChar w:fldCharType="separate"/>
            </w:r>
            <w:r>
              <w:rPr>
                <w:rFonts w:hint="eastAsia" w:ascii="宋体" w:hAnsi="宋体" w:eastAsia="宋体" w:cs="宋体"/>
                <w:b/>
                <w:bCs/>
                <w:sz w:val="21"/>
                <w:szCs w:val="21"/>
              </w:rPr>
              <w:t>http://www.hnggzy.net/）。</w:t>
            </w:r>
            <w:r>
              <w:rPr>
                <w:rFonts w:hint="eastAsia" w:ascii="宋体" w:hAnsi="宋体" w:eastAsia="宋体" w:cs="宋体"/>
                <w:b/>
                <w:bCs/>
                <w:sz w:val="21"/>
                <w:szCs w:val="21"/>
              </w:rPr>
              <w:fldChar w:fldCharType="end"/>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4）本项目采用“远程不见面”开标方式，远程开标大厅网址为http://www.hnggzy.net/，投标人无需到河南省公共资源交易中心现场参加开标会议，无需到达现场提交原件资料。投标人应当在投标截止时间前，登录远程开标大厅，在线准时参加开标活动并进行投标文件解密等。</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b/>
                <w:bCs/>
                <w:sz w:val="21"/>
                <w:szCs w:val="21"/>
              </w:rPr>
              <w:t>6）不见面服务的具体事宜请查阅河南省公共资源交易中心网站“办事指南”专区的《河南省公共资源交易平台不见面服务系统使用指南》。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cs="宋体"/>
                <w:sz w:val="21"/>
                <w:szCs w:val="21"/>
                <w:lang w:val="en-US" w:eastAsia="zh-CN"/>
              </w:rPr>
              <w:t>5</w:t>
            </w:r>
          </w:p>
        </w:tc>
        <w:tc>
          <w:tcPr>
            <w:tcW w:w="15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b/>
                <w:bCs/>
                <w:sz w:val="21"/>
                <w:szCs w:val="21"/>
              </w:rPr>
            </w:pPr>
            <w:r>
              <w:rPr>
                <w:rFonts w:hint="eastAsia" w:ascii="宋体" w:hAnsi="宋体" w:eastAsia="宋体" w:cs="宋体"/>
                <w:spacing w:val="1"/>
                <w:kern w:val="0"/>
                <w:sz w:val="21"/>
                <w:szCs w:val="21"/>
              </w:rPr>
              <w:t>投标文件雷同性分析</w:t>
            </w:r>
          </w:p>
        </w:tc>
        <w:tc>
          <w:tcPr>
            <w:tcW w:w="70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b/>
                <w:bCs/>
                <w:sz w:val="21"/>
                <w:szCs w:val="21"/>
              </w:rPr>
            </w:pPr>
            <w:r>
              <w:rPr>
                <w:rFonts w:hint="eastAsia" w:ascii="宋体" w:hAnsi="宋体" w:eastAsia="宋体" w:cs="宋体"/>
                <w:sz w:val="21"/>
                <w:szCs w:val="21"/>
              </w:rPr>
              <w:t>同时参加同一标包或未划分标包的同一招标项目，不同投标人上传的加密投标文件电子版经河南省公共资源交易中心评标系统匹配</w:t>
            </w:r>
            <w:r>
              <w:rPr>
                <w:rFonts w:hint="eastAsia" w:ascii="宋体" w:hAnsi="宋体" w:eastAsia="宋体" w:cs="宋体"/>
                <w:spacing w:val="1"/>
                <w:kern w:val="0"/>
                <w:sz w:val="21"/>
                <w:szCs w:val="21"/>
              </w:rPr>
              <w:t>投标文件制作机器码是否一致，所有投标文件制作机器码一致的投标人，评标委员将否决其投标文件。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cs="宋体"/>
                <w:sz w:val="21"/>
                <w:szCs w:val="21"/>
                <w:lang w:val="en-US" w:eastAsia="zh-CN"/>
              </w:rPr>
              <w:t>6</w:t>
            </w:r>
          </w:p>
        </w:tc>
        <w:tc>
          <w:tcPr>
            <w:tcW w:w="86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pacing w:val="1"/>
                <w:kern w:val="0"/>
                <w:sz w:val="21"/>
                <w:szCs w:val="21"/>
              </w:rPr>
              <w:t>政府采购政策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.1</w:t>
            </w:r>
          </w:p>
        </w:tc>
        <w:tc>
          <w:tcPr>
            <w:tcW w:w="86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河南省政府采购合同融资政策告知函</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各投标人：</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欢迎贵公司参与河南省政府采购活动!</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政府采购合同融资是河南省财政厅支持中小微企业发展，针对参与政府采购活动的投标人融资难、融资贵问题推出的一项融资政策。贵公司若成为本次政府采购项目的中标成交投标人，可持政府采购合同向金融机构申请贷款，无需抵押、担保，融资机构将根据《河南省政府采购合同融资工作实施方案》（豫财购〔(2017) 10号），按照双方自愿的原则提供便捷、优惠的贷款服务。成为本次政府采购项目的中标成交投标人，可持政府采购合同向金融机构申请贷款，无需抵押、担保，融资机构将根据《河南省政府采购合同融资工作实施方案》（豫财购〔(2017) 10号），按照双方自愿的原则提供便捷、优惠的贷款服务。</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贷款渠道和提供贷款的金融机构，可在河南省政府采购网“河南省政府采购合同融资平台”查询联系。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.2</w:t>
            </w:r>
          </w:p>
        </w:tc>
        <w:tc>
          <w:tcPr>
            <w:tcW w:w="86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依据《政府采购促进中小企业发展管理办法》规定享受扶持政策获得政府采购合同的，小微企业不得将合同分包给大中型企业，中型企业不得将合同分包给大型企业。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.3</w:t>
            </w:r>
          </w:p>
        </w:tc>
        <w:tc>
          <w:tcPr>
            <w:tcW w:w="86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1、投标人若为中小企业，须对照《中小企业划型标准规定》（工信部联企业[2011]300号）文件规定，提供《中小企业声明函》，否则不予认可。</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2、监狱企业视同小型、微型企业，需提供省级及以上监狱管理局、戒毒管理局（含新疆生产建设兵团）出具的属于监狱企业的证明文件，否则不予认可。</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3、残疾人福利性单位视同小型、微型企业。按照关于促进残疾人就业政府采购政策的通知财库〔2017〕141号要求提供《</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"http://www.gov.cn/xinwen/2017-09/02/5222181/files/f1ba446ff1d041aab7b557a51912d058.docx"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残疾人福利性单位声明函</w:t>
            </w:r>
            <w:r>
              <w:rPr>
                <w:rFonts w:hint="eastAsia" w:ascii="宋体" w:hAnsi="宋体" w:eastAsia="宋体" w:cs="宋体"/>
                <w:sz w:val="21"/>
                <w:szCs w:val="21"/>
              </w:rPr>
              <w:fldChar w:fldCharType="end"/>
            </w:r>
            <w:r>
              <w:rPr>
                <w:rFonts w:hint="eastAsia" w:ascii="宋体" w:hAnsi="宋体" w:eastAsia="宋体" w:cs="宋体"/>
                <w:sz w:val="21"/>
                <w:szCs w:val="21"/>
              </w:rPr>
              <w:t>》等有效证明材料，并对声明的真实性负责，否则不予认可。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.4</w:t>
            </w:r>
          </w:p>
        </w:tc>
        <w:tc>
          <w:tcPr>
            <w:tcW w:w="86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GB"/>
              </w:rPr>
              <w:t>节能产品是指财政部和发展改革委员会公布的最新一期《节能产品政府采购品目清单》中的产品。</w:t>
            </w:r>
            <w:bookmarkStart w:id="104" w:name="_GoBack"/>
            <w:bookmarkEnd w:id="104"/>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（1）本采购项目若有最新一期《节能产品政府采购品目清单》内强制采购的</w:t>
            </w:r>
            <w:r>
              <w:rPr>
                <w:rFonts w:hint="eastAsia" w:ascii="宋体" w:hAnsi="宋体" w:eastAsia="宋体" w:cs="宋体"/>
                <w:sz w:val="21"/>
                <w:szCs w:val="21"/>
                <w:lang w:val="en-GB"/>
              </w:rPr>
              <w:t>产品</w:t>
            </w:r>
            <w:r>
              <w:rPr>
                <w:rFonts w:hint="eastAsia" w:ascii="宋体" w:hAnsi="宋体" w:eastAsia="宋体" w:cs="宋体"/>
                <w:sz w:val="21"/>
                <w:szCs w:val="21"/>
              </w:rPr>
              <w:t>，</w:t>
            </w:r>
            <w:r>
              <w:rPr>
                <w:rFonts w:hint="eastAsia" w:ascii="宋体" w:hAnsi="宋体" w:eastAsia="宋体" w:cs="宋体"/>
                <w:sz w:val="21"/>
                <w:szCs w:val="21"/>
                <w:lang w:val="en-GB"/>
              </w:rPr>
              <w:t>投标人</w:t>
            </w:r>
            <w:r>
              <w:rPr>
                <w:rFonts w:hint="eastAsia" w:ascii="宋体" w:hAnsi="宋体" w:eastAsia="宋体" w:cs="宋体"/>
                <w:sz w:val="21"/>
                <w:szCs w:val="21"/>
              </w:rPr>
              <w:t>须在财政部和发展改革委联合下发的最新一期节能产品政府采购品目清单范围内选择适用产品投标。</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left"/>
              <w:textAlignment w:val="auto"/>
              <w:rPr>
                <w:rFonts w:hint="eastAsia" w:ascii="宋体" w:hAnsi="宋体" w:eastAsia="宋体" w:cs="宋体"/>
                <w:sz w:val="21"/>
                <w:szCs w:val="21"/>
                <w:lang w:val="en-GB"/>
              </w:rPr>
            </w:pPr>
            <w:r>
              <w:rPr>
                <w:rFonts w:hint="eastAsia" w:ascii="宋体" w:hAnsi="宋体" w:eastAsia="宋体" w:cs="宋体"/>
                <w:sz w:val="21"/>
                <w:szCs w:val="21"/>
                <w:lang w:val="en-GB"/>
              </w:rPr>
              <w:t>（2）投标人须提供国家确定的认证机构出具的、处于有效期之内的节能产品认证证书，认证证书需要附全国认证认可信息公共服务平台的查询截图，否则不予认可。</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GB"/>
              </w:rPr>
              <w:t>2、环境标志产品是指财政部、生态环境部发布的最新一期《环境标志产品政府采购品目清单》中的产品，投标人须提供国家确定的认证机构出具的、处于有效期之内的环境标志产品认证证书，认证证书需要附全国认证认可信息公共服务平台的查询截图，否则不予认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cs="宋体"/>
                <w:sz w:val="21"/>
                <w:szCs w:val="21"/>
                <w:lang w:val="en-US" w:eastAsia="zh-CN"/>
              </w:rPr>
              <w:t>7</w:t>
            </w:r>
          </w:p>
        </w:tc>
        <w:tc>
          <w:tcPr>
            <w:tcW w:w="86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招标文件内容前后不一致的以投标人须知前附表为准，投标人须知前附表没有的以最后内容为准。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r>
              <w:rPr>
                <w:rFonts w:hint="eastAsia" w:ascii="宋体" w:hAnsi="宋体" w:cs="宋体"/>
                <w:sz w:val="21"/>
                <w:szCs w:val="21"/>
                <w:highlight w:val="none"/>
                <w:lang w:val="en-US" w:eastAsia="zh-CN"/>
              </w:rPr>
              <w:t>8</w:t>
            </w:r>
          </w:p>
        </w:tc>
        <w:tc>
          <w:tcPr>
            <w:tcW w:w="86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所属行业名称：软件和信息技术服务业”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29</w:t>
            </w:r>
          </w:p>
        </w:tc>
        <w:tc>
          <w:tcPr>
            <w:tcW w:w="86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投标人在河南省公共资源交易中心电子交易平台编制投标文件时，因投标函为电子招标的固定格式，故与本招标文件相关条款内容不符，请各投标人按下列要求统一填写投标函相关内容。投标函内容与投标函附录内容不符时，以投标函附录内容为准。 </w:t>
            </w:r>
          </w:p>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投标函填写内容提示：工期（交货期/监理周期/设计周期）：统一按</w:t>
            </w:r>
            <w:r>
              <w:rPr>
                <w:rFonts w:hint="eastAsia" w:ascii="宋体" w:hAnsi="宋体" w:cs="宋体"/>
                <w:sz w:val="21"/>
                <w:szCs w:val="21"/>
                <w:highlight w:val="none"/>
                <w:lang w:val="en-US" w:eastAsia="zh-CN"/>
              </w:rPr>
              <w:t>1095</w:t>
            </w:r>
            <w:r>
              <w:rPr>
                <w:rFonts w:hint="eastAsia" w:ascii="宋体" w:hAnsi="宋体" w:eastAsia="宋体" w:cs="宋体"/>
                <w:sz w:val="21"/>
                <w:szCs w:val="21"/>
                <w:highlight w:val="none"/>
                <w:lang w:val="en-US" w:eastAsia="zh-CN"/>
              </w:rPr>
              <w:t>日历天填写。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30</w:t>
            </w:r>
          </w:p>
        </w:tc>
        <w:tc>
          <w:tcPr>
            <w:tcW w:w="188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是否接收分包</w:t>
            </w:r>
          </w:p>
        </w:tc>
        <w:tc>
          <w:tcPr>
            <w:tcW w:w="67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31</w:t>
            </w:r>
          </w:p>
        </w:tc>
        <w:tc>
          <w:tcPr>
            <w:tcW w:w="188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是否接收转包</w:t>
            </w:r>
          </w:p>
        </w:tc>
        <w:tc>
          <w:tcPr>
            <w:tcW w:w="67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spacing w:before="48" w:beforeLines="15" w:after="48" w:afterLines="15" w:line="276" w:lineRule="auto"/>
              <w:ind w:left="0" w:leftChars="0" w:right="0" w:rightChars="0"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否</w:t>
            </w:r>
          </w:p>
        </w:tc>
      </w:tr>
    </w:tbl>
    <w:p>
      <w:pPr>
        <w:rPr>
          <w:rFonts w:hint="eastAsia"/>
        </w:rPr>
      </w:pPr>
      <w:r>
        <w:rPr>
          <w:rFonts w:hint="eastAsia"/>
        </w:rPr>
        <w:br w:type="page"/>
      </w:r>
    </w:p>
    <w:p>
      <w:pPr>
        <w:pStyle w:val="3"/>
        <w:bidi w:val="0"/>
        <w:rPr>
          <w:rFonts w:hint="eastAsia"/>
        </w:rPr>
      </w:pPr>
      <w:bookmarkStart w:id="11" w:name="_Toc23939"/>
      <w:r>
        <w:rPr>
          <w:rFonts w:hint="eastAsia"/>
        </w:rPr>
        <w:t>二、投标人须知</w:t>
      </w:r>
      <w:bookmarkEnd w:id="11"/>
    </w:p>
    <w:p>
      <w:pPr>
        <w:keepNext w:val="0"/>
        <w:keepLines w:val="0"/>
        <w:pageBreakBefore w:val="0"/>
        <w:widowControl w:val="0"/>
        <w:numPr>
          <w:ilvl w:val="0"/>
          <w:numId w:val="6"/>
        </w:numPr>
        <w:kinsoku/>
        <w:wordWrap/>
        <w:overflowPunct/>
        <w:topLinePunct/>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资金来源</w:t>
      </w:r>
    </w:p>
    <w:p>
      <w:pPr>
        <w:keepNext w:val="0"/>
        <w:keepLines w:val="0"/>
        <w:pageBreakBefore w:val="0"/>
        <w:widowControl w:val="0"/>
        <w:kinsoku/>
        <w:wordWrap/>
        <w:overflowPunct/>
        <w:topLinePunct/>
        <w:autoSpaceDE/>
        <w:autoSpaceDN/>
        <w:bidi w:val="0"/>
        <w:adjustRightInd/>
        <w:snapToGrid/>
        <w:spacing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1.1“投标人须知前附表”中所述的资金来源为自筹资金。</w:t>
      </w:r>
    </w:p>
    <w:p>
      <w:pPr>
        <w:keepNext w:val="0"/>
        <w:keepLines w:val="0"/>
        <w:pageBreakBefore w:val="0"/>
        <w:widowControl w:val="0"/>
        <w:numPr>
          <w:ilvl w:val="0"/>
          <w:numId w:val="6"/>
        </w:numPr>
        <w:kinsoku/>
        <w:wordWrap/>
        <w:overflowPunct/>
        <w:topLinePunct/>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采购人、采购代理机构、招标方及合格的投标人</w:t>
      </w:r>
    </w:p>
    <w:p>
      <w:pPr>
        <w:keepNext w:val="0"/>
        <w:keepLines w:val="0"/>
        <w:pageBreakBefore w:val="0"/>
        <w:widowControl w:val="0"/>
        <w:kinsoku/>
        <w:wordWrap/>
        <w:overflowPunct/>
        <w:topLinePunct/>
        <w:autoSpaceDE/>
        <w:autoSpaceDN/>
        <w:bidi w:val="0"/>
        <w:adjustRightInd/>
        <w:snapToGrid/>
        <w:spacing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2.1采购人：采购人是指提出国内招标采购服务的国家机关、企业、事业单位或其他组织。</w:t>
      </w:r>
    </w:p>
    <w:p>
      <w:pPr>
        <w:keepNext w:val="0"/>
        <w:keepLines w:val="0"/>
        <w:pageBreakBefore w:val="0"/>
        <w:widowControl w:val="0"/>
        <w:kinsoku/>
        <w:wordWrap/>
        <w:overflowPunct/>
        <w:topLinePunct/>
        <w:autoSpaceDE/>
        <w:autoSpaceDN/>
        <w:bidi w:val="0"/>
        <w:adjustRightInd/>
        <w:snapToGrid/>
        <w:spacing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2.2采购代理机构：受采购人委托，在其授权范围内，代理本次招标活动的中介机构。本招标文件中招标机构是指受采购人委托组织招标的新华招标有限公司。 </w:t>
      </w:r>
    </w:p>
    <w:p>
      <w:pPr>
        <w:keepNext w:val="0"/>
        <w:keepLines w:val="0"/>
        <w:pageBreakBefore w:val="0"/>
        <w:widowControl w:val="0"/>
        <w:kinsoku/>
        <w:wordWrap/>
        <w:overflowPunct/>
        <w:topLinePunct/>
        <w:autoSpaceDE/>
        <w:autoSpaceDN/>
        <w:bidi w:val="0"/>
        <w:adjustRightInd/>
        <w:snapToGrid/>
        <w:spacing w:line="396" w:lineRule="auto"/>
        <w:ind w:left="479" w:leftChars="228"/>
        <w:textAlignment w:val="auto"/>
        <w:rPr>
          <w:rFonts w:hint="eastAsia" w:ascii="宋体" w:hAnsi="宋体" w:eastAsia="宋体" w:cs="宋体"/>
          <w:sz w:val="24"/>
          <w:szCs w:val="24"/>
        </w:rPr>
      </w:pPr>
      <w:r>
        <w:rPr>
          <w:rFonts w:hint="eastAsia" w:ascii="宋体" w:hAnsi="宋体" w:eastAsia="宋体" w:cs="宋体"/>
          <w:sz w:val="24"/>
          <w:szCs w:val="24"/>
        </w:rPr>
        <w:t>2.3招标方：招标方是指采购人和招标机构。</w:t>
      </w:r>
    </w:p>
    <w:p>
      <w:pPr>
        <w:keepNext w:val="0"/>
        <w:keepLines w:val="0"/>
        <w:pageBreakBefore w:val="0"/>
        <w:widowControl w:val="0"/>
        <w:kinsoku/>
        <w:wordWrap/>
        <w:overflowPunct/>
        <w:topLinePunct/>
        <w:autoSpaceDE/>
        <w:autoSpaceDN/>
        <w:bidi w:val="0"/>
        <w:adjustRightInd/>
        <w:snapToGrid/>
        <w:spacing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2.4</w:t>
      </w:r>
      <w:r>
        <w:rPr>
          <w:rFonts w:hint="eastAsia" w:ascii="宋体" w:hAnsi="宋体" w:eastAsia="宋体" w:cs="宋体"/>
          <w:sz w:val="24"/>
          <w:szCs w:val="24"/>
        </w:rPr>
        <w:t>合格的投标人</w:t>
      </w:r>
    </w:p>
    <w:p>
      <w:pPr>
        <w:keepNext w:val="0"/>
        <w:keepLines w:val="0"/>
        <w:pageBreakBefore w:val="0"/>
        <w:widowControl w:val="0"/>
        <w:numPr>
          <w:ilvl w:val="0"/>
          <w:numId w:val="12"/>
        </w:numPr>
        <w:kinsoku/>
        <w:wordWrap/>
        <w:overflowPunct/>
        <w:topLinePunct/>
        <w:autoSpaceDE/>
        <w:autoSpaceDN/>
        <w:bidi w:val="0"/>
        <w:adjustRightInd/>
        <w:snapToGrid/>
        <w:spacing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详见招标公告“对投标人的资格要求”。</w:t>
      </w:r>
    </w:p>
    <w:p>
      <w:pPr>
        <w:keepNext w:val="0"/>
        <w:keepLines w:val="0"/>
        <w:pageBreakBefore w:val="0"/>
        <w:widowControl w:val="0"/>
        <w:numPr>
          <w:ilvl w:val="0"/>
          <w:numId w:val="6"/>
        </w:numPr>
        <w:kinsoku/>
        <w:wordWrap/>
        <w:overflowPunct/>
        <w:topLinePunct/>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合格的设备和服务</w:t>
      </w:r>
    </w:p>
    <w:p>
      <w:pPr>
        <w:keepNext w:val="0"/>
        <w:keepLines w:val="0"/>
        <w:pageBreakBefore w:val="0"/>
        <w:widowControl w:val="0"/>
        <w:numPr>
          <w:ilvl w:val="2"/>
          <w:numId w:val="6"/>
        </w:numPr>
        <w:kinsoku/>
        <w:wordWrap/>
        <w:overflowPunct/>
        <w:topLinePunct/>
        <w:autoSpaceDE/>
        <w:autoSpaceDN/>
        <w:bidi w:val="0"/>
        <w:adjustRightInd/>
        <w:snapToGrid/>
        <w:spacing w:line="396" w:lineRule="auto"/>
        <w:ind w:left="0" w:firstLine="454"/>
        <w:textAlignment w:val="auto"/>
        <w:rPr>
          <w:rFonts w:hint="eastAsia" w:ascii="宋体" w:hAnsi="宋体" w:eastAsia="宋体" w:cs="宋体"/>
          <w:sz w:val="24"/>
          <w:szCs w:val="24"/>
        </w:rPr>
      </w:pPr>
      <w:r>
        <w:rPr>
          <w:rFonts w:hint="eastAsia" w:ascii="宋体" w:hAnsi="宋体" w:eastAsia="宋体" w:cs="宋体"/>
          <w:sz w:val="24"/>
          <w:szCs w:val="24"/>
        </w:rPr>
        <w:t>合同中提供的所有服务，均应来自上述2.4条款所规定的合格投标人。</w:t>
      </w:r>
    </w:p>
    <w:p>
      <w:pPr>
        <w:keepNext w:val="0"/>
        <w:keepLines w:val="0"/>
        <w:pageBreakBefore w:val="0"/>
        <w:widowControl w:val="0"/>
        <w:numPr>
          <w:ilvl w:val="2"/>
          <w:numId w:val="6"/>
        </w:numPr>
        <w:kinsoku/>
        <w:wordWrap/>
        <w:overflowPunct/>
        <w:topLinePunct/>
        <w:autoSpaceDE/>
        <w:autoSpaceDN/>
        <w:bidi w:val="0"/>
        <w:adjustRightInd/>
        <w:snapToGrid/>
        <w:spacing w:line="396" w:lineRule="auto"/>
        <w:ind w:left="0" w:firstLine="454"/>
        <w:textAlignment w:val="auto"/>
        <w:rPr>
          <w:rFonts w:hint="eastAsia" w:ascii="宋体" w:hAnsi="宋体" w:eastAsia="宋体" w:cs="宋体"/>
          <w:sz w:val="24"/>
          <w:szCs w:val="24"/>
        </w:rPr>
      </w:pPr>
      <w:r>
        <w:rPr>
          <w:rFonts w:hint="eastAsia" w:ascii="宋体" w:hAnsi="宋体" w:eastAsia="宋体" w:cs="宋体"/>
          <w:sz w:val="24"/>
          <w:szCs w:val="24"/>
        </w:rPr>
        <w:t>设备系指投标人按招标文件规定，须向采购人提供的符合招标文件要求的相关的设备。</w:t>
      </w:r>
    </w:p>
    <w:p>
      <w:pPr>
        <w:keepNext w:val="0"/>
        <w:keepLines w:val="0"/>
        <w:pageBreakBefore w:val="0"/>
        <w:widowControl w:val="0"/>
        <w:numPr>
          <w:ilvl w:val="2"/>
          <w:numId w:val="6"/>
        </w:numPr>
        <w:kinsoku/>
        <w:wordWrap/>
        <w:overflowPunct/>
        <w:topLinePunct/>
        <w:autoSpaceDE/>
        <w:autoSpaceDN/>
        <w:bidi w:val="0"/>
        <w:adjustRightInd/>
        <w:snapToGrid/>
        <w:spacing w:line="396" w:lineRule="auto"/>
        <w:ind w:left="0" w:firstLine="454"/>
        <w:textAlignment w:val="auto"/>
        <w:rPr>
          <w:rFonts w:hint="eastAsia" w:ascii="宋体" w:hAnsi="宋体" w:eastAsia="宋体" w:cs="宋体"/>
          <w:sz w:val="24"/>
          <w:szCs w:val="24"/>
        </w:rPr>
      </w:pPr>
      <w:r>
        <w:rPr>
          <w:rFonts w:hint="eastAsia" w:ascii="宋体" w:hAnsi="宋体" w:eastAsia="宋体" w:cs="宋体"/>
          <w:sz w:val="24"/>
          <w:szCs w:val="24"/>
        </w:rPr>
        <w:t>服务系指招标文件规定的投标人须承担的与投标有关的辅助服务，如采购、保险、安装、调试、技术培训、伴随服务以及其他类似的义务。</w:t>
      </w:r>
    </w:p>
    <w:p>
      <w:pPr>
        <w:keepNext w:val="0"/>
        <w:keepLines w:val="0"/>
        <w:pageBreakBefore w:val="0"/>
        <w:widowControl w:val="0"/>
        <w:numPr>
          <w:ilvl w:val="0"/>
          <w:numId w:val="6"/>
        </w:numPr>
        <w:kinsoku/>
        <w:wordWrap/>
        <w:overflowPunct/>
        <w:topLinePunct/>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投标费用</w:t>
      </w:r>
    </w:p>
    <w:p>
      <w:pPr>
        <w:keepNext w:val="0"/>
        <w:keepLines w:val="0"/>
        <w:pageBreakBefore w:val="0"/>
        <w:widowControl w:val="0"/>
        <w:kinsoku/>
        <w:wordWrap/>
        <w:overflowPunct/>
        <w:topLinePunct/>
        <w:autoSpaceDE/>
        <w:autoSpaceDN/>
        <w:bidi w:val="0"/>
        <w:adjustRightInd/>
        <w:snapToGrid/>
        <w:spacing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4.1 投标人应承担所有与准备和参加投标有关的费用。不论投标的结果如何，招标方均无义务和责任承担这些费用。</w:t>
      </w:r>
    </w:p>
    <w:p>
      <w:pPr>
        <w:pageBreakBefore w:val="0"/>
        <w:widowControl w:val="0"/>
        <w:kinsoku/>
        <w:wordWrap/>
        <w:overflowPunct/>
        <w:topLinePunct/>
        <w:autoSpaceDE/>
        <w:autoSpaceDN/>
        <w:bidi w:val="0"/>
        <w:adjustRightInd/>
        <w:spacing w:line="396" w:lineRule="auto"/>
        <w:jc w:val="center"/>
        <w:rPr>
          <w:rFonts w:hint="eastAsia" w:ascii="宋体" w:hAnsi="宋体" w:eastAsia="宋体" w:cs="宋体"/>
          <w:sz w:val="24"/>
          <w:szCs w:val="24"/>
        </w:rPr>
      </w:pPr>
    </w:p>
    <w:p>
      <w:pPr>
        <w:pStyle w:val="3"/>
        <w:pageBreakBefore w:val="0"/>
        <w:widowControl w:val="0"/>
        <w:kinsoku/>
        <w:wordWrap/>
        <w:overflowPunct/>
        <w:autoSpaceDE/>
        <w:autoSpaceDN/>
        <w:bidi w:val="0"/>
        <w:adjustRightInd/>
        <w:spacing w:line="396" w:lineRule="auto"/>
        <w:rPr>
          <w:rFonts w:hint="eastAsia"/>
        </w:rPr>
      </w:pPr>
      <w:bookmarkStart w:id="12" w:name="_Toc3863"/>
      <w:r>
        <w:rPr>
          <w:rFonts w:hint="eastAsia"/>
        </w:rPr>
        <w:t>三、关于招标文件</w:t>
      </w:r>
      <w:bookmarkEnd w:id="12"/>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5、招标文件</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5.1本招标文件共五章；</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5.2招标文件对招标项目的要求、合同条件、技术要求及招标程序作出详细规定；</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5.3投标人应检查招标文件中所有的须知、格式、条款、技术规格和其他资料。投标人应按照招标文件的要求提交全部资料，对招标文件提出的各项要求作出实质性响应。</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6、招标文件的澄清</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投标人若对招标文件有任何疑问，应于投标截止时间10日前以书面形式向采购人提出澄清要求。无论是采购人根据需要主动对招标文件进行必要的澄清，或是根据投标人的要求对招标文件做出澄清，采购人都将于投标截止时间15日前以书面形式予以澄清，同时将书面澄清文件向所有投标人发送（答复中不包括问题的来源）。</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7、招标文件的修改</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采购人可以对已发出的招标文件进行必要的修改。修改的内容可能影响投标文件编制的，采购人应当在提交投标截止时间至少15日前，以书面形式通知所有获取招标文件的潜在投标人；不足15日的，采购人应当顺延提交投标文件的截止时间；修改的内容为招标文件的组成部分。</w:t>
      </w:r>
    </w:p>
    <w:p>
      <w:pPr>
        <w:pageBreakBefore w:val="0"/>
        <w:widowControl w:val="0"/>
        <w:kinsoku/>
        <w:wordWrap/>
        <w:overflowPunct/>
        <w:topLinePunct/>
        <w:autoSpaceDE/>
        <w:autoSpaceDN/>
        <w:bidi w:val="0"/>
        <w:adjustRightInd/>
        <w:spacing w:line="396" w:lineRule="auto"/>
        <w:jc w:val="center"/>
        <w:rPr>
          <w:rFonts w:hint="eastAsia" w:ascii="宋体" w:hAnsi="宋体" w:eastAsia="宋体" w:cs="宋体"/>
          <w:sz w:val="24"/>
          <w:szCs w:val="24"/>
        </w:rPr>
      </w:pPr>
    </w:p>
    <w:p>
      <w:pPr>
        <w:pStyle w:val="3"/>
        <w:bidi w:val="0"/>
        <w:rPr>
          <w:rFonts w:hint="eastAsia"/>
        </w:rPr>
      </w:pPr>
      <w:bookmarkStart w:id="13" w:name="_Toc12640"/>
      <w:r>
        <w:rPr>
          <w:rFonts w:hint="eastAsia"/>
        </w:rPr>
        <w:t>四、投标文件的编制</w:t>
      </w:r>
      <w:bookmarkEnd w:id="13"/>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8、投标文件的语言</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投标文件以及投标人与采购代理机构就有关投标的往来函电均应使用中文书写。投标人提交的支持性文件和印制的文件可以用另一种语言，但须有中文译文。任何其他语言的资料与中文表意不一致时，以中文为准。</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9、投标文件的构成</w:t>
      </w:r>
    </w:p>
    <w:p>
      <w:pPr>
        <w:pageBreakBefore w:val="0"/>
        <w:widowControl w:val="0"/>
        <w:kinsoku/>
        <w:wordWrap/>
        <w:overflowPunct/>
        <w:topLinePunct/>
        <w:autoSpaceDE/>
        <w:autoSpaceDN/>
        <w:bidi w:val="0"/>
        <w:adjustRightInd/>
        <w:spacing w:line="396"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投标文件由经济部分、技术部分、综合部分三部分组成。</w:t>
      </w:r>
    </w:p>
    <w:p>
      <w:pPr>
        <w:pageBreakBefore w:val="0"/>
        <w:widowControl w:val="0"/>
        <w:kinsoku/>
        <w:wordWrap/>
        <w:overflowPunct/>
        <w:topLinePunct/>
        <w:autoSpaceDE/>
        <w:autoSpaceDN/>
        <w:bidi w:val="0"/>
        <w:adjustRightInd/>
        <w:spacing w:line="396"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投标人应按投标人须知前附表要求提交加密版电子投标文件。投标文件应包括下列内容：</w:t>
      </w:r>
    </w:p>
    <w:p>
      <w:pPr>
        <w:pageBreakBefore w:val="0"/>
        <w:widowControl w:val="0"/>
        <w:kinsoku/>
        <w:wordWrap/>
        <w:overflowPunct/>
        <w:topLinePunct/>
        <w:autoSpaceDE/>
        <w:autoSpaceDN/>
        <w:bidi w:val="0"/>
        <w:adjustRightInd/>
        <w:spacing w:line="396" w:lineRule="auto"/>
        <w:rPr>
          <w:rFonts w:hint="eastAsia" w:ascii="宋体" w:hAnsi="宋体" w:eastAsia="宋体" w:cs="宋体"/>
          <w:b/>
          <w:bCs/>
          <w:sz w:val="24"/>
          <w:szCs w:val="24"/>
        </w:rPr>
      </w:pPr>
      <w:r>
        <w:rPr>
          <w:rFonts w:hint="eastAsia" w:ascii="宋体" w:hAnsi="宋体" w:eastAsia="宋体" w:cs="宋体"/>
          <w:b/>
          <w:bCs/>
          <w:sz w:val="24"/>
          <w:szCs w:val="24"/>
        </w:rPr>
        <w:t>第一部分  经济部分</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1.投标函</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2.投标报价一览表</w:t>
      </w:r>
    </w:p>
    <w:p>
      <w:pPr>
        <w:pageBreakBefore w:val="0"/>
        <w:widowControl w:val="0"/>
        <w:kinsoku/>
        <w:wordWrap/>
        <w:overflowPunct/>
        <w:topLinePunct/>
        <w:autoSpaceDE/>
        <w:autoSpaceDN/>
        <w:bidi w:val="0"/>
        <w:adjustRightInd/>
        <w:spacing w:line="396" w:lineRule="auto"/>
        <w:rPr>
          <w:rFonts w:hint="eastAsia" w:ascii="宋体" w:hAnsi="宋体" w:eastAsia="宋体" w:cs="宋体"/>
          <w:b/>
          <w:bCs/>
          <w:sz w:val="24"/>
          <w:szCs w:val="24"/>
        </w:rPr>
      </w:pPr>
      <w:r>
        <w:rPr>
          <w:rFonts w:hint="eastAsia" w:ascii="宋体" w:hAnsi="宋体" w:eastAsia="宋体" w:cs="宋体"/>
          <w:b/>
          <w:bCs/>
          <w:sz w:val="24"/>
          <w:szCs w:val="24"/>
        </w:rPr>
        <w:t>第二部分  技术部分</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1.技术偏离表</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2.服务方案</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3.优惠服务承诺</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4.投标人认为有利于本项目竞争的其他材料</w:t>
      </w:r>
    </w:p>
    <w:p>
      <w:pPr>
        <w:pageBreakBefore w:val="0"/>
        <w:widowControl w:val="0"/>
        <w:kinsoku/>
        <w:wordWrap/>
        <w:overflowPunct/>
        <w:topLinePunct/>
        <w:autoSpaceDE/>
        <w:autoSpaceDN/>
        <w:bidi w:val="0"/>
        <w:adjustRightInd/>
        <w:spacing w:line="396" w:lineRule="auto"/>
        <w:rPr>
          <w:rFonts w:hint="eastAsia" w:ascii="宋体" w:hAnsi="宋体" w:eastAsia="宋体" w:cs="宋体"/>
          <w:b/>
          <w:bCs/>
          <w:sz w:val="24"/>
          <w:szCs w:val="24"/>
        </w:rPr>
      </w:pPr>
      <w:r>
        <w:rPr>
          <w:rFonts w:hint="eastAsia" w:ascii="宋体" w:hAnsi="宋体" w:eastAsia="宋体" w:cs="宋体"/>
          <w:b/>
          <w:bCs/>
          <w:sz w:val="24"/>
          <w:szCs w:val="24"/>
        </w:rPr>
        <w:t>第三部分  综合部分</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1.法定代表人身份证明</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2.法定代表人授权委托书</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3.商务条款偏离表</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4.基本账户开户许可证复印件（或基本存款账户信息）</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5.资格审查资料</w:t>
      </w:r>
    </w:p>
    <w:p>
      <w:pPr>
        <w:pageBreakBefore w:val="0"/>
        <w:widowControl w:val="0"/>
        <w:kinsoku/>
        <w:wordWrap/>
        <w:overflowPunct/>
        <w:topLinePunct/>
        <w:autoSpaceDE/>
        <w:autoSpaceDN/>
        <w:bidi w:val="0"/>
        <w:adjustRightInd/>
        <w:spacing w:line="39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6.诚信承诺书</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10、偏离</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10.1为方便对投标文件的评审，投标人应将任何不同于招标文件的技术规格和商务条款列于《偏离表》中。有实质性不响应的投标文件将被拒绝。</w:t>
      </w:r>
      <w:r>
        <w:rPr>
          <w:rFonts w:hint="eastAsia" w:ascii="宋体" w:hAnsi="宋体" w:eastAsia="宋体" w:cs="宋体"/>
          <w:b/>
          <w:sz w:val="24"/>
          <w:szCs w:val="24"/>
        </w:rPr>
        <w:t>如果对招标文件的要求有偏离，必须在商务/技术偏离表中列明，如果没有在偏离表中列明，就表示全部响应招标文件的要求。</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11、投标价格</w:t>
      </w:r>
    </w:p>
    <w:p>
      <w:pPr>
        <w:pStyle w:val="32"/>
        <w:pageBreakBefore w:val="0"/>
        <w:widowControl w:val="0"/>
        <w:kinsoku/>
        <w:wordWrap/>
        <w:overflowPunct/>
        <w:topLinePunct/>
        <w:autoSpaceDE/>
        <w:autoSpaceDN/>
        <w:bidi w:val="0"/>
        <w:adjustRightInd/>
        <w:spacing w:line="396" w:lineRule="auto"/>
        <w:ind w:left="100" w:right="112" w:firstLine="419"/>
        <w:rPr>
          <w:rFonts w:hint="eastAsia" w:ascii="宋体" w:hAnsi="宋体" w:eastAsia="宋体" w:cs="宋体"/>
        </w:rPr>
      </w:pPr>
      <w:r>
        <w:rPr>
          <w:rFonts w:hint="eastAsia" w:ascii="宋体" w:hAnsi="宋体" w:eastAsia="宋体" w:cs="宋体"/>
          <w:szCs w:val="24"/>
        </w:rPr>
        <w:t xml:space="preserve">11.1 </w:t>
      </w:r>
      <w:r>
        <w:rPr>
          <w:rFonts w:hint="eastAsia" w:ascii="宋体" w:hAnsi="宋体" w:eastAsia="宋体" w:cs="宋体"/>
          <w:spacing w:val="-4"/>
        </w:rPr>
        <w:t>投标报价应包括国家规定的增值税税金，除投标人须知前附表另有规定外，增值税税</w:t>
      </w:r>
      <w:r>
        <w:rPr>
          <w:rFonts w:hint="eastAsia" w:ascii="宋体" w:hAnsi="宋体" w:eastAsia="宋体" w:cs="宋体"/>
        </w:rPr>
        <w:t>金按一般计税方法计算。投标人应按第</w:t>
      </w:r>
      <w:r>
        <w:rPr>
          <w:rFonts w:hint="eastAsia" w:ascii="宋体" w:hAnsi="宋体" w:eastAsia="宋体" w:cs="宋体"/>
          <w:lang w:val="en-US" w:eastAsia="zh-CN"/>
        </w:rPr>
        <w:t>五</w:t>
      </w:r>
      <w:r>
        <w:rPr>
          <w:rFonts w:hint="eastAsia" w:ascii="宋体" w:hAnsi="宋体" w:eastAsia="宋体" w:cs="宋体"/>
        </w:rPr>
        <w:t>章“投标文件格式”的要求在投标函及投标函附录中进行报价并填写分项报价表。</w:t>
      </w:r>
    </w:p>
    <w:p>
      <w:pPr>
        <w:pStyle w:val="32"/>
        <w:pageBreakBefore w:val="0"/>
        <w:widowControl w:val="0"/>
        <w:kinsoku/>
        <w:wordWrap/>
        <w:overflowPunct/>
        <w:topLinePunct/>
        <w:autoSpaceDE/>
        <w:autoSpaceDN/>
        <w:bidi w:val="0"/>
        <w:adjustRightInd/>
        <w:spacing w:line="396" w:lineRule="auto"/>
        <w:ind w:left="520" w:right="102"/>
        <w:rPr>
          <w:rFonts w:hint="eastAsia" w:ascii="宋体" w:hAnsi="宋体" w:eastAsia="宋体" w:cs="宋体"/>
        </w:rPr>
      </w:pPr>
      <w:r>
        <w:rPr>
          <w:rFonts w:hint="eastAsia" w:ascii="宋体" w:hAnsi="宋体" w:eastAsia="宋体" w:cs="宋体"/>
          <w:szCs w:val="24"/>
        </w:rPr>
        <w:t xml:space="preserve">11.2 </w:t>
      </w:r>
      <w:r>
        <w:rPr>
          <w:rFonts w:hint="eastAsia" w:ascii="宋体" w:hAnsi="宋体" w:eastAsia="宋体" w:cs="宋体"/>
        </w:rPr>
        <w:t>投标人应充分了解该项目的总体情况以及影响投标报价的其他要素。</w:t>
      </w:r>
    </w:p>
    <w:p>
      <w:pPr>
        <w:pStyle w:val="32"/>
        <w:pageBreakBefore w:val="0"/>
        <w:widowControl w:val="0"/>
        <w:kinsoku/>
        <w:wordWrap/>
        <w:overflowPunct/>
        <w:topLinePunct/>
        <w:autoSpaceDE/>
        <w:autoSpaceDN/>
        <w:bidi w:val="0"/>
        <w:adjustRightInd/>
        <w:spacing w:line="396" w:lineRule="auto"/>
        <w:ind w:left="100" w:right="113" w:firstLine="419"/>
        <w:rPr>
          <w:rFonts w:hint="eastAsia" w:ascii="宋体" w:hAnsi="宋体" w:eastAsia="宋体" w:cs="宋体"/>
        </w:rPr>
      </w:pPr>
      <w:r>
        <w:rPr>
          <w:rFonts w:hint="eastAsia" w:ascii="宋体" w:hAnsi="宋体" w:eastAsia="宋体" w:cs="宋体"/>
          <w:szCs w:val="24"/>
        </w:rPr>
        <w:t>11.3</w:t>
      </w:r>
      <w:r>
        <w:rPr>
          <w:rFonts w:hint="eastAsia" w:ascii="宋体" w:hAnsi="宋体" w:eastAsia="宋体" w:cs="宋体"/>
        </w:rPr>
        <w:t xml:space="preserve"> </w:t>
      </w:r>
      <w:r>
        <w:rPr>
          <w:rFonts w:hint="eastAsia" w:ascii="宋体" w:hAnsi="宋体" w:eastAsia="宋体" w:cs="宋体"/>
          <w:spacing w:val="-4"/>
        </w:rPr>
        <w:t>投标报价为各分项报价金额之和，投标报价与分项报价的合价不一致的，应以各分项</w:t>
      </w:r>
      <w:r>
        <w:rPr>
          <w:rFonts w:hint="eastAsia" w:ascii="宋体" w:hAnsi="宋体" w:eastAsia="宋体" w:cs="宋体"/>
          <w:spacing w:val="-1"/>
        </w:rPr>
        <w:t>合价累计数为准，修正投标报价；如分项报价中存在缺漏项，则视为缺漏项价格已包含在其他分项报价之中。投标人在投标截止时间前修改投标函及投标函附录中的投标报价总额，应同时修改投标文件“</w:t>
      </w:r>
      <w:r>
        <w:rPr>
          <w:rFonts w:hint="eastAsia" w:ascii="宋体" w:hAnsi="宋体" w:eastAsia="宋体" w:cs="宋体"/>
        </w:rPr>
        <w:t>分项报价表</w:t>
      </w:r>
      <w:r>
        <w:rPr>
          <w:rFonts w:hint="eastAsia" w:ascii="宋体" w:hAnsi="宋体" w:eastAsia="宋体" w:cs="宋体"/>
          <w:spacing w:val="-1"/>
        </w:rPr>
        <w:t xml:space="preserve">” </w:t>
      </w:r>
      <w:r>
        <w:rPr>
          <w:rFonts w:hint="eastAsia" w:ascii="宋体" w:hAnsi="宋体" w:eastAsia="宋体" w:cs="宋体"/>
        </w:rPr>
        <w:t xml:space="preserve">中的相应报价。此修改须符合本章第 </w:t>
      </w:r>
      <w:r>
        <w:rPr>
          <w:rFonts w:hint="eastAsia" w:ascii="宋体" w:hAnsi="宋体" w:eastAsia="宋体" w:cs="宋体"/>
          <w:spacing w:val="-1"/>
          <w:szCs w:val="22"/>
        </w:rPr>
        <w:t xml:space="preserve">19 </w:t>
      </w:r>
      <w:r>
        <w:rPr>
          <w:rFonts w:hint="eastAsia" w:ascii="宋体" w:hAnsi="宋体" w:eastAsia="宋体" w:cs="宋体"/>
        </w:rPr>
        <w:t>款的有关要求。</w:t>
      </w:r>
    </w:p>
    <w:p>
      <w:pPr>
        <w:pStyle w:val="32"/>
        <w:pageBreakBefore w:val="0"/>
        <w:widowControl w:val="0"/>
        <w:kinsoku/>
        <w:wordWrap/>
        <w:overflowPunct/>
        <w:topLinePunct/>
        <w:autoSpaceDE/>
        <w:autoSpaceDN/>
        <w:bidi w:val="0"/>
        <w:adjustRightInd/>
        <w:spacing w:line="396" w:lineRule="auto"/>
        <w:ind w:left="100" w:right="113" w:firstLine="419"/>
        <w:rPr>
          <w:rFonts w:hint="eastAsia" w:ascii="宋体" w:hAnsi="宋体" w:eastAsia="宋体" w:cs="宋体"/>
        </w:rPr>
      </w:pPr>
      <w:r>
        <w:rPr>
          <w:rFonts w:hint="eastAsia" w:ascii="宋体" w:hAnsi="宋体" w:eastAsia="宋体" w:cs="宋体"/>
          <w:szCs w:val="24"/>
        </w:rPr>
        <w:t>11.4</w:t>
      </w:r>
      <w:r>
        <w:rPr>
          <w:rFonts w:hint="eastAsia" w:ascii="宋体" w:hAnsi="宋体" w:eastAsia="宋体" w:cs="宋体"/>
        </w:rPr>
        <w:t xml:space="preserve"> </w:t>
      </w:r>
      <w:r>
        <w:rPr>
          <w:rFonts w:hint="eastAsia" w:ascii="宋体" w:hAnsi="宋体" w:eastAsia="宋体" w:cs="宋体"/>
          <w:spacing w:val="-4"/>
        </w:rPr>
        <w:t>采购人设有最高投标限价的，投标人的投标报价不得超过最高投标限价（本项目不设最高投标限价）</w:t>
      </w:r>
      <w:r>
        <w:rPr>
          <w:rFonts w:hint="eastAsia" w:ascii="宋体" w:hAnsi="宋体" w:eastAsia="宋体" w:cs="宋体"/>
        </w:rPr>
        <w:t>。</w:t>
      </w:r>
    </w:p>
    <w:p>
      <w:pPr>
        <w:pageBreakBefore w:val="0"/>
        <w:widowControl w:val="0"/>
        <w:kinsoku/>
        <w:wordWrap/>
        <w:overflowPunct/>
        <w:topLinePunct/>
        <w:autoSpaceDE/>
        <w:autoSpaceDN/>
        <w:bidi w:val="0"/>
        <w:adjustRightInd/>
        <w:spacing w:line="396" w:lineRule="auto"/>
        <w:ind w:firstLine="436" w:firstLineChars="182"/>
        <w:rPr>
          <w:rFonts w:hint="eastAsia" w:ascii="宋体" w:hAnsi="宋体" w:eastAsia="宋体" w:cs="宋体"/>
          <w:sz w:val="24"/>
          <w:szCs w:val="24"/>
        </w:rPr>
      </w:pPr>
      <w:r>
        <w:rPr>
          <w:rFonts w:hint="eastAsia" w:ascii="宋体" w:hAnsi="宋体" w:eastAsia="宋体" w:cs="宋体"/>
          <w:sz w:val="24"/>
          <w:szCs w:val="24"/>
        </w:rPr>
        <w:t>11.5 投标人不得以低于成本的报价竞标。最低投标价不是被授予合同的唯一保证。</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12、投标货币</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 投标价必须为人民币。</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13、投标保证金（本项目不涉及）。</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14、投标文件的有效期</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14.1投标应自本须知第17.1条规定的开标日起，并在“投标人须知前附表”中所述时期内保持有效。投标有效期不足的投标将被视为非响应性投标而予以拒绝；</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14.2特殊情况下，在原投标有效期截止之前，招标机构可要求投标人同意延长投标有效期。这种要求与答复均应以书面形式提交。投标人可拒绝招标机构的这种要求，其投标保证金将予以退还。接受延长投标有效期的投标人将不会被要求和允许修正其投标，而只会被要求相应地延长其投标保证金的有效期。在这种情况下，本须知第13条有关投标保证金的退还和不予退还的规定将在延长了的有效期内继续有效。</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15、投标文件的制作和签署</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15.1加密电子投标文件（*.hnzf 格式）应在投标截止时间前通过“河南省公共资源交易中心（http://www.hnggzy.net/）”电子交易平台加密上传。</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 投标文件中任何行间插字、涂改和增删，必须由投标文件签字人在旁边签字方为有效；</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15.3投标文件中要求签章的地方均为公章。</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p>
    <w:p>
      <w:pPr>
        <w:pStyle w:val="3"/>
        <w:bidi w:val="0"/>
        <w:rPr>
          <w:rFonts w:hint="eastAsia"/>
        </w:rPr>
      </w:pPr>
      <w:bookmarkStart w:id="14" w:name="_Toc13732"/>
      <w:r>
        <w:rPr>
          <w:rFonts w:hint="eastAsia"/>
        </w:rPr>
        <w:t>五、投标文件的递交</w:t>
      </w:r>
      <w:bookmarkEnd w:id="14"/>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16、投标文件的加密</w:t>
      </w:r>
    </w:p>
    <w:p>
      <w:pPr>
        <w:pageBreakBefore w:val="0"/>
        <w:widowControl w:val="0"/>
        <w:kinsoku/>
        <w:wordWrap/>
        <w:overflowPunct/>
        <w:topLinePunct/>
        <w:autoSpaceDE/>
        <w:autoSpaceDN/>
        <w:bidi w:val="0"/>
        <w:adjustRightInd/>
        <w:snapToGrid w:val="0"/>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16.1投标人应按投标人须知前附表的规定加密上传电子投标文件。</w:t>
      </w:r>
    </w:p>
    <w:p>
      <w:pPr>
        <w:pageBreakBefore w:val="0"/>
        <w:widowControl w:val="0"/>
        <w:tabs>
          <w:tab w:val="left" w:pos="720"/>
        </w:tabs>
        <w:kinsoku/>
        <w:wordWrap/>
        <w:overflowPunct/>
        <w:topLinePunct/>
        <w:autoSpaceDE/>
        <w:autoSpaceDN/>
        <w:bidi w:val="0"/>
        <w:adjustRightInd/>
        <w:spacing w:line="396" w:lineRule="auto"/>
        <w:ind w:firstLine="470" w:firstLineChars="196"/>
        <w:rPr>
          <w:rFonts w:hint="eastAsia" w:ascii="宋体" w:hAnsi="宋体" w:eastAsia="宋体" w:cs="宋体"/>
          <w:sz w:val="24"/>
          <w:szCs w:val="24"/>
        </w:rPr>
      </w:pPr>
      <w:r>
        <w:rPr>
          <w:rFonts w:hint="eastAsia" w:ascii="宋体" w:hAnsi="宋体" w:eastAsia="宋体" w:cs="宋体"/>
          <w:sz w:val="24"/>
          <w:szCs w:val="24"/>
        </w:rPr>
        <w:t>16.2 投标人未按本章15.1、15.2、15.3和投标人须知前附表规定盖章、签字并加密上传电子投标文件，采购代理机构将不承担因此而产生的责任。</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17、递交投标文件的截止日期</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17.1投标人须将投标文件于按投标人须知前附表规定的投标截止时间前，递交到投标须知中指定的地点。</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18、投标文件有下列情形之一的，采购人应当拒收：</w:t>
      </w:r>
    </w:p>
    <w:p>
      <w:pPr>
        <w:pageBreakBefore w:val="0"/>
        <w:widowControl w:val="0"/>
        <w:kinsoku/>
        <w:wordWrap/>
        <w:overflowPunct/>
        <w:topLinePunct/>
        <w:autoSpaceDE/>
        <w:autoSpaceDN/>
        <w:bidi w:val="0"/>
        <w:adjustRightInd/>
        <w:spacing w:line="396" w:lineRule="auto"/>
        <w:ind w:firstLine="480"/>
        <w:rPr>
          <w:rFonts w:hint="eastAsia" w:ascii="宋体" w:hAnsi="宋体" w:eastAsia="宋体" w:cs="宋体"/>
          <w:sz w:val="24"/>
          <w:szCs w:val="24"/>
        </w:rPr>
      </w:pPr>
      <w:r>
        <w:rPr>
          <w:rFonts w:hint="eastAsia" w:ascii="宋体" w:hAnsi="宋体" w:eastAsia="宋体" w:cs="宋体"/>
          <w:sz w:val="24"/>
          <w:szCs w:val="24"/>
        </w:rPr>
        <w:t>18.1逾期上传加密电子文件至指定地点；</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18.2未按招标文件要求加密上传。</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 xml:space="preserve">19、投标文件的修改与撤回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19.1 在投标人须知前附表规定的投标截止时间前，投标人可以修改或撤回已递交的投标文件，但应以书面形式通知采购人。</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19.2 投标人修改或撤回已递交投标文件的书面通知应按照本章第15项的要求签字或盖章。采购人收到书面通知后，向投标人出具签收凭证。</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19.3 修改的内容为投标文件的组成部分。修改的投标文件应按照本章第15 条、第16条规定进行编制、标记和上传，并标明“修改”字样。</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p>
    <w:p>
      <w:pPr>
        <w:pStyle w:val="3"/>
        <w:bidi w:val="0"/>
        <w:rPr>
          <w:rFonts w:hint="eastAsia"/>
        </w:rPr>
      </w:pPr>
      <w:bookmarkStart w:id="15" w:name="_Toc30450"/>
      <w:r>
        <w:rPr>
          <w:rFonts w:hint="eastAsia"/>
        </w:rPr>
        <w:t>六、开标与评标</w:t>
      </w:r>
      <w:bookmarkEnd w:id="15"/>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 xml:space="preserve">20、开标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20.1 开标时间和地点</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采购人在投标人须知前附表规定的投标截止时间（开标时间）和投标人须知前附表规定的地点公开开标，并邀请所有投标人的法定代表人（单位负责人）或其委托代理人：准时远程参加。</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20.2 开标程序</w:t>
      </w:r>
    </w:p>
    <w:p>
      <w:pPr>
        <w:pStyle w:val="19"/>
        <w:pageBreakBefore w:val="0"/>
        <w:widowControl w:val="0"/>
        <w:kinsoku/>
        <w:wordWrap/>
        <w:overflowPunct/>
        <w:topLinePunct/>
        <w:autoSpaceDE/>
        <w:autoSpaceDN/>
        <w:bidi w:val="0"/>
        <w:adjustRightInd/>
        <w:spacing w:line="396" w:lineRule="auto"/>
        <w:ind w:firstLine="480"/>
        <w:rPr>
          <w:rFonts w:hint="eastAsia" w:ascii="宋体" w:hAnsi="宋体" w:eastAsia="宋体" w:cs="宋体"/>
          <w:sz w:val="24"/>
        </w:rPr>
      </w:pPr>
      <w:r>
        <w:rPr>
          <w:rFonts w:hint="eastAsia" w:ascii="宋体" w:hAnsi="宋体" w:eastAsia="宋体" w:cs="宋体"/>
          <w:sz w:val="24"/>
        </w:rPr>
        <w:t>工作人员按下列程序进行开标：</w:t>
      </w:r>
    </w:p>
    <w:p>
      <w:pPr>
        <w:pStyle w:val="19"/>
        <w:pageBreakBefore w:val="0"/>
        <w:widowControl w:val="0"/>
        <w:kinsoku/>
        <w:wordWrap/>
        <w:overflowPunct/>
        <w:topLinePunct/>
        <w:autoSpaceDE/>
        <w:autoSpaceDN/>
        <w:bidi w:val="0"/>
        <w:adjustRightInd/>
        <w:spacing w:line="396" w:lineRule="auto"/>
        <w:ind w:firstLine="480"/>
        <w:rPr>
          <w:rFonts w:hint="eastAsia" w:ascii="宋体" w:hAnsi="宋体" w:eastAsia="宋体" w:cs="宋体"/>
          <w:sz w:val="24"/>
        </w:rPr>
      </w:pPr>
      <w:r>
        <w:rPr>
          <w:rFonts w:hint="eastAsia" w:ascii="宋体" w:hAnsi="宋体" w:eastAsia="宋体" w:cs="宋体"/>
          <w:sz w:val="24"/>
        </w:rPr>
        <w:t>（1）平台宣布开标纪律；</w:t>
      </w:r>
    </w:p>
    <w:p>
      <w:pPr>
        <w:pStyle w:val="19"/>
        <w:pageBreakBefore w:val="0"/>
        <w:widowControl w:val="0"/>
        <w:kinsoku/>
        <w:wordWrap/>
        <w:overflowPunct/>
        <w:topLinePunct/>
        <w:autoSpaceDE/>
        <w:autoSpaceDN/>
        <w:bidi w:val="0"/>
        <w:adjustRightInd/>
        <w:spacing w:line="396" w:lineRule="auto"/>
        <w:ind w:firstLine="480"/>
        <w:rPr>
          <w:rFonts w:hint="eastAsia" w:ascii="宋体" w:hAnsi="宋体" w:eastAsia="宋体" w:cs="宋体"/>
          <w:sz w:val="24"/>
        </w:rPr>
      </w:pPr>
      <w:r>
        <w:rPr>
          <w:rFonts w:hint="eastAsia" w:ascii="宋体" w:hAnsi="宋体" w:eastAsia="宋体" w:cs="宋体"/>
          <w:sz w:val="24"/>
        </w:rPr>
        <w:t>（2）公布投标人名称；</w:t>
      </w:r>
    </w:p>
    <w:p>
      <w:pPr>
        <w:pStyle w:val="19"/>
        <w:pageBreakBefore w:val="0"/>
        <w:widowControl w:val="0"/>
        <w:kinsoku/>
        <w:wordWrap/>
        <w:overflowPunct/>
        <w:topLinePunct/>
        <w:autoSpaceDE/>
        <w:autoSpaceDN/>
        <w:bidi w:val="0"/>
        <w:adjustRightInd/>
        <w:spacing w:line="396" w:lineRule="auto"/>
        <w:ind w:firstLine="480"/>
        <w:rPr>
          <w:rFonts w:hint="eastAsia" w:ascii="宋体" w:hAnsi="宋体" w:eastAsia="宋体" w:cs="宋体"/>
          <w:sz w:val="24"/>
        </w:rPr>
      </w:pPr>
      <w:r>
        <w:rPr>
          <w:rFonts w:hint="eastAsia" w:ascii="宋体" w:hAnsi="宋体" w:eastAsia="宋体" w:cs="宋体"/>
          <w:sz w:val="24"/>
        </w:rPr>
        <w:t>（3）投标人代表在规定时间内远程解密电子投标文件；</w:t>
      </w:r>
    </w:p>
    <w:p>
      <w:pPr>
        <w:pStyle w:val="19"/>
        <w:pageBreakBefore w:val="0"/>
        <w:widowControl w:val="0"/>
        <w:kinsoku/>
        <w:wordWrap/>
        <w:overflowPunct/>
        <w:topLinePunct/>
        <w:autoSpaceDE/>
        <w:autoSpaceDN/>
        <w:bidi w:val="0"/>
        <w:adjustRightInd/>
        <w:spacing w:line="396" w:lineRule="auto"/>
        <w:ind w:firstLine="480"/>
        <w:rPr>
          <w:rFonts w:hint="eastAsia" w:ascii="宋体" w:hAnsi="宋体" w:eastAsia="宋体" w:cs="宋体"/>
          <w:sz w:val="24"/>
        </w:rPr>
      </w:pPr>
      <w:r>
        <w:rPr>
          <w:rFonts w:hint="eastAsia" w:ascii="宋体" w:hAnsi="宋体" w:eastAsia="宋体" w:cs="宋体"/>
          <w:sz w:val="24"/>
        </w:rPr>
        <w:t>（4）采购人解密并导入文件；</w:t>
      </w:r>
    </w:p>
    <w:p>
      <w:pPr>
        <w:pStyle w:val="19"/>
        <w:pageBreakBefore w:val="0"/>
        <w:widowControl w:val="0"/>
        <w:kinsoku/>
        <w:wordWrap/>
        <w:overflowPunct/>
        <w:topLinePunct/>
        <w:autoSpaceDE/>
        <w:autoSpaceDN/>
        <w:bidi w:val="0"/>
        <w:adjustRightInd/>
        <w:spacing w:line="396" w:lineRule="auto"/>
        <w:ind w:firstLine="480"/>
        <w:rPr>
          <w:rFonts w:hint="eastAsia" w:ascii="宋体" w:hAnsi="宋体" w:eastAsia="宋体" w:cs="宋体"/>
          <w:sz w:val="24"/>
        </w:rPr>
      </w:pPr>
      <w:r>
        <w:rPr>
          <w:rFonts w:hint="eastAsia" w:ascii="宋体" w:hAnsi="宋体" w:eastAsia="宋体" w:cs="宋体"/>
          <w:sz w:val="24"/>
        </w:rPr>
        <w:t>（5）电子唱标、投标人授权代表在规定的时间内提出异议（如有）；</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rPr>
      </w:pPr>
      <w:r>
        <w:rPr>
          <w:rFonts w:hint="eastAsia" w:ascii="宋体" w:hAnsi="宋体" w:eastAsia="宋体" w:cs="宋体"/>
          <w:sz w:val="24"/>
        </w:rPr>
        <w:t>（6）开标结束。</w:t>
      </w:r>
    </w:p>
    <w:p>
      <w:pPr>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21、评标</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按照《中华人民共和国政府采购法》和依据《河南省评标专家和评标专家库管理办法》等有关规定，结合本项目特点特定本评标办法。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21.1评标组织</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21.1.1 评标委员会组成：评标委员会由采购人代表和有关技术、经济等方面的专家组成，成员人数为7人。参加评标的有关技术、经济等方面的专家由采购人在开标前从《河南省政府采购专家库》随机抽取。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21.1.2 评标原则：公平、公正、科学、择优的原则。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21.1.3 评标方法：采用百分制综合评估法。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21.1.4 评标程序：分资格审查、符合性审查和推荐</w:t>
      </w:r>
      <w:r>
        <w:rPr>
          <w:rFonts w:hint="eastAsia" w:ascii="宋体" w:hAnsi="宋体" w:eastAsia="宋体" w:cs="宋体"/>
          <w:sz w:val="24"/>
          <w:szCs w:val="24"/>
          <w:lang w:eastAsia="zh-CN"/>
        </w:rPr>
        <w:t>中标候选人</w:t>
      </w:r>
      <w:r>
        <w:rPr>
          <w:rFonts w:hint="eastAsia" w:ascii="宋体" w:hAnsi="宋体" w:eastAsia="宋体" w:cs="宋体"/>
          <w:sz w:val="24"/>
          <w:szCs w:val="24"/>
        </w:rPr>
        <w:t xml:space="preserve">三个阶段。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 资格审查、符合性审查</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21.2.1资格性审查：公开招标采购项目开标结束后，采购人或者采购代理机构应当依法对投标人的资格进行审查，以确定投标人是否具备投标资格。资格性审查未通过的投标将被拒绝，不得进入评审环节；资格性审查通过的投标文件将交给评标委员会进行评审。</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21.2.2 符合性审查：评标委员会应当对符合资格的投标人的投标文件进行符合性审查，以确定其是否满足招标文件的实质性要求。</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详见本章节21.3.1资格审查、符合性审查表。</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21.2.3  投标截止时间前，有效投标文件少于法定数量的，采购人将依法重新招标。</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21.2.4 细微偏差不影响投标文件的有效性。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细微偏差是指投标文件在实质上响应招标文件要求，但个别</w:t>
      </w:r>
      <w:r>
        <w:rPr>
          <w:rFonts w:hint="eastAsia" w:ascii="宋体" w:hAnsi="宋体" w:eastAsia="宋体" w:cs="宋体"/>
          <w:sz w:val="24"/>
          <w:szCs w:val="24"/>
          <w:highlight w:val="none"/>
        </w:rPr>
        <w:t>地方存在</w:t>
      </w:r>
      <w:r>
        <w:rPr>
          <w:rFonts w:hint="eastAsia" w:ascii="宋体" w:hAnsi="宋体" w:cs="宋体"/>
          <w:sz w:val="24"/>
          <w:szCs w:val="24"/>
          <w:highlight w:val="none"/>
          <w:lang w:val="en-US" w:eastAsia="zh-CN"/>
        </w:rPr>
        <w:t>遗漏</w:t>
      </w:r>
      <w:r>
        <w:rPr>
          <w:rFonts w:hint="eastAsia" w:ascii="宋体" w:hAnsi="宋体" w:eastAsia="宋体" w:cs="宋体"/>
          <w:sz w:val="24"/>
          <w:szCs w:val="24"/>
          <w:highlight w:val="none"/>
        </w:rPr>
        <w:t>或</w:t>
      </w:r>
      <w:r>
        <w:rPr>
          <w:rFonts w:hint="eastAsia" w:ascii="宋体" w:hAnsi="宋体" w:eastAsia="宋体" w:cs="宋体"/>
          <w:sz w:val="24"/>
          <w:szCs w:val="24"/>
        </w:rPr>
        <w:t xml:space="preserve">者提供了不完整的技术信息和数据等情况，并且补正这些遗漏或者不完整不会对其他投标人造成不公平的结果。如投标文件中大写金额和小写金额不一致的，以大写金额为准；总价金额与单价金额不一致的，以单价金额为准，但单价金额小数点有明显错误的除外等。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21.2.5 评标委员会不对无效标评审。评标委员会拒绝投标人通过修正或撤消其不</w:t>
      </w:r>
      <w:r>
        <w:rPr>
          <w:rFonts w:hint="eastAsia" w:ascii="宋体" w:hAnsi="宋体" w:eastAsia="宋体" w:cs="宋体"/>
          <w:sz w:val="24"/>
          <w:szCs w:val="24"/>
          <w:highlight w:val="none"/>
        </w:rPr>
        <w:t>符合要求的</w:t>
      </w:r>
      <w:r>
        <w:rPr>
          <w:rFonts w:hint="eastAsia" w:ascii="宋体" w:hAnsi="宋体" w:cs="宋体"/>
          <w:sz w:val="24"/>
          <w:szCs w:val="24"/>
          <w:highlight w:val="none"/>
          <w:lang w:val="en-US" w:eastAsia="zh-CN"/>
        </w:rPr>
        <w:t>实质性</w:t>
      </w:r>
      <w:r>
        <w:rPr>
          <w:rFonts w:hint="eastAsia" w:ascii="宋体" w:hAnsi="宋体" w:eastAsia="宋体" w:cs="宋体"/>
          <w:sz w:val="24"/>
          <w:szCs w:val="24"/>
          <w:highlight w:val="none"/>
        </w:rPr>
        <w:t>偏差，使之成为</w:t>
      </w:r>
      <w:r>
        <w:rPr>
          <w:rFonts w:hint="eastAsia" w:ascii="宋体" w:hAnsi="宋体" w:eastAsia="宋体" w:cs="宋体"/>
          <w:sz w:val="24"/>
          <w:szCs w:val="24"/>
        </w:rPr>
        <w:t xml:space="preserve">具有响应性的投标。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21.2.6 投标文件的详细评审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经资格审查、符合性审查合格的投标文件，评标委员会根据招标文件确定的评标标准和方法，对其技术部分和商务部分作进一步评审与比较。</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21.2.7 本项目落实节能环保、中小微企业扶持、促进残疾人就业等相关政府采购政策。</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（1）根据《政府采购促进中小企业发展管理办法》（财库﹝2020﹞46 号）的规定，对于非专门面向中小企业的项目，对小型和微型企业产品的价格给予 </w:t>
      </w:r>
      <w:r>
        <w:rPr>
          <w:rFonts w:hint="eastAsia" w:ascii="宋体" w:hAnsi="宋体" w:cs="宋体"/>
          <w:sz w:val="24"/>
          <w:szCs w:val="24"/>
          <w:lang w:eastAsia="zh-CN"/>
        </w:rPr>
        <w:t>10%</w:t>
      </w:r>
      <w:r>
        <w:rPr>
          <w:rFonts w:hint="eastAsia" w:ascii="宋体" w:hAnsi="宋体" w:eastAsia="宋体" w:cs="宋体"/>
          <w:sz w:val="24"/>
          <w:szCs w:val="24"/>
        </w:rPr>
        <w:t>的扣除，用扣除后的价格参与评审，评标价不作为成交价和合同签约价，成交价和合同签约价仍以其投标文件中的报价为准。监狱企业视同小型、微型企业，中小微企业产品和监狱企业产品只给予一次价格扣除，不重复给予价格扣除。中小企业的认定标准按《中小企业划型标准规定》工信部联企业〔2011〕300号文件执行，投标人应提供《中小企业声明函》。</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监狱企业视同小型、微型企业，需提供省级及以上监狱管理局、戒毒管理局（含新疆生产建设兵团）出具的属于监狱企业的证明文件，否则不予认可。</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残疾人福利性单位视同小型、微型企业。按照关于促进残疾人就业政府采购政策的通知财库〔2017〕141号要求提供《</w:t>
      </w:r>
      <w:r>
        <w:rPr>
          <w:rFonts w:hint="eastAsia" w:ascii="宋体" w:hAnsi="宋体" w:eastAsia="宋体" w:cs="宋体"/>
        </w:rPr>
        <w:fldChar w:fldCharType="begin"/>
      </w:r>
      <w:r>
        <w:rPr>
          <w:rFonts w:hint="eastAsia" w:ascii="宋体" w:hAnsi="宋体" w:eastAsia="宋体" w:cs="宋体"/>
        </w:rPr>
        <w:instrText xml:space="preserve"> HYPERLINK "http://www.gov.cn/xinwen/2017-09/02/5222181/files/f1ba446ff1d041aab7b557a51912d058.docx" \t "_blank" </w:instrText>
      </w:r>
      <w:r>
        <w:rPr>
          <w:rFonts w:hint="eastAsia" w:ascii="宋体" w:hAnsi="宋体" w:eastAsia="宋体" w:cs="宋体"/>
        </w:rPr>
        <w:fldChar w:fldCharType="separate"/>
      </w:r>
      <w:r>
        <w:rPr>
          <w:rFonts w:hint="eastAsia" w:ascii="宋体" w:hAnsi="宋体" w:eastAsia="宋体" w:cs="宋体"/>
          <w:sz w:val="24"/>
          <w:szCs w:val="24"/>
        </w:rPr>
        <w:t>残疾人福利性单位声明函</w:t>
      </w:r>
      <w:r>
        <w:rPr>
          <w:rFonts w:hint="eastAsia" w:ascii="宋体" w:hAnsi="宋体" w:eastAsia="宋体" w:cs="宋体"/>
          <w:sz w:val="24"/>
          <w:szCs w:val="24"/>
        </w:rPr>
        <w:fldChar w:fldCharType="end"/>
      </w:r>
      <w:r>
        <w:rPr>
          <w:rFonts w:hint="eastAsia" w:ascii="宋体" w:hAnsi="宋体" w:eastAsia="宋体" w:cs="宋体"/>
          <w:sz w:val="24"/>
          <w:szCs w:val="24"/>
        </w:rPr>
        <w:t xml:space="preserve">》等有效证明材料，并对声明的真实性负责，否则不予认可。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采购项目若含有最新一期《节能产品政府采购品目清单》内强制采购的产品（具体产品以“★”标识），投标人须在财政部和发展改革委联合下发的最新一期节能产品政府采购品目清单范围内选择适用产品投标，否则视为非实质响应招标文件。投标人须提供国家确定的认证机构出具的、处于有效期之内的节能产品认证证书，否则不予认可。</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财政部、国家发改委、市场监管总局《调整优化节能产品、环境标志产品政府采购执行机制的通知》(财库〔2019〕9号)要求，优先采购政府部门公布的节能清单中所列的节能产品，投标人须提供国家确定的认证机构出具的、处于有效期之内的节能产品认证证书，否则不予认可。</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（4）根据财政部、国家发改委、市场监管总局《调整优化节能产品、环境标志产品政府采购执行机制的通知》(财库〔2019〕9号)要求，优先采购政府部门公布的环境标志产品政府采购清单中所列产品</w:t>
      </w:r>
      <w:r>
        <w:rPr>
          <w:rFonts w:hint="eastAsia" w:ascii="宋体" w:hAnsi="宋体" w:cs="宋体"/>
          <w:sz w:val="24"/>
          <w:szCs w:val="24"/>
          <w:lang w:eastAsia="zh-CN"/>
        </w:rPr>
        <w:t>，</w:t>
      </w:r>
      <w:r>
        <w:rPr>
          <w:rFonts w:hint="eastAsia" w:ascii="宋体" w:hAnsi="宋体" w:eastAsia="宋体" w:cs="宋体"/>
          <w:sz w:val="24"/>
          <w:szCs w:val="24"/>
        </w:rPr>
        <w:t>投标人须提供国家确定的认证机构出具的、处于有效期之内的环境标志产品认证证书，否则不予认可。</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21.2.8 推荐合格的</w:t>
      </w:r>
      <w:r>
        <w:rPr>
          <w:rFonts w:hint="eastAsia" w:ascii="宋体" w:hAnsi="宋体" w:eastAsia="宋体" w:cs="宋体"/>
          <w:sz w:val="24"/>
          <w:szCs w:val="24"/>
          <w:lang w:eastAsia="zh-CN"/>
        </w:rPr>
        <w:t>中标候选人</w:t>
      </w:r>
      <w:r>
        <w:rPr>
          <w:rFonts w:hint="eastAsia" w:ascii="宋体" w:hAnsi="宋体" w:eastAsia="宋体" w:cs="宋体"/>
          <w:sz w:val="24"/>
          <w:szCs w:val="24"/>
        </w:rPr>
        <w:t xml:space="preserve">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通过评标委员会对投标文件的综合评审，按评分办法和评分标准进行打分，所有评委打分的算术平均值即为该投标人的最终得分。评标委员会按各投标人的最终得分从高到低的顺序推荐 1-3 名</w:t>
      </w:r>
      <w:r>
        <w:rPr>
          <w:rFonts w:hint="eastAsia" w:ascii="宋体" w:hAnsi="宋体" w:eastAsia="宋体" w:cs="宋体"/>
          <w:sz w:val="24"/>
          <w:szCs w:val="24"/>
          <w:lang w:eastAsia="zh-CN"/>
        </w:rPr>
        <w:t>中标候选人</w:t>
      </w:r>
      <w:r>
        <w:rPr>
          <w:rFonts w:hint="eastAsia" w:ascii="宋体" w:hAnsi="宋体" w:eastAsia="宋体" w:cs="宋体"/>
          <w:sz w:val="24"/>
          <w:szCs w:val="24"/>
        </w:rPr>
        <w:t xml:space="preserve">。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评审得分相同的，按投标报价由低到高顺序排列；评审得分且投标报价相同的，按技术参数得分由高到低顺序排列；评审得分且投标报价且技术参数得分均相同的，“如果供应商拟提供的所有产品列入了国家有关部门最新公布的政府采购节能产品、环境标志产品实施品目清单，并提供了由国家确定的认证机构出具的、处于有效期之内的节能产品、环境标志产品认证证书，则其排序在前优先采购。”</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21.3 评标内容及标准： </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b/>
          <w:sz w:val="24"/>
          <w:szCs w:val="24"/>
        </w:rPr>
      </w:pPr>
      <w:bookmarkStart w:id="16" w:name="_Toc454890401"/>
      <w:bookmarkStart w:id="17" w:name="_Toc191983637"/>
      <w:r>
        <w:rPr>
          <w:rFonts w:hint="eastAsia" w:ascii="宋体" w:hAnsi="宋体" w:eastAsia="宋体" w:cs="宋体"/>
          <w:sz w:val="24"/>
          <w:szCs w:val="24"/>
        </w:rPr>
        <w:t>21.3.1</w:t>
      </w:r>
      <w:bookmarkEnd w:id="16"/>
      <w:bookmarkEnd w:id="17"/>
      <w:r>
        <w:rPr>
          <w:rFonts w:hint="eastAsia" w:ascii="宋体" w:hAnsi="宋体" w:eastAsia="宋体" w:cs="宋体"/>
          <w:sz w:val="24"/>
          <w:szCs w:val="24"/>
        </w:rPr>
        <w:t>资格审查：</w:t>
      </w:r>
    </w:p>
    <w:p>
      <w:pPr>
        <w:pStyle w:val="463"/>
        <w:keepNext w:val="0"/>
        <w:keepLines w:val="0"/>
        <w:pageBreakBefore w:val="0"/>
        <w:widowControl w:val="0"/>
        <w:kinsoku/>
        <w:wordWrap/>
        <w:overflowPunct/>
        <w:topLinePunct/>
        <w:autoSpaceDE/>
        <w:autoSpaceDN/>
        <w:bidi w:val="0"/>
        <w:adjustRightInd w:val="0"/>
        <w:snapToGrid/>
        <w:spacing w:line="420" w:lineRule="auto"/>
        <w:ind w:firstLine="480" w:firstLineChars="200"/>
        <w:textAlignment w:val="auto"/>
        <w:rPr>
          <w:rFonts w:hint="eastAsia" w:ascii="宋体" w:hAnsi="宋体" w:eastAsia="宋体" w:cs="宋体"/>
          <w:sz w:val="21"/>
          <w:szCs w:val="21"/>
          <w:highlight w:val="none"/>
          <w:lang w:bidi="ar"/>
        </w:rPr>
      </w:pPr>
      <w:r>
        <w:rPr>
          <w:rFonts w:hint="eastAsia" w:ascii="宋体" w:hAnsi="宋体" w:eastAsia="宋体" w:cs="宋体"/>
          <w:sz w:val="24"/>
          <w:szCs w:val="24"/>
        </w:rPr>
        <w:t>采购人或者采购代理机构按资格审查标准对投标人的资格进行审查，有一项不符合审查标准的，则资格审查不合格，其投标将被否决。</w:t>
      </w:r>
    </w:p>
    <w:p>
      <w:pPr>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br w:type="page"/>
      </w:r>
    </w:p>
    <w:p>
      <w:pPr>
        <w:pStyle w:val="3"/>
        <w:kinsoku/>
        <w:wordWrap/>
        <w:overflowPunct/>
        <w:topLinePunct/>
        <w:autoSpaceDE/>
        <w:autoSpaceDN/>
        <w:bidi w:val="0"/>
        <w:jc w:val="center"/>
        <w:rPr>
          <w:rFonts w:hint="eastAsia" w:ascii="宋体" w:hAnsi="宋体" w:eastAsia="宋体" w:cs="宋体"/>
          <w:sz w:val="24"/>
          <w:szCs w:val="24"/>
        </w:rPr>
      </w:pPr>
      <w:bookmarkStart w:id="18" w:name="_Toc23149"/>
      <w:r>
        <w:rPr>
          <w:rFonts w:hint="eastAsia" w:ascii="宋体" w:hAnsi="宋体" w:eastAsia="宋体" w:cs="宋体"/>
          <w:sz w:val="24"/>
          <w:szCs w:val="24"/>
        </w:rPr>
        <w:t>资格审查标准</w:t>
      </w:r>
      <w:bookmarkEnd w:id="18"/>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536"/>
        <w:gridCol w:w="2025"/>
        <w:gridCol w:w="5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69"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536"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审查因素</w:t>
            </w:r>
          </w:p>
        </w:tc>
        <w:tc>
          <w:tcPr>
            <w:tcW w:w="202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资格审查标准</w:t>
            </w:r>
          </w:p>
        </w:tc>
        <w:tc>
          <w:tcPr>
            <w:tcW w:w="5124"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资格审查内容及要求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69"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536"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独立承担民事责任的能力</w:t>
            </w:r>
          </w:p>
        </w:tc>
        <w:tc>
          <w:tcPr>
            <w:tcW w:w="202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具有独立承担民事责任的能力</w:t>
            </w:r>
          </w:p>
        </w:tc>
        <w:tc>
          <w:tcPr>
            <w:tcW w:w="5124"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供应商是企业（包括合伙企业），应提供有效“企业法人营业执照”或“营业执照”复印件或扫描件；供应商是事业单位，应提供有效的“事业单位法人证书”复印件或扫描件。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69"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536"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商业信誉和财务会计制度</w:t>
            </w:r>
          </w:p>
        </w:tc>
        <w:tc>
          <w:tcPr>
            <w:tcW w:w="202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具有良好的商业信誉和健全的财务会计制度</w:t>
            </w:r>
          </w:p>
        </w:tc>
        <w:tc>
          <w:tcPr>
            <w:tcW w:w="5124"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提供2022年财务审计报告或银行出具的资信证明，如有供应商成立时限不足要求时限的，由供应商提供其基本开户银行出具的资信证明。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69"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536"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履约能力</w:t>
            </w:r>
          </w:p>
        </w:tc>
        <w:tc>
          <w:tcPr>
            <w:tcW w:w="202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具有履行合同所必需的设备和专业技术能力</w:t>
            </w:r>
          </w:p>
        </w:tc>
        <w:tc>
          <w:tcPr>
            <w:tcW w:w="5124"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投标文件中附投标人所提供设备或技术人员证明复印件或扫描件或提供相应的承诺（格式自拟，盖公章）。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69"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1536"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依法缴纳税收和社会保障资金</w:t>
            </w:r>
          </w:p>
        </w:tc>
        <w:tc>
          <w:tcPr>
            <w:tcW w:w="202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有依法缴纳税收和社会保障资金的良好记录</w:t>
            </w:r>
          </w:p>
        </w:tc>
        <w:tc>
          <w:tcPr>
            <w:tcW w:w="5124"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提供2024年1月份以来任意一个月份依法纳税和缴纳社会保障资金的证明材料，如有供应商成立时限不足要求时限的，由供应商根据自身成立时间提供证明材料。依法免税或不需要缴纳社会保障资金的供应商，应提供相应文件证明其依法免税或不需要缴纳社会保障资金</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69"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536"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无重大违法记录</w:t>
            </w:r>
          </w:p>
        </w:tc>
        <w:tc>
          <w:tcPr>
            <w:tcW w:w="202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参加政府采购活动前3年内，在经营活动中没有重大违法记录</w:t>
            </w:r>
          </w:p>
        </w:tc>
        <w:tc>
          <w:tcPr>
            <w:tcW w:w="5124"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投标文件中附投标人参加政府采购活动前3年内在经营活动中没有重大违法记录的书面声明（格式自拟，盖公章）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69"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1536"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投标人不得存在的情形</w:t>
            </w:r>
          </w:p>
        </w:tc>
        <w:tc>
          <w:tcPr>
            <w:tcW w:w="202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单位负责人为同一人或者存在控股关系、管理关系的不同单位，不得参加同一标段投标或未划分标段的同一招标项目投标</w:t>
            </w:r>
          </w:p>
        </w:tc>
        <w:tc>
          <w:tcPr>
            <w:tcW w:w="5124"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提供“全国企业信用信息公示系统”中查询打印的相关材料并加盖公章（需包含公司基本信息、股东信息及股权变更信息)，事业单位可提供加盖公章的承诺函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69"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1536"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信用记录</w:t>
            </w:r>
          </w:p>
        </w:tc>
        <w:tc>
          <w:tcPr>
            <w:tcW w:w="202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对列入失信被执行人、重大税收违法失信主体、政府采购严重违法失信行为记录名单的投标供应商，拒绝参与本项目政府采购活动</w:t>
            </w:r>
          </w:p>
        </w:tc>
        <w:tc>
          <w:tcPr>
            <w:tcW w:w="5124"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采购人或采购代理机构应当在投标人递交投标文件或响应文件时查询投标人信用记录。查询时将查询网页、内容进行截图或拍照，以作证据留存，截图或拍照内容要完整清晰。</w:t>
            </w:r>
          </w:p>
        </w:tc>
      </w:tr>
    </w:tbl>
    <w:p>
      <w:pPr>
        <w:kinsoku/>
        <w:wordWrap/>
        <w:overflowPunct/>
        <w:topLinePunct/>
        <w:autoSpaceDE/>
        <w:autoSpaceDN/>
        <w:bidi w:val="0"/>
        <w:rPr>
          <w:rFonts w:hint="eastAsia" w:ascii="宋体" w:hAnsi="宋体" w:eastAsia="宋体" w:cs="宋体"/>
        </w:rPr>
      </w:pPr>
    </w:p>
    <w:p>
      <w:pPr>
        <w:pStyle w:val="3"/>
        <w:kinsoku/>
        <w:wordWrap/>
        <w:overflowPunct/>
        <w:topLinePunct/>
        <w:autoSpaceDE/>
        <w:autoSpaceDN/>
        <w:bidi w:val="0"/>
        <w:spacing w:line="500" w:lineRule="exact"/>
        <w:jc w:val="center"/>
        <w:rPr>
          <w:rFonts w:hint="eastAsia" w:ascii="宋体" w:hAnsi="宋体" w:eastAsia="宋体" w:cs="宋体"/>
          <w:sz w:val="24"/>
          <w:szCs w:val="24"/>
        </w:rPr>
      </w:pPr>
      <w:bookmarkStart w:id="19" w:name="_Toc17594"/>
      <w:r>
        <w:rPr>
          <w:rFonts w:hint="eastAsia" w:ascii="宋体" w:hAnsi="宋体" w:eastAsia="宋体" w:cs="宋体"/>
          <w:sz w:val="24"/>
          <w:szCs w:val="24"/>
        </w:rPr>
        <w:t>符合审查标准</w:t>
      </w:r>
      <w:bookmarkEnd w:id="19"/>
    </w:p>
    <w:p>
      <w:pPr>
        <w:kinsoku/>
        <w:wordWrap/>
        <w:overflowPunct/>
        <w:topLinePunct/>
        <w:autoSpaceDE/>
        <w:autoSpaceDN/>
        <w:bidi w:val="0"/>
        <w:spacing w:line="500" w:lineRule="exact"/>
        <w:ind w:firstLine="420" w:firstLineChars="200"/>
        <w:rPr>
          <w:rFonts w:hint="eastAsia" w:ascii="宋体" w:hAnsi="宋体" w:eastAsia="宋体" w:cs="宋体"/>
        </w:rPr>
      </w:pPr>
      <w:r>
        <w:rPr>
          <w:rFonts w:hint="eastAsia" w:ascii="宋体" w:hAnsi="宋体" w:eastAsia="宋体" w:cs="宋体"/>
        </w:rPr>
        <w:t>评标委员会对符合资格的投标人的投标文件按照符合性审查标准进行符合性审查，以确定其是否满足招标文件的实质性要求。符合性审查有一项不符合审查标准的，评标委员会应当否决其投标。</w:t>
      </w: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638"/>
        <w:gridCol w:w="5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审查因素</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签字盖章</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有法定代表人（单位负责人）或其委托代理人签字或加盖单位章。由法定代表人（单位负责人）签字的，应附法定代表人（单位负责人）身份证明，由代理人签字的，应附授权委托书，身份证明或授权委托书应符合第五章“投标文件格式”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投标报价</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各项只能有一个有效报价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投标范围</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项目期限承诺</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质量承诺</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合同期限承诺</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投标有效期</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权利和义务</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符合第四章“合同条款”中的规定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9</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技术标准与要求</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符合第三章“采购人要求”中的实质性要求和条件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10</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标书雷同性分析</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投标（响应）文件制作机器码不能一致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1"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cs="宋体"/>
                <w:sz w:val="21"/>
                <w:szCs w:val="21"/>
                <w:lang w:val="en-US" w:eastAsia="zh-CN"/>
              </w:rPr>
              <w:t>1</w:t>
            </w:r>
          </w:p>
        </w:tc>
        <w:tc>
          <w:tcPr>
            <w:tcW w:w="2638"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其他</w:t>
            </w:r>
          </w:p>
        </w:tc>
        <w:tc>
          <w:tcPr>
            <w:tcW w:w="5985" w:type="dxa"/>
            <w:vAlign w:val="center"/>
          </w:tcPr>
          <w:p>
            <w:pPr>
              <w:keepNext w:val="0"/>
              <w:keepLines w:val="0"/>
              <w:pageBreakBefore w:val="0"/>
              <w:widowControl w:val="0"/>
              <w:kinsoku/>
              <w:wordWrap/>
              <w:overflowPunct/>
              <w:topLinePunct/>
              <w:autoSpaceDE/>
              <w:autoSpaceDN/>
              <w:bidi w:val="0"/>
              <w:adjustRightInd/>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投标文件未附有采购人不能接受的条件</w:t>
            </w:r>
          </w:p>
        </w:tc>
      </w:tr>
    </w:tbl>
    <w:p>
      <w:pPr>
        <w:kinsoku/>
        <w:wordWrap/>
        <w:overflowPunct/>
        <w:topLinePunct/>
        <w:autoSpaceDE/>
        <w:autoSpaceDN/>
        <w:bidi w:val="0"/>
        <w:spacing w:line="500" w:lineRule="exact"/>
        <w:rPr>
          <w:rFonts w:hint="eastAsia" w:ascii="宋体" w:hAnsi="宋体" w:eastAsia="宋体" w:cs="宋体"/>
          <w:sz w:val="24"/>
          <w:szCs w:val="24"/>
        </w:rPr>
      </w:pPr>
      <w:r>
        <w:rPr>
          <w:rFonts w:hint="eastAsia" w:ascii="宋体" w:hAnsi="宋体" w:eastAsia="宋体" w:cs="宋体"/>
          <w:sz w:val="24"/>
          <w:szCs w:val="24"/>
        </w:rPr>
        <w:t>21.3.2详细评审：</w:t>
      </w: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722"/>
        <w:gridCol w:w="6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Align w:val="center"/>
          </w:tcPr>
          <w:p>
            <w:pPr>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b/>
                <w:sz w:val="21"/>
                <w:szCs w:val="21"/>
              </w:rPr>
            </w:pPr>
            <w:r>
              <w:rPr>
                <w:rFonts w:hint="eastAsia" w:ascii="宋体" w:hAnsi="宋体" w:eastAsia="宋体" w:cs="宋体"/>
                <w:b/>
                <w:kern w:val="0"/>
                <w:sz w:val="21"/>
                <w:szCs w:val="21"/>
              </w:rPr>
              <w:t>条款</w:t>
            </w:r>
          </w:p>
        </w:tc>
        <w:tc>
          <w:tcPr>
            <w:tcW w:w="1722" w:type="dxa"/>
            <w:vAlign w:val="center"/>
          </w:tcPr>
          <w:p>
            <w:pPr>
              <w:keepNext w:val="0"/>
              <w:keepLines w:val="0"/>
              <w:pageBreakBefore w:val="0"/>
              <w:widowControl/>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b/>
                <w:sz w:val="21"/>
                <w:szCs w:val="21"/>
              </w:rPr>
            </w:pPr>
            <w:r>
              <w:rPr>
                <w:rFonts w:hint="eastAsia" w:ascii="宋体" w:hAnsi="宋体" w:eastAsia="宋体" w:cs="宋体"/>
                <w:b/>
                <w:kern w:val="0"/>
                <w:sz w:val="21"/>
                <w:szCs w:val="21"/>
              </w:rPr>
              <w:t>评审因素及分值</w:t>
            </w:r>
          </w:p>
        </w:tc>
        <w:tc>
          <w:tcPr>
            <w:tcW w:w="6363" w:type="dxa"/>
            <w:vAlign w:val="center"/>
          </w:tcPr>
          <w:p>
            <w:pPr>
              <w:keepNext w:val="0"/>
              <w:keepLines w:val="0"/>
              <w:pageBreakBefore w:val="0"/>
              <w:widowControl/>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b/>
                <w:sz w:val="21"/>
                <w:szCs w:val="21"/>
              </w:rPr>
            </w:pPr>
            <w:r>
              <w:rPr>
                <w:rFonts w:hint="eastAsia" w:ascii="宋体" w:hAnsi="宋体" w:eastAsia="宋体" w:cs="宋体"/>
                <w:b/>
                <w:kern w:val="0"/>
                <w:sz w:val="21"/>
                <w:szCs w:val="21"/>
              </w:rPr>
              <w:t>评审内容及评分办法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91" w:type="dxa"/>
            <w:gridSpan w:val="2"/>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分值组成</w:t>
            </w:r>
          </w:p>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(总分100分)</w:t>
            </w:r>
          </w:p>
        </w:tc>
        <w:tc>
          <w:tcPr>
            <w:tcW w:w="6363" w:type="dxa"/>
            <w:vAlign w:val="center"/>
          </w:tcPr>
          <w:p>
            <w:pPr>
              <w:keepNext w:val="0"/>
              <w:keepLines w:val="0"/>
              <w:pageBreakBefore w:val="0"/>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rPr>
            </w:pPr>
            <w:r>
              <w:rPr>
                <w:rFonts w:hint="eastAsia" w:ascii="宋体" w:hAnsi="宋体" w:eastAsia="宋体" w:cs="宋体"/>
                <w:sz w:val="21"/>
                <w:szCs w:val="21"/>
              </w:rPr>
              <w:t>综合部分：</w:t>
            </w:r>
            <w:r>
              <w:rPr>
                <w:rFonts w:hint="eastAsia" w:ascii="宋体" w:hAnsi="宋体" w:eastAsia="宋体" w:cs="宋体"/>
                <w:sz w:val="21"/>
                <w:szCs w:val="21"/>
                <w:lang w:val="en-US" w:eastAsia="zh-CN"/>
              </w:rPr>
              <w:t>34</w:t>
            </w:r>
            <w:r>
              <w:rPr>
                <w:rFonts w:hint="eastAsia" w:ascii="宋体" w:hAnsi="宋体" w:eastAsia="宋体" w:cs="宋体"/>
                <w:sz w:val="21"/>
                <w:szCs w:val="21"/>
              </w:rPr>
              <w:t>分</w:t>
            </w:r>
          </w:p>
          <w:p>
            <w:pPr>
              <w:keepNext w:val="0"/>
              <w:keepLines w:val="0"/>
              <w:pageBreakBefore w:val="0"/>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rPr>
            </w:pPr>
            <w:r>
              <w:rPr>
                <w:rFonts w:hint="eastAsia" w:ascii="宋体" w:hAnsi="宋体" w:eastAsia="宋体" w:cs="宋体"/>
                <w:sz w:val="21"/>
                <w:szCs w:val="21"/>
              </w:rPr>
              <w:t>技术部分：</w:t>
            </w:r>
            <w:r>
              <w:rPr>
                <w:rFonts w:hint="eastAsia" w:ascii="宋体" w:hAnsi="宋体" w:eastAsia="宋体" w:cs="宋体"/>
                <w:sz w:val="21"/>
                <w:szCs w:val="21"/>
                <w:lang w:val="en-US" w:eastAsia="zh-CN"/>
              </w:rPr>
              <w:t>51</w:t>
            </w:r>
            <w:r>
              <w:rPr>
                <w:rFonts w:hint="eastAsia" w:ascii="宋体" w:hAnsi="宋体" w:eastAsia="宋体" w:cs="宋体"/>
                <w:sz w:val="21"/>
                <w:szCs w:val="21"/>
              </w:rPr>
              <w:t>分</w:t>
            </w:r>
          </w:p>
          <w:p>
            <w:pPr>
              <w:keepNext w:val="0"/>
              <w:keepLines w:val="0"/>
              <w:pageBreakBefore w:val="0"/>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rPr>
            </w:pPr>
            <w:r>
              <w:rPr>
                <w:rFonts w:hint="eastAsia" w:ascii="宋体" w:hAnsi="宋体" w:eastAsia="宋体" w:cs="宋体"/>
                <w:sz w:val="21"/>
                <w:szCs w:val="21"/>
              </w:rPr>
              <w:t>价格部分：15分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restart"/>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综合部分</w:t>
            </w:r>
          </w:p>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34</w:t>
            </w:r>
            <w:r>
              <w:rPr>
                <w:rFonts w:hint="eastAsia" w:ascii="宋体" w:hAnsi="宋体" w:eastAsia="宋体" w:cs="宋体"/>
                <w:sz w:val="21"/>
                <w:szCs w:val="21"/>
                <w:highlight w:val="none"/>
              </w:rPr>
              <w:t>分）</w:t>
            </w:r>
          </w:p>
        </w:tc>
        <w:tc>
          <w:tcPr>
            <w:tcW w:w="1722" w:type="dxa"/>
            <w:vAlign w:val="center"/>
          </w:tcPr>
          <w:p>
            <w:pPr>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企业实力</w:t>
            </w:r>
          </w:p>
          <w:p>
            <w:pPr>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分）</w:t>
            </w:r>
          </w:p>
        </w:tc>
        <w:tc>
          <w:tcPr>
            <w:tcW w:w="6363" w:type="dxa"/>
            <w:vAlign w:val="center"/>
          </w:tcPr>
          <w:p>
            <w:pPr>
              <w:keepNext w:val="0"/>
              <w:keepLines w:val="0"/>
              <w:pageBreakBefore w:val="0"/>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投标人具有以下有效证书的：</w:t>
            </w:r>
          </w:p>
          <w:p>
            <w:pPr>
              <w:keepNext w:val="0"/>
              <w:keepLines w:val="0"/>
              <w:pageBreakBefore w:val="0"/>
              <w:numPr>
                <w:ilvl w:val="0"/>
                <w:numId w:val="13"/>
              </w:numPr>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具有信息安全管理体系认证证书得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分，没有不得分。</w:t>
            </w:r>
          </w:p>
          <w:p>
            <w:pPr>
              <w:keepNext w:val="0"/>
              <w:keepLines w:val="0"/>
              <w:pageBreakBefore w:val="0"/>
              <w:numPr>
                <w:ilvl w:val="0"/>
                <w:numId w:val="13"/>
              </w:numPr>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具有质量管理体系认证证书得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分，没有不得分。</w:t>
            </w:r>
          </w:p>
          <w:p>
            <w:pPr>
              <w:keepNext w:val="0"/>
              <w:keepLines w:val="0"/>
              <w:pageBreakBefore w:val="0"/>
              <w:numPr>
                <w:ilvl w:val="0"/>
                <w:numId w:val="13"/>
              </w:numPr>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具有服务管理体系认证证书得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分，没有不得分。</w:t>
            </w:r>
          </w:p>
          <w:p>
            <w:pPr>
              <w:keepNext w:val="0"/>
              <w:keepLines w:val="0"/>
              <w:pageBreakBefore w:val="0"/>
              <w:numPr>
                <w:ilvl w:val="0"/>
                <w:numId w:val="13"/>
              </w:numPr>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具有环境管理体系认证证书得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分，没有不得分。</w:t>
            </w:r>
          </w:p>
          <w:p>
            <w:pPr>
              <w:keepNext w:val="0"/>
              <w:keepLines w:val="0"/>
              <w:pageBreakBefore w:val="0"/>
              <w:numPr>
                <w:ilvl w:val="0"/>
                <w:numId w:val="13"/>
              </w:numPr>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具有ITSS信息技术服务运行维护标准符合性证书</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级</w:t>
            </w:r>
            <w:r>
              <w:rPr>
                <w:rFonts w:hint="eastAsia" w:ascii="宋体" w:hAnsi="宋体" w:eastAsia="宋体" w:cs="宋体"/>
                <w:sz w:val="21"/>
                <w:szCs w:val="21"/>
                <w:highlight w:val="none"/>
                <w:lang w:val="en-US" w:eastAsia="zh-CN"/>
              </w:rPr>
              <w:t>得1分，二级及以上</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分；（注：本资质要求数字越小级别越高）</w:t>
            </w:r>
          </w:p>
          <w:p>
            <w:pPr>
              <w:keepNext w:val="0"/>
              <w:keepLines w:val="0"/>
              <w:pageBreakBefore w:val="0"/>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（须提供相关证件扫描件或复印件，盖投标人公章，否则不得分）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continue"/>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p>
        </w:tc>
        <w:tc>
          <w:tcPr>
            <w:tcW w:w="1722" w:type="dxa"/>
            <w:vAlign w:val="center"/>
          </w:tcPr>
          <w:p>
            <w:pPr>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人员</w:t>
            </w:r>
            <w:r>
              <w:rPr>
                <w:rFonts w:hint="eastAsia" w:ascii="宋体" w:hAnsi="宋体" w:eastAsia="宋体" w:cs="宋体"/>
                <w:sz w:val="21"/>
                <w:szCs w:val="21"/>
                <w:highlight w:val="none"/>
              </w:rPr>
              <w:t>能力</w:t>
            </w:r>
          </w:p>
          <w:p>
            <w:pPr>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分）</w:t>
            </w:r>
          </w:p>
        </w:tc>
        <w:tc>
          <w:tcPr>
            <w:tcW w:w="6363" w:type="dxa"/>
            <w:vAlign w:val="center"/>
          </w:tcPr>
          <w:p>
            <w:pPr>
              <w:keepNext w:val="0"/>
              <w:keepLines w:val="0"/>
              <w:pageBreakBefore w:val="0"/>
              <w:numPr>
                <w:ilvl w:val="0"/>
                <w:numId w:val="14"/>
              </w:numPr>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投标人需提供1名项目经理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技术总监</w:t>
            </w:r>
            <w:r>
              <w:rPr>
                <w:rFonts w:hint="eastAsia" w:ascii="宋体" w:hAnsi="宋体" w:eastAsia="宋体" w:cs="宋体"/>
                <w:color w:val="auto"/>
                <w:sz w:val="21"/>
                <w:szCs w:val="21"/>
                <w:highlight w:val="none"/>
                <w:lang w:eastAsia="zh-CN"/>
              </w:rPr>
              <w:t>）。</w:t>
            </w:r>
          </w:p>
          <w:p>
            <w:pPr>
              <w:keepNext w:val="0"/>
              <w:keepLines w:val="0"/>
              <w:pageBreakBefore w:val="0"/>
              <w:numPr>
                <w:ilvl w:val="0"/>
                <w:numId w:val="0"/>
              </w:numPr>
              <w:kinsoku/>
              <w:wordWrap/>
              <w:overflowPunct/>
              <w:topLinePunct/>
              <w:autoSpaceDE/>
              <w:autoSpaceDN/>
              <w:bidi w:val="0"/>
              <w:snapToGrid/>
              <w:spacing w:before="48" w:beforeLines="15" w:after="48" w:afterLines="15" w:line="276" w:lineRule="auto"/>
              <w:ind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具有信息系统项目管理师</w:t>
            </w:r>
            <w:r>
              <w:rPr>
                <w:rFonts w:hint="eastAsia" w:ascii="宋体" w:hAnsi="宋体" w:eastAsia="宋体" w:cs="宋体"/>
                <w:color w:val="auto"/>
                <w:sz w:val="21"/>
                <w:szCs w:val="21"/>
                <w:highlight w:val="none"/>
                <w:lang w:val="en-US" w:eastAsia="zh-CN"/>
              </w:rPr>
              <w:t>资格得2分，具有系统集成项目管理工程师资格得1分，</w:t>
            </w:r>
            <w:r>
              <w:rPr>
                <w:rFonts w:hint="eastAsia" w:ascii="宋体" w:hAnsi="宋体" w:eastAsia="宋体" w:cs="宋体"/>
                <w:color w:val="auto"/>
                <w:sz w:val="21"/>
                <w:szCs w:val="21"/>
                <w:highlight w:val="none"/>
              </w:rPr>
              <w:t>最多得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均不具备不得分。</w:t>
            </w:r>
          </w:p>
          <w:p>
            <w:pPr>
              <w:keepNext w:val="0"/>
              <w:keepLines w:val="0"/>
              <w:pageBreakBefore w:val="0"/>
              <w:numPr>
                <w:ilvl w:val="0"/>
                <w:numId w:val="0"/>
              </w:numPr>
              <w:kinsoku/>
              <w:wordWrap/>
              <w:overflowPunct/>
              <w:topLinePunct/>
              <w:autoSpaceDE/>
              <w:autoSpaceDN/>
              <w:bidi w:val="0"/>
              <w:snapToGrid/>
              <w:spacing w:before="48" w:beforeLines="15" w:after="48" w:afterLines="15" w:line="276" w:lineRule="auto"/>
              <w:ind w:left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1.2具备本项目要求技术水平，并有能力对项目成员进行技术支持及工作指导，提供包括且不限于</w:t>
            </w: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val="en-US" w:eastAsia="zh-CN"/>
              </w:rPr>
              <w:t>虚拟化方向</w:t>
            </w:r>
            <w:r>
              <w:rPr>
                <w:rFonts w:hint="eastAsia" w:ascii="宋体" w:hAnsi="宋体" w:eastAsia="宋体" w:cs="宋体"/>
                <w:color w:val="auto"/>
                <w:sz w:val="21"/>
                <w:szCs w:val="21"/>
                <w:highlight w:val="none"/>
              </w:rPr>
              <w:t>华为认证HCIE专家云计算方向（HCIE- Cloud Computing）</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VMware VCP虚拟化专家认证</w:t>
            </w:r>
            <w:r>
              <w:rPr>
                <w:rFonts w:hint="eastAsia" w:ascii="宋体" w:hAnsi="宋体" w:eastAsia="宋体" w:cs="宋体"/>
                <w:color w:val="auto"/>
                <w:sz w:val="21"/>
                <w:szCs w:val="21"/>
                <w:highlight w:val="none"/>
                <w:lang w:eastAsia="zh-CN"/>
              </w:rPr>
              <w:t>、H3C认证云计算工程师（H3CNE-Cloud）、</w:t>
            </w:r>
            <w:r>
              <w:rPr>
                <w:rFonts w:hint="eastAsia" w:ascii="宋体" w:hAnsi="宋体" w:eastAsia="宋体" w:cs="宋体"/>
                <w:color w:val="auto"/>
                <w:sz w:val="21"/>
                <w:szCs w:val="21"/>
                <w:highlight w:val="none"/>
              </w:rPr>
              <w:t>市场主流存储厂商（华为、</w:t>
            </w:r>
            <w:r>
              <w:rPr>
                <w:rFonts w:hint="eastAsia" w:ascii="宋体" w:hAnsi="宋体" w:eastAsia="宋体" w:cs="宋体"/>
                <w:color w:val="auto"/>
                <w:sz w:val="21"/>
                <w:szCs w:val="21"/>
                <w:highlight w:val="none"/>
                <w:lang w:val="en-US" w:eastAsia="zh-CN"/>
              </w:rPr>
              <w:t>华三、浪潮、</w:t>
            </w:r>
            <w:r>
              <w:rPr>
                <w:rFonts w:hint="eastAsia" w:ascii="宋体" w:hAnsi="宋体" w:eastAsia="宋体" w:cs="宋体"/>
                <w:color w:val="auto"/>
                <w:sz w:val="21"/>
                <w:szCs w:val="21"/>
                <w:highlight w:val="none"/>
              </w:rPr>
              <w:t>IBM、HP、EMC等）</w:t>
            </w:r>
            <w:r>
              <w:rPr>
                <w:rFonts w:hint="eastAsia" w:ascii="宋体" w:hAnsi="宋体" w:eastAsia="宋体" w:cs="宋体"/>
                <w:color w:val="auto"/>
                <w:sz w:val="21"/>
                <w:szCs w:val="21"/>
                <w:highlight w:val="none"/>
                <w:lang w:val="en-US" w:eastAsia="zh-CN"/>
              </w:rPr>
              <w:t>存储相关</w:t>
            </w:r>
            <w:r>
              <w:rPr>
                <w:rFonts w:hint="eastAsia" w:ascii="宋体" w:hAnsi="宋体" w:eastAsia="宋体" w:cs="宋体"/>
                <w:color w:val="auto"/>
                <w:sz w:val="21"/>
                <w:szCs w:val="21"/>
                <w:highlight w:val="none"/>
              </w:rPr>
              <w:t>技术认证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数据库OCP或OCM技术认证</w:t>
            </w:r>
            <w:r>
              <w:rPr>
                <w:rFonts w:hint="eastAsia" w:ascii="宋体" w:hAnsi="宋体" w:eastAsia="宋体" w:cs="宋体"/>
                <w:color w:val="auto"/>
                <w:sz w:val="21"/>
                <w:szCs w:val="21"/>
                <w:highlight w:val="none"/>
                <w:lang w:eastAsia="zh-CN"/>
              </w:rPr>
              <w:t>、MySQL认证、微软SQL Server认证、</w:t>
            </w:r>
            <w:r>
              <w:rPr>
                <w:rFonts w:hint="eastAsia" w:ascii="宋体" w:hAnsi="宋体" w:eastAsia="宋体" w:cs="宋体"/>
                <w:color w:val="auto"/>
                <w:sz w:val="21"/>
                <w:szCs w:val="21"/>
                <w:highlight w:val="none"/>
              </w:rPr>
              <w:t>HCIA-GaussDB</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提供资质证书三种及以上得3分，2种得2分，1种得1分，没有不得分。</w:t>
            </w:r>
            <w:r>
              <w:rPr>
                <w:rFonts w:hint="eastAsia" w:ascii="宋体" w:hAnsi="宋体" w:eastAsia="宋体" w:cs="宋体"/>
                <w:color w:val="auto"/>
                <w:sz w:val="21"/>
                <w:szCs w:val="21"/>
                <w:highlight w:val="none"/>
              </w:rPr>
              <w:t>（提供人员近一年连续6个月的社保证明以及资质证书复印件）。</w:t>
            </w:r>
          </w:p>
          <w:p>
            <w:pPr>
              <w:keepNext w:val="0"/>
              <w:keepLines w:val="0"/>
              <w:pageBreakBefore w:val="0"/>
              <w:numPr>
                <w:ilvl w:val="0"/>
                <w:numId w:val="14"/>
              </w:numPr>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项目团队成员至少4名（不包含项目经理）。</w:t>
            </w:r>
          </w:p>
          <w:p>
            <w:pPr>
              <w:keepNext w:val="0"/>
              <w:keepLines w:val="0"/>
              <w:pageBreakBefore w:val="0"/>
              <w:numPr>
                <w:ilvl w:val="0"/>
                <w:numId w:val="15"/>
              </w:numPr>
              <w:kinsoku/>
              <w:wordWrap/>
              <w:overflowPunct/>
              <w:topLinePunct/>
              <w:autoSpaceDE/>
              <w:autoSpaceDN/>
              <w:bidi w:val="0"/>
              <w:snapToGrid/>
              <w:spacing w:before="48" w:beforeLines="15" w:after="48" w:afterLines="15" w:line="276" w:lineRule="auto"/>
              <w:ind w:left="420" w:leftChars="20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val="en-US" w:eastAsia="zh-CN"/>
              </w:rPr>
              <w:t>虚拟化方向</w:t>
            </w:r>
            <w:r>
              <w:rPr>
                <w:rFonts w:hint="eastAsia" w:ascii="宋体" w:hAnsi="宋体" w:eastAsia="宋体" w:cs="宋体"/>
                <w:color w:val="auto"/>
                <w:sz w:val="21"/>
                <w:szCs w:val="21"/>
                <w:highlight w:val="none"/>
              </w:rPr>
              <w:t>华为认证HCIE专家云计算方向（HCIE- Cloud Computing）</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VMware VCP虚拟化专家认证</w:t>
            </w:r>
            <w:r>
              <w:rPr>
                <w:rFonts w:hint="eastAsia" w:ascii="宋体" w:hAnsi="宋体" w:eastAsia="宋体" w:cs="宋体"/>
                <w:color w:val="auto"/>
                <w:sz w:val="21"/>
                <w:szCs w:val="21"/>
                <w:highlight w:val="none"/>
                <w:lang w:val="en-US" w:eastAsia="zh-CN"/>
              </w:rPr>
              <w:t>及</w:t>
            </w:r>
            <w:r>
              <w:rPr>
                <w:rFonts w:hint="eastAsia" w:ascii="宋体" w:hAnsi="宋体" w:eastAsia="宋体" w:cs="宋体"/>
                <w:color w:val="auto"/>
                <w:sz w:val="21"/>
                <w:szCs w:val="21"/>
                <w:highlight w:val="none"/>
                <w:lang w:eastAsia="zh-CN"/>
              </w:rPr>
              <w:t>H3C认证云计算工程师（H3CNE-Cloud），</w:t>
            </w:r>
            <w:r>
              <w:rPr>
                <w:rFonts w:hint="eastAsia" w:ascii="宋体" w:hAnsi="宋体" w:eastAsia="宋体" w:cs="宋体"/>
                <w:color w:val="auto"/>
                <w:sz w:val="21"/>
                <w:szCs w:val="21"/>
                <w:highlight w:val="none"/>
                <w:lang w:val="en-US" w:eastAsia="zh-CN"/>
              </w:rPr>
              <w:t>至少提供两种及以上得3分，少于两种不得分；</w:t>
            </w:r>
          </w:p>
          <w:p>
            <w:pPr>
              <w:keepNext w:val="0"/>
              <w:keepLines w:val="0"/>
              <w:pageBreakBefore w:val="0"/>
              <w:numPr>
                <w:ilvl w:val="0"/>
                <w:numId w:val="15"/>
              </w:numPr>
              <w:kinsoku/>
              <w:wordWrap/>
              <w:overflowPunct/>
              <w:topLinePunct/>
              <w:autoSpaceDE/>
              <w:autoSpaceDN/>
              <w:bidi w:val="0"/>
              <w:snapToGrid/>
              <w:spacing w:before="48" w:beforeLines="15" w:after="48" w:afterLines="15" w:line="276" w:lineRule="auto"/>
              <w:ind w:left="420" w:leftChars="20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具有市场主流存储厂商（华为、</w:t>
            </w:r>
            <w:r>
              <w:rPr>
                <w:rFonts w:hint="eastAsia" w:ascii="宋体" w:hAnsi="宋体" w:eastAsia="宋体" w:cs="宋体"/>
                <w:color w:val="auto"/>
                <w:sz w:val="21"/>
                <w:szCs w:val="21"/>
                <w:highlight w:val="none"/>
                <w:lang w:val="en-US" w:eastAsia="zh-CN"/>
              </w:rPr>
              <w:t>华三、浪潮、</w:t>
            </w:r>
            <w:r>
              <w:rPr>
                <w:rFonts w:hint="eastAsia" w:ascii="宋体" w:hAnsi="宋体" w:eastAsia="宋体" w:cs="宋体"/>
                <w:color w:val="auto"/>
                <w:sz w:val="21"/>
                <w:szCs w:val="21"/>
                <w:highlight w:val="none"/>
              </w:rPr>
              <w:t>IBM、HP、EMC等）</w:t>
            </w:r>
            <w:r>
              <w:rPr>
                <w:rFonts w:hint="eastAsia" w:ascii="宋体" w:hAnsi="宋体" w:eastAsia="宋体" w:cs="宋体"/>
                <w:color w:val="auto"/>
                <w:sz w:val="21"/>
                <w:szCs w:val="21"/>
                <w:highlight w:val="none"/>
                <w:lang w:val="en-US" w:eastAsia="zh-CN"/>
              </w:rPr>
              <w:t>存储相关</w:t>
            </w:r>
            <w:r>
              <w:rPr>
                <w:rFonts w:hint="eastAsia" w:ascii="宋体" w:hAnsi="宋体" w:eastAsia="宋体" w:cs="宋体"/>
                <w:color w:val="auto"/>
                <w:sz w:val="21"/>
                <w:szCs w:val="21"/>
                <w:highlight w:val="none"/>
              </w:rPr>
              <w:t>技术认证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提供至少三种及以上得3分，提供两种得2分，两种以下不得分</w:t>
            </w:r>
            <w:r>
              <w:rPr>
                <w:rFonts w:hint="eastAsia" w:ascii="宋体" w:hAnsi="宋体" w:eastAsia="宋体" w:cs="宋体"/>
                <w:color w:val="auto"/>
                <w:sz w:val="21"/>
                <w:szCs w:val="21"/>
                <w:highlight w:val="none"/>
              </w:rPr>
              <w:t>；</w:t>
            </w:r>
          </w:p>
          <w:p>
            <w:pPr>
              <w:keepNext w:val="0"/>
              <w:keepLines w:val="0"/>
              <w:pageBreakBefore w:val="0"/>
              <w:numPr>
                <w:ilvl w:val="0"/>
                <w:numId w:val="15"/>
              </w:numPr>
              <w:kinsoku/>
              <w:wordWrap/>
              <w:overflowPunct/>
              <w:topLinePunct/>
              <w:autoSpaceDE/>
              <w:autoSpaceDN/>
              <w:bidi w:val="0"/>
              <w:snapToGrid/>
              <w:spacing w:before="48" w:beforeLines="15" w:after="48" w:afterLines="15" w:line="276" w:lineRule="auto"/>
              <w:ind w:left="420" w:leftChars="20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具有数据库OCP或OCM技术认证</w:t>
            </w:r>
            <w:r>
              <w:rPr>
                <w:rFonts w:hint="eastAsia" w:ascii="宋体" w:hAnsi="宋体" w:eastAsia="宋体" w:cs="宋体"/>
                <w:color w:val="auto"/>
                <w:spacing w:val="-2"/>
                <w:sz w:val="21"/>
                <w:szCs w:val="21"/>
                <w:highlight w:val="none"/>
                <w:lang w:eastAsia="zh-CN"/>
              </w:rPr>
              <w:t>、MySQL认证、微软SQL Server认证、</w:t>
            </w:r>
            <w:r>
              <w:rPr>
                <w:rFonts w:hint="eastAsia" w:ascii="宋体" w:hAnsi="宋体" w:eastAsia="宋体" w:cs="宋体"/>
                <w:color w:val="auto"/>
                <w:spacing w:val="-2"/>
                <w:sz w:val="21"/>
                <w:szCs w:val="21"/>
                <w:highlight w:val="none"/>
              </w:rPr>
              <w:t>HCIA-GaussDB</w:t>
            </w:r>
            <w:r>
              <w:rPr>
                <w:rFonts w:hint="eastAsia" w:ascii="宋体" w:hAnsi="宋体" w:eastAsia="宋体" w:cs="宋体"/>
                <w:color w:val="auto"/>
                <w:spacing w:val="-2"/>
                <w:sz w:val="21"/>
                <w:szCs w:val="21"/>
                <w:highlight w:val="none"/>
                <w:lang w:val="en-US" w:eastAsia="zh-CN"/>
              </w:rPr>
              <w:t>认证</w:t>
            </w:r>
            <w:r>
              <w:rPr>
                <w:rFonts w:hint="eastAsia" w:ascii="宋体" w:hAnsi="宋体" w:eastAsia="宋体" w:cs="宋体"/>
                <w:color w:val="auto"/>
                <w:spacing w:val="-2"/>
                <w:sz w:val="21"/>
                <w:szCs w:val="21"/>
                <w:highlight w:val="none"/>
                <w:lang w:eastAsia="zh-CN"/>
              </w:rPr>
              <w:t>，</w:t>
            </w:r>
            <w:r>
              <w:rPr>
                <w:rFonts w:hint="eastAsia" w:ascii="宋体" w:hAnsi="宋体" w:eastAsia="宋体" w:cs="宋体"/>
                <w:color w:val="auto"/>
                <w:spacing w:val="-2"/>
                <w:sz w:val="21"/>
                <w:szCs w:val="21"/>
                <w:highlight w:val="none"/>
                <w:lang w:val="en-US" w:eastAsia="zh-CN"/>
              </w:rPr>
              <w:t>每提供一种得1分，最高得3分</w:t>
            </w:r>
            <w:r>
              <w:rPr>
                <w:rFonts w:hint="eastAsia" w:ascii="宋体" w:hAnsi="宋体" w:eastAsia="宋体" w:cs="宋体"/>
                <w:color w:val="auto"/>
                <w:sz w:val="21"/>
                <w:szCs w:val="21"/>
                <w:highlight w:val="none"/>
              </w:rPr>
              <w:t>。</w:t>
            </w:r>
          </w:p>
          <w:p>
            <w:pPr>
              <w:keepNext w:val="0"/>
              <w:keepLines w:val="0"/>
              <w:pageBreakBefore w:val="0"/>
              <w:numPr>
                <w:ilvl w:val="0"/>
                <w:numId w:val="0"/>
              </w:numPr>
              <w:kinsoku/>
              <w:wordWrap/>
              <w:overflowPunct/>
              <w:topLinePunct/>
              <w:autoSpaceDE/>
              <w:autoSpaceDN/>
              <w:bidi w:val="0"/>
              <w:snapToGrid/>
              <w:spacing w:before="48" w:beforeLines="15" w:after="48" w:afterLines="15" w:line="276" w:lineRule="auto"/>
              <w:ind w:left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szCs w:val="21"/>
              </w:rPr>
              <w:t>提供人员近一年连续6个月的社保证明以及资质证书复印件</w:t>
            </w:r>
            <w:r>
              <w:rPr>
                <w:rFonts w:hint="eastAsia" w:ascii="宋体" w:hAnsi="宋体" w:eastAsia="宋体" w:cs="宋体"/>
                <w:color w:val="auto"/>
                <w:sz w:val="21"/>
                <w:szCs w:val="21"/>
                <w:highlight w:val="none"/>
              </w:rPr>
              <w:t>）。</w:t>
            </w:r>
          </w:p>
          <w:p>
            <w:pPr>
              <w:keepNext w:val="0"/>
              <w:keepLines w:val="0"/>
              <w:pageBreakBefore w:val="0"/>
              <w:numPr>
                <w:ilvl w:val="0"/>
                <w:numId w:val="14"/>
              </w:numPr>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投标人提供不低于</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名现场驻场人员，协助用户及时对各种设备维保故障问题进行处置。维保服务技术人员具备以下条件：</w:t>
            </w:r>
          </w:p>
          <w:p>
            <w:pPr>
              <w:keepNext w:val="0"/>
              <w:keepLines w:val="0"/>
              <w:pageBreakBefore w:val="0"/>
              <w:kinsoku/>
              <w:wordWrap/>
              <w:overflowPunct/>
              <w:topLinePunct/>
              <w:autoSpaceDE/>
              <w:autoSpaceDN/>
              <w:bidi w:val="0"/>
              <w:snapToGrid/>
              <w:spacing w:before="48" w:beforeLines="15" w:after="48" w:afterLines="15" w:line="276" w:lineRule="auto"/>
              <w:ind w:left="44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1）具有市场主流存储厂商（华为、</w:t>
            </w:r>
            <w:r>
              <w:rPr>
                <w:rFonts w:hint="eastAsia" w:ascii="宋体" w:hAnsi="宋体" w:eastAsia="宋体" w:cs="宋体"/>
                <w:b w:val="0"/>
                <w:bCs w:val="0"/>
                <w:color w:val="auto"/>
                <w:sz w:val="21"/>
                <w:szCs w:val="21"/>
                <w:highlight w:val="none"/>
                <w:lang w:val="en-US" w:eastAsia="zh-CN"/>
              </w:rPr>
              <w:t>华三、浪潮、</w:t>
            </w:r>
            <w:r>
              <w:rPr>
                <w:rFonts w:hint="eastAsia" w:ascii="宋体" w:hAnsi="宋体" w:eastAsia="宋体" w:cs="宋体"/>
                <w:b w:val="0"/>
                <w:bCs w:val="0"/>
                <w:color w:val="auto"/>
                <w:sz w:val="21"/>
                <w:szCs w:val="21"/>
                <w:highlight w:val="none"/>
              </w:rPr>
              <w:t>IBM、HP、EMC等）</w:t>
            </w:r>
            <w:r>
              <w:rPr>
                <w:rFonts w:hint="eastAsia" w:ascii="宋体" w:hAnsi="宋体" w:eastAsia="宋体" w:cs="宋体"/>
                <w:b w:val="0"/>
                <w:bCs w:val="0"/>
                <w:color w:val="auto"/>
                <w:sz w:val="21"/>
                <w:szCs w:val="21"/>
                <w:highlight w:val="none"/>
                <w:lang w:val="en-US" w:eastAsia="zh-CN"/>
              </w:rPr>
              <w:t>存储相关</w:t>
            </w:r>
            <w:r>
              <w:rPr>
                <w:rFonts w:hint="eastAsia" w:ascii="宋体" w:hAnsi="宋体" w:eastAsia="宋体" w:cs="宋体"/>
                <w:b w:val="0"/>
                <w:bCs w:val="0"/>
                <w:color w:val="auto"/>
                <w:sz w:val="21"/>
                <w:szCs w:val="21"/>
                <w:highlight w:val="none"/>
              </w:rPr>
              <w:t>技术认证；</w:t>
            </w:r>
          </w:p>
          <w:p>
            <w:pPr>
              <w:keepNext w:val="0"/>
              <w:keepLines w:val="0"/>
              <w:pageBreakBefore w:val="0"/>
              <w:kinsoku/>
              <w:wordWrap/>
              <w:overflowPunct/>
              <w:topLinePunct/>
              <w:autoSpaceDE/>
              <w:autoSpaceDN/>
              <w:bidi w:val="0"/>
              <w:snapToGrid/>
              <w:spacing w:before="48" w:beforeLines="15" w:after="48" w:afterLines="15" w:line="276" w:lineRule="auto"/>
              <w:ind w:left="44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2）具有数据库</w:t>
            </w:r>
            <w:r>
              <w:rPr>
                <w:rFonts w:hint="eastAsia" w:ascii="宋体" w:hAnsi="宋体" w:eastAsia="宋体" w:cs="宋体"/>
                <w:b w:val="0"/>
                <w:bCs w:val="0"/>
                <w:color w:val="auto"/>
                <w:sz w:val="21"/>
                <w:szCs w:val="21"/>
                <w:highlight w:val="none"/>
                <w:lang w:val="en-US" w:eastAsia="zh-CN"/>
              </w:rPr>
              <w:t>相关</w:t>
            </w:r>
            <w:r>
              <w:rPr>
                <w:rFonts w:hint="eastAsia" w:ascii="宋体" w:hAnsi="宋体" w:eastAsia="宋体" w:cs="宋体"/>
                <w:b w:val="0"/>
                <w:bCs w:val="0"/>
                <w:color w:val="auto"/>
                <w:sz w:val="21"/>
                <w:szCs w:val="21"/>
                <w:highlight w:val="none"/>
              </w:rPr>
              <w:t>技术认证；</w:t>
            </w:r>
          </w:p>
          <w:p>
            <w:pPr>
              <w:keepNext w:val="0"/>
              <w:keepLines w:val="0"/>
              <w:pageBreakBefore w:val="0"/>
              <w:kinsoku/>
              <w:wordWrap/>
              <w:overflowPunct/>
              <w:topLinePunct/>
              <w:autoSpaceDE/>
              <w:autoSpaceDN/>
              <w:bidi w:val="0"/>
              <w:snapToGrid/>
              <w:spacing w:before="48" w:beforeLines="15" w:after="48" w:afterLines="15" w:line="276" w:lineRule="auto"/>
              <w:ind w:left="440"/>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3）具有虚拟化</w:t>
            </w:r>
            <w:r>
              <w:rPr>
                <w:rFonts w:hint="eastAsia" w:ascii="宋体" w:hAnsi="宋体" w:eastAsia="宋体" w:cs="宋体"/>
                <w:b w:val="0"/>
                <w:bCs w:val="0"/>
                <w:color w:val="auto"/>
                <w:sz w:val="21"/>
                <w:szCs w:val="21"/>
                <w:highlight w:val="none"/>
                <w:lang w:val="en-US" w:eastAsia="zh-CN"/>
              </w:rPr>
              <w:t>相关</w:t>
            </w:r>
            <w:r>
              <w:rPr>
                <w:rFonts w:hint="eastAsia" w:ascii="宋体" w:hAnsi="宋体" w:eastAsia="宋体" w:cs="宋体"/>
                <w:b w:val="0"/>
                <w:bCs w:val="0"/>
                <w:color w:val="auto"/>
                <w:sz w:val="21"/>
                <w:szCs w:val="21"/>
                <w:highlight w:val="none"/>
              </w:rPr>
              <w:t>技术认</w:t>
            </w:r>
            <w:r>
              <w:rPr>
                <w:rFonts w:hint="eastAsia" w:ascii="宋体" w:hAnsi="宋体" w:eastAsia="宋体" w:cs="宋体"/>
                <w:color w:val="auto"/>
                <w:sz w:val="21"/>
                <w:szCs w:val="21"/>
                <w:highlight w:val="none"/>
              </w:rPr>
              <w:t>证；</w:t>
            </w:r>
          </w:p>
          <w:p>
            <w:pPr>
              <w:keepNext w:val="0"/>
              <w:keepLines w:val="0"/>
              <w:pageBreakBefore w:val="0"/>
              <w:kinsoku/>
              <w:wordWrap/>
              <w:overflowPunct/>
              <w:topLinePunct/>
              <w:autoSpaceDE/>
              <w:autoSpaceDN/>
              <w:bidi w:val="0"/>
              <w:snapToGrid/>
              <w:spacing w:before="48" w:beforeLines="15" w:after="48" w:afterLines="15" w:line="276" w:lineRule="auto"/>
              <w:ind w:left="44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中每个现场驻场人员至少提供2种类别认证证书，满足上述要求的驻场人员每名得2分，最多得6分，驻场人员不足三人或驻场人员（每名）提供的证书少于2种（不含2种）不得分。（驻场人员近一年连续6个月的社保证明以及资质证书复印件，提供该人员在参与过类似项目的驻场证明，包括且不限于业绩合同或客户证明材料，不满足视为无效驻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continue"/>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p>
        </w:tc>
        <w:tc>
          <w:tcPr>
            <w:tcW w:w="1722" w:type="dxa"/>
            <w:vAlign w:val="center"/>
          </w:tcPr>
          <w:p>
            <w:pPr>
              <w:keepNext w:val="0"/>
              <w:keepLines w:val="0"/>
              <w:pageBreakBefore w:val="0"/>
              <w:kinsoku/>
              <w:wordWrap/>
              <w:overflowPunct/>
              <w:topLinePunct/>
              <w:autoSpaceDE/>
              <w:autoSpaceDN/>
              <w:bidi w:val="0"/>
              <w:snapToGrid/>
              <w:spacing w:before="48" w:beforeLines="15" w:after="48" w:afterLines="15" w:line="276" w:lineRule="auto"/>
              <w:ind w:firstLine="210" w:firstLineChars="10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项目案例</w:t>
            </w:r>
          </w:p>
          <w:p>
            <w:pPr>
              <w:keepNext w:val="0"/>
              <w:keepLines w:val="0"/>
              <w:pageBreakBefore w:val="0"/>
              <w:kinsoku/>
              <w:wordWrap/>
              <w:overflowPunct/>
              <w:topLinePunct/>
              <w:autoSpaceDE/>
              <w:autoSpaceDN/>
              <w:bidi w:val="0"/>
              <w:snapToGrid/>
              <w:spacing w:before="48" w:beforeLines="15" w:after="48" w:afterLines="15" w:line="276" w:lineRule="auto"/>
              <w:ind w:firstLine="210" w:firstLineChars="10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分）</w:t>
            </w:r>
          </w:p>
        </w:tc>
        <w:tc>
          <w:tcPr>
            <w:tcW w:w="6363" w:type="dxa"/>
            <w:vAlign w:val="center"/>
          </w:tcPr>
          <w:p>
            <w:pPr>
              <w:keepNext w:val="0"/>
              <w:keepLines w:val="0"/>
              <w:pageBreakBefore w:val="0"/>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提供近三年来（2021年1月1日到至今）的存储、服务器设备维保服务业绩证明。要求如下：</w:t>
            </w:r>
          </w:p>
          <w:p>
            <w:pPr>
              <w:keepNext w:val="0"/>
              <w:keepLines w:val="0"/>
              <w:pageBreakBefore w:val="0"/>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提供项目合同复印件、中标通知书、中标公告。上述案例未包含关键词或无法认定服务内容或签章日期未写明及不清晰的，不予认可。（投标文件中合同复印件须加盖单位公章，否则不得分）</w:t>
            </w:r>
          </w:p>
          <w:p>
            <w:pPr>
              <w:keepNext w:val="0"/>
              <w:keepLines w:val="0"/>
              <w:pageBreakBefore w:val="0"/>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每提供一份完全符合要求的业绩证明得2分，本项累计得分不高于8分。未提供的本项不得分。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restart"/>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技术部分</w:t>
            </w:r>
          </w:p>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51</w:t>
            </w:r>
            <w:r>
              <w:rPr>
                <w:rFonts w:hint="eastAsia" w:ascii="宋体" w:hAnsi="宋体" w:eastAsia="宋体" w:cs="宋体"/>
                <w:sz w:val="21"/>
                <w:szCs w:val="21"/>
              </w:rPr>
              <w:t>分）</w:t>
            </w:r>
          </w:p>
        </w:tc>
        <w:tc>
          <w:tcPr>
            <w:tcW w:w="1722"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color w:val="auto"/>
                <w:sz w:val="21"/>
                <w:szCs w:val="21"/>
              </w:rPr>
            </w:pPr>
            <w:r>
              <w:rPr>
                <w:rStyle w:val="131"/>
                <w:rFonts w:hint="eastAsia" w:ascii="宋体" w:hAnsi="宋体" w:eastAsia="宋体" w:cs="宋体"/>
                <w:b w:val="0"/>
                <w:color w:val="auto"/>
                <w:sz w:val="21"/>
                <w:szCs w:val="21"/>
              </w:rPr>
              <w:t>维保服务方案</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color w:val="auto"/>
                <w:sz w:val="21"/>
                <w:szCs w:val="21"/>
                <w:lang w:eastAsia="zh-CN"/>
              </w:rPr>
            </w:pPr>
            <w:r>
              <w:rPr>
                <w:rStyle w:val="131"/>
                <w:rFonts w:hint="eastAsia" w:ascii="宋体" w:hAnsi="宋体" w:eastAsia="宋体" w:cs="宋体"/>
                <w:b w:val="0"/>
                <w:color w:val="auto"/>
                <w:sz w:val="21"/>
                <w:szCs w:val="21"/>
                <w:lang w:eastAsia="zh-CN"/>
              </w:rPr>
              <w:t>（</w:t>
            </w:r>
            <w:r>
              <w:rPr>
                <w:rStyle w:val="131"/>
                <w:rFonts w:hint="eastAsia" w:ascii="宋体" w:hAnsi="宋体" w:eastAsia="宋体" w:cs="宋体"/>
                <w:b w:val="0"/>
                <w:color w:val="auto"/>
                <w:sz w:val="21"/>
                <w:szCs w:val="21"/>
                <w:lang w:val="en-US" w:eastAsia="zh-CN"/>
              </w:rPr>
              <w:t>0-10分</w:t>
            </w:r>
            <w:r>
              <w:rPr>
                <w:rStyle w:val="131"/>
                <w:rFonts w:hint="eastAsia" w:ascii="宋体" w:hAnsi="宋体" w:eastAsia="宋体" w:cs="宋体"/>
                <w:b w:val="0"/>
                <w:color w:val="auto"/>
                <w:sz w:val="21"/>
                <w:szCs w:val="21"/>
                <w:lang w:eastAsia="zh-CN"/>
              </w:rPr>
              <w:t>）</w:t>
            </w:r>
          </w:p>
        </w:tc>
        <w:tc>
          <w:tcPr>
            <w:tcW w:w="6363" w:type="dxa"/>
            <w:vAlign w:val="center"/>
          </w:tcPr>
          <w:p>
            <w:pPr>
              <w:keepNext w:val="0"/>
              <w:keepLines w:val="0"/>
              <w:pageBreakBefore w:val="0"/>
              <w:numPr>
                <w:ilvl w:val="0"/>
                <w:numId w:val="0"/>
              </w:numPr>
              <w:kinsoku/>
              <w:wordWrap/>
              <w:overflowPunct/>
              <w:topLinePunct/>
              <w:autoSpaceDE/>
              <w:autoSpaceDN/>
              <w:bidi w:val="0"/>
              <w:snapToGrid/>
              <w:spacing w:before="48" w:beforeLines="15" w:after="48" w:afterLines="15" w:line="276" w:lineRule="auto"/>
              <w:ind w:leftChars="0"/>
              <w:textAlignment w:val="auto"/>
              <w:rPr>
                <w:rStyle w:val="131"/>
                <w:rFonts w:hint="eastAsia" w:ascii="宋体" w:hAnsi="宋体" w:eastAsia="宋体" w:cs="宋体"/>
                <w:b w:val="0"/>
                <w:color w:val="auto"/>
                <w:sz w:val="21"/>
                <w:szCs w:val="21"/>
                <w:highlight w:val="none"/>
              </w:rPr>
            </w:pPr>
            <w:r>
              <w:rPr>
                <w:rStyle w:val="131"/>
                <w:rFonts w:hint="eastAsia" w:ascii="宋体" w:hAnsi="宋体" w:eastAsia="宋体" w:cs="宋体"/>
                <w:b w:val="0"/>
                <w:color w:val="auto"/>
                <w:spacing w:val="-6"/>
                <w:sz w:val="21"/>
                <w:szCs w:val="21"/>
                <w:highlight w:val="none"/>
              </w:rPr>
              <w:t>投标人结合项目实际提供维保服务方案，应至少包含但不限于以下内容：</w:t>
            </w:r>
            <w:r>
              <w:rPr>
                <w:rStyle w:val="131"/>
                <w:rFonts w:hint="eastAsia" w:ascii="宋体" w:hAnsi="宋体" w:eastAsia="宋体" w:cs="宋体"/>
                <w:b w:val="0"/>
                <w:color w:val="auto"/>
                <w:sz w:val="21"/>
                <w:szCs w:val="21"/>
                <w:highlight w:val="none"/>
                <w:lang w:val="en-US" w:eastAsia="zh-CN"/>
              </w:rPr>
              <w:t>1、</w:t>
            </w:r>
            <w:r>
              <w:rPr>
                <w:rFonts w:hint="eastAsia" w:ascii="宋体" w:hAnsi="宋体" w:eastAsia="宋体" w:cs="宋体"/>
                <w:color w:val="auto"/>
                <w:sz w:val="21"/>
                <w:szCs w:val="21"/>
                <w:highlight w:val="none"/>
              </w:rPr>
              <w:t>具有IT服务一体化运维平台软件著作权得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分，没有不得分</w:t>
            </w:r>
          </w:p>
          <w:p>
            <w:pPr>
              <w:keepNext w:val="0"/>
              <w:keepLines w:val="0"/>
              <w:pageBreakBefore w:val="0"/>
              <w:numPr>
                <w:ilvl w:val="0"/>
                <w:numId w:val="0"/>
              </w:numPr>
              <w:kinsoku/>
              <w:wordWrap/>
              <w:overflowPunct/>
              <w:topLinePunct/>
              <w:autoSpaceDE/>
              <w:autoSpaceDN/>
              <w:bidi w:val="0"/>
              <w:snapToGrid/>
              <w:spacing w:before="48" w:beforeLines="15" w:after="48" w:afterLines="15" w:line="276" w:lineRule="auto"/>
              <w:textAlignment w:val="auto"/>
              <w:rPr>
                <w:rFonts w:hint="eastAsia" w:ascii="宋体" w:hAnsi="宋体" w:eastAsia="宋体" w:cs="宋体"/>
                <w:color w:val="auto"/>
                <w:sz w:val="21"/>
                <w:szCs w:val="21"/>
                <w:highlight w:val="none"/>
                <w:lang w:val="en-US" w:eastAsia="zh-CN"/>
              </w:rPr>
            </w:pPr>
            <w:r>
              <w:rPr>
                <w:rStyle w:val="131"/>
                <w:rFonts w:hint="eastAsia" w:ascii="宋体" w:hAnsi="宋体" w:eastAsia="宋体" w:cs="宋体"/>
                <w:b w:val="0"/>
                <w:color w:val="auto"/>
                <w:sz w:val="21"/>
                <w:szCs w:val="21"/>
                <w:highlight w:val="none"/>
                <w:lang w:val="en-US" w:eastAsia="zh-CN"/>
              </w:rPr>
              <w:t>2、</w:t>
            </w:r>
            <w:r>
              <w:rPr>
                <w:rStyle w:val="131"/>
                <w:rFonts w:hint="eastAsia" w:ascii="宋体" w:hAnsi="宋体" w:eastAsia="宋体" w:cs="宋体"/>
                <w:b w:val="0"/>
                <w:color w:val="auto"/>
                <w:sz w:val="21"/>
                <w:szCs w:val="21"/>
                <w:highlight w:val="none"/>
              </w:rPr>
              <w:t>①维保目标；②维保服务标准；③维保服务流程</w:t>
            </w:r>
            <w:r>
              <w:rPr>
                <w:rStyle w:val="131"/>
                <w:rFonts w:hint="eastAsia" w:ascii="宋体" w:hAnsi="宋体" w:eastAsia="宋体" w:cs="宋体"/>
                <w:b w:val="0"/>
                <w:color w:val="auto"/>
                <w:sz w:val="21"/>
                <w:szCs w:val="21"/>
                <w:highlight w:val="none"/>
                <w:lang w:eastAsia="zh-CN"/>
              </w:rPr>
              <w:t>；</w:t>
            </w:r>
            <w:r>
              <w:rPr>
                <w:rStyle w:val="131"/>
                <w:rFonts w:hint="eastAsia" w:ascii="宋体" w:hAnsi="宋体" w:eastAsia="宋体" w:cs="宋体"/>
                <w:b w:val="0"/>
                <w:color w:val="auto"/>
                <w:sz w:val="21"/>
                <w:szCs w:val="21"/>
                <w:highlight w:val="none"/>
                <w:lang w:val="en-US" w:eastAsia="zh-CN"/>
              </w:rPr>
              <w:t>④</w:t>
            </w:r>
            <w:r>
              <w:rPr>
                <w:rStyle w:val="131"/>
                <w:rFonts w:hint="eastAsia" w:ascii="宋体" w:hAnsi="宋体" w:eastAsia="宋体" w:cs="宋体"/>
                <w:b w:val="0"/>
                <w:color w:val="auto"/>
                <w:sz w:val="21"/>
                <w:szCs w:val="21"/>
                <w:highlight w:val="none"/>
              </w:rPr>
              <w:t>报修响应流程；</w:t>
            </w:r>
            <w:r>
              <w:rPr>
                <w:rStyle w:val="131"/>
                <w:rFonts w:hint="eastAsia" w:ascii="宋体" w:hAnsi="宋体" w:eastAsia="宋体" w:cs="宋体"/>
                <w:b w:val="0"/>
                <w:color w:val="auto"/>
                <w:sz w:val="21"/>
                <w:szCs w:val="21"/>
                <w:highlight w:val="none"/>
                <w:lang w:val="en-US" w:eastAsia="zh-CN"/>
              </w:rPr>
              <w:t>⑤</w:t>
            </w:r>
            <w:r>
              <w:rPr>
                <w:rStyle w:val="131"/>
                <w:rFonts w:hint="eastAsia" w:ascii="宋体" w:hAnsi="宋体" w:eastAsia="宋体" w:cs="宋体"/>
                <w:b w:val="0"/>
                <w:color w:val="auto"/>
                <w:sz w:val="21"/>
                <w:szCs w:val="21"/>
                <w:highlight w:val="none"/>
              </w:rPr>
              <w:t>响应方式及时间；</w:t>
            </w:r>
            <w:r>
              <w:rPr>
                <w:rStyle w:val="131"/>
                <w:rFonts w:hint="eastAsia" w:ascii="宋体" w:hAnsi="宋体" w:eastAsia="宋体" w:cs="宋体"/>
                <w:b w:val="0"/>
                <w:color w:val="auto"/>
                <w:sz w:val="21"/>
                <w:szCs w:val="21"/>
                <w:highlight w:val="none"/>
                <w:lang w:val="en-US" w:eastAsia="zh-CN"/>
              </w:rPr>
              <w:t>⑥</w:t>
            </w:r>
            <w:r>
              <w:rPr>
                <w:rStyle w:val="131"/>
                <w:rFonts w:hint="eastAsia" w:ascii="宋体" w:hAnsi="宋体" w:eastAsia="宋体" w:cs="宋体"/>
                <w:b w:val="0"/>
                <w:color w:val="auto"/>
                <w:sz w:val="21"/>
                <w:szCs w:val="21"/>
                <w:highlight w:val="none"/>
              </w:rPr>
              <w:t>故障诊断及处理；</w:t>
            </w:r>
            <w:r>
              <w:rPr>
                <w:rStyle w:val="131"/>
                <w:rFonts w:hint="eastAsia" w:ascii="宋体" w:hAnsi="宋体" w:eastAsia="宋体" w:cs="宋体"/>
                <w:b w:val="0"/>
                <w:color w:val="auto"/>
                <w:sz w:val="21"/>
                <w:szCs w:val="21"/>
                <w:highlight w:val="none"/>
                <w:lang w:val="en-US" w:eastAsia="zh-CN"/>
              </w:rPr>
              <w:t>⑦</w:t>
            </w:r>
            <w:r>
              <w:rPr>
                <w:rStyle w:val="131"/>
                <w:rFonts w:hint="eastAsia" w:ascii="宋体" w:hAnsi="宋体" w:eastAsia="宋体" w:cs="宋体"/>
                <w:b w:val="0"/>
                <w:color w:val="auto"/>
                <w:sz w:val="21"/>
                <w:szCs w:val="21"/>
                <w:highlight w:val="none"/>
              </w:rPr>
              <w:t>故障解决时限。</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color w:val="auto"/>
                <w:sz w:val="21"/>
                <w:szCs w:val="21"/>
                <w:highlight w:val="none"/>
              </w:rPr>
            </w:pPr>
            <w:r>
              <w:rPr>
                <w:rStyle w:val="131"/>
                <w:rFonts w:hint="eastAsia" w:ascii="宋体" w:hAnsi="宋体" w:eastAsia="宋体" w:cs="宋体"/>
                <w:b w:val="0"/>
                <w:color w:val="auto"/>
                <w:sz w:val="21"/>
                <w:szCs w:val="21"/>
                <w:highlight w:val="none"/>
              </w:rPr>
              <w:t>方案内容全面详实，无缺陷，得</w:t>
            </w:r>
            <w:r>
              <w:rPr>
                <w:rStyle w:val="131"/>
                <w:rFonts w:hint="eastAsia" w:ascii="宋体" w:hAnsi="宋体" w:eastAsia="宋体" w:cs="宋体"/>
                <w:b w:val="0"/>
                <w:color w:val="auto"/>
                <w:sz w:val="21"/>
                <w:szCs w:val="21"/>
                <w:highlight w:val="none"/>
                <w:lang w:val="en-US" w:eastAsia="zh-CN"/>
              </w:rPr>
              <w:t>9</w:t>
            </w:r>
            <w:r>
              <w:rPr>
                <w:rStyle w:val="131"/>
                <w:rFonts w:hint="eastAsia" w:ascii="宋体" w:hAnsi="宋体" w:eastAsia="宋体" w:cs="宋体"/>
                <w:b w:val="0"/>
                <w:color w:val="auto"/>
                <w:sz w:val="21"/>
                <w:szCs w:val="21"/>
                <w:highlight w:val="none"/>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color w:val="auto"/>
                <w:sz w:val="21"/>
                <w:szCs w:val="21"/>
                <w:highlight w:val="none"/>
              </w:rPr>
            </w:pPr>
            <w:r>
              <w:rPr>
                <w:rStyle w:val="131"/>
                <w:rFonts w:hint="eastAsia" w:ascii="宋体" w:hAnsi="宋体" w:eastAsia="宋体" w:cs="宋体"/>
                <w:b w:val="0"/>
                <w:color w:val="auto"/>
                <w:sz w:val="21"/>
                <w:szCs w:val="21"/>
                <w:highlight w:val="none"/>
              </w:rPr>
              <w:t>方案内容较全面详实，但存在缺陷，得</w:t>
            </w:r>
            <w:r>
              <w:rPr>
                <w:rStyle w:val="131"/>
                <w:rFonts w:hint="eastAsia" w:ascii="宋体" w:hAnsi="宋体" w:eastAsia="宋体" w:cs="宋体"/>
                <w:b w:val="0"/>
                <w:color w:val="auto"/>
                <w:sz w:val="21"/>
                <w:szCs w:val="21"/>
                <w:highlight w:val="none"/>
                <w:lang w:val="en-US" w:eastAsia="zh-CN"/>
              </w:rPr>
              <w:t>6</w:t>
            </w:r>
            <w:r>
              <w:rPr>
                <w:rStyle w:val="131"/>
                <w:rFonts w:hint="eastAsia" w:ascii="宋体" w:hAnsi="宋体" w:eastAsia="宋体" w:cs="宋体"/>
                <w:b w:val="0"/>
                <w:color w:val="auto"/>
                <w:sz w:val="21"/>
                <w:szCs w:val="21"/>
                <w:highlight w:val="none"/>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color w:val="auto"/>
                <w:sz w:val="21"/>
                <w:szCs w:val="21"/>
                <w:highlight w:val="none"/>
              </w:rPr>
            </w:pPr>
            <w:r>
              <w:rPr>
                <w:rStyle w:val="131"/>
                <w:rFonts w:hint="eastAsia" w:ascii="宋体" w:hAnsi="宋体" w:eastAsia="宋体" w:cs="宋体"/>
                <w:b w:val="0"/>
                <w:color w:val="auto"/>
                <w:sz w:val="21"/>
                <w:szCs w:val="21"/>
                <w:highlight w:val="none"/>
              </w:rPr>
              <w:t>方案内容存在不符合项目需求的，或缺少上述应包含内容任意一项的，得</w:t>
            </w:r>
            <w:r>
              <w:rPr>
                <w:rStyle w:val="131"/>
                <w:rFonts w:hint="eastAsia" w:ascii="宋体" w:hAnsi="宋体" w:eastAsia="宋体" w:cs="宋体"/>
                <w:b w:val="0"/>
                <w:color w:val="auto"/>
                <w:sz w:val="21"/>
                <w:szCs w:val="21"/>
                <w:highlight w:val="none"/>
                <w:lang w:val="en-US" w:eastAsia="zh-CN"/>
              </w:rPr>
              <w:t>3</w:t>
            </w:r>
            <w:r>
              <w:rPr>
                <w:rStyle w:val="131"/>
                <w:rFonts w:hint="eastAsia" w:ascii="宋体" w:hAnsi="宋体" w:eastAsia="宋体" w:cs="宋体"/>
                <w:b w:val="0"/>
                <w:color w:val="auto"/>
                <w:sz w:val="21"/>
                <w:szCs w:val="21"/>
                <w:highlight w:val="none"/>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color w:val="auto"/>
                <w:sz w:val="21"/>
                <w:szCs w:val="21"/>
                <w:highlight w:val="none"/>
              </w:rPr>
            </w:pPr>
            <w:r>
              <w:rPr>
                <w:rStyle w:val="131"/>
                <w:rFonts w:hint="eastAsia" w:ascii="宋体" w:hAnsi="宋体" w:eastAsia="宋体" w:cs="宋体"/>
                <w:b w:val="0"/>
                <w:color w:val="auto"/>
                <w:sz w:val="21"/>
                <w:szCs w:val="21"/>
                <w:highlight w:val="none"/>
              </w:rPr>
              <w:t>未提供方案，得0分。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Fonts w:hint="eastAsia" w:ascii="宋体" w:hAnsi="宋体" w:eastAsia="宋体" w:cs="宋体"/>
                <w:color w:val="auto"/>
                <w:sz w:val="21"/>
                <w:szCs w:val="21"/>
                <w:highlight w:val="none"/>
              </w:rPr>
            </w:pPr>
            <w:r>
              <w:rPr>
                <w:rStyle w:val="131"/>
                <w:rFonts w:hint="eastAsia" w:ascii="宋体" w:hAnsi="宋体" w:eastAsia="宋体" w:cs="宋体"/>
                <w:b w:val="0"/>
                <w:color w:val="auto"/>
                <w:spacing w:val="-8"/>
                <w:sz w:val="21"/>
                <w:szCs w:val="21"/>
                <w:highlight w:val="none"/>
                <w:lang w:val="en-US" w:eastAsia="zh-CN"/>
              </w:rPr>
              <w:t>（</w:t>
            </w:r>
            <w:r>
              <w:rPr>
                <w:rStyle w:val="131"/>
                <w:rFonts w:hint="eastAsia" w:ascii="宋体" w:hAnsi="宋体" w:eastAsia="宋体" w:cs="宋体"/>
                <w:b w:val="0"/>
                <w:color w:val="auto"/>
                <w:spacing w:val="-8"/>
                <w:sz w:val="21"/>
                <w:szCs w:val="21"/>
                <w:highlight w:val="none"/>
              </w:rPr>
              <w:t>注：缺陷是指方案内容与项目需求不完全一致、存在相互矛盾内容以及未针对本项目编写的任意一种情形。不符合项目需求是指存在与本项目执行无关的内容、存在相关内容在实际操作中不能运用的任意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continue"/>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p>
        </w:tc>
        <w:tc>
          <w:tcPr>
            <w:tcW w:w="1722"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color w:val="auto"/>
                <w:sz w:val="21"/>
                <w:szCs w:val="21"/>
              </w:rPr>
            </w:pPr>
            <w:r>
              <w:rPr>
                <w:rStyle w:val="131"/>
                <w:rFonts w:hint="eastAsia" w:ascii="宋体" w:hAnsi="宋体" w:eastAsia="宋体" w:cs="宋体"/>
                <w:b w:val="0"/>
                <w:color w:val="auto"/>
                <w:sz w:val="21"/>
                <w:szCs w:val="21"/>
              </w:rPr>
              <w:t>维保巡检方案</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color w:val="auto"/>
                <w:sz w:val="21"/>
                <w:szCs w:val="21"/>
                <w:lang w:eastAsia="zh-CN"/>
              </w:rPr>
            </w:pPr>
            <w:r>
              <w:rPr>
                <w:rStyle w:val="131"/>
                <w:rFonts w:hint="eastAsia" w:ascii="宋体" w:hAnsi="宋体" w:eastAsia="宋体" w:cs="宋体"/>
                <w:b w:val="0"/>
                <w:color w:val="auto"/>
                <w:sz w:val="21"/>
                <w:szCs w:val="21"/>
                <w:lang w:eastAsia="zh-CN"/>
              </w:rPr>
              <w:t>（</w:t>
            </w:r>
            <w:r>
              <w:rPr>
                <w:rStyle w:val="131"/>
                <w:rFonts w:hint="eastAsia" w:ascii="宋体" w:hAnsi="宋体" w:eastAsia="宋体" w:cs="宋体"/>
                <w:b w:val="0"/>
                <w:color w:val="auto"/>
                <w:sz w:val="21"/>
                <w:szCs w:val="21"/>
                <w:lang w:val="en-US" w:eastAsia="zh-CN"/>
              </w:rPr>
              <w:t>0-10</w:t>
            </w:r>
            <w:r>
              <w:rPr>
                <w:rStyle w:val="131"/>
                <w:rFonts w:hint="eastAsia" w:ascii="宋体" w:hAnsi="宋体" w:eastAsia="宋体" w:cs="宋体"/>
                <w:b w:val="0"/>
                <w:color w:val="auto"/>
                <w:sz w:val="21"/>
                <w:szCs w:val="21"/>
                <w:lang w:eastAsia="zh-CN"/>
              </w:rPr>
              <w:t>）</w:t>
            </w:r>
          </w:p>
        </w:tc>
        <w:tc>
          <w:tcPr>
            <w:tcW w:w="6363"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投标人结合项目实际提供维保巡检方案，应至少包含但不限于以下内容：①巡检周期；②巡检流程；③巡检内容；④巡检报告。</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方案内容全面详实，无缺陷，得</w:t>
            </w:r>
            <w:r>
              <w:rPr>
                <w:rStyle w:val="131"/>
                <w:rFonts w:hint="eastAsia" w:ascii="宋体" w:hAnsi="宋体" w:eastAsia="宋体" w:cs="宋体"/>
                <w:b w:val="0"/>
                <w:sz w:val="21"/>
                <w:szCs w:val="21"/>
                <w:lang w:val="en-US" w:eastAsia="zh-CN"/>
              </w:rPr>
              <w:t>10</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方案内容较全面详实，但存在缺陷，得</w:t>
            </w:r>
            <w:r>
              <w:rPr>
                <w:rStyle w:val="131"/>
                <w:rFonts w:hint="eastAsia" w:ascii="宋体" w:hAnsi="宋体" w:eastAsia="宋体" w:cs="宋体"/>
                <w:b w:val="0"/>
                <w:sz w:val="21"/>
                <w:szCs w:val="21"/>
                <w:lang w:val="en-US" w:eastAsia="zh-CN"/>
              </w:rPr>
              <w:t>6</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方案内容存在不符合项目需求的，或缺少上述应包含内容任意一项的，得</w:t>
            </w:r>
            <w:r>
              <w:rPr>
                <w:rStyle w:val="131"/>
                <w:rFonts w:hint="eastAsia" w:ascii="宋体" w:hAnsi="宋体" w:eastAsia="宋体" w:cs="宋体"/>
                <w:b w:val="0"/>
                <w:sz w:val="21"/>
                <w:szCs w:val="21"/>
                <w:lang w:val="en-US" w:eastAsia="zh-CN"/>
              </w:rPr>
              <w:t>3</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未提供方案，得0分。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Fonts w:hint="eastAsia" w:ascii="宋体" w:hAnsi="宋体" w:eastAsia="宋体" w:cs="宋体"/>
                <w:sz w:val="21"/>
                <w:szCs w:val="21"/>
              </w:rPr>
            </w:pPr>
            <w:r>
              <w:rPr>
                <w:rStyle w:val="131"/>
                <w:rFonts w:hint="eastAsia" w:ascii="宋体" w:hAnsi="宋体" w:eastAsia="宋体" w:cs="宋体"/>
                <w:b w:val="0"/>
                <w:spacing w:val="-8"/>
                <w:sz w:val="21"/>
                <w:szCs w:val="21"/>
              </w:rPr>
              <w:t>（注：缺陷是指方案内容与项目需求不完全一致、存在相互矛盾内容以及未针对本项目编写的任意一种情形。不符合项目需求是指存在与本项目执行无关的内容、存在相关内容在实际操作中不能运用的任意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continue"/>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p>
        </w:tc>
        <w:tc>
          <w:tcPr>
            <w:tcW w:w="1722"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color w:val="auto"/>
                <w:sz w:val="21"/>
                <w:szCs w:val="21"/>
                <w:highlight w:val="none"/>
              </w:rPr>
            </w:pPr>
            <w:r>
              <w:rPr>
                <w:rStyle w:val="131"/>
                <w:rFonts w:hint="eastAsia" w:ascii="宋体" w:hAnsi="宋体" w:eastAsia="宋体" w:cs="宋体"/>
                <w:b w:val="0"/>
                <w:color w:val="auto"/>
                <w:sz w:val="21"/>
                <w:szCs w:val="21"/>
                <w:highlight w:val="none"/>
              </w:rPr>
              <w:t>维保</w:t>
            </w:r>
            <w:r>
              <w:rPr>
                <w:rStyle w:val="131"/>
                <w:rFonts w:hint="eastAsia" w:ascii="宋体" w:hAnsi="宋体" w:eastAsia="宋体" w:cs="宋体"/>
                <w:b w:val="0"/>
                <w:color w:val="auto"/>
                <w:sz w:val="21"/>
                <w:szCs w:val="21"/>
                <w:highlight w:val="none"/>
                <w:lang w:val="en-US" w:eastAsia="zh-CN"/>
              </w:rPr>
              <w:t>项目管理要求及</w:t>
            </w:r>
            <w:r>
              <w:rPr>
                <w:rStyle w:val="131"/>
                <w:rFonts w:hint="eastAsia" w:ascii="宋体" w:hAnsi="宋体" w:eastAsia="宋体" w:cs="宋体"/>
                <w:b w:val="0"/>
                <w:color w:val="auto"/>
                <w:sz w:val="21"/>
                <w:szCs w:val="21"/>
                <w:highlight w:val="none"/>
              </w:rPr>
              <w:t>实施方案</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color w:val="auto"/>
                <w:sz w:val="21"/>
                <w:szCs w:val="21"/>
                <w:highlight w:val="none"/>
                <w:lang w:eastAsia="zh-CN"/>
              </w:rPr>
            </w:pPr>
            <w:r>
              <w:rPr>
                <w:rStyle w:val="131"/>
                <w:rFonts w:hint="eastAsia" w:ascii="宋体" w:hAnsi="宋体" w:eastAsia="宋体" w:cs="宋体"/>
                <w:b w:val="0"/>
                <w:color w:val="auto"/>
                <w:sz w:val="21"/>
                <w:szCs w:val="21"/>
                <w:highlight w:val="none"/>
                <w:lang w:eastAsia="zh-CN"/>
              </w:rPr>
              <w:t>（</w:t>
            </w:r>
            <w:r>
              <w:rPr>
                <w:rStyle w:val="131"/>
                <w:rFonts w:hint="eastAsia" w:ascii="宋体" w:hAnsi="宋体" w:eastAsia="宋体" w:cs="宋体"/>
                <w:b w:val="0"/>
                <w:color w:val="auto"/>
                <w:sz w:val="21"/>
                <w:szCs w:val="21"/>
                <w:highlight w:val="none"/>
                <w:lang w:val="en-US" w:eastAsia="zh-CN"/>
              </w:rPr>
              <w:t>0-10</w:t>
            </w:r>
            <w:r>
              <w:rPr>
                <w:rStyle w:val="131"/>
                <w:rFonts w:hint="eastAsia" w:ascii="宋体" w:hAnsi="宋体" w:eastAsia="宋体" w:cs="宋体"/>
                <w:b w:val="0"/>
                <w:color w:val="auto"/>
                <w:sz w:val="21"/>
                <w:szCs w:val="21"/>
                <w:highlight w:val="none"/>
                <w:lang w:eastAsia="zh-CN"/>
              </w:rPr>
              <w:t>）</w:t>
            </w:r>
          </w:p>
        </w:tc>
        <w:tc>
          <w:tcPr>
            <w:tcW w:w="6363"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投标人结合项目实际提供维保实施方案，应至少包含但不限于以下内容：①项目管理措施；②项目组织设置；③维保人员分工。</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方案内容全面详实，无缺陷，得</w:t>
            </w:r>
            <w:r>
              <w:rPr>
                <w:rStyle w:val="131"/>
                <w:rFonts w:hint="eastAsia" w:ascii="宋体" w:hAnsi="宋体" w:eastAsia="宋体" w:cs="宋体"/>
                <w:b w:val="0"/>
                <w:sz w:val="21"/>
                <w:szCs w:val="21"/>
                <w:lang w:val="en-US" w:eastAsia="zh-CN"/>
              </w:rPr>
              <w:t>10</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方案内容较全面详实，但存在缺陷，得</w:t>
            </w:r>
            <w:r>
              <w:rPr>
                <w:rStyle w:val="131"/>
                <w:rFonts w:hint="eastAsia" w:ascii="宋体" w:hAnsi="宋体" w:eastAsia="宋体" w:cs="宋体"/>
                <w:b w:val="0"/>
                <w:sz w:val="21"/>
                <w:szCs w:val="21"/>
                <w:lang w:val="en-US" w:eastAsia="zh-CN"/>
              </w:rPr>
              <w:t>6</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方案内容存在不符合项目需求的，或缺少上述应包含内容任意一项的，得</w:t>
            </w:r>
            <w:r>
              <w:rPr>
                <w:rStyle w:val="131"/>
                <w:rFonts w:hint="eastAsia" w:ascii="宋体" w:hAnsi="宋体" w:eastAsia="宋体" w:cs="宋体"/>
                <w:b w:val="0"/>
                <w:sz w:val="21"/>
                <w:szCs w:val="21"/>
                <w:lang w:val="en-US" w:eastAsia="zh-CN"/>
              </w:rPr>
              <w:t>3</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未提供方案，得0分。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Fonts w:hint="eastAsia" w:ascii="宋体" w:hAnsi="宋体" w:eastAsia="宋体" w:cs="宋体"/>
                <w:sz w:val="21"/>
                <w:szCs w:val="21"/>
              </w:rPr>
            </w:pPr>
            <w:r>
              <w:rPr>
                <w:rStyle w:val="131"/>
                <w:rFonts w:hint="eastAsia" w:ascii="宋体" w:hAnsi="宋体" w:eastAsia="宋体" w:cs="宋体"/>
                <w:b w:val="0"/>
                <w:spacing w:val="0"/>
                <w:sz w:val="21"/>
                <w:szCs w:val="21"/>
              </w:rPr>
              <w:t>（注：缺陷是指方案内容与项目需求不完全一致、存在相互矛盾内容以及未针对本项目编写的任意一种情形。不符合项目需求是指存在与本项目执行无关的内容、存在相关内容在实际操作中不能运用的任意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continue"/>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p>
        </w:tc>
        <w:tc>
          <w:tcPr>
            <w:tcW w:w="1722"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color w:val="auto"/>
                <w:sz w:val="21"/>
                <w:szCs w:val="21"/>
              </w:rPr>
            </w:pPr>
            <w:r>
              <w:rPr>
                <w:rStyle w:val="131"/>
                <w:rFonts w:hint="eastAsia" w:ascii="宋体" w:hAnsi="宋体" w:eastAsia="宋体" w:cs="宋体"/>
                <w:b w:val="0"/>
                <w:color w:val="auto"/>
                <w:sz w:val="21"/>
                <w:szCs w:val="21"/>
              </w:rPr>
              <w:t>保密管理方案</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color w:val="auto"/>
                <w:sz w:val="21"/>
                <w:szCs w:val="21"/>
                <w:lang w:eastAsia="zh-CN"/>
              </w:rPr>
            </w:pPr>
            <w:r>
              <w:rPr>
                <w:rStyle w:val="131"/>
                <w:rFonts w:hint="eastAsia" w:ascii="宋体" w:hAnsi="宋体" w:eastAsia="宋体" w:cs="宋体"/>
                <w:b w:val="0"/>
                <w:color w:val="auto"/>
                <w:sz w:val="21"/>
                <w:szCs w:val="21"/>
                <w:lang w:eastAsia="zh-CN"/>
              </w:rPr>
              <w:t>（</w:t>
            </w:r>
            <w:r>
              <w:rPr>
                <w:rStyle w:val="131"/>
                <w:rFonts w:hint="eastAsia" w:ascii="宋体" w:hAnsi="宋体" w:eastAsia="宋体" w:cs="宋体"/>
                <w:b w:val="0"/>
                <w:color w:val="auto"/>
                <w:sz w:val="21"/>
                <w:szCs w:val="21"/>
                <w:lang w:val="en-US" w:eastAsia="zh-CN"/>
              </w:rPr>
              <w:t>0-5</w:t>
            </w:r>
            <w:r>
              <w:rPr>
                <w:rStyle w:val="131"/>
                <w:rFonts w:hint="eastAsia" w:ascii="宋体" w:hAnsi="宋体" w:eastAsia="宋体" w:cs="宋体"/>
                <w:b w:val="0"/>
                <w:color w:val="auto"/>
                <w:sz w:val="21"/>
                <w:szCs w:val="21"/>
                <w:lang w:eastAsia="zh-CN"/>
              </w:rPr>
              <w:t>）</w:t>
            </w:r>
          </w:p>
        </w:tc>
        <w:tc>
          <w:tcPr>
            <w:tcW w:w="6363"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投标人结合项目实际提供保密管理方案，应至少包含但不限于以下内容：①保密组织结构；②保密管理方法；③保密管理制度；④保密管理规定。</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方案内容全面详实，无缺陷，得</w:t>
            </w:r>
            <w:r>
              <w:rPr>
                <w:rStyle w:val="131"/>
                <w:rFonts w:hint="eastAsia" w:ascii="宋体" w:hAnsi="宋体" w:eastAsia="宋体" w:cs="宋体"/>
                <w:b w:val="0"/>
                <w:sz w:val="21"/>
                <w:szCs w:val="21"/>
                <w:lang w:val="en-US" w:eastAsia="zh-CN"/>
              </w:rPr>
              <w:t>5</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方案内容较全面详实，但存在缺陷，得</w:t>
            </w:r>
            <w:r>
              <w:rPr>
                <w:rStyle w:val="131"/>
                <w:rFonts w:hint="eastAsia" w:ascii="宋体" w:hAnsi="宋体" w:eastAsia="宋体" w:cs="宋体"/>
                <w:b w:val="0"/>
                <w:sz w:val="21"/>
                <w:szCs w:val="21"/>
                <w:lang w:val="en-US" w:eastAsia="zh-CN"/>
              </w:rPr>
              <w:t>3</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方案内容存在不符合项目需求的，或缺少上述应包含内容任意一项的，得</w:t>
            </w:r>
            <w:r>
              <w:rPr>
                <w:rStyle w:val="131"/>
                <w:rFonts w:hint="eastAsia" w:ascii="宋体" w:hAnsi="宋体" w:eastAsia="宋体" w:cs="宋体"/>
                <w:b w:val="0"/>
                <w:sz w:val="21"/>
                <w:szCs w:val="21"/>
                <w:lang w:val="en-US" w:eastAsia="zh-CN"/>
              </w:rPr>
              <w:t>1</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未提供方案，得0分。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Fonts w:hint="eastAsia" w:ascii="宋体" w:hAnsi="宋体" w:eastAsia="宋体" w:cs="宋体"/>
                <w:sz w:val="21"/>
                <w:szCs w:val="21"/>
              </w:rPr>
            </w:pPr>
            <w:r>
              <w:rPr>
                <w:rStyle w:val="131"/>
                <w:rFonts w:hint="eastAsia" w:ascii="宋体" w:hAnsi="宋体" w:eastAsia="宋体" w:cs="宋体"/>
                <w:b w:val="0"/>
                <w:sz w:val="21"/>
                <w:szCs w:val="21"/>
              </w:rPr>
              <w:t>（注：缺陷是指方案内容与项目需求不完全一致、存在相互矛盾内容以及未针对本项目编写的任意一种情形。不符合项目需求是指存在与本项目执行无关的内容、存在相关内容在实际操作中不能运用的任意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continue"/>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p>
        </w:tc>
        <w:tc>
          <w:tcPr>
            <w:tcW w:w="1722"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备品备件方案</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lang w:eastAsia="zh-CN"/>
              </w:rPr>
              <w:t>（</w:t>
            </w:r>
            <w:r>
              <w:rPr>
                <w:rStyle w:val="131"/>
                <w:rFonts w:hint="eastAsia" w:ascii="宋体" w:hAnsi="宋体" w:eastAsia="宋体" w:cs="宋体"/>
                <w:b w:val="0"/>
                <w:sz w:val="21"/>
                <w:szCs w:val="21"/>
                <w:lang w:val="en-US" w:eastAsia="zh-CN"/>
              </w:rPr>
              <w:t>0-5</w:t>
            </w:r>
            <w:r>
              <w:rPr>
                <w:rStyle w:val="131"/>
                <w:rFonts w:hint="eastAsia" w:ascii="宋体" w:hAnsi="宋体" w:eastAsia="宋体" w:cs="宋体"/>
                <w:b w:val="0"/>
                <w:sz w:val="21"/>
                <w:szCs w:val="21"/>
                <w:lang w:eastAsia="zh-CN"/>
              </w:rPr>
              <w:t>）</w:t>
            </w:r>
          </w:p>
        </w:tc>
        <w:tc>
          <w:tcPr>
            <w:tcW w:w="6363"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投标人结合项目实际提供备品备件方案，应至少包含但不限于以下内容：①备品备件保障体系；②备品备件管理制度；③备品备件管理流程；④备品备件控制流程。</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方案内容全面详实，无缺陷，得</w:t>
            </w:r>
            <w:r>
              <w:rPr>
                <w:rStyle w:val="131"/>
                <w:rFonts w:hint="eastAsia" w:ascii="宋体" w:hAnsi="宋体" w:eastAsia="宋体" w:cs="宋体"/>
                <w:b w:val="0"/>
                <w:sz w:val="21"/>
                <w:szCs w:val="21"/>
                <w:lang w:val="en-US" w:eastAsia="zh-CN"/>
              </w:rPr>
              <w:t>5</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方案内容较全面详实，但存在缺陷，得</w:t>
            </w:r>
            <w:r>
              <w:rPr>
                <w:rStyle w:val="131"/>
                <w:rFonts w:hint="eastAsia" w:ascii="宋体" w:hAnsi="宋体" w:eastAsia="宋体" w:cs="宋体"/>
                <w:b w:val="0"/>
                <w:sz w:val="21"/>
                <w:szCs w:val="21"/>
                <w:lang w:val="en-US" w:eastAsia="zh-CN"/>
              </w:rPr>
              <w:t>3</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方案内容存在不符合项目需求的，或缺少上述应包含内容任意一项的，得</w:t>
            </w:r>
            <w:r>
              <w:rPr>
                <w:rStyle w:val="131"/>
                <w:rFonts w:hint="eastAsia" w:ascii="宋体" w:hAnsi="宋体" w:eastAsia="宋体" w:cs="宋体"/>
                <w:b w:val="0"/>
                <w:sz w:val="21"/>
                <w:szCs w:val="21"/>
                <w:lang w:val="en-US" w:eastAsia="zh-CN"/>
              </w:rPr>
              <w:t>1</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未提供方案，得0分。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注：缺陷是指方案内容与项目需求不完全一致、存在相互矛盾内容以及未针对本项目编写的任意一种情形。不符合项目需求是指存在与本项目执行无关的内容、存在相关内容在实际操作中不能运用的任意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continue"/>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p>
        </w:tc>
        <w:tc>
          <w:tcPr>
            <w:tcW w:w="1722"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应急保障方案</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lang w:eastAsia="zh-CN"/>
              </w:rPr>
              <w:t>（</w:t>
            </w:r>
            <w:r>
              <w:rPr>
                <w:rStyle w:val="131"/>
                <w:rFonts w:hint="eastAsia" w:ascii="宋体" w:hAnsi="宋体" w:eastAsia="宋体" w:cs="宋体"/>
                <w:b w:val="0"/>
                <w:sz w:val="21"/>
                <w:szCs w:val="21"/>
                <w:lang w:val="en-US" w:eastAsia="zh-CN"/>
              </w:rPr>
              <w:t>0-5</w:t>
            </w:r>
            <w:r>
              <w:rPr>
                <w:rStyle w:val="131"/>
                <w:rFonts w:hint="eastAsia" w:ascii="宋体" w:hAnsi="宋体" w:eastAsia="宋体" w:cs="宋体"/>
                <w:b w:val="0"/>
                <w:sz w:val="21"/>
                <w:szCs w:val="21"/>
                <w:lang w:eastAsia="zh-CN"/>
              </w:rPr>
              <w:t>）</w:t>
            </w:r>
          </w:p>
        </w:tc>
        <w:tc>
          <w:tcPr>
            <w:tcW w:w="6363"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pacing w:val="-2"/>
                <w:sz w:val="21"/>
                <w:szCs w:val="21"/>
              </w:rPr>
              <w:t>投标人结合项目实际提供应急保障方案，应至少包含但不限于以下内容：①应急管理计划；②应急保障处理流程；③突发事件解决措施。</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方案内容全面详实，无缺陷，得</w:t>
            </w:r>
            <w:r>
              <w:rPr>
                <w:rStyle w:val="131"/>
                <w:rFonts w:hint="eastAsia" w:ascii="宋体" w:hAnsi="宋体" w:eastAsia="宋体" w:cs="宋体"/>
                <w:b w:val="0"/>
                <w:sz w:val="21"/>
                <w:szCs w:val="21"/>
                <w:lang w:val="en-US" w:eastAsia="zh-CN"/>
              </w:rPr>
              <w:t>5</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方案内容较全面详实，但存在缺陷，得</w:t>
            </w:r>
            <w:r>
              <w:rPr>
                <w:rStyle w:val="131"/>
                <w:rFonts w:hint="eastAsia" w:ascii="宋体" w:hAnsi="宋体" w:eastAsia="宋体" w:cs="宋体"/>
                <w:b w:val="0"/>
                <w:sz w:val="21"/>
                <w:szCs w:val="21"/>
                <w:lang w:val="en-US" w:eastAsia="zh-CN"/>
              </w:rPr>
              <w:t>3</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方案内容存在不符合项目需求的，或缺少上述应包含内容任意一项的，得</w:t>
            </w:r>
            <w:r>
              <w:rPr>
                <w:rStyle w:val="131"/>
                <w:rFonts w:hint="eastAsia" w:ascii="宋体" w:hAnsi="宋体" w:eastAsia="宋体" w:cs="宋体"/>
                <w:b w:val="0"/>
                <w:sz w:val="21"/>
                <w:szCs w:val="21"/>
                <w:lang w:val="en-US" w:eastAsia="zh-CN"/>
              </w:rPr>
              <w:t>1</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未提供方案，得0分。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Fonts w:hint="eastAsia" w:ascii="宋体" w:hAnsi="宋体" w:eastAsia="宋体" w:cs="宋体"/>
                <w:sz w:val="21"/>
                <w:szCs w:val="21"/>
              </w:rPr>
            </w:pPr>
            <w:r>
              <w:rPr>
                <w:rStyle w:val="131"/>
                <w:rFonts w:hint="eastAsia" w:ascii="宋体" w:hAnsi="宋体" w:eastAsia="宋体" w:cs="宋体"/>
                <w:b w:val="0"/>
                <w:sz w:val="21"/>
                <w:szCs w:val="21"/>
              </w:rPr>
              <w:t>（注：缺陷是指方案内容与项目需求不完全一致、存在相互矛盾内容以及未针对本项目编写的任意一种情形。不符合项目需求是指存在与本项目执行无关的内容、存在相关内容在实际操作中不能运用的任意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continue"/>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p>
        </w:tc>
        <w:tc>
          <w:tcPr>
            <w:tcW w:w="1722"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培训方案</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lang w:eastAsia="zh-CN"/>
              </w:rPr>
              <w:t>（</w:t>
            </w:r>
            <w:r>
              <w:rPr>
                <w:rStyle w:val="131"/>
                <w:rFonts w:hint="eastAsia" w:ascii="宋体" w:hAnsi="宋体" w:eastAsia="宋体" w:cs="宋体"/>
                <w:b w:val="0"/>
                <w:sz w:val="21"/>
                <w:szCs w:val="21"/>
                <w:lang w:val="en-US" w:eastAsia="zh-CN"/>
              </w:rPr>
              <w:t>0-3</w:t>
            </w:r>
            <w:r>
              <w:rPr>
                <w:rStyle w:val="131"/>
                <w:rFonts w:hint="eastAsia" w:ascii="宋体" w:hAnsi="宋体" w:eastAsia="宋体" w:cs="宋体"/>
                <w:b w:val="0"/>
                <w:sz w:val="21"/>
                <w:szCs w:val="21"/>
                <w:lang w:eastAsia="zh-CN"/>
              </w:rPr>
              <w:t>）</w:t>
            </w:r>
          </w:p>
        </w:tc>
        <w:tc>
          <w:tcPr>
            <w:tcW w:w="6363"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投标人结合项目实际提供培训方案，应至少包含但不限于以下内容：①培训目标；②培训方式；③培训对象；④培训内容。</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方案内容全面详实，无缺陷，得</w:t>
            </w:r>
            <w:r>
              <w:rPr>
                <w:rStyle w:val="131"/>
                <w:rFonts w:hint="eastAsia" w:ascii="宋体" w:hAnsi="宋体" w:eastAsia="宋体" w:cs="宋体"/>
                <w:b w:val="0"/>
                <w:sz w:val="21"/>
                <w:szCs w:val="21"/>
                <w:lang w:val="en-US" w:eastAsia="zh-CN"/>
              </w:rPr>
              <w:t>3</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方案内容较全面详实，但存在缺陷，得</w:t>
            </w:r>
            <w:r>
              <w:rPr>
                <w:rStyle w:val="131"/>
                <w:rFonts w:hint="eastAsia" w:ascii="宋体" w:hAnsi="宋体" w:eastAsia="宋体" w:cs="宋体"/>
                <w:b w:val="0"/>
                <w:sz w:val="21"/>
                <w:szCs w:val="21"/>
                <w:lang w:val="en-US" w:eastAsia="zh-CN"/>
              </w:rPr>
              <w:t>2</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方案内容存在不符合项目需求的，或缺少上述应包含内容任意一项的，得</w:t>
            </w:r>
            <w:r>
              <w:rPr>
                <w:rStyle w:val="131"/>
                <w:rFonts w:hint="eastAsia" w:ascii="宋体" w:hAnsi="宋体" w:eastAsia="宋体" w:cs="宋体"/>
                <w:b w:val="0"/>
                <w:sz w:val="21"/>
                <w:szCs w:val="21"/>
                <w:lang w:val="en-US" w:eastAsia="zh-CN"/>
              </w:rPr>
              <w:t>1</w:t>
            </w:r>
            <w:r>
              <w:rPr>
                <w:rStyle w:val="131"/>
                <w:rFonts w:hint="eastAsia" w:ascii="宋体" w:hAnsi="宋体" w:eastAsia="宋体" w:cs="宋体"/>
                <w:b w:val="0"/>
                <w:sz w:val="21"/>
                <w:szCs w:val="21"/>
              </w:rPr>
              <w:t>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rPr>
            </w:pPr>
            <w:r>
              <w:rPr>
                <w:rStyle w:val="131"/>
                <w:rFonts w:hint="eastAsia" w:ascii="宋体" w:hAnsi="宋体" w:eastAsia="宋体" w:cs="宋体"/>
                <w:b w:val="0"/>
                <w:sz w:val="21"/>
                <w:szCs w:val="21"/>
              </w:rPr>
              <w:t>未提供方案，得0分。</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Fonts w:hint="eastAsia" w:ascii="宋体" w:hAnsi="宋体" w:eastAsia="宋体" w:cs="宋体"/>
                <w:sz w:val="21"/>
                <w:szCs w:val="21"/>
              </w:rPr>
            </w:pPr>
            <w:r>
              <w:rPr>
                <w:rStyle w:val="131"/>
                <w:rFonts w:hint="eastAsia" w:ascii="宋体" w:hAnsi="宋体" w:eastAsia="宋体" w:cs="宋体"/>
                <w:b w:val="0"/>
                <w:sz w:val="21"/>
                <w:szCs w:val="21"/>
              </w:rPr>
              <w:t>（注：缺陷是指方案内容与项目需求不完全一致、存在相互矛盾内容以及未针对本项目编写的任意一种情形。不符合项目需求是指存在与本项目执行无关的内容、存在相关内容在实际操作中不能运用的任意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continue"/>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Fonts w:hint="eastAsia" w:ascii="宋体" w:hAnsi="宋体" w:eastAsia="宋体" w:cs="宋体"/>
                <w:sz w:val="21"/>
                <w:szCs w:val="21"/>
              </w:rPr>
            </w:pPr>
          </w:p>
        </w:tc>
        <w:tc>
          <w:tcPr>
            <w:tcW w:w="1722"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sz w:val="21"/>
                <w:szCs w:val="21"/>
                <w:lang w:val="en-US" w:eastAsia="zh-CN"/>
              </w:rPr>
            </w:pPr>
            <w:r>
              <w:rPr>
                <w:rStyle w:val="131"/>
                <w:rFonts w:hint="eastAsia" w:ascii="宋体" w:hAnsi="宋体" w:eastAsia="宋体" w:cs="宋体"/>
                <w:b w:val="0"/>
                <w:sz w:val="21"/>
                <w:szCs w:val="21"/>
                <w:lang w:val="en-US" w:eastAsia="zh-CN"/>
              </w:rPr>
              <w:t>服务承诺</w:t>
            </w:r>
          </w:p>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center"/>
              <w:textAlignment w:val="auto"/>
              <w:rPr>
                <w:rStyle w:val="131"/>
                <w:rFonts w:hint="eastAsia" w:ascii="宋体" w:hAnsi="宋体" w:eastAsia="宋体" w:cs="宋体"/>
                <w:b w:val="0"/>
                <w:sz w:val="21"/>
                <w:szCs w:val="21"/>
                <w:lang w:val="en-US" w:eastAsia="zh-CN"/>
              </w:rPr>
            </w:pPr>
            <w:r>
              <w:rPr>
                <w:rStyle w:val="131"/>
                <w:rFonts w:hint="eastAsia" w:ascii="宋体" w:hAnsi="宋体" w:eastAsia="宋体" w:cs="宋体"/>
                <w:b w:val="0"/>
                <w:sz w:val="21"/>
                <w:szCs w:val="21"/>
                <w:lang w:val="en-US" w:eastAsia="zh-CN"/>
              </w:rPr>
              <w:t>（0-3）</w:t>
            </w:r>
          </w:p>
        </w:tc>
        <w:tc>
          <w:tcPr>
            <w:tcW w:w="6363" w:type="dxa"/>
            <w:vAlign w:val="center"/>
          </w:tcPr>
          <w:p>
            <w:pPr>
              <w:pStyle w:val="515"/>
              <w:keepNext w:val="0"/>
              <w:keepLines w:val="0"/>
              <w:pageBreakBefore w:val="0"/>
              <w:widowControl/>
              <w:kinsoku/>
              <w:wordWrap/>
              <w:overflowPunct/>
              <w:topLinePunct w:val="0"/>
              <w:autoSpaceDE/>
              <w:autoSpaceDN/>
              <w:bidi w:val="0"/>
              <w:adjustRightInd/>
              <w:snapToGrid/>
              <w:spacing w:before="48" w:beforeLines="15" w:after="48" w:afterLines="15" w:line="276" w:lineRule="auto"/>
              <w:jc w:val="left"/>
              <w:textAlignment w:val="auto"/>
              <w:rPr>
                <w:rStyle w:val="131"/>
                <w:rFonts w:hint="eastAsia" w:ascii="宋体" w:hAnsi="宋体" w:eastAsia="宋体" w:cs="宋体"/>
                <w:b w:val="0"/>
                <w:sz w:val="21"/>
                <w:szCs w:val="21"/>
                <w:lang w:val="en-US" w:eastAsia="zh-CN"/>
              </w:rPr>
            </w:pPr>
            <w:r>
              <w:rPr>
                <w:rStyle w:val="131"/>
                <w:rFonts w:hint="eastAsia" w:ascii="宋体" w:hAnsi="宋体" w:eastAsia="宋体" w:cs="宋体"/>
                <w:b w:val="0"/>
                <w:sz w:val="21"/>
                <w:szCs w:val="21"/>
              </w:rPr>
              <w:t>实质性优惠服务承诺</w:t>
            </w:r>
            <w:r>
              <w:rPr>
                <w:rStyle w:val="131"/>
                <w:rFonts w:hint="eastAsia" w:ascii="宋体" w:hAnsi="宋体" w:eastAsia="宋体" w:cs="宋体"/>
                <w:b w:val="0"/>
                <w:sz w:val="21"/>
                <w:szCs w:val="21"/>
                <w:lang w:eastAsia="zh-CN"/>
              </w:rPr>
              <w:t>：</w:t>
            </w:r>
            <w:r>
              <w:rPr>
                <w:rStyle w:val="131"/>
                <w:rFonts w:hint="eastAsia" w:ascii="宋体" w:hAnsi="宋体" w:eastAsia="宋体" w:cs="宋体"/>
                <w:b w:val="0"/>
                <w:sz w:val="21"/>
                <w:szCs w:val="21"/>
                <w:lang w:val="en-US" w:eastAsia="zh-CN"/>
              </w:rPr>
              <w:t>投标人承诺延长服务期，每延长两个月得1分，最高得3分。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restart"/>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投标报价</w:t>
            </w:r>
          </w:p>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（15分）</w:t>
            </w:r>
          </w:p>
        </w:tc>
        <w:tc>
          <w:tcPr>
            <w:tcW w:w="8085" w:type="dxa"/>
            <w:gridSpan w:val="2"/>
            <w:vAlign w:val="center"/>
          </w:tcPr>
          <w:p>
            <w:pPr>
              <w:keepNext w:val="0"/>
              <w:keepLines w:val="0"/>
              <w:pageBreakBefore w:val="0"/>
              <w:kinsoku/>
              <w:wordWrap/>
              <w:overflowPunct/>
              <w:topLinePunct/>
              <w:autoSpaceDE/>
              <w:autoSpaceDN/>
              <w:bidi w:val="0"/>
              <w:adjustRightInd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价格扣除：本项目落实中小微企业扶持、促进残疾人就业等相关政府采购政策。</w:t>
            </w:r>
          </w:p>
          <w:p>
            <w:pPr>
              <w:keepNext w:val="0"/>
              <w:keepLines w:val="0"/>
              <w:pageBreakBefore w:val="0"/>
              <w:kinsoku/>
              <w:wordWrap/>
              <w:overflowPunct/>
              <w:topLinePunct/>
              <w:autoSpaceDE/>
              <w:autoSpaceDN/>
              <w:bidi w:val="0"/>
              <w:adjustRightInd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根据《政府采购促进中小企业发展管理办法》（财库﹝2020﹞46 号）的规定，对于非专门面向中小企业的项目，对小型和微型企业产品的价格给予</w:t>
            </w:r>
            <w:r>
              <w:rPr>
                <w:rFonts w:hint="eastAsia" w:ascii="宋体" w:hAnsi="宋体" w:eastAsia="宋体" w:cs="宋体"/>
                <w:sz w:val="21"/>
                <w:szCs w:val="21"/>
                <w:highlight w:val="none"/>
                <w:lang w:eastAsia="zh-CN"/>
              </w:rPr>
              <w:t>10%</w:t>
            </w:r>
            <w:r>
              <w:rPr>
                <w:rFonts w:hint="eastAsia" w:ascii="宋体" w:hAnsi="宋体" w:eastAsia="宋体" w:cs="宋体"/>
                <w:sz w:val="21"/>
                <w:szCs w:val="21"/>
                <w:highlight w:val="none"/>
              </w:rPr>
              <w:t>的扣除，用扣除后的价格参与评审，评标价不作为成交价和合同签约价，成交价和合同签约价仍以其投标文件中的报价为准。监狱企业视同小型、微型企业，中小微企业产品和监狱企业产品只给予一次价格扣除，不重复给予价格扣除。中小企业的认定标准按《中小企业划型标准规定》工信部联企业〔2011〕300号文件执行，投标人应提供《中小企业声明函》。</w:t>
            </w:r>
          </w:p>
          <w:p>
            <w:pPr>
              <w:keepNext w:val="0"/>
              <w:keepLines w:val="0"/>
              <w:pageBreakBefore w:val="0"/>
              <w:kinsoku/>
              <w:wordWrap/>
              <w:overflowPunct/>
              <w:topLinePunct/>
              <w:autoSpaceDE/>
              <w:autoSpaceDN/>
              <w:bidi w:val="0"/>
              <w:adjustRightInd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监狱企业视同小型、微型企业，需提供省级及以上监狱管理局、戒毒管理局（含新疆生产建设兵团）出具的属于监狱企业的证明文件，否则不予认可。</w:t>
            </w:r>
          </w:p>
          <w:p>
            <w:pPr>
              <w:keepNext w:val="0"/>
              <w:keepLines w:val="0"/>
              <w:pageBreakBefore w:val="0"/>
              <w:kinsoku/>
              <w:wordWrap/>
              <w:overflowPunct/>
              <w:topLinePunct/>
              <w:autoSpaceDE/>
              <w:autoSpaceDN/>
              <w:bidi w:val="0"/>
              <w:adjustRightInd w:val="0"/>
              <w:snapToGrid/>
              <w:spacing w:before="48" w:beforeLines="15" w:after="48" w:afterLines="15" w:line="276"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残疾人福利性单位视同小型、微型企业。按照关于促进残疾人就业政府采购政策的通知财库〔2017〕141号要求提供《</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"http://www.gov.cn/xinwen/2017-09/02/5222181/files/f1ba446ff1d041aab7b557a51912d058.docx" \t "_blank"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残疾人福利性单位声明函</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》等有效证明材料，并对声明的真实性负责，否则不予认可。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Merge w:val="continue"/>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p>
        </w:tc>
        <w:tc>
          <w:tcPr>
            <w:tcW w:w="8085" w:type="dxa"/>
            <w:gridSpan w:val="2"/>
            <w:vAlign w:val="center"/>
          </w:tcPr>
          <w:p>
            <w:pPr>
              <w:keepNext w:val="0"/>
              <w:keepLines w:val="0"/>
              <w:pageBreakBefore w:val="0"/>
              <w:kinsoku/>
              <w:wordWrap/>
              <w:overflowPunct/>
              <w:topLinePunct/>
              <w:autoSpaceDE/>
              <w:autoSpaceDN/>
              <w:bidi w:val="0"/>
              <w:adjustRightInd w:val="0"/>
              <w:snapToGrid/>
              <w:spacing w:before="48" w:beforeLines="15" w:after="48" w:afterLines="15" w:line="276" w:lineRule="auto"/>
              <w:textAlignment w:val="auto"/>
              <w:rPr>
                <w:rFonts w:hint="eastAsia" w:ascii="宋体" w:hAnsi="宋体" w:eastAsia="宋体" w:cs="宋体"/>
                <w:sz w:val="21"/>
                <w:szCs w:val="21"/>
              </w:rPr>
            </w:pPr>
            <w:r>
              <w:rPr>
                <w:rFonts w:hint="eastAsia" w:ascii="宋体" w:hAnsi="宋体" w:eastAsia="宋体" w:cs="宋体"/>
                <w:sz w:val="21"/>
                <w:szCs w:val="21"/>
              </w:rPr>
              <w:t>满足招标文件要求且投标价格最低的投标报价为评标基准价，其价格分 为满分。其他投标人的价格分统一按下列公式计算：投标报价得分=（评标基准价/投标报价）×15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69" w:type="dxa"/>
            <w:vAlign w:val="center"/>
          </w:tcPr>
          <w:p>
            <w:pPr>
              <w:pStyle w:val="463"/>
              <w:keepNext w:val="0"/>
              <w:keepLines w:val="0"/>
              <w:pageBreakBefore w:val="0"/>
              <w:kinsoku/>
              <w:wordWrap/>
              <w:overflowPunct/>
              <w:topLinePunct/>
              <w:autoSpaceDE/>
              <w:autoSpaceDN/>
              <w:bidi w:val="0"/>
              <w:snapToGrid/>
              <w:spacing w:before="48" w:beforeLines="15" w:after="48" w:afterLines="15"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备注</w:t>
            </w:r>
          </w:p>
        </w:tc>
        <w:tc>
          <w:tcPr>
            <w:tcW w:w="8085" w:type="dxa"/>
            <w:gridSpan w:val="2"/>
            <w:vAlign w:val="center"/>
          </w:tcPr>
          <w:p>
            <w:pPr>
              <w:keepNext w:val="0"/>
              <w:keepLines w:val="0"/>
              <w:pageBreakBefore w:val="0"/>
              <w:kinsoku/>
              <w:wordWrap/>
              <w:overflowPunct/>
              <w:topLinePunct/>
              <w:autoSpaceDE/>
              <w:autoSpaceDN/>
              <w:bidi w:val="0"/>
              <w:adjustRightInd w:val="0"/>
              <w:snapToGrid/>
              <w:spacing w:before="48" w:beforeLines="15" w:after="48" w:afterLines="15" w:line="276" w:lineRule="auto"/>
              <w:textAlignment w:val="auto"/>
              <w:rPr>
                <w:rFonts w:hint="eastAsia" w:ascii="宋体" w:hAnsi="宋体" w:eastAsia="宋体" w:cs="宋体"/>
                <w:sz w:val="21"/>
                <w:szCs w:val="21"/>
              </w:rPr>
            </w:pPr>
            <w:r>
              <w:rPr>
                <w:rFonts w:hint="eastAsia" w:ascii="宋体" w:hAnsi="宋体" w:eastAsia="宋体" w:cs="宋体"/>
                <w:sz w:val="21"/>
                <w:szCs w:val="21"/>
              </w:rPr>
              <w:t>1、评分计算保留2位小数，第3位小数四舍五入。</w:t>
            </w:r>
          </w:p>
          <w:p>
            <w:pPr>
              <w:keepNext w:val="0"/>
              <w:keepLines w:val="0"/>
              <w:pageBreakBefore w:val="0"/>
              <w:kinsoku/>
              <w:wordWrap/>
              <w:overflowPunct/>
              <w:topLinePunct/>
              <w:autoSpaceDE/>
              <w:autoSpaceDN/>
              <w:bidi w:val="0"/>
              <w:adjustRightInd w:val="0"/>
              <w:snapToGrid/>
              <w:spacing w:before="48" w:beforeLines="15" w:after="48" w:afterLines="15" w:line="276" w:lineRule="auto"/>
              <w:textAlignment w:val="auto"/>
              <w:rPr>
                <w:rFonts w:hint="eastAsia" w:ascii="宋体" w:hAnsi="宋体" w:eastAsia="宋体" w:cs="宋体"/>
                <w:sz w:val="21"/>
                <w:szCs w:val="21"/>
              </w:rPr>
            </w:pPr>
            <w:r>
              <w:rPr>
                <w:rFonts w:hint="eastAsia" w:ascii="宋体" w:hAnsi="宋体" w:eastAsia="宋体" w:cs="宋体"/>
                <w:sz w:val="21"/>
                <w:szCs w:val="21"/>
              </w:rPr>
              <w:t>2、评标委员会对满足招标文件实质性要求的投标文件，按照本章第21款规定的评分标准进行打分，并按得分由高到低顺序推荐</w:t>
            </w:r>
            <w:r>
              <w:rPr>
                <w:rFonts w:hint="eastAsia" w:ascii="宋体" w:hAnsi="宋体" w:eastAsia="宋体" w:cs="宋体"/>
                <w:sz w:val="21"/>
                <w:szCs w:val="21"/>
                <w:lang w:eastAsia="zh-CN"/>
              </w:rPr>
              <w:t>中标候选人</w:t>
            </w:r>
            <w:r>
              <w:rPr>
                <w:rFonts w:hint="eastAsia" w:ascii="宋体" w:hAnsi="宋体" w:eastAsia="宋体" w:cs="宋体"/>
                <w:sz w:val="21"/>
                <w:szCs w:val="21"/>
              </w:rPr>
              <w:t>，或根据采购人授权直接确定中标人，但投标报价低于其成本的除外。综合评分相等时，以投标报价低的优先；投标报价也相等的，由采购人自行确定。</w:t>
            </w:r>
          </w:p>
        </w:tc>
      </w:tr>
    </w:tbl>
    <w:p>
      <w:pPr>
        <w:rPr>
          <w:rFonts w:hint="eastAsia"/>
        </w:rPr>
      </w:pPr>
    </w:p>
    <w:p>
      <w:pPr>
        <w:pStyle w:val="3"/>
        <w:bidi w:val="0"/>
        <w:rPr>
          <w:rFonts w:hint="eastAsia"/>
        </w:rPr>
      </w:pPr>
      <w:bookmarkStart w:id="20" w:name="_Toc26313"/>
      <w:r>
        <w:rPr>
          <w:rFonts w:hint="eastAsia"/>
        </w:rPr>
        <w:t>七、中标人的确定</w:t>
      </w:r>
      <w:bookmarkEnd w:id="20"/>
    </w:p>
    <w:p>
      <w:pPr>
        <w:keepNext w:val="0"/>
        <w:keepLines w:val="0"/>
        <w:pageBreakBefore w:val="0"/>
        <w:widowControl w:val="0"/>
        <w:kinsoku/>
        <w:wordWrap/>
        <w:overflowPunct/>
        <w:topLinePunct/>
        <w:autoSpaceDE/>
        <w:autoSpaceDN/>
        <w:bidi w:val="0"/>
        <w:adjustRightInd/>
        <w:snapToGrid w:val="0"/>
        <w:spacing w:line="396" w:lineRule="auto"/>
        <w:rPr>
          <w:rFonts w:hint="eastAsia" w:ascii="宋体" w:hAnsi="宋体" w:eastAsia="宋体" w:cs="宋体"/>
          <w:sz w:val="24"/>
          <w:szCs w:val="24"/>
        </w:rPr>
      </w:pPr>
      <w:r>
        <w:rPr>
          <w:rFonts w:hint="eastAsia" w:ascii="宋体" w:hAnsi="宋体" w:eastAsia="宋体" w:cs="宋体"/>
          <w:sz w:val="24"/>
          <w:szCs w:val="24"/>
        </w:rPr>
        <w:t>22、中标原则</w:t>
      </w:r>
    </w:p>
    <w:p>
      <w:pPr>
        <w:keepNext w:val="0"/>
        <w:keepLines w:val="0"/>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22.1各项综合评价得分最高者，即为第一</w:t>
      </w:r>
      <w:r>
        <w:rPr>
          <w:rFonts w:hint="eastAsia" w:ascii="宋体" w:hAnsi="宋体" w:eastAsia="宋体" w:cs="宋体"/>
          <w:sz w:val="24"/>
          <w:szCs w:val="24"/>
          <w:lang w:eastAsia="zh-CN"/>
        </w:rPr>
        <w:t>中标候选人</w:t>
      </w:r>
      <w:r>
        <w:rPr>
          <w:rFonts w:hint="eastAsia" w:ascii="宋体" w:hAnsi="宋体" w:eastAsia="宋体" w:cs="宋体"/>
          <w:sz w:val="24"/>
          <w:szCs w:val="24"/>
        </w:rPr>
        <w:t>。</w:t>
      </w:r>
    </w:p>
    <w:p>
      <w:pPr>
        <w:keepNext w:val="0"/>
        <w:keepLines w:val="0"/>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22.2评标委员会将进行综合排序并向采购人提交评标报告书。</w:t>
      </w:r>
    </w:p>
    <w:p>
      <w:pPr>
        <w:keepNext w:val="0"/>
        <w:keepLines w:val="0"/>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22.3采购代理机构应当自评审结束之日起2个工作日内将评审报告送交采购人。采购人应当自收到评审报告之日起5个工作日内在评审报告推荐的中标或者</w:t>
      </w:r>
      <w:r>
        <w:rPr>
          <w:rFonts w:hint="eastAsia" w:ascii="宋体" w:hAnsi="宋体" w:eastAsia="宋体" w:cs="宋体"/>
          <w:sz w:val="24"/>
          <w:szCs w:val="24"/>
          <w:lang w:eastAsia="zh-CN"/>
        </w:rPr>
        <w:t>中标候选人</w:t>
      </w:r>
      <w:r>
        <w:rPr>
          <w:rFonts w:hint="eastAsia" w:ascii="宋体" w:hAnsi="宋体" w:eastAsia="宋体" w:cs="宋体"/>
          <w:sz w:val="24"/>
          <w:szCs w:val="24"/>
        </w:rPr>
        <w:t>中按顺序确定中标或者成交投标人。</w:t>
      </w:r>
    </w:p>
    <w:p>
      <w:pPr>
        <w:keepNext w:val="0"/>
        <w:keepLines w:val="0"/>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22.4中标或者成交投标人拒绝与采购人签订合同的，采购人可以按照评审报告推荐的中标或者成交候选 人名单排序，确定下一候选人为中标或者成交投标人，也可以重新开展政府采购活动。</w:t>
      </w:r>
    </w:p>
    <w:p>
      <w:pPr>
        <w:keepNext w:val="0"/>
        <w:keepLines w:val="0"/>
        <w:pageBreakBefore w:val="0"/>
        <w:widowControl w:val="0"/>
        <w:kinsoku/>
        <w:wordWrap/>
        <w:overflowPunct/>
        <w:topLinePunct/>
        <w:autoSpaceDE/>
        <w:autoSpaceDN/>
        <w:bidi w:val="0"/>
        <w:adjustRightInd/>
        <w:snapToGrid w:val="0"/>
        <w:spacing w:line="396" w:lineRule="auto"/>
        <w:rPr>
          <w:rFonts w:hint="eastAsia" w:ascii="宋体" w:hAnsi="宋体" w:eastAsia="宋体" w:cs="宋体"/>
          <w:sz w:val="24"/>
          <w:szCs w:val="24"/>
        </w:rPr>
      </w:pPr>
      <w:r>
        <w:rPr>
          <w:rFonts w:hint="eastAsia" w:ascii="宋体" w:hAnsi="宋体" w:eastAsia="宋体" w:cs="宋体"/>
          <w:sz w:val="24"/>
          <w:szCs w:val="24"/>
        </w:rPr>
        <w:t>23、中标通知书</w:t>
      </w:r>
    </w:p>
    <w:p>
      <w:pPr>
        <w:keepNext w:val="0"/>
        <w:keepLines w:val="0"/>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23.1采购人或者采购代理机构应当自中标、成交投标人确定之日起2个工作日内，发出中标、成交通知书，并在原招标公告发布媒体上公告中标、成交结果。中标公告期限为1个工作日。公告期限结束后且无异议，采购人向中标人发放中标通知书。</w:t>
      </w:r>
    </w:p>
    <w:p>
      <w:pPr>
        <w:keepNext w:val="0"/>
        <w:keepLines w:val="0"/>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23.2在投标有效期满之前，采购人以书面方式向中标人发出中标通知书。</w:t>
      </w:r>
    </w:p>
    <w:p>
      <w:pPr>
        <w:keepNext w:val="0"/>
        <w:keepLines w:val="0"/>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23.3中标通知书发出后，中标人放弃中标项目的，无正当理由不与采购人签订合同的，在签订合同时向采购人提出附加条件或者更改合同实质性内容的，或者拒不提交所要求的履约保证金的，取消其中标资格；给采购人的损失超过投标保证金数额的，中标人应当对超过部分予以赔偿；没有提交投标保证金的，应当对采购人的损失承担赔偿责任。</w:t>
      </w:r>
    </w:p>
    <w:p>
      <w:pPr>
        <w:keepNext w:val="0"/>
        <w:keepLines w:val="0"/>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24、招标代理服务费</w:t>
      </w:r>
    </w:p>
    <w:p>
      <w:pPr>
        <w:keepNext w:val="0"/>
        <w:keepLines w:val="0"/>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见“投标人须知前附表”。</w:t>
      </w:r>
    </w:p>
    <w:p>
      <w:pPr>
        <w:pStyle w:val="84"/>
        <w:keepNext w:val="0"/>
        <w:keepLines w:val="0"/>
        <w:pageBreakBefore w:val="0"/>
        <w:widowControl w:val="0"/>
        <w:kinsoku/>
        <w:wordWrap/>
        <w:overflowPunct/>
        <w:topLinePunct/>
        <w:autoSpaceDE/>
        <w:autoSpaceDN/>
        <w:bidi w:val="0"/>
        <w:adjustRightInd/>
        <w:spacing w:before="0" w:after="0" w:line="396" w:lineRule="auto"/>
        <w:rPr>
          <w:rFonts w:hint="eastAsia" w:ascii="宋体" w:hAnsi="宋体" w:eastAsia="宋体" w:cs="宋体"/>
        </w:rPr>
      </w:pPr>
    </w:p>
    <w:p>
      <w:pPr>
        <w:keepNext w:val="0"/>
        <w:keepLines w:val="0"/>
        <w:pageBreakBefore w:val="0"/>
        <w:widowControl w:val="0"/>
        <w:kinsoku/>
        <w:wordWrap/>
        <w:overflowPunct/>
        <w:topLinePunct/>
        <w:autoSpaceDE/>
        <w:autoSpaceDN/>
        <w:bidi w:val="0"/>
        <w:adjustRightInd/>
        <w:spacing w:line="396" w:lineRule="auto"/>
        <w:jc w:val="center"/>
        <w:outlineLvl w:val="1"/>
        <w:rPr>
          <w:rFonts w:hint="eastAsia" w:ascii="宋体" w:hAnsi="宋体" w:eastAsia="宋体" w:cs="宋体"/>
          <w:b/>
          <w:sz w:val="24"/>
          <w:szCs w:val="24"/>
        </w:rPr>
      </w:pPr>
      <w:bookmarkStart w:id="21" w:name="_Toc16424"/>
      <w:r>
        <w:rPr>
          <w:rFonts w:hint="eastAsia" w:ascii="宋体" w:hAnsi="宋体" w:eastAsia="宋体" w:cs="宋体"/>
          <w:b/>
          <w:sz w:val="24"/>
          <w:szCs w:val="24"/>
        </w:rPr>
        <w:t>八、合同的签署</w:t>
      </w:r>
      <w:bookmarkEnd w:id="21"/>
    </w:p>
    <w:p>
      <w:pPr>
        <w:keepNext w:val="0"/>
        <w:keepLines w:val="0"/>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25、合同协议的签署</w:t>
      </w:r>
    </w:p>
    <w:p>
      <w:pPr>
        <w:keepNext w:val="0"/>
        <w:keepLines w:val="0"/>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25.1采购人和中标人应当在投标有效期内并</w:t>
      </w:r>
      <w:r>
        <w:rPr>
          <w:rFonts w:hint="eastAsia" w:ascii="宋体" w:hAnsi="宋体" w:eastAsia="宋体" w:cs="宋体"/>
          <w:color w:val="auto"/>
          <w:sz w:val="24"/>
          <w:szCs w:val="24"/>
        </w:rPr>
        <w:t>在自中标通知书发出之日起</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日内，</w:t>
      </w:r>
      <w:r>
        <w:rPr>
          <w:rFonts w:hint="eastAsia" w:ascii="宋体" w:hAnsi="宋体" w:eastAsia="宋体" w:cs="宋体"/>
          <w:sz w:val="24"/>
          <w:szCs w:val="24"/>
        </w:rPr>
        <w:t>按照招标文件和中标人的投标文件订立书面合同。采购人和中标人不得再行订立背离合同实质性内容的其他协议。</w:t>
      </w:r>
    </w:p>
    <w:p>
      <w:pPr>
        <w:keepNext w:val="0"/>
        <w:keepLines w:val="0"/>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25.2中标人未按时签订书面合同的，视为放弃中标，其投标保证金不予退还，给采购人造成的损失超过投标保证金数额的，中标人还应当对超过部分予以赔偿。</w:t>
      </w:r>
    </w:p>
    <w:p>
      <w:pPr>
        <w:keepNext w:val="0"/>
        <w:keepLines w:val="0"/>
        <w:pageBreakBefore w:val="0"/>
        <w:widowControl w:val="0"/>
        <w:kinsoku/>
        <w:wordWrap/>
        <w:overflowPunct/>
        <w:topLinePunct/>
        <w:autoSpaceDE/>
        <w:autoSpaceDN/>
        <w:bidi w:val="0"/>
        <w:adjustRightInd/>
        <w:spacing w:line="396" w:lineRule="auto"/>
        <w:rPr>
          <w:rFonts w:hint="eastAsia" w:ascii="宋体" w:hAnsi="宋体" w:eastAsia="宋体" w:cs="宋体"/>
          <w:sz w:val="24"/>
          <w:szCs w:val="24"/>
        </w:rPr>
      </w:pPr>
      <w:r>
        <w:rPr>
          <w:rFonts w:hint="eastAsia" w:ascii="宋体" w:hAnsi="宋体" w:eastAsia="宋体" w:cs="宋体"/>
          <w:sz w:val="24"/>
          <w:szCs w:val="24"/>
        </w:rPr>
        <w:t>26、异议和投诉</w:t>
      </w:r>
    </w:p>
    <w:p>
      <w:pPr>
        <w:keepNext w:val="0"/>
        <w:keepLines w:val="0"/>
        <w:pageBreakBefore w:val="0"/>
        <w:widowControl w:val="0"/>
        <w:kinsoku/>
        <w:wordWrap/>
        <w:overflowPunct/>
        <w:topLinePunct/>
        <w:autoSpaceDE/>
        <w:autoSpaceDN/>
        <w:bidi w:val="0"/>
        <w:adjustRightInd/>
        <w:spacing w:line="39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投标人和其他利害关系人认为本次招标活动违反法律、法规和规章规定的，有权按规定向有关行政监督部门投诉。</w:t>
      </w:r>
    </w:p>
    <w:p>
      <w:pPr>
        <w:kinsoku/>
        <w:wordWrap/>
        <w:overflowPunct/>
        <w:topLinePunct/>
        <w:autoSpaceDE/>
        <w:autoSpaceDN/>
        <w:bidi w:val="0"/>
        <w:spacing w:line="276" w:lineRule="auto"/>
        <w:jc w:val="center"/>
        <w:rPr>
          <w:rFonts w:hint="eastAsia" w:ascii="宋体" w:hAnsi="宋体" w:eastAsia="宋体" w:cs="宋体"/>
          <w:sz w:val="24"/>
          <w:szCs w:val="24"/>
        </w:rPr>
      </w:pPr>
      <w:r>
        <w:rPr>
          <w:rFonts w:hint="eastAsia" w:ascii="宋体" w:hAnsi="宋体" w:eastAsia="宋体" w:cs="宋体"/>
          <w:sz w:val="24"/>
          <w:szCs w:val="24"/>
        </w:rPr>
        <w:br w:type="page"/>
      </w: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276" w:lineRule="auto"/>
        <w:jc w:val="center"/>
        <w:rPr>
          <w:rFonts w:hint="eastAsia" w:ascii="宋体" w:hAnsi="宋体" w:eastAsia="宋体" w:cs="宋体"/>
          <w:sz w:val="24"/>
          <w:szCs w:val="24"/>
        </w:rPr>
      </w:pPr>
    </w:p>
    <w:p>
      <w:pPr>
        <w:pStyle w:val="2"/>
        <w:kinsoku/>
        <w:wordWrap/>
        <w:overflowPunct/>
        <w:topLinePunct/>
        <w:autoSpaceDE/>
        <w:autoSpaceDN/>
        <w:bidi w:val="0"/>
        <w:spacing w:line="276" w:lineRule="auto"/>
        <w:jc w:val="center"/>
        <w:rPr>
          <w:rFonts w:hint="eastAsia" w:ascii="宋体" w:hAnsi="宋体" w:eastAsia="宋体" w:cs="宋体"/>
          <w:szCs w:val="36"/>
        </w:rPr>
      </w:pPr>
      <w:bookmarkStart w:id="22" w:name="_Toc393361028"/>
      <w:bookmarkStart w:id="23" w:name="_Toc393360907"/>
      <w:bookmarkStart w:id="24" w:name="_Toc393361119"/>
      <w:bookmarkStart w:id="25" w:name="_Toc393359767"/>
      <w:bookmarkStart w:id="26" w:name="_Toc3600"/>
      <w:r>
        <w:rPr>
          <w:rFonts w:hint="eastAsia" w:ascii="宋体" w:hAnsi="宋体" w:eastAsia="宋体" w:cs="宋体"/>
          <w:szCs w:val="36"/>
        </w:rPr>
        <w:t xml:space="preserve">第三章  </w:t>
      </w:r>
      <w:bookmarkEnd w:id="22"/>
      <w:bookmarkEnd w:id="23"/>
      <w:bookmarkEnd w:id="24"/>
      <w:bookmarkEnd w:id="25"/>
      <w:r>
        <w:rPr>
          <w:rFonts w:hint="eastAsia" w:ascii="宋体" w:hAnsi="宋体" w:eastAsia="宋体" w:cs="宋体"/>
          <w:szCs w:val="36"/>
        </w:rPr>
        <w:t>采购人要求</w:t>
      </w:r>
      <w:bookmarkEnd w:id="26"/>
    </w:p>
    <w:p>
      <w:pPr>
        <w:kinsoku/>
        <w:wordWrap/>
        <w:overflowPunct/>
        <w:topLinePunct/>
        <w:autoSpaceDE/>
        <w:autoSpaceDN/>
        <w:bidi w:val="0"/>
        <w:jc w:val="center"/>
        <w:rPr>
          <w:rFonts w:hint="eastAsia" w:ascii="宋体" w:hAnsi="宋体" w:eastAsia="宋体" w:cs="宋体"/>
        </w:rPr>
      </w:pPr>
      <w:bookmarkStart w:id="27" w:name="_Toc393359936"/>
      <w:bookmarkStart w:id="28" w:name="_Toc393360947"/>
      <w:bookmarkStart w:id="29" w:name="_Toc393361159"/>
      <w:bookmarkStart w:id="30" w:name="_Toc393361068"/>
    </w:p>
    <w:p>
      <w:pPr>
        <w:kinsoku/>
        <w:wordWrap/>
        <w:overflowPunct/>
        <w:topLinePunct/>
        <w:autoSpaceDE/>
        <w:autoSpaceDN/>
        <w:bidi w:val="0"/>
        <w:rPr>
          <w:rFonts w:hint="eastAsia" w:ascii="宋体" w:hAnsi="宋体" w:eastAsia="宋体" w:cs="宋体"/>
        </w:rPr>
      </w:pPr>
    </w:p>
    <w:p>
      <w:pPr>
        <w:pageBreakBefore w:val="0"/>
        <w:widowControl w:val="0"/>
        <w:numPr>
          <w:ilvl w:val="0"/>
          <w:numId w:val="16"/>
        </w:numPr>
        <w:tabs>
          <w:tab w:val="left" w:pos="426"/>
        </w:tabs>
        <w:kinsoku/>
        <w:wordWrap/>
        <w:overflowPunct/>
        <w:topLinePunct/>
        <w:autoSpaceDE/>
        <w:autoSpaceDN/>
        <w:bidi w:val="0"/>
        <w:adjustRightInd/>
        <w:snapToGrid w:val="0"/>
        <w:spacing w:line="396" w:lineRule="auto"/>
        <w:ind w:firstLine="6"/>
        <w:textAlignment w:val="auto"/>
        <w:rPr>
          <w:rFonts w:hint="eastAsia" w:ascii="宋体" w:hAnsi="宋体" w:eastAsia="宋体" w:cs="宋体"/>
          <w:b/>
          <w:bCs/>
          <w:sz w:val="24"/>
          <w:szCs w:val="24"/>
        </w:rPr>
      </w:pPr>
      <w:r>
        <w:rPr>
          <w:rFonts w:hint="eastAsia" w:ascii="宋体" w:hAnsi="宋体" w:eastAsia="宋体" w:cs="宋体"/>
          <w:sz w:val="24"/>
          <w:szCs w:val="24"/>
        </w:rPr>
        <w:br w:type="page"/>
      </w:r>
      <w:r>
        <w:rPr>
          <w:rFonts w:hint="eastAsia" w:ascii="宋体" w:hAnsi="宋体" w:eastAsia="宋体" w:cs="宋体"/>
          <w:b/>
          <w:bCs/>
          <w:sz w:val="24"/>
          <w:szCs w:val="24"/>
        </w:rPr>
        <w:t>项目概况</w:t>
      </w:r>
    </w:p>
    <w:p>
      <w:pPr>
        <w:pStyle w:val="4"/>
        <w:pageBreakBefore w:val="0"/>
        <w:widowControl w:val="0"/>
        <w:kinsoku/>
        <w:wordWrap/>
        <w:overflowPunct/>
        <w:topLinePunct/>
        <w:autoSpaceDE/>
        <w:autoSpaceDN/>
        <w:bidi w:val="0"/>
        <w:adjustRightInd/>
        <w:spacing w:before="0" w:after="0" w:line="396" w:lineRule="auto"/>
        <w:ind w:left="210" w:leftChars="100"/>
        <w:textAlignment w:val="auto"/>
        <w:rPr>
          <w:rFonts w:hint="eastAsia" w:ascii="宋体" w:hAnsi="宋体" w:eastAsia="宋体" w:cs="宋体"/>
          <w:sz w:val="24"/>
          <w:szCs w:val="24"/>
        </w:rPr>
      </w:pPr>
      <w:bookmarkStart w:id="31" w:name="_Toc3130"/>
      <w:r>
        <w:rPr>
          <w:rFonts w:hint="eastAsia" w:ascii="宋体" w:hAnsi="宋体" w:eastAsia="宋体" w:cs="宋体"/>
          <w:sz w:val="24"/>
          <w:szCs w:val="24"/>
        </w:rPr>
        <w:t>1.1项目背景</w:t>
      </w:r>
      <w:bookmarkEnd w:id="31"/>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河南省人民医院业务系统种类多，业务系统复杂，为了能够及时处理院内业务系统中服务器及存储设备的问题及风险，深入分析可能面临的故障隐患，通过有针对性的开展对全院服务器及存储设备维保服务，提高河南省人民医院业务系统的稳定性和可用性，降低业务系统停机事件的发生。</w:t>
      </w:r>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p>
    <w:p>
      <w:pPr>
        <w:pStyle w:val="4"/>
        <w:pageBreakBefore w:val="0"/>
        <w:widowControl w:val="0"/>
        <w:kinsoku/>
        <w:wordWrap/>
        <w:overflowPunct/>
        <w:topLinePunct/>
        <w:autoSpaceDE/>
        <w:autoSpaceDN/>
        <w:bidi w:val="0"/>
        <w:adjustRightInd/>
        <w:spacing w:before="0" w:after="0" w:line="396" w:lineRule="auto"/>
        <w:ind w:left="210" w:leftChars="100"/>
        <w:textAlignment w:val="auto"/>
        <w:rPr>
          <w:rFonts w:hint="eastAsia" w:ascii="宋体" w:hAnsi="宋体" w:eastAsia="宋体" w:cs="宋体"/>
          <w:sz w:val="24"/>
          <w:szCs w:val="24"/>
        </w:rPr>
      </w:pPr>
      <w:bookmarkStart w:id="32" w:name="_Toc14408"/>
      <w:r>
        <w:rPr>
          <w:rFonts w:hint="eastAsia" w:ascii="宋体" w:hAnsi="宋体" w:eastAsia="宋体" w:cs="宋体"/>
          <w:sz w:val="24"/>
          <w:szCs w:val="24"/>
        </w:rPr>
        <w:t>1.2信息化现状</w:t>
      </w:r>
      <w:bookmarkEnd w:id="32"/>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我院现有业务服务器约</w:t>
      </w:r>
      <w:r>
        <w:rPr>
          <w:rFonts w:hint="eastAsia" w:ascii="宋体" w:hAnsi="宋体" w:eastAsia="宋体" w:cs="宋体"/>
          <w:bCs/>
          <w:sz w:val="24"/>
          <w:szCs w:val="24"/>
          <w:lang w:val="en-US" w:eastAsia="zh-CN"/>
        </w:rPr>
        <w:t>220</w:t>
      </w:r>
      <w:r>
        <w:rPr>
          <w:rFonts w:hint="eastAsia" w:ascii="宋体" w:hAnsi="宋体" w:eastAsia="宋体" w:cs="宋体"/>
          <w:bCs/>
          <w:sz w:val="24"/>
          <w:szCs w:val="24"/>
        </w:rPr>
        <w:t>台，存储设备约</w:t>
      </w:r>
      <w:r>
        <w:rPr>
          <w:rFonts w:hint="eastAsia" w:ascii="宋体" w:hAnsi="宋体" w:eastAsia="宋体" w:cs="宋体"/>
          <w:bCs/>
          <w:sz w:val="24"/>
          <w:szCs w:val="24"/>
          <w:lang w:val="en-US" w:eastAsia="zh-CN"/>
        </w:rPr>
        <w:t>34</w:t>
      </w:r>
      <w:r>
        <w:rPr>
          <w:rFonts w:hint="eastAsia" w:ascii="宋体" w:hAnsi="宋体" w:eastAsia="宋体" w:cs="宋体"/>
          <w:bCs/>
          <w:sz w:val="24"/>
          <w:szCs w:val="24"/>
        </w:rPr>
        <w:t>套</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小型机</w:t>
      </w:r>
      <w:r>
        <w:rPr>
          <w:rFonts w:hint="eastAsia" w:ascii="宋体" w:hAnsi="宋体" w:cs="宋体"/>
          <w:bCs/>
          <w:sz w:val="24"/>
          <w:szCs w:val="24"/>
          <w:lang w:val="en-US" w:eastAsia="zh-CN"/>
        </w:rPr>
        <w:t>约</w:t>
      </w:r>
      <w:r>
        <w:rPr>
          <w:rFonts w:hint="eastAsia" w:ascii="宋体" w:hAnsi="宋体" w:eastAsia="宋体" w:cs="宋体"/>
          <w:bCs/>
          <w:sz w:val="24"/>
          <w:szCs w:val="24"/>
          <w:lang w:val="en-US" w:eastAsia="zh-CN"/>
        </w:rPr>
        <w:t>8台，负载均衡</w:t>
      </w:r>
      <w:r>
        <w:rPr>
          <w:rFonts w:hint="eastAsia" w:ascii="宋体" w:hAnsi="宋体" w:cs="宋体"/>
          <w:bCs/>
          <w:sz w:val="24"/>
          <w:szCs w:val="24"/>
          <w:lang w:val="en-US" w:eastAsia="zh-CN"/>
        </w:rPr>
        <w:t>约</w:t>
      </w:r>
      <w:r>
        <w:rPr>
          <w:rFonts w:hint="eastAsia" w:ascii="宋体" w:hAnsi="宋体" w:eastAsia="宋体" w:cs="宋体"/>
          <w:bCs/>
          <w:sz w:val="24"/>
          <w:szCs w:val="24"/>
          <w:lang w:val="en-US" w:eastAsia="zh-CN"/>
        </w:rPr>
        <w:t>5台</w:t>
      </w:r>
      <w:r>
        <w:rPr>
          <w:rFonts w:hint="eastAsia" w:ascii="宋体" w:hAnsi="宋体" w:eastAsia="宋体" w:cs="宋体"/>
          <w:bCs/>
          <w:sz w:val="24"/>
          <w:szCs w:val="24"/>
        </w:rPr>
        <w:t>，分布在全院各楼层和科室。核心业务机房部署了多套关键业务系统，包括HIS、LIS、PACS等，关键业务数据每日进行备份，每周进行同城数据备份。为了更好的保障我院业务系统的高可用性，我院采用</w:t>
      </w:r>
      <w:r>
        <w:rPr>
          <w:rFonts w:hint="eastAsia" w:ascii="宋体" w:hAnsi="宋体" w:cs="宋体"/>
          <w:bCs/>
          <w:sz w:val="24"/>
          <w:szCs w:val="24"/>
          <w:lang w:val="en-US" w:eastAsia="zh-CN"/>
        </w:rPr>
        <w:t>华为、</w:t>
      </w:r>
      <w:r>
        <w:rPr>
          <w:rFonts w:hint="eastAsia" w:ascii="宋体" w:hAnsi="宋体" w:eastAsia="宋体" w:cs="宋体"/>
          <w:bCs/>
          <w:sz w:val="24"/>
          <w:szCs w:val="24"/>
        </w:rPr>
        <w:t>H3C和VMware的虚拟化技术构建了云平台，各业务系统正陆续向云平台进行迁移。</w:t>
      </w:r>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我院信息系统已通过《信息安全技术 信息系统安全等级保护测评要求》中“第三级”测评要求。</w:t>
      </w:r>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p>
    <w:p>
      <w:pPr>
        <w:pStyle w:val="4"/>
        <w:pageBreakBefore w:val="0"/>
        <w:widowControl w:val="0"/>
        <w:kinsoku/>
        <w:wordWrap/>
        <w:overflowPunct/>
        <w:topLinePunct/>
        <w:autoSpaceDE/>
        <w:autoSpaceDN/>
        <w:bidi w:val="0"/>
        <w:adjustRightInd/>
        <w:spacing w:before="0" w:after="0" w:line="396" w:lineRule="auto"/>
        <w:ind w:left="210" w:leftChars="100"/>
        <w:textAlignment w:val="auto"/>
        <w:rPr>
          <w:rFonts w:hint="eastAsia" w:ascii="宋体" w:hAnsi="宋体" w:eastAsia="宋体" w:cs="宋体"/>
          <w:sz w:val="24"/>
          <w:szCs w:val="24"/>
        </w:rPr>
      </w:pPr>
      <w:bookmarkStart w:id="33" w:name="_Toc26094"/>
      <w:r>
        <w:rPr>
          <w:rFonts w:hint="eastAsia" w:ascii="宋体" w:hAnsi="宋体" w:eastAsia="宋体" w:cs="宋体"/>
          <w:sz w:val="24"/>
          <w:szCs w:val="24"/>
        </w:rPr>
        <w:t>1.3建设目标</w:t>
      </w:r>
      <w:bookmarkEnd w:id="33"/>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为医院提供高品质的服务器和存储设备维保服务，以确保系统的稳定性和可靠性。以满足医院的日常运行需求。</w:t>
      </w:r>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提供高性能和高可用性：医院的服务器和存储设备需要具备高性能和高可用性，以应对医疗信息系统的高负载和持续运行的要求。这些设备应具备强大的处理能力、快速的数据读写速度和可靠的冗余机制，以确保数据的及时访问和系统的连续运行。</w:t>
      </w:r>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确保服务器和存储设备供应商能够提供及时的技术支持和维护服务。这包括设备的定期检查、故障排除、软件升级和紧急维修等方面的服务，以确保设备的正常运行和故障的及时解决。</w:t>
      </w:r>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p>
    <w:p>
      <w:pPr>
        <w:pStyle w:val="4"/>
        <w:pageBreakBefore w:val="0"/>
        <w:widowControl w:val="0"/>
        <w:kinsoku/>
        <w:wordWrap/>
        <w:overflowPunct/>
        <w:topLinePunct/>
        <w:autoSpaceDE/>
        <w:autoSpaceDN/>
        <w:bidi w:val="0"/>
        <w:adjustRightInd/>
        <w:spacing w:before="0" w:after="0" w:line="396" w:lineRule="auto"/>
        <w:ind w:left="210" w:leftChars="100"/>
        <w:textAlignment w:val="auto"/>
        <w:rPr>
          <w:rFonts w:hint="eastAsia" w:ascii="宋体" w:hAnsi="宋体" w:eastAsia="宋体" w:cs="宋体"/>
          <w:sz w:val="24"/>
          <w:szCs w:val="24"/>
        </w:rPr>
      </w:pPr>
      <w:bookmarkStart w:id="34" w:name="_Toc5947"/>
      <w:r>
        <w:rPr>
          <w:rFonts w:hint="eastAsia" w:ascii="宋体" w:hAnsi="宋体" w:eastAsia="宋体" w:cs="宋体"/>
          <w:sz w:val="24"/>
          <w:szCs w:val="24"/>
        </w:rPr>
        <w:t>1.4项目服务内容</w:t>
      </w:r>
      <w:bookmarkEnd w:id="34"/>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在深化我院信息化建设的基础上，针对服务器和存储设备等开展设备维保相关服务，有效提高信息系统的稳定性和可用性，以应对出现的设备故障等情况，保证各个业务系统长期稳定可靠的运行。</w:t>
      </w:r>
    </w:p>
    <w:tbl>
      <w:tblPr>
        <w:tblStyle w:val="86"/>
        <w:tblW w:w="9354" w:type="dxa"/>
        <w:jc w:val="center"/>
        <w:tblLayout w:type="autofit"/>
        <w:tblCellMar>
          <w:top w:w="0" w:type="dxa"/>
          <w:left w:w="0" w:type="dxa"/>
          <w:bottom w:w="0" w:type="dxa"/>
          <w:right w:w="0" w:type="dxa"/>
        </w:tblCellMar>
      </w:tblPr>
      <w:tblGrid>
        <w:gridCol w:w="528"/>
        <w:gridCol w:w="2365"/>
        <w:gridCol w:w="6461"/>
      </w:tblGrid>
      <w:tr>
        <w:tblPrEx>
          <w:tblCellMar>
            <w:top w:w="0" w:type="dxa"/>
            <w:left w:w="0" w:type="dxa"/>
            <w:bottom w:w="0" w:type="dxa"/>
            <w:right w:w="0" w:type="dxa"/>
          </w:tblCellMar>
        </w:tblPrEx>
        <w:trPr>
          <w:trHeight w:val="624" w:hRule="atLeast"/>
          <w:jc w:val="center"/>
        </w:trPr>
        <w:tc>
          <w:tcPr>
            <w:tcW w:w="5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序号</w:t>
            </w:r>
          </w:p>
        </w:tc>
        <w:tc>
          <w:tcPr>
            <w:tcW w:w="24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服务内容</w:t>
            </w:r>
          </w:p>
        </w:tc>
        <w:tc>
          <w:tcPr>
            <w:tcW w:w="661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详细描述</w:t>
            </w:r>
          </w:p>
        </w:tc>
      </w:tr>
      <w:tr>
        <w:tblPrEx>
          <w:tblCellMar>
            <w:top w:w="0" w:type="dxa"/>
            <w:left w:w="0" w:type="dxa"/>
            <w:bottom w:w="0" w:type="dxa"/>
            <w:right w:w="0" w:type="dxa"/>
          </w:tblCellMar>
        </w:tblPrEx>
        <w:trPr>
          <w:trHeight w:val="624" w:hRule="atLeast"/>
          <w:jc w:val="center"/>
        </w:trPr>
        <w:tc>
          <w:tcPr>
            <w:tcW w:w="5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24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 xml:space="preserve">7*24小时上门和应急服务 </w:t>
            </w:r>
          </w:p>
        </w:tc>
        <w:tc>
          <w:tcPr>
            <w:tcW w:w="661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widowControl/>
              <w:kinsoku/>
              <w:wordWrap/>
              <w:overflowPunct/>
              <w:topLinePunct/>
              <w:autoSpaceDE/>
              <w:autoSpaceDN/>
              <w:bidi w:val="0"/>
              <w:jc w:val="left"/>
              <w:rPr>
                <w:rFonts w:hint="eastAsia" w:ascii="宋体" w:hAnsi="宋体" w:eastAsia="宋体" w:cs="宋体"/>
                <w:bCs/>
                <w:sz w:val="24"/>
                <w:szCs w:val="24"/>
              </w:rPr>
            </w:pPr>
            <w:r>
              <w:rPr>
                <w:rFonts w:hint="eastAsia" w:ascii="宋体" w:hAnsi="宋体" w:eastAsia="宋体" w:cs="宋体"/>
                <w:bCs/>
                <w:sz w:val="24"/>
                <w:szCs w:val="24"/>
              </w:rPr>
              <w:t>以电话、邮件、书面等形式在规定时间内答复技术咨询问题，提供操作性或解释性说明或建议；设备发生异常或者问题时，提供7X24小时远程技术支持，对于突发事件安排专业技术人员到现场提供应急处理服务。</w:t>
            </w:r>
          </w:p>
        </w:tc>
      </w:tr>
      <w:tr>
        <w:tblPrEx>
          <w:tblCellMar>
            <w:top w:w="0" w:type="dxa"/>
            <w:left w:w="0" w:type="dxa"/>
            <w:bottom w:w="0" w:type="dxa"/>
            <w:right w:w="0" w:type="dxa"/>
          </w:tblCellMar>
        </w:tblPrEx>
        <w:trPr>
          <w:trHeight w:val="624" w:hRule="atLeast"/>
          <w:jc w:val="center"/>
        </w:trPr>
        <w:tc>
          <w:tcPr>
            <w:tcW w:w="5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24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本地备件支持服务</w:t>
            </w:r>
          </w:p>
        </w:tc>
        <w:tc>
          <w:tcPr>
            <w:tcW w:w="661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widowControl/>
              <w:kinsoku/>
              <w:wordWrap/>
              <w:overflowPunct/>
              <w:topLinePunct/>
              <w:autoSpaceDE/>
              <w:autoSpaceDN/>
              <w:bidi w:val="0"/>
              <w:jc w:val="left"/>
              <w:rPr>
                <w:rFonts w:hint="eastAsia" w:ascii="宋体" w:hAnsi="宋体" w:eastAsia="宋体" w:cs="宋体"/>
                <w:bCs/>
                <w:sz w:val="24"/>
                <w:szCs w:val="24"/>
              </w:rPr>
            </w:pPr>
            <w:r>
              <w:rPr>
                <w:rFonts w:hint="eastAsia" w:ascii="宋体" w:hAnsi="宋体" w:eastAsia="宋体" w:cs="宋体"/>
                <w:bCs/>
                <w:sz w:val="24"/>
                <w:szCs w:val="24"/>
              </w:rPr>
              <w:t>针对现网运行的设备的备品备件，确保在系统出现故障和问题情况下及时提供相应型号与性能的备件，缩短故障时间，备品备件包括设备电源、插口、板卡和整机等。</w:t>
            </w:r>
          </w:p>
        </w:tc>
      </w:tr>
      <w:tr>
        <w:tblPrEx>
          <w:tblCellMar>
            <w:top w:w="0" w:type="dxa"/>
            <w:left w:w="0" w:type="dxa"/>
            <w:bottom w:w="0" w:type="dxa"/>
            <w:right w:w="0" w:type="dxa"/>
          </w:tblCellMar>
        </w:tblPrEx>
        <w:trPr>
          <w:trHeight w:val="624" w:hRule="atLeast"/>
          <w:jc w:val="center"/>
        </w:trPr>
        <w:tc>
          <w:tcPr>
            <w:tcW w:w="5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24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现场支持服务</w:t>
            </w:r>
          </w:p>
        </w:tc>
        <w:tc>
          <w:tcPr>
            <w:tcW w:w="661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widowControl/>
              <w:kinsoku/>
              <w:wordWrap/>
              <w:overflowPunct/>
              <w:topLinePunct/>
              <w:autoSpaceDE/>
              <w:autoSpaceDN/>
              <w:bidi w:val="0"/>
              <w:jc w:val="left"/>
              <w:rPr>
                <w:rFonts w:hint="eastAsia" w:ascii="宋体" w:hAnsi="宋体" w:eastAsia="宋体" w:cs="宋体"/>
                <w:bCs/>
                <w:sz w:val="24"/>
                <w:szCs w:val="24"/>
              </w:rPr>
            </w:pPr>
            <w:r>
              <w:rPr>
                <w:rFonts w:hint="eastAsia" w:ascii="宋体" w:hAnsi="宋体" w:eastAsia="宋体" w:cs="宋体"/>
                <w:bCs/>
                <w:sz w:val="24"/>
                <w:szCs w:val="24"/>
              </w:rPr>
              <w:t>系统出现故障/问题或需要供应商技术人员提供现场技术支援时，提供及时有效的现场技术支持，安排经验丰富的技术支持工程师赴现场分析故障原因，制定故障解决方案，并最终排除和解决故障、问题。</w:t>
            </w:r>
          </w:p>
        </w:tc>
      </w:tr>
      <w:tr>
        <w:tblPrEx>
          <w:tblCellMar>
            <w:top w:w="0" w:type="dxa"/>
            <w:left w:w="0" w:type="dxa"/>
            <w:bottom w:w="0" w:type="dxa"/>
            <w:right w:w="0" w:type="dxa"/>
          </w:tblCellMar>
        </w:tblPrEx>
        <w:trPr>
          <w:trHeight w:val="624" w:hRule="atLeast"/>
          <w:jc w:val="center"/>
        </w:trPr>
        <w:tc>
          <w:tcPr>
            <w:tcW w:w="5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4</w:t>
            </w:r>
          </w:p>
        </w:tc>
        <w:tc>
          <w:tcPr>
            <w:tcW w:w="24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设备定期巡检</w:t>
            </w:r>
          </w:p>
        </w:tc>
        <w:tc>
          <w:tcPr>
            <w:tcW w:w="661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widowControl/>
              <w:kinsoku/>
              <w:wordWrap/>
              <w:overflowPunct/>
              <w:topLinePunct/>
              <w:autoSpaceDE/>
              <w:autoSpaceDN/>
              <w:bidi w:val="0"/>
              <w:jc w:val="left"/>
              <w:rPr>
                <w:rFonts w:hint="eastAsia" w:ascii="宋体" w:hAnsi="宋体" w:eastAsia="宋体" w:cs="宋体"/>
                <w:bCs/>
                <w:sz w:val="24"/>
                <w:szCs w:val="24"/>
              </w:rPr>
            </w:pPr>
            <w:r>
              <w:rPr>
                <w:rFonts w:hint="eastAsia" w:ascii="宋体" w:hAnsi="宋体" w:eastAsia="宋体" w:cs="宋体"/>
                <w:bCs/>
                <w:sz w:val="24"/>
                <w:szCs w:val="24"/>
              </w:rPr>
              <w:t>正常情况下每月对设备进行全面的巡检和健康检查， 应积极配合对系统进行巡检、优化、升级。</w:t>
            </w:r>
          </w:p>
        </w:tc>
      </w:tr>
      <w:tr>
        <w:tblPrEx>
          <w:tblCellMar>
            <w:top w:w="0" w:type="dxa"/>
            <w:left w:w="0" w:type="dxa"/>
            <w:bottom w:w="0" w:type="dxa"/>
            <w:right w:w="0" w:type="dxa"/>
          </w:tblCellMar>
        </w:tblPrEx>
        <w:trPr>
          <w:trHeight w:val="624" w:hRule="atLeast"/>
          <w:jc w:val="center"/>
        </w:trPr>
        <w:tc>
          <w:tcPr>
            <w:tcW w:w="5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240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widowControl/>
              <w:kinsoku/>
              <w:wordWrap/>
              <w:overflowPunct/>
              <w:topLinePunct/>
              <w:autoSpaceDE/>
              <w:autoSpaceDN/>
              <w:bidi w:val="0"/>
              <w:jc w:val="center"/>
              <w:rPr>
                <w:rFonts w:hint="eastAsia" w:ascii="宋体" w:hAnsi="宋体" w:eastAsia="宋体" w:cs="宋体"/>
                <w:bCs/>
                <w:sz w:val="24"/>
                <w:szCs w:val="24"/>
              </w:rPr>
            </w:pPr>
            <w:r>
              <w:rPr>
                <w:rFonts w:hint="eastAsia" w:ascii="宋体" w:hAnsi="宋体" w:eastAsia="宋体" w:cs="宋体"/>
                <w:bCs/>
                <w:sz w:val="24"/>
                <w:szCs w:val="24"/>
              </w:rPr>
              <w:t>系统配置、部署变更要求以及技术支持服务</w:t>
            </w:r>
          </w:p>
        </w:tc>
        <w:tc>
          <w:tcPr>
            <w:tcW w:w="661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widowControl/>
              <w:kinsoku/>
              <w:wordWrap/>
              <w:overflowPunct/>
              <w:topLinePunct/>
              <w:autoSpaceDE/>
              <w:autoSpaceDN/>
              <w:bidi w:val="0"/>
              <w:jc w:val="left"/>
              <w:rPr>
                <w:rFonts w:hint="eastAsia" w:ascii="宋体" w:hAnsi="宋体" w:eastAsia="宋体" w:cs="宋体"/>
                <w:bCs/>
                <w:sz w:val="24"/>
                <w:szCs w:val="24"/>
              </w:rPr>
            </w:pPr>
            <w:r>
              <w:rPr>
                <w:rFonts w:hint="eastAsia" w:ascii="宋体" w:hAnsi="宋体" w:eastAsia="宋体" w:cs="宋体"/>
                <w:bCs/>
                <w:sz w:val="24"/>
                <w:szCs w:val="24"/>
              </w:rPr>
              <w:t>详细解答有关设备维护运行的技术问题，对于有关系统维护运行中的疑难问题提供专项技术交流。</w:t>
            </w:r>
          </w:p>
        </w:tc>
      </w:tr>
    </w:tbl>
    <w:p>
      <w:pPr>
        <w:kinsoku/>
        <w:wordWrap/>
        <w:overflowPunct/>
        <w:topLinePunct/>
        <w:autoSpaceDE/>
        <w:autoSpaceDN/>
        <w:bidi w:val="0"/>
        <w:spacing w:line="5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维保设备</w:t>
      </w:r>
      <w:r>
        <w:rPr>
          <w:rFonts w:hint="eastAsia" w:ascii="宋体" w:hAnsi="宋体" w:cs="宋体"/>
          <w:bCs/>
          <w:sz w:val="24"/>
          <w:szCs w:val="24"/>
          <w:lang w:val="en-US" w:eastAsia="zh-CN"/>
        </w:rPr>
        <w:t>参考</w:t>
      </w:r>
      <w:r>
        <w:rPr>
          <w:rFonts w:hint="eastAsia" w:ascii="宋体" w:hAnsi="宋体" w:eastAsia="宋体" w:cs="宋体"/>
          <w:bCs/>
          <w:sz w:val="24"/>
          <w:szCs w:val="24"/>
        </w:rPr>
        <w:t>清单如下：</w:t>
      </w:r>
    </w:p>
    <w:p>
      <w:pPr>
        <w:numPr>
          <w:ilvl w:val="0"/>
          <w:numId w:val="17"/>
        </w:numPr>
        <w:kinsoku/>
        <w:wordWrap/>
        <w:overflowPunct/>
        <w:topLinePunct/>
        <w:autoSpaceDE/>
        <w:autoSpaceDN/>
        <w:bidi w:val="0"/>
        <w:jc w:val="center"/>
        <w:rPr>
          <w:rFonts w:hint="eastAsia" w:ascii="宋体" w:hAnsi="宋体" w:eastAsia="宋体" w:cs="宋体"/>
          <w:sz w:val="24"/>
          <w:szCs w:val="24"/>
        </w:rPr>
      </w:pPr>
      <w:r>
        <w:rPr>
          <w:rFonts w:hint="eastAsia" w:ascii="宋体" w:hAnsi="宋体" w:eastAsia="宋体" w:cs="宋体"/>
          <w:sz w:val="24"/>
          <w:szCs w:val="24"/>
        </w:rPr>
        <w:t>服务器：</w:t>
      </w: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2373"/>
        <w:gridCol w:w="2720"/>
        <w:gridCol w:w="3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设备类型</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型号</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M2</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2003 Enterprise 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SYSTEM P5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SYSTEM P5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 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R930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R930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R930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NF5280M3</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Centos7.4.1708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NF5240M3</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NF5240M3</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M2</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2003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DL388p Gen8</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P560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P560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R390 G2</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R390 G2</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2003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R390 G2</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2003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R390 G2</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R390 G2</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2003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R530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X3550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POWER E850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POWER E850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通软 GTIVIA-5000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DL180 G6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2003 Enterprise 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DL580 G9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DL580 G9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DL580 G9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DL580 G9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DL580 G9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P570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 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P570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P570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P570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北京数字认证CSS 500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北京数字认证SRJ1309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北京数字认证SFJ1101</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定制</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Red Hat Enterprise Linux Server release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ThinkServer RS240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R710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R430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Edge R220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Polycom Capture Server</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Edge R220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LEADMEET CDS</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LMT--300G9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DL580R07</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R720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DL580  R07</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Red Hat Enterprise Linux Server release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DL388  Gen9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2003  Enterprise 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R720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DL380 G7</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IDM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DL580  R07</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R430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M3</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Server2003 R2 Enterprise 32位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R410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M3</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DL380  G7</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DL388  G7</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DL380  G7</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DL380  G7</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DL380  G7</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DL380  G7</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DL380  G7</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北京数字认证</w:t>
            </w:r>
          </w:p>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DSV  2000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北京数字认证</w:t>
            </w:r>
          </w:p>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TSSS-00-CDMA</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北京数字认证</w:t>
            </w:r>
          </w:p>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SRT1402-AnySign3050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Cent os7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ProLiant DL388P  Gen8</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ProLiant DL360P  Gen8</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ProLiant DL360P  Gen8</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Cent os7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R630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110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System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111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System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112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System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113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UIS-Cell-SS-R390B-G2</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114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115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116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117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SYSTEM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Server2003 Enterprise 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118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ThinkServer RD450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119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ThinkServer RD450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R230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R830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Server2012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10专业版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Datacenter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ThinkServer RD450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R430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DL388 G9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System x3650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130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131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132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133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PHE-SS10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134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DORICON-C00128L</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135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服务器（定制）</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DORICON-C00128L</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136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137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138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 V3.0  E0301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139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 V3.0  E0301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140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 V3.0  E0301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141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 V3.0  E0301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142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 V3.0  E0301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143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Red Hat Enterprise Linux Server release 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144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Red Hat Enterprise Linux Server release 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145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146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147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148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R230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149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ThinkServer SR550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2012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华为 RH2288V3</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华为 RH2288V3</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ThinkServer SR550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2012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ThinkServer SR550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2012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R730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2012 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R390 G2</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 V3.0 E0301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 V3.0 E0301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SYSTEM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刀片服务器（虚拟化）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8000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刀片服务器（虚拟化）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8000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刀片服务器（虚拟化）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8000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刀片服务器（虚拟化）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8000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刀片服务器（虚拟化）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8000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刀片服务器（虚拟化）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UIS 8000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X3850 M2</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2012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ProLiant DL388  Gen9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ProLiant DL388  Gen8</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2012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ProLiant DL388  Gen8</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Edge R210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Enterprise 32位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170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Edge R310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171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X3650 M3</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172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RD630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173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RD630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174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 V3.0 E0301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175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 V3.0 E0301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176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 V3.0 E0301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177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X3850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CAS V3.0 E0301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178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X3750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179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X3750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X3750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X3750 M4</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X3850 X5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X3250 M2</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2003 Enterprise 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DL580 Gen9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DL580 Gen9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DL388 Gen9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DL580 Gen9</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P570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P570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190</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P570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191</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小型机</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P570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192</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193</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LENOVO 3850 X6</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194</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Red Hat Enterprise Linux Server release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195</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X3650 M5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196</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R530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197</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PowerEdge R430</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Windows Server 2008 R2 Enterprise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198</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华为 2288H V5</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199</w:t>
            </w:r>
          </w:p>
        </w:tc>
        <w:tc>
          <w:tcPr>
            <w:tcW w:w="2282"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服务器（虚拟化）</w:t>
            </w:r>
          </w:p>
        </w:tc>
        <w:tc>
          <w:tcPr>
            <w:tcW w:w="21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PowerEdge R730xd</w:t>
            </w:r>
          </w:p>
        </w:tc>
        <w:tc>
          <w:tcPr>
            <w:tcW w:w="3348"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ESXI 6.0.0</w:t>
            </w:r>
          </w:p>
        </w:tc>
      </w:tr>
    </w:tbl>
    <w:p>
      <w:pPr>
        <w:kinsoku/>
        <w:wordWrap/>
        <w:overflowPunct/>
        <w:topLinePunct/>
        <w:autoSpaceDE/>
        <w:autoSpaceDN/>
        <w:bidi w:val="0"/>
        <w:jc w:val="left"/>
        <w:rPr>
          <w:rFonts w:hint="eastAsia" w:ascii="宋体" w:hAnsi="宋体" w:eastAsia="宋体" w:cs="宋体"/>
        </w:rPr>
      </w:pPr>
    </w:p>
    <w:p>
      <w:pPr>
        <w:kinsoku/>
        <w:wordWrap/>
        <w:overflowPunct/>
        <w:topLinePunct/>
        <w:autoSpaceDE/>
        <w:autoSpaceDN/>
        <w:bidi w:val="0"/>
        <w:jc w:val="left"/>
        <w:rPr>
          <w:rFonts w:hint="eastAsia" w:ascii="宋体" w:hAnsi="宋体" w:eastAsia="宋体" w:cs="宋体"/>
        </w:rPr>
      </w:pPr>
    </w:p>
    <w:p>
      <w:pPr>
        <w:numPr>
          <w:ilvl w:val="0"/>
          <w:numId w:val="18"/>
        </w:numPr>
        <w:kinsoku/>
        <w:wordWrap/>
        <w:overflowPunct/>
        <w:topLinePunct/>
        <w:autoSpaceDE/>
        <w:autoSpaceDN/>
        <w:bidi w:val="0"/>
        <w:jc w:val="center"/>
        <w:rPr>
          <w:rFonts w:hint="eastAsia" w:ascii="宋体" w:hAnsi="宋体" w:eastAsia="宋体" w:cs="宋体"/>
          <w:sz w:val="24"/>
          <w:szCs w:val="24"/>
        </w:rPr>
      </w:pPr>
      <w:r>
        <w:rPr>
          <w:rFonts w:hint="eastAsia" w:ascii="宋体" w:hAnsi="宋体" w:eastAsia="宋体" w:cs="宋体"/>
          <w:sz w:val="24"/>
          <w:szCs w:val="24"/>
        </w:rPr>
        <w:t>存储及CDP</w:t>
      </w:r>
    </w:p>
    <w:p>
      <w:pPr>
        <w:kinsoku/>
        <w:wordWrap/>
        <w:overflowPunct/>
        <w:topLinePunct/>
        <w:autoSpaceDE/>
        <w:autoSpaceDN/>
        <w:bidi w:val="0"/>
        <w:jc w:val="left"/>
        <w:rPr>
          <w:rFonts w:hint="eastAsia" w:ascii="宋体" w:hAnsi="宋体" w:eastAsia="宋体" w:cs="宋体"/>
        </w:rPr>
      </w:pP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948"/>
        <w:gridCol w:w="2843"/>
        <w:gridCol w:w="4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设备类型</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品牌</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型号</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硬盘信息（根据硬盘标签统计）（总槽位/数量*容量）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FlashSystem</w:t>
            </w:r>
          </w:p>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900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12/10*2.9T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日立</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HDS    VSP    G400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24*1.2T+12*6T+42*1.8T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EMC</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EMC    VNX5700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99/15*3T+10*2T+5*3T+15*2T+15*2T+15*600G+15*600G+4*600G+7*100G+4*600G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惠普</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3PAR 8200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24/24*1.8T+24/24*1.8T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飞康</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飞康 GA700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飞康</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FalconStor CDP</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12/12*1.2T + 12/12*1T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飞康</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FalconStor CDP</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12/12+24/15*1.92T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EXP520 IBM</w:t>
            </w:r>
          </w:p>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DS5020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8*200G+24*600G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惠普</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P6550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96/84*3T+8*600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惠普</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P6550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96/84*3T+8*600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DS5020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32/8*200G + 24*600G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飞康</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飞康 CDP GA700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6/4*600G+2*160G +12/12*? + 12/8*?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v3500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24/9*900G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飞康</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FalconStor CDP</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24/20*1.92T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惠普</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MSA2040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12/12*3T + 24/3*600G + 12/6*6T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虚拟磁带库</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飞康</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FalconStor VTL-S2950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6/6*1T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北京和力记易</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AB3000T</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16/13*8T + 1块 300G 系统盘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MD3800f</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12/12*10TB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惠普</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P6350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12*2TB*3台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飞康</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FalconStor CDP_NSS700B2A</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24/18*800G +12/6*800G + 12/6*800G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 SCv2000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12/12*4T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日立</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Virtual Storage</w:t>
            </w:r>
          </w:p>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Platform G200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F900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12/8*2.9T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H3C FlexStorage</w:t>
            </w:r>
          </w:p>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P5730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25/24*600G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IBM 1814-70A</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16/9*146G+7*300G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惠普</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MSA2000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12/6*1TB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飞康</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15/15*1T +6/2*160G + 15/15*IT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惠普</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HP MSA1040</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12/5*4TB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PowerEdge R730 10G1PD2</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8/2*500G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存储</w:t>
            </w:r>
          </w:p>
        </w:tc>
        <w:tc>
          <w:tcPr>
            <w:tcW w:w="864"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DELL</w:t>
            </w:r>
          </w:p>
        </w:tc>
        <w:tc>
          <w:tcPr>
            <w:tcW w:w="2590"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PowerEdge R730 10JYND2</w:t>
            </w:r>
          </w:p>
        </w:tc>
        <w:tc>
          <w:tcPr>
            <w:tcW w:w="3729" w:type="dxa"/>
            <w:shd w:val="clear" w:color="auto" w:fill="auto"/>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8/2*500G</w:t>
            </w:r>
          </w:p>
        </w:tc>
      </w:tr>
    </w:tbl>
    <w:p>
      <w:pPr>
        <w:keepNext w:val="0"/>
        <w:keepLines w:val="0"/>
        <w:pageBreakBefore w:val="0"/>
        <w:widowControl w:val="0"/>
        <w:kinsoku/>
        <w:wordWrap/>
        <w:overflowPunct/>
        <w:topLinePunct/>
        <w:autoSpaceDE/>
        <w:autoSpaceDN/>
        <w:bidi w:val="0"/>
        <w:adjustRightInd/>
        <w:snapToGrid/>
        <w:spacing w:before="157" w:beforeLines="50" w:line="396"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注： 1.以上维保清单内设备在维保期内涉及对配件、设备重新更换的经费开支均包含在本项目合同内，且要求更换的配件、设备可溯源，由中标方承担，招标人不再支付任何费用。</w:t>
      </w:r>
    </w:p>
    <w:p>
      <w:pPr>
        <w:keepNext w:val="0"/>
        <w:keepLines w:val="0"/>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 2.报价说明</w:t>
      </w:r>
    </w:p>
    <w:p>
      <w:pPr>
        <w:keepNext w:val="0"/>
        <w:keepLines w:val="0"/>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投标人报出总价应保证其报价的充分性、完整性和符合性，以及根据自身实力所报出具有竞争力的综合取费。采购人不统一组织投标人对工程现场和其周围环境进行考察。对招标文件中存在的疑问可向采购人或代理机构咨询。投标人须自行对现场和其周围环境进行考察，以获取编制投标文件和签署实施工程所需的各项资料。投标人应对施工现场的位置、施工因素以及困难条件进行周密的踏勘和认真的分析研究，做出自己的判断和估价，并在投标时充分考虑上述因素。一旦中标后，中标人不得以不了解现场情况为由，提出任何形式的增加工程价款或索赔要求。投标人须承担现场考察的责任和风险，踏勘所发生的费用由投标人自行承担。</w:t>
      </w:r>
    </w:p>
    <w:p>
      <w:pPr>
        <w:keepNext w:val="0"/>
        <w:keepLines w:val="0"/>
        <w:pageBreakBefore w:val="0"/>
        <w:widowControl w:val="0"/>
        <w:kinsoku/>
        <w:wordWrap/>
        <w:overflowPunct/>
        <w:topLinePunct/>
        <w:autoSpaceDE/>
        <w:autoSpaceDN/>
        <w:bidi w:val="0"/>
        <w:adjustRightInd/>
        <w:spacing w:line="396" w:lineRule="auto"/>
        <w:textAlignment w:val="auto"/>
        <w:rPr>
          <w:rFonts w:hint="eastAsia" w:ascii="宋体" w:hAnsi="宋体" w:cs="宋体"/>
          <w:sz w:val="24"/>
          <w:szCs w:val="24"/>
          <w:lang w:val="en-US" w:eastAsia="zh-CN"/>
        </w:rPr>
      </w:pPr>
    </w:p>
    <w:p>
      <w:pPr>
        <w:keepNext w:val="0"/>
        <w:keepLines w:val="0"/>
        <w:pageBreakBefore w:val="0"/>
        <w:widowControl w:val="0"/>
        <w:numPr>
          <w:ilvl w:val="0"/>
          <w:numId w:val="16"/>
        </w:numPr>
        <w:tabs>
          <w:tab w:val="left" w:pos="426"/>
        </w:tabs>
        <w:kinsoku/>
        <w:wordWrap/>
        <w:overflowPunct/>
        <w:topLinePunct/>
        <w:autoSpaceDE/>
        <w:autoSpaceDN/>
        <w:bidi w:val="0"/>
        <w:adjustRightInd/>
        <w:snapToGrid w:val="0"/>
        <w:spacing w:line="396" w:lineRule="auto"/>
        <w:ind w:firstLine="6"/>
        <w:textAlignment w:val="auto"/>
        <w:rPr>
          <w:rFonts w:hint="eastAsia" w:ascii="宋体" w:hAnsi="宋体" w:eastAsia="宋体" w:cs="宋体"/>
          <w:b/>
          <w:bCs/>
          <w:sz w:val="24"/>
          <w:szCs w:val="24"/>
        </w:rPr>
      </w:pPr>
      <w:r>
        <w:rPr>
          <w:rFonts w:hint="eastAsia" w:ascii="宋体" w:hAnsi="宋体" w:eastAsia="宋体" w:cs="宋体"/>
          <w:b/>
          <w:bCs/>
          <w:sz w:val="24"/>
          <w:szCs w:val="24"/>
        </w:rPr>
        <w:t>服务要求</w:t>
      </w:r>
    </w:p>
    <w:p>
      <w:pPr>
        <w:pageBreakBefore w:val="0"/>
        <w:widowControl w:val="0"/>
        <w:kinsoku/>
        <w:wordWrap/>
        <w:overflowPunct/>
        <w:topLinePunct/>
        <w:autoSpaceDE/>
        <w:autoSpaceDN/>
        <w:bidi w:val="0"/>
        <w:adjustRightInd/>
        <w:spacing w:line="396" w:lineRule="auto"/>
        <w:textAlignment w:val="auto"/>
        <w:rPr>
          <w:rFonts w:hint="eastAsia" w:ascii="宋体" w:hAnsi="宋体" w:eastAsia="宋体" w:cs="宋体"/>
          <w:bCs/>
          <w:sz w:val="24"/>
          <w:szCs w:val="24"/>
          <w:lang w:val="zh-CN"/>
        </w:rPr>
      </w:pPr>
      <w:bookmarkStart w:id="35" w:name="_Toc70599848"/>
      <w:bookmarkStart w:id="36" w:name="_Toc69993005"/>
      <w:bookmarkStart w:id="37" w:name="_Toc29892461"/>
      <w:bookmarkStart w:id="38" w:name="_Toc70599255"/>
      <w:bookmarkStart w:id="39" w:name="_Toc70600342"/>
      <w:r>
        <w:rPr>
          <w:rFonts w:hint="eastAsia" w:ascii="宋体" w:hAnsi="宋体" w:eastAsia="宋体" w:cs="宋体"/>
          <w:bCs/>
          <w:sz w:val="24"/>
          <w:szCs w:val="24"/>
        </w:rPr>
        <w:t>1.</w:t>
      </w:r>
      <w:r>
        <w:rPr>
          <w:rFonts w:hint="eastAsia" w:ascii="宋体" w:hAnsi="宋体" w:eastAsia="宋体" w:cs="宋体"/>
          <w:bCs/>
          <w:sz w:val="24"/>
          <w:szCs w:val="24"/>
          <w:lang w:val="zh-CN"/>
        </w:rPr>
        <w:t>维保服务要求</w:t>
      </w:r>
      <w:bookmarkEnd w:id="35"/>
      <w:bookmarkEnd w:id="36"/>
      <w:bookmarkEnd w:id="37"/>
      <w:bookmarkEnd w:id="38"/>
      <w:bookmarkEnd w:id="39"/>
    </w:p>
    <w:p>
      <w:pPr>
        <w:pageBreakBefore w:val="0"/>
        <w:widowControl w:val="0"/>
        <w:tabs>
          <w:tab w:val="left" w:pos="426"/>
        </w:tabs>
        <w:kinsoku/>
        <w:wordWrap/>
        <w:overflowPunct/>
        <w:topLinePunct/>
        <w:autoSpaceDE/>
        <w:autoSpaceDN/>
        <w:bidi w:val="0"/>
        <w:adjustRightInd/>
        <w:snapToGrid w:val="0"/>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1.1 维保服务期内，</w:t>
      </w:r>
      <w:r>
        <w:rPr>
          <w:rFonts w:hint="eastAsia" w:ascii="宋体" w:hAnsi="宋体" w:cs="宋体"/>
          <w:bCs/>
          <w:sz w:val="24"/>
          <w:szCs w:val="24"/>
          <w:lang w:val="en-US" w:eastAsia="zh-CN"/>
        </w:rPr>
        <w:t>投标人提供全院所有服务器及存储设备原厂维保，</w:t>
      </w:r>
      <w:r>
        <w:rPr>
          <w:rFonts w:hint="eastAsia" w:ascii="宋体" w:hAnsi="宋体" w:eastAsia="宋体" w:cs="宋体"/>
          <w:bCs/>
          <w:sz w:val="24"/>
          <w:szCs w:val="24"/>
        </w:rPr>
        <w:t>所有硬件损坏投标人应及时更换原厂配件，同时提供操作系统及数据库等维保服务。</w:t>
      </w:r>
    </w:p>
    <w:p>
      <w:pPr>
        <w:pageBreakBefore w:val="0"/>
        <w:widowControl w:val="0"/>
        <w:tabs>
          <w:tab w:val="left" w:pos="426"/>
        </w:tabs>
        <w:kinsoku/>
        <w:wordWrap/>
        <w:overflowPunct/>
        <w:topLinePunct/>
        <w:autoSpaceDE/>
        <w:autoSpaceDN/>
        <w:bidi w:val="0"/>
        <w:adjustRightInd/>
        <w:snapToGrid w:val="0"/>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1.2 维保服务期开始后，投标人应在30日内对全院服务器及存储设备进行彻底摸排，熟悉并掌握后提供报告。</w:t>
      </w:r>
    </w:p>
    <w:p>
      <w:pPr>
        <w:pageBreakBefore w:val="0"/>
        <w:widowControl w:val="0"/>
        <w:tabs>
          <w:tab w:val="left" w:pos="426"/>
        </w:tabs>
        <w:kinsoku/>
        <w:wordWrap/>
        <w:overflowPunct/>
        <w:topLinePunct/>
        <w:autoSpaceDE/>
        <w:autoSpaceDN/>
        <w:bidi w:val="0"/>
        <w:adjustRightInd/>
        <w:snapToGrid w:val="0"/>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1.3投标人应提供至少</w:t>
      </w:r>
      <w:r>
        <w:rPr>
          <w:rFonts w:hint="eastAsia" w:ascii="宋体" w:hAnsi="宋体" w:cs="宋体"/>
          <w:bCs/>
          <w:sz w:val="24"/>
          <w:szCs w:val="24"/>
          <w:lang w:val="en-US" w:eastAsia="zh-CN"/>
        </w:rPr>
        <w:t>3</w:t>
      </w:r>
      <w:r>
        <w:rPr>
          <w:rFonts w:hint="eastAsia" w:ascii="宋体" w:hAnsi="宋体" w:eastAsia="宋体" w:cs="宋体"/>
          <w:bCs/>
          <w:sz w:val="24"/>
          <w:szCs w:val="24"/>
        </w:rPr>
        <w:t>名驻场工程师负责本项目，驻场工程师应精通windows server、Linux（包含国内外Linux系统包含但不限于redhat、CentOS、Anolis OS、KylinOS等）、AIX等操作系统的维护，精通</w:t>
      </w:r>
      <w:r>
        <w:rPr>
          <w:rFonts w:hint="eastAsia" w:ascii="宋体" w:hAnsi="宋体" w:cs="宋体"/>
          <w:bCs/>
          <w:sz w:val="24"/>
          <w:szCs w:val="24"/>
          <w:lang w:val="en-US" w:eastAsia="zh-CN"/>
        </w:rPr>
        <w:t>包括且不限于</w:t>
      </w:r>
      <w:r>
        <w:rPr>
          <w:rFonts w:hint="eastAsia" w:ascii="宋体" w:hAnsi="宋体" w:eastAsia="宋体" w:cs="宋体"/>
          <w:bCs/>
          <w:sz w:val="24"/>
          <w:szCs w:val="24"/>
        </w:rPr>
        <w:t>sql server、MySQL、oracle</w:t>
      </w:r>
      <w:r>
        <w:rPr>
          <w:rFonts w:hint="eastAsia" w:ascii="宋体" w:hAnsi="宋体" w:cs="宋体"/>
          <w:bCs/>
          <w:sz w:val="24"/>
          <w:szCs w:val="24"/>
          <w:lang w:eastAsia="zh-CN"/>
        </w:rPr>
        <w:t>、</w:t>
      </w:r>
      <w:r>
        <w:rPr>
          <w:rFonts w:hint="eastAsia" w:ascii="宋体" w:hAnsi="宋体" w:eastAsia="宋体" w:cs="宋体"/>
          <w:bCs/>
          <w:sz w:val="24"/>
          <w:szCs w:val="24"/>
        </w:rPr>
        <w:t>等</w:t>
      </w:r>
      <w:r>
        <w:rPr>
          <w:rFonts w:hint="eastAsia" w:ascii="宋体" w:hAnsi="宋体" w:cs="宋体"/>
          <w:bCs/>
          <w:sz w:val="24"/>
          <w:szCs w:val="24"/>
          <w:lang w:val="en-US" w:eastAsia="zh-CN"/>
        </w:rPr>
        <w:t>国内外</w:t>
      </w:r>
      <w:r>
        <w:rPr>
          <w:rFonts w:hint="eastAsia" w:ascii="宋体" w:hAnsi="宋体" w:eastAsia="宋体" w:cs="宋体"/>
          <w:bCs/>
          <w:sz w:val="24"/>
          <w:szCs w:val="24"/>
        </w:rPr>
        <w:t>数据库维护。</w:t>
      </w:r>
    </w:p>
    <w:p>
      <w:pPr>
        <w:pageBreakBefore w:val="0"/>
        <w:widowControl w:val="0"/>
        <w:tabs>
          <w:tab w:val="left" w:pos="426"/>
        </w:tabs>
        <w:kinsoku/>
        <w:wordWrap/>
        <w:overflowPunct/>
        <w:topLinePunct/>
        <w:autoSpaceDE/>
        <w:autoSpaceDN/>
        <w:bidi w:val="0"/>
        <w:adjustRightInd/>
        <w:snapToGrid w:val="0"/>
        <w:spacing w:line="396" w:lineRule="auto"/>
        <w:ind w:firstLine="480" w:firstLineChars="200"/>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1.4 7:30-12:00,14:30-18:00至少3名驻院熟练维护工程师，12:00-14:30至少1名驻院熟练维护工程师值班，18:00-次日7:30至少1名驻院熟练维护工程师值班，上述人数为最低标准。工程师配置数量以投标人实际调研评估后为准，且驻场人员需经网络信息中心考评合格后方可进行驻场服务，驻场人员上岗、考勤等工作相关事项均需要接受网络信息中心统一管理。投标人不得随意更换驻场人员。确需调整的，应按投标承诺的项目团队成员配置标准，提交书面建议给招标人，经招标人同意后投标人做好工作交接方能更换。在现场驻场时要听从河南省人员医院网络信息中心人员安排并遵守医院相关规章制度。</w:t>
      </w:r>
    </w:p>
    <w:p>
      <w:pPr>
        <w:pageBreakBefore w:val="0"/>
        <w:widowControl w:val="0"/>
        <w:kinsoku/>
        <w:wordWrap/>
        <w:overflowPunct/>
        <w:topLinePunct/>
        <w:autoSpaceDE/>
        <w:autoSpaceDN/>
        <w:bidi w:val="0"/>
        <w:adjustRightInd/>
        <w:spacing w:line="396" w:lineRule="auto"/>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 xml:space="preserve">   1.5  投标人应对招标人清查统计全院服务器及存储设备固定资产，同时对所有服务器及存储设备进行编号，在设备粘贴二维码标签（标签上应有设备名称、设备型号、设备编号等信息），对于发生业务变动、位置改变的硬件要及时进行标签更新，确保其时效性和准确性。完成全院范围内机房硬件设备资产管理包含但不限于机房设备标签、设备迁移记录、设备增减记录、设备更换记录等。</w:t>
      </w:r>
    </w:p>
    <w:p>
      <w:pPr>
        <w:pageBreakBefore w:val="0"/>
        <w:widowControl w:val="0"/>
        <w:kinsoku/>
        <w:wordWrap/>
        <w:overflowPunct/>
        <w:topLinePunct/>
        <w:autoSpaceDE/>
        <w:autoSpaceDN/>
        <w:bidi w:val="0"/>
        <w:adjustRightInd/>
        <w:spacing w:line="396" w:lineRule="auto"/>
        <w:textAlignment w:val="auto"/>
        <w:rPr>
          <w:rFonts w:hint="default" w:ascii="宋体" w:hAnsi="宋体" w:cs="宋体"/>
          <w:bCs/>
          <w:sz w:val="24"/>
          <w:szCs w:val="24"/>
          <w:lang w:val="en-US" w:eastAsia="zh-CN"/>
        </w:rPr>
      </w:pPr>
      <w:r>
        <w:rPr>
          <w:rFonts w:hint="eastAsia" w:ascii="宋体" w:hAnsi="宋体" w:cs="宋体"/>
          <w:bCs/>
          <w:sz w:val="24"/>
          <w:szCs w:val="24"/>
          <w:lang w:val="en-US" w:eastAsia="zh-CN"/>
        </w:rPr>
        <w:t xml:space="preserve">   1.6  为适应医院信息化的发展需要，中标方要按照网络信息中心要求，配合调整机房内各硬件的部署，包含河南省人民医院医疗机构执业许可证上的地址内各种硬件的迁移、规划、安装、调试等，转移过程中，中标方应确保设备的安全，如发生损坏导致设备不可用，应由中标方承担相应损失。</w:t>
      </w:r>
    </w:p>
    <w:p>
      <w:pPr>
        <w:pageBreakBefore w:val="0"/>
        <w:widowControl w:val="0"/>
        <w:kinsoku/>
        <w:wordWrap/>
        <w:overflowPunct/>
        <w:topLinePunct/>
        <w:autoSpaceDE/>
        <w:autoSpaceDN/>
        <w:bidi w:val="0"/>
        <w:adjustRightInd/>
        <w:spacing w:line="396" w:lineRule="auto"/>
        <w:textAlignment w:val="auto"/>
        <w:rPr>
          <w:rFonts w:hint="eastAsia" w:ascii="宋体" w:hAnsi="宋体" w:eastAsia="宋体" w:cs="宋体"/>
          <w:bCs/>
          <w:sz w:val="24"/>
          <w:szCs w:val="24"/>
        </w:rPr>
      </w:pPr>
      <w:r>
        <w:rPr>
          <w:rFonts w:hint="eastAsia" w:ascii="宋体" w:hAnsi="宋体" w:eastAsia="宋体" w:cs="宋体"/>
          <w:bCs/>
          <w:sz w:val="24"/>
          <w:szCs w:val="24"/>
        </w:rPr>
        <w:t>2.故障响应</w:t>
      </w:r>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2.1全院服务器及存储软、硬件原厂保修，投标人需根据招标方全院服务器及存储向相应设备厂商采购原厂基本维保服务。</w:t>
      </w:r>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2.2快速备件先行更换服务</w:t>
      </w:r>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投标人应向招标方提供及时周到的快速备件更换服务。服务标准为备件先行7×24响应。</w:t>
      </w:r>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一旦定位是硬件故障，投标人应在规定时间内将原厂商正品备件先行运抵现场，保证故障部件得到及时更换，以使招标方的业务能在最短时间内恢复正常。</w:t>
      </w:r>
    </w:p>
    <w:p>
      <w:pPr>
        <w:pageBreakBefore w:val="0"/>
        <w:widowControl w:val="0"/>
        <w:kinsoku/>
        <w:wordWrap/>
        <w:overflowPunct/>
        <w:topLinePunct/>
        <w:autoSpaceDE/>
        <w:autoSpaceDN/>
        <w:bidi w:val="0"/>
        <w:adjustRightInd/>
        <w:spacing w:line="396"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2.3.驻场工程师应做到3分钟响应，10分钟</w:t>
      </w:r>
      <w:r>
        <w:rPr>
          <w:rFonts w:hint="eastAsia" w:ascii="宋体" w:hAnsi="宋体" w:cs="宋体"/>
          <w:bCs/>
          <w:sz w:val="24"/>
          <w:szCs w:val="24"/>
          <w:lang w:val="en-US" w:eastAsia="zh-CN"/>
        </w:rPr>
        <w:t>人员现场</w:t>
      </w:r>
      <w:r>
        <w:rPr>
          <w:rFonts w:hint="eastAsia" w:ascii="宋体" w:hAnsi="宋体" w:eastAsia="宋体" w:cs="宋体"/>
          <w:bCs/>
          <w:sz w:val="24"/>
          <w:szCs w:val="24"/>
        </w:rPr>
        <w:t>故障确诊，20分钟解决故障，如遇驻场工程师无法解决的故障，投标人应派其他工程师1小时内到达现场，到现场后1小时内解决故障。</w:t>
      </w:r>
      <w:bookmarkStart w:id="40" w:name="_Toc29892462"/>
    </w:p>
    <w:p>
      <w:pPr>
        <w:pageBreakBefore w:val="0"/>
        <w:widowControl w:val="0"/>
        <w:tabs>
          <w:tab w:val="left" w:pos="426"/>
        </w:tabs>
        <w:kinsoku/>
        <w:wordWrap/>
        <w:overflowPunct/>
        <w:topLinePunct/>
        <w:autoSpaceDE/>
        <w:autoSpaceDN/>
        <w:bidi w:val="0"/>
        <w:adjustRightInd/>
        <w:snapToGrid w:val="0"/>
        <w:spacing w:line="396" w:lineRule="auto"/>
        <w:textAlignment w:val="auto"/>
        <w:rPr>
          <w:rFonts w:hint="eastAsia" w:ascii="宋体" w:hAnsi="宋体" w:eastAsia="宋体" w:cs="宋体"/>
          <w:sz w:val="24"/>
          <w:szCs w:val="24"/>
        </w:rPr>
      </w:pPr>
    </w:p>
    <w:p>
      <w:pPr>
        <w:pageBreakBefore w:val="0"/>
        <w:widowControl w:val="0"/>
        <w:tabs>
          <w:tab w:val="left" w:pos="426"/>
        </w:tabs>
        <w:kinsoku/>
        <w:wordWrap/>
        <w:overflowPunct/>
        <w:topLinePunct/>
        <w:autoSpaceDE/>
        <w:autoSpaceDN/>
        <w:bidi w:val="0"/>
        <w:adjustRightInd/>
        <w:snapToGrid w:val="0"/>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3.巡检范围包括：</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3.1定期对系统进行预防性巡检维护，是确保系统正常健康运行的重要预防措施。通过该服务及时检查、发现故障隐患，更换与排除故障部件，调整系统性能，减少系统故障及宕机时间，保持业务持续性运行。</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3.2巡检周期：每</w:t>
      </w:r>
      <w:r>
        <w:rPr>
          <w:rFonts w:hint="eastAsia" w:ascii="宋体" w:hAnsi="宋体" w:cs="宋体"/>
          <w:sz w:val="24"/>
          <w:szCs w:val="24"/>
          <w:lang w:val="en-US" w:eastAsia="zh-CN"/>
        </w:rPr>
        <w:t>天</w:t>
      </w:r>
      <w:r>
        <w:rPr>
          <w:rFonts w:hint="eastAsia" w:ascii="宋体" w:hAnsi="宋体" w:eastAsia="宋体" w:cs="宋体"/>
          <w:sz w:val="24"/>
          <w:szCs w:val="24"/>
        </w:rPr>
        <w:t>巡检一次，对系统软硬件进行预防性检查维护，将隐患消除在萌芽之中。</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3.3巡检内容：</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系统运行环境检查，包括机房温度、湿度和零地电压、零火电压等。</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》系统硬件运行情况检查</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》系统错误日志分析</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》超级用户邮件分析，清理过期邮件</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》文件系统空间使用情况检查</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》系统运行状态、性能检查和优化，包括CPU、内存和交换区使用情况，硬盘和网络的IO情况检查</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》记录系统存储空间的逻辑结构</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》HACMP配置检查及有效性测试</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》操作系统版本及微码检查</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》设备除尘处理。</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》检查如发现有隐患的部件将及时协助河南省人民医院进行更换巡检维护的方法和步骤</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》主机和磁盘阵列的物理状态检查，具体包括电源、风扇状态、LED状态灯检查等。</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》主要部件的状态检查，具体操作如下：</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适配卡状态(包括SCSI卡、通讯卡、SA卡等)：检查是否处于Available。</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内存状态：检查是否处于Available状态以及内存容量是否与机器原始配置相同。</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CPU 状态：检查是否处于Available状态</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硬盘状态：检查是否处于Available状态</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SSA硬盘及环路状态：检查pdisk是否处于Available状态，同时检查SSA环路有无中断且均为Good状态。</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网络通讯状态统计：检查其中Ierr和Oerr基本为0。</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》磁盘空间使用情况检查，主要检查/、/var、/tmp三个文件系统，要求已经使用空间在80%以下。</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》errpt命令检查系统错误日志，主要检查其中是否存在永久性不可恢复的硬件错误；读取root邮件等，检查是否有需要处理的部件故障。</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》系统性能情况检查，具体操作如下：</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◇检查系统内存使用和cpu使用的性能情况。</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◇检查磁盘I/0的性能情况。</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◇检查系统交换空间的使用情况。</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◇检查系统用于网络通讯的缓冲区使用情况。</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◇第一次巡检服务及系统信息确认</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维护合同签约后，投标人必须为甲方建立维护服务档案，主要内容包括：</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运行环境</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》电源环境:电压，零地电压，UPS功率，预计断电保护时间、温/湿度计检查等</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系统硬件：</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》检查系统具体配置是否与保修合同一致，并以此作为配件准备的依据</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》在检查过程中，发现有配件损坏的，投标人须向和甲方提出。</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系统软件</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如AIX，HACMP，数据库等业务应用组成：</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》AIX部分</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◇主要的文件系统，逻辑卷，以及用户构成，主要注意备份关键目录</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◇系统的oslevel和补丁级别</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◇具体安装的软件包</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◇上一次备份时间</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》HACMP部分</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◇软件级别</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◇配置快照文件和应用启动/关闭的脚本文件</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◇生产/备份机在资源定义上是否一致，有条件可以安排切换测试</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◇所有相关的应用和中间件是否集成在HACMP事件中</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》数据库部分</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◇数据库信息：数据库名字、Instance名字、主机名字、登陆模式等；</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◇数据库版本信息；</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◇数据库NLS信息；</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◇数据库可用的选项；</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◇活动的后台进程；</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◇回滚段信息；</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◇数据库中用户的对象信息；</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◇数据库用户及状态等</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表空间信息检查</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◇表空间使用信息；</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◇表空间空闲信息；</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◇表空间和数据文件信息；</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◇用户使用表空间信息等。</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◇数据库回滚段检查</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◇数据库回滚信息；</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◇回滚状态；</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◇回滚段影像信息等。</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》错误信息检查</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◇查找那些破坏规则的OBJECT；</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◇查找是否有违反安全策略的问题；</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◇查看错误地方的SQL*NET日志；</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◇将所有的警告日志存档。</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》数据库性能检查</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◇根据生产系统的要求，对数据库系统的性能调优。</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3.4巡检服务记录与阶段总结报告</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投标人有完善的质量管理体系，首检、月巡检均有文档记录，填写《详细配置清单》、《巡检表》或《服务记录单》等，详细记录设备型号、故障时间、故障类型、处理方法、处理结果、预防措施及维护时间和维护人员等信息。每次巡检结束后填写《阶段工作总结表》并提交当次的《维护总结报告》，并均由客户系统管理人员签署意见、评估工程师服务质量，并签字确认，该记录由客户和乙方共同持有并保存。</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巡检半年后的一周内，乙方提供半年的《半年维护总结报告》，详细陈述半年系统运行情况、服务统计、巡检情况分析及故障处理情况。总结报告由客户签字确认后，由双方存档。</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每年服务期结束前30天内，乙方提供本年度服务的全年汇总报告《全年维护总结报告》，详细陈述系统运行情况、服务统计、备件使用总结、系统情况分析等内容。同时将全年服务记录装订成册，交由甲方保管以作参考。</w:t>
      </w:r>
    </w:p>
    <w:p>
      <w:pPr>
        <w:pStyle w:val="32"/>
        <w:pageBreakBefore w:val="0"/>
        <w:widowControl w:val="0"/>
        <w:kinsoku/>
        <w:wordWrap/>
        <w:overflowPunct/>
        <w:topLinePunct/>
        <w:autoSpaceDE/>
        <w:autoSpaceDN/>
        <w:bidi w:val="0"/>
        <w:adjustRightInd/>
        <w:spacing w:line="396" w:lineRule="auto"/>
        <w:textAlignment w:val="auto"/>
        <w:rPr>
          <w:rFonts w:hint="eastAsia" w:ascii="宋体" w:hAnsi="宋体" w:eastAsia="宋体" w:cs="宋体"/>
          <w:sz w:val="24"/>
          <w:szCs w:val="24"/>
        </w:rPr>
      </w:pPr>
    </w:p>
    <w:p>
      <w:pPr>
        <w:pageBreakBefore w:val="0"/>
        <w:widowControl w:val="0"/>
        <w:kinsoku/>
        <w:wordWrap/>
        <w:overflowPunct/>
        <w:topLinePunct/>
        <w:autoSpaceDE/>
        <w:autoSpaceDN/>
        <w:bidi w:val="0"/>
        <w:adjustRightInd/>
        <w:spacing w:line="396" w:lineRule="auto"/>
        <w:textAlignment w:val="auto"/>
        <w:rPr>
          <w:rFonts w:hint="eastAsia" w:ascii="宋体" w:hAnsi="宋体" w:eastAsia="宋体" w:cs="宋体"/>
          <w:bCs/>
          <w:sz w:val="24"/>
          <w:szCs w:val="24"/>
          <w:lang w:val="zh-CN"/>
        </w:rPr>
      </w:pPr>
      <w:r>
        <w:rPr>
          <w:rFonts w:hint="eastAsia" w:ascii="宋体" w:hAnsi="宋体" w:eastAsia="宋体" w:cs="宋体"/>
          <w:bCs/>
          <w:sz w:val="24"/>
          <w:szCs w:val="24"/>
        </w:rPr>
        <w:t>4.</w:t>
      </w:r>
      <w:r>
        <w:rPr>
          <w:rFonts w:hint="eastAsia" w:ascii="宋体" w:hAnsi="宋体" w:eastAsia="宋体" w:cs="宋体"/>
          <w:bCs/>
          <w:sz w:val="24"/>
          <w:szCs w:val="24"/>
          <w:lang w:val="zh-CN"/>
        </w:rPr>
        <w:t>监控管理平台要求</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为及时发现服务器、存储等设备的故障，提供监控管理平台，功能完善、稳定可靠的服务器监控系统，以确保服务器及存储等设备运行的稳定性，并能及时发现问题。该平台将对主机的CPU使用率、存活状态、内存使用率以及磁盘使用率进行实时监控，并在异常情况下能够及时发出告警通知，以便管理员及时采取措施解决问题。同时，平台还应具备良好的可扩展性，能够灵活支持新的监控对象的添加和移除，以满足未来业务的发展需求。</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至少包含以下功能模块：</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（1）. 监控模块：负责实时采集主机的CPU使用率、存活状态、内存使用率和磁盘使用率等指标数据，并将数据传输至后台处理模块</w:t>
      </w:r>
      <w:r>
        <w:rPr>
          <w:rFonts w:hint="eastAsia" w:ascii="宋体" w:hAnsi="宋体" w:cs="宋体"/>
          <w:sz w:val="24"/>
          <w:szCs w:val="24"/>
          <w:lang w:eastAsia="zh-CN"/>
        </w:rPr>
        <w:t>，</w:t>
      </w:r>
      <w:r>
        <w:rPr>
          <w:rFonts w:hint="eastAsia" w:ascii="宋体" w:hAnsi="宋体" w:cs="宋体"/>
          <w:sz w:val="24"/>
          <w:szCs w:val="24"/>
          <w:lang w:val="en-US" w:eastAsia="zh-CN"/>
        </w:rPr>
        <w:t>可对数据库层面健康程度进行监管。</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（2）. 告警通知模块：一旦监测到异常情况，如CPU负载过高、内存使用率过高等，系统将自动触发告警通知功能，向管理员发送邮件告警通知，提醒其及时处理。</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eastAsia="宋体" w:cs="宋体"/>
          <w:sz w:val="24"/>
          <w:szCs w:val="24"/>
        </w:rPr>
      </w:pPr>
      <w:r>
        <w:rPr>
          <w:rFonts w:hint="eastAsia" w:ascii="宋体" w:hAnsi="宋体" w:eastAsia="宋体" w:cs="宋体"/>
          <w:sz w:val="24"/>
          <w:szCs w:val="24"/>
        </w:rPr>
        <w:t>（3）. 数据可视化模块：提供直观的数据可视化界面，以图表、曲线等形式展示监控数据，帮助管理员实时了解服务器状态和性能趋势，并支持历史数据查询和导出功能。</w:t>
      </w:r>
    </w:p>
    <w:p>
      <w:pPr>
        <w:pageBreakBefore w:val="0"/>
        <w:widowControl w:val="0"/>
        <w:tabs>
          <w:tab w:val="left" w:pos="426"/>
        </w:tabs>
        <w:kinsoku/>
        <w:wordWrap/>
        <w:overflowPunct/>
        <w:topLinePunct/>
        <w:autoSpaceDE/>
        <w:autoSpaceDN/>
        <w:bidi w:val="0"/>
        <w:adjustRightInd/>
        <w:snapToGrid w:val="0"/>
        <w:spacing w:line="396" w:lineRule="auto"/>
        <w:ind w:left="426"/>
        <w:textAlignment w:val="auto"/>
        <w:rPr>
          <w:rFonts w:hint="eastAsia" w:ascii="宋体" w:hAnsi="宋体" w:cs="宋体"/>
          <w:sz w:val="24"/>
          <w:szCs w:val="24"/>
          <w:highlight w:val="none"/>
          <w:lang w:val="en-US" w:eastAsia="zh-CN"/>
        </w:rPr>
      </w:pPr>
      <w:r>
        <w:rPr>
          <w:rFonts w:hint="eastAsia" w:ascii="宋体" w:hAnsi="宋体" w:eastAsia="宋体" w:cs="宋体"/>
          <w:sz w:val="24"/>
          <w:szCs w:val="24"/>
        </w:rPr>
        <w:t>（4）. 管理模块：提供管理员对监控系统的配置管理功能，包括监控对象的添加、删除、修改等操</w:t>
      </w:r>
      <w:r>
        <w:rPr>
          <w:rFonts w:hint="eastAsia" w:ascii="宋体" w:hAnsi="宋体" w:eastAsia="宋体" w:cs="宋体"/>
          <w:sz w:val="24"/>
          <w:szCs w:val="24"/>
          <w:highlight w:val="none"/>
        </w:rPr>
        <w:t>作，以及告警通知规则的设置和管理，保障监控系统的稳定运行和灵活性</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可通过移动端实时监控。</w:t>
      </w:r>
    </w:p>
    <w:p>
      <w:pPr>
        <w:pStyle w:val="32"/>
        <w:pageBreakBefore w:val="0"/>
        <w:widowControl w:val="0"/>
        <w:kinsoku/>
        <w:wordWrap/>
        <w:overflowPunct/>
        <w:topLinePunct/>
        <w:autoSpaceDE/>
        <w:autoSpaceDN/>
        <w:bidi w:val="0"/>
        <w:adjustRightInd/>
        <w:spacing w:line="396" w:lineRule="auto"/>
        <w:textAlignment w:val="auto"/>
        <w:rPr>
          <w:rFonts w:hint="eastAsia" w:ascii="宋体" w:hAnsi="宋体" w:eastAsia="宋体" w:cs="宋体"/>
          <w:sz w:val="24"/>
          <w:szCs w:val="24"/>
        </w:rPr>
      </w:pPr>
    </w:p>
    <w:p>
      <w:pPr>
        <w:pageBreakBefore w:val="0"/>
        <w:widowControl w:val="0"/>
        <w:numPr>
          <w:ilvl w:val="0"/>
          <w:numId w:val="16"/>
        </w:numPr>
        <w:tabs>
          <w:tab w:val="left" w:pos="426"/>
        </w:tabs>
        <w:kinsoku/>
        <w:wordWrap/>
        <w:overflowPunct/>
        <w:topLinePunct/>
        <w:autoSpaceDE/>
        <w:autoSpaceDN/>
        <w:bidi w:val="0"/>
        <w:adjustRightInd/>
        <w:snapToGrid w:val="0"/>
        <w:spacing w:line="396" w:lineRule="auto"/>
        <w:ind w:firstLine="6"/>
        <w:textAlignment w:val="auto"/>
        <w:rPr>
          <w:rFonts w:hint="eastAsia" w:ascii="宋体" w:hAnsi="宋体" w:eastAsia="宋体" w:cs="宋体"/>
          <w:b/>
          <w:bCs/>
          <w:sz w:val="24"/>
          <w:szCs w:val="24"/>
        </w:rPr>
      </w:pPr>
      <w:bookmarkStart w:id="41" w:name="_Toc465281198"/>
      <w:bookmarkStart w:id="42" w:name="_Toc531338015"/>
      <w:r>
        <w:rPr>
          <w:rFonts w:hint="eastAsia" w:ascii="宋体" w:hAnsi="宋体" w:eastAsia="宋体" w:cs="宋体"/>
          <w:b/>
          <w:bCs/>
          <w:sz w:val="24"/>
          <w:szCs w:val="24"/>
        </w:rPr>
        <w:t>服务标准</w:t>
      </w:r>
      <w:bookmarkEnd w:id="41"/>
      <w:bookmarkEnd w:id="42"/>
    </w:p>
    <w:p>
      <w:pPr>
        <w:pStyle w:val="4"/>
        <w:pageBreakBefore w:val="0"/>
        <w:widowControl w:val="0"/>
        <w:kinsoku/>
        <w:wordWrap/>
        <w:overflowPunct/>
        <w:topLinePunct/>
        <w:autoSpaceDE/>
        <w:autoSpaceDN/>
        <w:bidi w:val="0"/>
        <w:adjustRightInd/>
        <w:spacing w:before="0" w:after="0" w:line="396" w:lineRule="auto"/>
        <w:ind w:left="210" w:leftChars="100"/>
        <w:textAlignment w:val="auto"/>
        <w:rPr>
          <w:rFonts w:hint="eastAsia" w:ascii="宋体" w:hAnsi="宋体" w:eastAsia="宋体" w:cs="宋体"/>
          <w:sz w:val="24"/>
          <w:szCs w:val="24"/>
        </w:rPr>
      </w:pPr>
      <w:bookmarkStart w:id="43" w:name="_Toc531338016"/>
      <w:bookmarkStart w:id="44" w:name="_Toc9606"/>
      <w:bookmarkStart w:id="45" w:name="_Toc465281199"/>
      <w:r>
        <w:rPr>
          <w:rFonts w:hint="eastAsia" w:ascii="宋体" w:hAnsi="宋体" w:eastAsia="宋体" w:cs="宋体"/>
          <w:sz w:val="24"/>
          <w:szCs w:val="24"/>
        </w:rPr>
        <w:t>1.故障定义和分级</w:t>
      </w:r>
      <w:bookmarkEnd w:id="43"/>
      <w:bookmarkEnd w:id="44"/>
      <w:bookmarkEnd w:id="45"/>
    </w:p>
    <w:p>
      <w:pPr>
        <w:pageBreakBefore w:val="0"/>
        <w:widowControl w:val="0"/>
        <w:kinsoku/>
        <w:wordWrap/>
        <w:overflowPunct/>
        <w:topLinePunct/>
        <w:autoSpaceDE/>
        <w:autoSpaceDN/>
        <w:bidi w:val="0"/>
        <w:adjustRightInd/>
        <w:spacing w:line="396" w:lineRule="auto"/>
        <w:ind w:firstLine="210"/>
        <w:textAlignment w:val="auto"/>
        <w:rPr>
          <w:rFonts w:hint="eastAsia" w:ascii="宋体" w:hAnsi="宋体" w:eastAsia="宋体" w:cs="宋体"/>
          <w:bCs/>
          <w:sz w:val="24"/>
          <w:szCs w:val="24"/>
        </w:rPr>
      </w:pPr>
      <w:r>
        <w:rPr>
          <w:rFonts w:hint="eastAsia" w:ascii="宋体" w:hAnsi="宋体" w:eastAsia="宋体" w:cs="宋体"/>
          <w:bCs/>
          <w:sz w:val="24"/>
          <w:szCs w:val="24"/>
        </w:rPr>
        <w:t>根据故障对用户业务造成的影响，将故障划分为四种级别：</w:t>
      </w:r>
    </w:p>
    <w:p>
      <w:pPr>
        <w:pageBreakBefore w:val="0"/>
        <w:widowControl w:val="0"/>
        <w:numPr>
          <w:ilvl w:val="0"/>
          <w:numId w:val="19"/>
        </w:numPr>
        <w:kinsoku/>
        <w:wordWrap/>
        <w:overflowPunct/>
        <w:topLinePunct/>
        <w:autoSpaceDE/>
        <w:autoSpaceDN/>
        <w:bidi w:val="0"/>
        <w:adjustRightInd/>
        <w:spacing w:line="396" w:lineRule="auto"/>
        <w:textAlignment w:val="auto"/>
        <w:rPr>
          <w:rFonts w:hint="eastAsia" w:ascii="宋体" w:hAnsi="宋体" w:eastAsia="宋体" w:cs="宋体"/>
          <w:bCs/>
          <w:sz w:val="24"/>
          <w:szCs w:val="24"/>
        </w:rPr>
      </w:pPr>
      <w:r>
        <w:rPr>
          <w:rFonts w:hint="eastAsia" w:ascii="宋体" w:hAnsi="宋体" w:eastAsia="宋体" w:cs="宋体"/>
          <w:bCs/>
          <w:sz w:val="24"/>
          <w:szCs w:val="24"/>
        </w:rPr>
        <w:t>重大故障</w:t>
      </w:r>
    </w:p>
    <w:p>
      <w:pPr>
        <w:pageBreakBefore w:val="0"/>
        <w:widowControl w:val="0"/>
        <w:kinsoku/>
        <w:wordWrap/>
        <w:overflowPunct/>
        <w:topLinePunct/>
        <w:autoSpaceDE/>
        <w:autoSpaceDN/>
        <w:bidi w:val="0"/>
        <w:adjustRightInd/>
        <w:spacing w:line="396" w:lineRule="auto"/>
        <w:ind w:firstLine="42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因业务系统及设备原因导致医院业务中断达10分钟以上；</w:t>
      </w:r>
    </w:p>
    <w:p>
      <w:pPr>
        <w:pageBreakBefore w:val="0"/>
        <w:widowControl w:val="0"/>
        <w:kinsoku/>
        <w:wordWrap/>
        <w:overflowPunct/>
        <w:topLinePunct/>
        <w:autoSpaceDE/>
        <w:autoSpaceDN/>
        <w:bidi w:val="0"/>
        <w:adjustRightInd/>
        <w:spacing w:line="396" w:lineRule="auto"/>
        <w:ind w:firstLine="420"/>
        <w:textAlignment w:val="auto"/>
        <w:rPr>
          <w:rFonts w:hint="eastAsia" w:ascii="宋体" w:hAnsi="宋体" w:eastAsia="宋体" w:cs="宋体"/>
          <w:bCs/>
          <w:sz w:val="24"/>
          <w:szCs w:val="24"/>
        </w:rPr>
      </w:pPr>
      <w:r>
        <w:rPr>
          <w:rFonts w:hint="eastAsia" w:ascii="宋体" w:hAnsi="宋体" w:eastAsia="宋体" w:cs="宋体"/>
          <w:bCs/>
          <w:sz w:val="24"/>
          <w:szCs w:val="24"/>
        </w:rPr>
        <w:t>对于重大故障未定义之处应参照河南省人民医院相关规定执行。</w:t>
      </w:r>
    </w:p>
    <w:p>
      <w:pPr>
        <w:pageBreakBefore w:val="0"/>
        <w:widowControl w:val="0"/>
        <w:numPr>
          <w:ilvl w:val="0"/>
          <w:numId w:val="19"/>
        </w:numPr>
        <w:kinsoku/>
        <w:wordWrap/>
        <w:overflowPunct/>
        <w:topLinePunct/>
        <w:autoSpaceDE/>
        <w:autoSpaceDN/>
        <w:bidi w:val="0"/>
        <w:adjustRightInd/>
        <w:spacing w:line="396" w:lineRule="auto"/>
        <w:textAlignment w:val="auto"/>
        <w:rPr>
          <w:rFonts w:hint="eastAsia" w:ascii="宋体" w:hAnsi="宋体" w:eastAsia="宋体" w:cs="宋体"/>
          <w:bCs/>
          <w:sz w:val="24"/>
          <w:szCs w:val="24"/>
        </w:rPr>
      </w:pPr>
      <w:r>
        <w:rPr>
          <w:rFonts w:hint="eastAsia" w:ascii="宋体" w:hAnsi="宋体" w:eastAsia="宋体" w:cs="宋体"/>
          <w:bCs/>
          <w:sz w:val="24"/>
          <w:szCs w:val="24"/>
        </w:rPr>
        <w:t>严重故障</w:t>
      </w:r>
    </w:p>
    <w:p>
      <w:pPr>
        <w:pageBreakBefore w:val="0"/>
        <w:widowControl w:val="0"/>
        <w:kinsoku/>
        <w:wordWrap/>
        <w:overflowPunct/>
        <w:topLinePunct/>
        <w:autoSpaceDE/>
        <w:autoSpaceDN/>
        <w:bidi w:val="0"/>
        <w:adjustRightInd/>
        <w:spacing w:line="396" w:lineRule="auto"/>
        <w:ind w:firstLine="420"/>
        <w:textAlignment w:val="auto"/>
        <w:rPr>
          <w:rFonts w:hint="eastAsia" w:ascii="宋体" w:hAnsi="宋体" w:eastAsia="宋体" w:cs="宋体"/>
          <w:bCs/>
          <w:sz w:val="24"/>
          <w:szCs w:val="24"/>
        </w:rPr>
      </w:pPr>
      <w:r>
        <w:rPr>
          <w:rFonts w:hint="eastAsia" w:ascii="宋体" w:hAnsi="宋体" w:eastAsia="宋体" w:cs="宋体"/>
          <w:bCs/>
          <w:sz w:val="24"/>
          <w:szCs w:val="24"/>
        </w:rPr>
        <w:t>系统冗余的设备有50％瘫痪，造成业务可用性下降明显、容量减少、使业务运行处于不可靠状态；网络拥塞严重，但业务仍能运作；系统或设备出现严重告警；但系统性能严重恶化，引起投诉的故障。</w:t>
      </w:r>
    </w:p>
    <w:p>
      <w:pPr>
        <w:pageBreakBefore w:val="0"/>
        <w:widowControl w:val="0"/>
        <w:numPr>
          <w:ilvl w:val="0"/>
          <w:numId w:val="19"/>
        </w:numPr>
        <w:kinsoku/>
        <w:wordWrap/>
        <w:overflowPunct/>
        <w:topLinePunct/>
        <w:autoSpaceDE/>
        <w:autoSpaceDN/>
        <w:bidi w:val="0"/>
        <w:adjustRightInd/>
        <w:spacing w:line="396" w:lineRule="auto"/>
        <w:textAlignment w:val="auto"/>
        <w:rPr>
          <w:rFonts w:hint="eastAsia" w:ascii="宋体" w:hAnsi="宋体" w:eastAsia="宋体" w:cs="宋体"/>
          <w:bCs/>
          <w:sz w:val="24"/>
          <w:szCs w:val="24"/>
        </w:rPr>
      </w:pPr>
      <w:r>
        <w:rPr>
          <w:rFonts w:hint="eastAsia" w:ascii="宋体" w:hAnsi="宋体" w:eastAsia="宋体" w:cs="宋体"/>
          <w:bCs/>
          <w:sz w:val="24"/>
          <w:szCs w:val="24"/>
        </w:rPr>
        <w:t>安全故障</w:t>
      </w:r>
    </w:p>
    <w:p>
      <w:pPr>
        <w:pageBreakBefore w:val="0"/>
        <w:widowControl w:val="0"/>
        <w:kinsoku/>
        <w:wordWrap/>
        <w:overflowPunct/>
        <w:topLinePunct/>
        <w:autoSpaceDE/>
        <w:autoSpaceDN/>
        <w:bidi w:val="0"/>
        <w:adjustRightInd/>
        <w:spacing w:line="396" w:lineRule="auto"/>
        <w:ind w:firstLine="420"/>
        <w:textAlignment w:val="auto"/>
        <w:rPr>
          <w:rFonts w:hint="eastAsia" w:ascii="宋体" w:hAnsi="宋体" w:eastAsia="宋体" w:cs="宋体"/>
          <w:bCs/>
          <w:sz w:val="24"/>
          <w:szCs w:val="24"/>
        </w:rPr>
      </w:pPr>
      <w:r>
        <w:rPr>
          <w:rFonts w:hint="eastAsia" w:ascii="宋体" w:hAnsi="宋体" w:eastAsia="宋体" w:cs="宋体"/>
          <w:bCs/>
          <w:sz w:val="24"/>
          <w:szCs w:val="24"/>
        </w:rPr>
        <w:t>包括在系统日志中发现非法登录者；发现系统感染病毒；发现有人在不断强行尝试登录系统；系统中出现不明的新用户账号。</w:t>
      </w:r>
    </w:p>
    <w:p>
      <w:pPr>
        <w:pageBreakBefore w:val="0"/>
        <w:widowControl w:val="0"/>
        <w:kinsoku/>
        <w:wordWrap/>
        <w:overflowPunct/>
        <w:topLinePunct/>
        <w:autoSpaceDE/>
        <w:autoSpaceDN/>
        <w:bidi w:val="0"/>
        <w:adjustRightInd/>
        <w:spacing w:line="396" w:lineRule="auto"/>
        <w:ind w:firstLine="420"/>
        <w:textAlignment w:val="auto"/>
        <w:rPr>
          <w:rFonts w:hint="eastAsia" w:ascii="宋体" w:hAnsi="宋体" w:eastAsia="宋体" w:cs="宋体"/>
          <w:bCs/>
          <w:sz w:val="24"/>
          <w:szCs w:val="24"/>
        </w:rPr>
      </w:pPr>
      <w:r>
        <w:rPr>
          <w:rFonts w:hint="eastAsia" w:ascii="宋体" w:hAnsi="宋体" w:eastAsia="宋体" w:cs="宋体"/>
          <w:bCs/>
          <w:sz w:val="24"/>
          <w:szCs w:val="24"/>
        </w:rPr>
        <w:t>发生大规模安全攻击事件，导致网络流量急剧增大或网络设备故障，影响重要系统使用的情况；或者服务器被恶意程序感染，导致业务不能正常使用的情况。</w:t>
      </w:r>
    </w:p>
    <w:p>
      <w:pPr>
        <w:pageBreakBefore w:val="0"/>
        <w:widowControl w:val="0"/>
        <w:numPr>
          <w:ilvl w:val="0"/>
          <w:numId w:val="19"/>
        </w:numPr>
        <w:kinsoku/>
        <w:wordWrap/>
        <w:overflowPunct/>
        <w:topLinePunct/>
        <w:autoSpaceDE/>
        <w:autoSpaceDN/>
        <w:bidi w:val="0"/>
        <w:adjustRightInd/>
        <w:spacing w:line="396" w:lineRule="auto"/>
        <w:textAlignment w:val="auto"/>
        <w:rPr>
          <w:rFonts w:hint="eastAsia" w:ascii="宋体" w:hAnsi="宋体" w:eastAsia="宋体" w:cs="宋体"/>
          <w:bCs/>
          <w:sz w:val="24"/>
          <w:szCs w:val="24"/>
        </w:rPr>
      </w:pPr>
      <w:r>
        <w:rPr>
          <w:rFonts w:hint="eastAsia" w:ascii="宋体" w:hAnsi="宋体" w:eastAsia="宋体" w:cs="宋体"/>
          <w:bCs/>
          <w:sz w:val="24"/>
          <w:szCs w:val="24"/>
        </w:rPr>
        <w:t>一般故障、其它故障</w:t>
      </w:r>
    </w:p>
    <w:p>
      <w:pPr>
        <w:pageBreakBefore w:val="0"/>
        <w:widowControl w:val="0"/>
        <w:kinsoku/>
        <w:wordWrap/>
        <w:overflowPunct/>
        <w:topLinePunct/>
        <w:autoSpaceDE/>
        <w:autoSpaceDN/>
        <w:bidi w:val="0"/>
        <w:adjustRightInd/>
        <w:spacing w:line="396" w:lineRule="auto"/>
        <w:ind w:firstLine="210"/>
        <w:textAlignment w:val="auto"/>
        <w:rPr>
          <w:rFonts w:hint="eastAsia" w:ascii="宋体" w:hAnsi="宋体" w:eastAsia="宋体" w:cs="宋体"/>
          <w:bCs/>
          <w:sz w:val="24"/>
          <w:szCs w:val="24"/>
        </w:rPr>
      </w:pPr>
      <w:r>
        <w:rPr>
          <w:rFonts w:hint="eastAsia" w:ascii="宋体" w:hAnsi="宋体" w:eastAsia="宋体" w:cs="宋体"/>
          <w:bCs/>
          <w:sz w:val="24"/>
          <w:szCs w:val="24"/>
        </w:rPr>
        <w:t>主要指设备运行中出现的隐患，断续或间接地影响系统功能，但不影响业务的故障等。</w:t>
      </w:r>
    </w:p>
    <w:p>
      <w:pPr>
        <w:pStyle w:val="4"/>
        <w:pageBreakBefore w:val="0"/>
        <w:widowControl w:val="0"/>
        <w:kinsoku/>
        <w:wordWrap/>
        <w:overflowPunct/>
        <w:topLinePunct/>
        <w:autoSpaceDE/>
        <w:autoSpaceDN/>
        <w:bidi w:val="0"/>
        <w:adjustRightInd/>
        <w:spacing w:before="0" w:after="0" w:line="396" w:lineRule="auto"/>
        <w:ind w:left="210" w:leftChars="100"/>
        <w:textAlignment w:val="auto"/>
        <w:rPr>
          <w:rFonts w:hint="eastAsia" w:ascii="宋体" w:hAnsi="宋体" w:eastAsia="宋体" w:cs="宋体"/>
          <w:sz w:val="24"/>
          <w:szCs w:val="24"/>
        </w:rPr>
      </w:pPr>
      <w:bookmarkStart w:id="46" w:name="_Toc175458429"/>
      <w:bookmarkStart w:id="47" w:name="_Toc102106296"/>
      <w:bookmarkStart w:id="48" w:name="_Toc213840341"/>
      <w:bookmarkStart w:id="49" w:name="_Toc213823509"/>
      <w:bookmarkStart w:id="50" w:name="_Toc24897"/>
      <w:bookmarkStart w:id="51" w:name="_Toc465281200"/>
      <w:bookmarkStart w:id="52" w:name="_Toc531338017"/>
      <w:r>
        <w:rPr>
          <w:rFonts w:hint="eastAsia" w:ascii="宋体" w:hAnsi="宋体" w:eastAsia="宋体" w:cs="宋体"/>
          <w:sz w:val="24"/>
          <w:szCs w:val="24"/>
        </w:rPr>
        <w:t>2质量</w:t>
      </w:r>
      <w:bookmarkEnd w:id="46"/>
      <w:bookmarkEnd w:id="47"/>
      <w:bookmarkEnd w:id="48"/>
      <w:bookmarkEnd w:id="49"/>
      <w:r>
        <w:rPr>
          <w:rFonts w:hint="eastAsia" w:ascii="宋体" w:hAnsi="宋体" w:eastAsia="宋体" w:cs="宋体"/>
          <w:sz w:val="24"/>
          <w:szCs w:val="24"/>
        </w:rPr>
        <w:t>响应要求</w:t>
      </w:r>
      <w:bookmarkEnd w:id="50"/>
      <w:bookmarkEnd w:id="51"/>
      <w:bookmarkEnd w:id="52"/>
    </w:p>
    <w:p>
      <w:pPr>
        <w:pageBreakBefore w:val="0"/>
        <w:widowControl w:val="0"/>
        <w:kinsoku/>
        <w:wordWrap/>
        <w:overflowPunct/>
        <w:topLinePunct/>
        <w:autoSpaceDE/>
        <w:autoSpaceDN/>
        <w:bidi w:val="0"/>
        <w:adjustRightInd/>
        <w:spacing w:line="396" w:lineRule="auto"/>
        <w:textAlignment w:val="auto"/>
        <w:rPr>
          <w:rFonts w:hint="eastAsia" w:ascii="宋体" w:hAnsi="宋体" w:eastAsia="宋体" w:cs="宋体"/>
          <w:bCs/>
          <w:sz w:val="24"/>
          <w:szCs w:val="24"/>
        </w:rPr>
      </w:pPr>
      <w:r>
        <w:rPr>
          <w:rFonts w:hint="eastAsia" w:ascii="宋体" w:hAnsi="宋体" w:eastAsia="宋体" w:cs="宋体"/>
          <w:bCs/>
          <w:sz w:val="24"/>
          <w:szCs w:val="24"/>
        </w:rPr>
        <w:t>出现故障时，应在规定时间予以响应，并在规定时间之内解决问题。</w:t>
      </w:r>
    </w:p>
    <w:tbl>
      <w:tblPr>
        <w:tblStyle w:val="86"/>
        <w:tblW w:w="9354" w:type="dxa"/>
        <w:jc w:val="center"/>
        <w:tblLayout w:type="autofit"/>
        <w:tblCellMar>
          <w:top w:w="0" w:type="dxa"/>
          <w:left w:w="108" w:type="dxa"/>
          <w:bottom w:w="0" w:type="dxa"/>
          <w:right w:w="108" w:type="dxa"/>
        </w:tblCellMar>
      </w:tblPr>
      <w:tblGrid>
        <w:gridCol w:w="3811"/>
        <w:gridCol w:w="5543"/>
      </w:tblGrid>
      <w:tr>
        <w:tblPrEx>
          <w:tblCellMar>
            <w:top w:w="0" w:type="dxa"/>
            <w:left w:w="108" w:type="dxa"/>
            <w:bottom w:w="0" w:type="dxa"/>
            <w:right w:w="108" w:type="dxa"/>
          </w:tblCellMar>
        </w:tblPrEx>
        <w:trPr>
          <w:trHeight w:val="624" w:hRule="atLeast"/>
          <w:jc w:val="center"/>
        </w:trPr>
        <w:tc>
          <w:tcPr>
            <w:tcW w:w="203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故障级别</w:t>
            </w:r>
          </w:p>
        </w:tc>
        <w:tc>
          <w:tcPr>
            <w:tcW w:w="296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业务恢复和故障解决时间</w:t>
            </w:r>
          </w:p>
        </w:tc>
      </w:tr>
      <w:tr>
        <w:tblPrEx>
          <w:tblCellMar>
            <w:top w:w="0" w:type="dxa"/>
            <w:left w:w="108" w:type="dxa"/>
            <w:bottom w:w="0" w:type="dxa"/>
            <w:right w:w="108" w:type="dxa"/>
          </w:tblCellMar>
        </w:tblPrEx>
        <w:trPr>
          <w:trHeight w:val="624" w:hRule="atLeast"/>
          <w:jc w:val="center"/>
        </w:trPr>
        <w:tc>
          <w:tcPr>
            <w:tcW w:w="203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重大故障</w:t>
            </w:r>
          </w:p>
        </w:tc>
        <w:tc>
          <w:tcPr>
            <w:tcW w:w="296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30分钟之内</w:t>
            </w:r>
          </w:p>
        </w:tc>
      </w:tr>
      <w:tr>
        <w:tblPrEx>
          <w:tblCellMar>
            <w:top w:w="0" w:type="dxa"/>
            <w:left w:w="108" w:type="dxa"/>
            <w:bottom w:w="0" w:type="dxa"/>
            <w:right w:w="108" w:type="dxa"/>
          </w:tblCellMar>
        </w:tblPrEx>
        <w:trPr>
          <w:trHeight w:val="624" w:hRule="atLeast"/>
          <w:jc w:val="center"/>
        </w:trPr>
        <w:tc>
          <w:tcPr>
            <w:tcW w:w="203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严重故障</w:t>
            </w:r>
          </w:p>
        </w:tc>
        <w:tc>
          <w:tcPr>
            <w:tcW w:w="296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30分钟之内</w:t>
            </w:r>
          </w:p>
        </w:tc>
      </w:tr>
      <w:tr>
        <w:tblPrEx>
          <w:tblCellMar>
            <w:top w:w="0" w:type="dxa"/>
            <w:left w:w="108" w:type="dxa"/>
            <w:bottom w:w="0" w:type="dxa"/>
            <w:right w:w="108" w:type="dxa"/>
          </w:tblCellMar>
        </w:tblPrEx>
        <w:trPr>
          <w:trHeight w:val="624" w:hRule="atLeast"/>
          <w:jc w:val="center"/>
        </w:trPr>
        <w:tc>
          <w:tcPr>
            <w:tcW w:w="203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安全故障</w:t>
            </w:r>
          </w:p>
        </w:tc>
        <w:tc>
          <w:tcPr>
            <w:tcW w:w="296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60分钟之内</w:t>
            </w:r>
          </w:p>
        </w:tc>
      </w:tr>
      <w:tr>
        <w:tblPrEx>
          <w:tblCellMar>
            <w:top w:w="0" w:type="dxa"/>
            <w:left w:w="108" w:type="dxa"/>
            <w:bottom w:w="0" w:type="dxa"/>
            <w:right w:w="108" w:type="dxa"/>
          </w:tblCellMar>
        </w:tblPrEx>
        <w:trPr>
          <w:trHeight w:val="624" w:hRule="atLeast"/>
          <w:jc w:val="center"/>
        </w:trPr>
        <w:tc>
          <w:tcPr>
            <w:tcW w:w="2037"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一般故障</w:t>
            </w:r>
          </w:p>
        </w:tc>
        <w:tc>
          <w:tcPr>
            <w:tcW w:w="2963"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1小时之内</w:t>
            </w:r>
          </w:p>
        </w:tc>
      </w:tr>
    </w:tbl>
    <w:p>
      <w:pPr>
        <w:keepNext w:val="0"/>
        <w:keepLines w:val="0"/>
        <w:pageBreakBefore w:val="0"/>
        <w:widowControl w:val="0"/>
        <w:kinsoku/>
        <w:wordWrap/>
        <w:overflowPunct/>
        <w:topLinePunct/>
        <w:autoSpaceDE/>
        <w:autoSpaceDN/>
        <w:bidi w:val="0"/>
        <w:spacing w:line="396" w:lineRule="auto"/>
        <w:rPr>
          <w:rFonts w:hint="eastAsia" w:ascii="宋体" w:hAnsi="宋体" w:eastAsia="宋体" w:cs="宋体"/>
          <w:bCs/>
          <w:sz w:val="24"/>
          <w:szCs w:val="24"/>
        </w:rPr>
      </w:pPr>
    </w:p>
    <w:p>
      <w:pPr>
        <w:keepNext w:val="0"/>
        <w:keepLines w:val="0"/>
        <w:pageBreakBefore w:val="0"/>
        <w:widowControl w:val="0"/>
        <w:kinsoku/>
        <w:wordWrap/>
        <w:overflowPunct/>
        <w:topLinePunct/>
        <w:autoSpaceDE/>
        <w:autoSpaceDN/>
        <w:bidi w:val="0"/>
        <w:spacing w:line="396" w:lineRule="auto"/>
        <w:rPr>
          <w:rFonts w:hint="eastAsia" w:ascii="宋体" w:hAnsi="宋体" w:eastAsia="宋体" w:cs="宋体"/>
          <w:bCs/>
          <w:sz w:val="24"/>
          <w:szCs w:val="24"/>
        </w:rPr>
      </w:pPr>
      <w:r>
        <w:rPr>
          <w:rFonts w:hint="eastAsia" w:ascii="宋体" w:hAnsi="宋体" w:eastAsia="宋体" w:cs="宋体"/>
          <w:bCs/>
          <w:sz w:val="24"/>
          <w:szCs w:val="24"/>
        </w:rPr>
        <w:t>在故障处理完成后24小时必须出具真实、详细、完整的故障报告并包含整改方案及预防措施。</w:t>
      </w:r>
    </w:p>
    <w:bookmarkEnd w:id="40"/>
    <w:p>
      <w:pPr>
        <w:keepNext w:val="0"/>
        <w:keepLines w:val="0"/>
        <w:pageBreakBefore w:val="0"/>
        <w:widowControl w:val="0"/>
        <w:tabs>
          <w:tab w:val="left" w:pos="426"/>
        </w:tabs>
        <w:kinsoku/>
        <w:wordWrap/>
        <w:overflowPunct/>
        <w:topLinePunct/>
        <w:autoSpaceDE/>
        <w:autoSpaceDN/>
        <w:bidi w:val="0"/>
        <w:snapToGrid w:val="0"/>
        <w:spacing w:line="396" w:lineRule="auto"/>
        <w:rPr>
          <w:rFonts w:hint="eastAsia" w:ascii="宋体" w:hAnsi="宋体" w:eastAsia="宋体" w:cs="宋体"/>
          <w:b/>
          <w:bCs/>
          <w:sz w:val="24"/>
          <w:szCs w:val="24"/>
        </w:rPr>
      </w:pPr>
    </w:p>
    <w:p>
      <w:pPr>
        <w:keepNext w:val="0"/>
        <w:keepLines w:val="0"/>
        <w:pageBreakBefore w:val="0"/>
        <w:widowControl w:val="0"/>
        <w:numPr>
          <w:ilvl w:val="0"/>
          <w:numId w:val="16"/>
        </w:numPr>
        <w:tabs>
          <w:tab w:val="left" w:pos="426"/>
        </w:tabs>
        <w:kinsoku/>
        <w:wordWrap/>
        <w:overflowPunct/>
        <w:topLinePunct/>
        <w:autoSpaceDE/>
        <w:autoSpaceDN/>
        <w:bidi w:val="0"/>
        <w:snapToGrid w:val="0"/>
        <w:spacing w:line="396" w:lineRule="auto"/>
        <w:ind w:firstLine="6"/>
        <w:rPr>
          <w:rFonts w:hint="eastAsia" w:ascii="宋体" w:hAnsi="宋体" w:eastAsia="宋体" w:cs="宋体"/>
          <w:b/>
          <w:bCs/>
          <w:sz w:val="24"/>
          <w:szCs w:val="24"/>
        </w:rPr>
      </w:pPr>
      <w:r>
        <w:rPr>
          <w:rFonts w:hint="eastAsia" w:ascii="宋体" w:hAnsi="宋体" w:eastAsia="宋体" w:cs="宋体"/>
          <w:b/>
          <w:bCs/>
          <w:sz w:val="24"/>
          <w:szCs w:val="24"/>
        </w:rPr>
        <w:t>项目管理要求</w:t>
      </w:r>
    </w:p>
    <w:p>
      <w:pPr>
        <w:keepNext w:val="0"/>
        <w:keepLines w:val="0"/>
        <w:pageBreakBefore w:val="0"/>
        <w:widowControl w:val="0"/>
        <w:numPr>
          <w:ilvl w:val="0"/>
          <w:numId w:val="20"/>
        </w:numPr>
        <w:kinsoku/>
        <w:wordWrap/>
        <w:overflowPunct/>
        <w:topLinePunct/>
        <w:autoSpaceDE/>
        <w:autoSpaceDN/>
        <w:bidi w:val="0"/>
        <w:snapToGrid w:val="0"/>
        <w:spacing w:line="396" w:lineRule="auto"/>
        <w:ind w:left="426" w:firstLine="0"/>
        <w:rPr>
          <w:rFonts w:hint="eastAsia" w:ascii="宋体" w:hAnsi="宋体" w:eastAsia="宋体" w:cs="宋体"/>
          <w:sz w:val="24"/>
          <w:szCs w:val="24"/>
        </w:rPr>
      </w:pPr>
      <w:r>
        <w:rPr>
          <w:rFonts w:hint="eastAsia" w:ascii="宋体" w:hAnsi="宋体" w:eastAsia="宋体" w:cs="宋体"/>
          <w:sz w:val="24"/>
          <w:szCs w:val="24"/>
        </w:rPr>
        <w:t>项目实施进度要求</w:t>
      </w:r>
    </w:p>
    <w:p>
      <w:pPr>
        <w:keepNext w:val="0"/>
        <w:keepLines w:val="0"/>
        <w:pageBreakBefore w:val="0"/>
        <w:widowControl w:val="0"/>
        <w:kinsoku/>
        <w:wordWrap/>
        <w:overflowPunct/>
        <w:topLinePunct/>
        <w:autoSpaceDE/>
        <w:autoSpaceDN/>
        <w:bidi w:val="0"/>
        <w:spacing w:line="396" w:lineRule="auto"/>
        <w:ind w:left="420" w:leftChars="200" w:firstLine="480" w:firstLineChars="200"/>
        <w:rPr>
          <w:rFonts w:hint="eastAsia" w:ascii="宋体" w:hAnsi="宋体" w:eastAsia="宋体" w:cs="宋体"/>
          <w:sz w:val="24"/>
          <w:szCs w:val="24"/>
        </w:rPr>
      </w:pPr>
      <w:r>
        <w:rPr>
          <w:rFonts w:hint="eastAsia" w:ascii="宋体" w:hAnsi="宋体" w:eastAsia="宋体" w:cs="宋体"/>
          <w:sz w:val="24"/>
          <w:szCs w:val="24"/>
        </w:rPr>
        <w:t>本项目主要建设河南省人民医院</w:t>
      </w:r>
      <w:r>
        <w:rPr>
          <w:rFonts w:hint="eastAsia" w:ascii="宋体" w:hAnsi="宋体" w:cs="宋体"/>
          <w:sz w:val="24"/>
          <w:szCs w:val="24"/>
          <w:lang w:eastAsia="zh-CN"/>
        </w:rPr>
        <w:t>2024-2027年度全院服务器及存储设备维保服务项目</w:t>
      </w:r>
      <w:r>
        <w:rPr>
          <w:rFonts w:hint="eastAsia" w:ascii="宋体" w:hAnsi="宋体" w:eastAsia="宋体" w:cs="宋体"/>
          <w:sz w:val="24"/>
          <w:szCs w:val="24"/>
        </w:rPr>
        <w:t>服务，项目服务周期预计为36个月。</w:t>
      </w:r>
    </w:p>
    <w:p>
      <w:pPr>
        <w:keepNext w:val="0"/>
        <w:keepLines w:val="0"/>
        <w:pageBreakBefore w:val="0"/>
        <w:widowControl w:val="0"/>
        <w:numPr>
          <w:ilvl w:val="0"/>
          <w:numId w:val="20"/>
        </w:numPr>
        <w:kinsoku/>
        <w:wordWrap/>
        <w:overflowPunct/>
        <w:topLinePunct/>
        <w:autoSpaceDE/>
        <w:autoSpaceDN/>
        <w:bidi w:val="0"/>
        <w:snapToGrid w:val="0"/>
        <w:spacing w:line="396" w:lineRule="auto"/>
        <w:ind w:left="426" w:firstLine="0"/>
        <w:rPr>
          <w:rFonts w:hint="eastAsia" w:ascii="宋体" w:hAnsi="宋体" w:eastAsia="宋体" w:cs="宋体"/>
          <w:sz w:val="24"/>
          <w:szCs w:val="24"/>
        </w:rPr>
      </w:pPr>
      <w:r>
        <w:rPr>
          <w:rFonts w:hint="eastAsia" w:ascii="宋体" w:hAnsi="宋体" w:eastAsia="宋体" w:cs="宋体"/>
          <w:sz w:val="24"/>
          <w:szCs w:val="24"/>
        </w:rPr>
        <w:t>项目工作小组</w:t>
      </w:r>
    </w:p>
    <w:p>
      <w:pPr>
        <w:keepNext w:val="0"/>
        <w:keepLines w:val="0"/>
        <w:pageBreakBefore w:val="0"/>
        <w:widowControl w:val="0"/>
        <w:kinsoku/>
        <w:wordWrap/>
        <w:overflowPunct/>
        <w:topLinePunct/>
        <w:autoSpaceDE/>
        <w:autoSpaceDN/>
        <w:bidi w:val="0"/>
        <w:adjustRightInd w:val="0"/>
        <w:spacing w:line="396" w:lineRule="auto"/>
        <w:ind w:left="630" w:leftChars="300" w:firstLine="720" w:firstLineChars="300"/>
        <w:textAlignment w:val="baseline"/>
        <w:rPr>
          <w:rFonts w:hint="eastAsia" w:ascii="宋体" w:hAnsi="宋体" w:eastAsia="宋体" w:cs="宋体"/>
          <w:sz w:val="24"/>
          <w:szCs w:val="24"/>
        </w:rPr>
      </w:pPr>
      <w:r>
        <w:rPr>
          <w:rFonts w:hint="eastAsia" w:ascii="宋体" w:hAnsi="宋体" w:eastAsia="宋体" w:cs="宋体"/>
          <w:sz w:val="24"/>
          <w:szCs w:val="24"/>
        </w:rPr>
        <w:t>投标人需要成立针对本项目工作组，并提供成员简历，包括：</w:t>
      </w:r>
    </w:p>
    <w:p>
      <w:pPr>
        <w:keepNext w:val="0"/>
        <w:keepLines w:val="0"/>
        <w:pageBreakBefore w:val="0"/>
        <w:widowControl w:val="0"/>
        <w:numPr>
          <w:ilvl w:val="0"/>
          <w:numId w:val="21"/>
        </w:numPr>
        <w:tabs>
          <w:tab w:val="left" w:pos="993"/>
        </w:tabs>
        <w:kinsoku/>
        <w:wordWrap/>
        <w:overflowPunct/>
        <w:topLinePunct/>
        <w:autoSpaceDE/>
        <w:autoSpaceDN/>
        <w:bidi w:val="0"/>
        <w:snapToGrid w:val="0"/>
        <w:spacing w:line="396" w:lineRule="auto"/>
        <w:rPr>
          <w:rFonts w:hint="eastAsia" w:ascii="宋体" w:hAnsi="宋体" w:eastAsia="宋体" w:cs="宋体"/>
          <w:sz w:val="24"/>
          <w:szCs w:val="24"/>
        </w:rPr>
      </w:pPr>
      <w:r>
        <w:rPr>
          <w:rFonts w:hint="eastAsia" w:ascii="宋体" w:hAnsi="宋体" w:eastAsia="宋体" w:cs="宋体"/>
          <w:sz w:val="24"/>
          <w:szCs w:val="24"/>
        </w:rPr>
        <w:t>项目经理：具有项目管理工作经历，并全权代表投标人执行各项技术及管理工作；</w:t>
      </w:r>
    </w:p>
    <w:p>
      <w:pPr>
        <w:keepNext w:val="0"/>
        <w:keepLines w:val="0"/>
        <w:pageBreakBefore w:val="0"/>
        <w:widowControl w:val="0"/>
        <w:numPr>
          <w:ilvl w:val="0"/>
          <w:numId w:val="21"/>
        </w:numPr>
        <w:tabs>
          <w:tab w:val="left" w:pos="993"/>
        </w:tabs>
        <w:kinsoku/>
        <w:wordWrap/>
        <w:overflowPunct/>
        <w:topLinePunct/>
        <w:autoSpaceDE/>
        <w:autoSpaceDN/>
        <w:bidi w:val="0"/>
        <w:snapToGrid w:val="0"/>
        <w:spacing w:line="396" w:lineRule="auto"/>
        <w:rPr>
          <w:rFonts w:hint="eastAsia" w:ascii="宋体" w:hAnsi="宋体" w:eastAsia="宋体" w:cs="宋体"/>
          <w:sz w:val="24"/>
          <w:szCs w:val="24"/>
        </w:rPr>
      </w:pPr>
      <w:r>
        <w:rPr>
          <w:rFonts w:hint="eastAsia" w:ascii="宋体" w:hAnsi="宋体" w:eastAsia="宋体" w:cs="宋体"/>
          <w:sz w:val="24"/>
          <w:szCs w:val="24"/>
        </w:rPr>
        <w:t>项目实施人员：项目签约后，投标人保证须提供常驻项目实施人员在医院现场工作，直至项目实施、验收结束。</w:t>
      </w:r>
    </w:p>
    <w:p>
      <w:pPr>
        <w:keepNext w:val="0"/>
        <w:keepLines w:val="0"/>
        <w:pageBreakBefore w:val="0"/>
        <w:widowControl w:val="0"/>
        <w:numPr>
          <w:ilvl w:val="0"/>
          <w:numId w:val="21"/>
        </w:numPr>
        <w:tabs>
          <w:tab w:val="left" w:pos="993"/>
        </w:tabs>
        <w:kinsoku/>
        <w:wordWrap/>
        <w:overflowPunct/>
        <w:topLinePunct/>
        <w:autoSpaceDE/>
        <w:autoSpaceDN/>
        <w:bidi w:val="0"/>
        <w:snapToGrid w:val="0"/>
        <w:spacing w:line="396" w:lineRule="auto"/>
        <w:rPr>
          <w:rFonts w:hint="eastAsia" w:ascii="宋体" w:hAnsi="宋体" w:eastAsia="宋体" w:cs="宋体"/>
          <w:sz w:val="24"/>
          <w:szCs w:val="24"/>
        </w:rPr>
      </w:pPr>
      <w:r>
        <w:rPr>
          <w:rFonts w:hint="eastAsia" w:ascii="宋体" w:hAnsi="宋体" w:eastAsia="宋体" w:cs="宋体"/>
          <w:sz w:val="24"/>
          <w:szCs w:val="24"/>
        </w:rPr>
        <w:t>项目管理与支持人员：</w:t>
      </w:r>
      <w:r>
        <w:rPr>
          <w:rFonts w:hint="eastAsia" w:ascii="宋体" w:hAnsi="宋体" w:cs="宋体"/>
          <w:sz w:val="24"/>
          <w:szCs w:val="24"/>
          <w:lang w:val="en-US" w:eastAsia="zh-CN"/>
        </w:rPr>
        <w:t>服务</w:t>
      </w:r>
      <w:r>
        <w:rPr>
          <w:rFonts w:hint="eastAsia" w:ascii="宋体" w:hAnsi="宋体" w:eastAsia="宋体" w:cs="宋体"/>
          <w:sz w:val="24"/>
          <w:szCs w:val="24"/>
        </w:rPr>
        <w:t>期间，投标人保证须提供项目管理与</w:t>
      </w:r>
      <w:r>
        <w:rPr>
          <w:rFonts w:hint="eastAsia" w:ascii="宋体" w:hAnsi="宋体" w:cs="宋体"/>
          <w:sz w:val="24"/>
          <w:szCs w:val="24"/>
          <w:lang w:val="en-US" w:eastAsia="zh-CN"/>
        </w:rPr>
        <w:t>二线</w:t>
      </w:r>
      <w:r>
        <w:rPr>
          <w:rFonts w:hint="eastAsia" w:ascii="宋体" w:hAnsi="宋体" w:eastAsia="宋体" w:cs="宋体"/>
          <w:sz w:val="24"/>
          <w:szCs w:val="24"/>
        </w:rPr>
        <w:t>支持人员。</w:t>
      </w:r>
    </w:p>
    <w:p>
      <w:pPr>
        <w:keepNext w:val="0"/>
        <w:keepLines w:val="0"/>
        <w:pageBreakBefore w:val="0"/>
        <w:widowControl w:val="0"/>
        <w:numPr>
          <w:ilvl w:val="0"/>
          <w:numId w:val="21"/>
        </w:numPr>
        <w:tabs>
          <w:tab w:val="left" w:pos="993"/>
        </w:tabs>
        <w:kinsoku/>
        <w:wordWrap/>
        <w:overflowPunct/>
        <w:topLinePunct/>
        <w:autoSpaceDE/>
        <w:autoSpaceDN/>
        <w:bidi w:val="0"/>
        <w:snapToGrid w:val="0"/>
        <w:spacing w:line="396" w:lineRule="auto"/>
        <w:rPr>
          <w:rFonts w:hint="eastAsia" w:ascii="宋体" w:hAnsi="宋体" w:eastAsia="宋体" w:cs="宋体"/>
          <w:sz w:val="24"/>
          <w:szCs w:val="24"/>
        </w:rPr>
      </w:pPr>
      <w:r>
        <w:rPr>
          <w:rFonts w:hint="eastAsia" w:ascii="宋体" w:hAnsi="宋体" w:cs="宋体"/>
          <w:sz w:val="24"/>
          <w:szCs w:val="24"/>
          <w:lang w:val="en-US" w:eastAsia="zh-CN"/>
        </w:rPr>
        <w:t>驻场</w:t>
      </w:r>
      <w:r>
        <w:rPr>
          <w:rFonts w:hint="eastAsia" w:ascii="宋体" w:hAnsi="宋体" w:eastAsia="宋体" w:cs="宋体"/>
          <w:sz w:val="24"/>
          <w:szCs w:val="24"/>
        </w:rPr>
        <w:t>运维人员：投标人需指定专业</w:t>
      </w:r>
      <w:r>
        <w:rPr>
          <w:rFonts w:hint="eastAsia" w:ascii="宋体" w:hAnsi="宋体" w:cs="宋体"/>
          <w:sz w:val="24"/>
          <w:szCs w:val="24"/>
          <w:lang w:val="en-US" w:eastAsia="zh-CN"/>
        </w:rPr>
        <w:t>驻场</w:t>
      </w:r>
      <w:r>
        <w:rPr>
          <w:rFonts w:hint="eastAsia" w:ascii="宋体" w:hAnsi="宋体" w:eastAsia="宋体" w:cs="宋体"/>
          <w:sz w:val="24"/>
          <w:szCs w:val="24"/>
        </w:rPr>
        <w:t>人员对接医院技术问题，要求该人员具备分析、处理故障的能力。该人员需长期对本项目负责，如发生人员更换，需提前通知院方。</w:t>
      </w:r>
    </w:p>
    <w:p>
      <w:pPr>
        <w:keepNext w:val="0"/>
        <w:keepLines w:val="0"/>
        <w:pageBreakBefore w:val="0"/>
        <w:widowControl w:val="0"/>
        <w:numPr>
          <w:ilvl w:val="0"/>
          <w:numId w:val="20"/>
        </w:numPr>
        <w:kinsoku/>
        <w:wordWrap/>
        <w:overflowPunct/>
        <w:topLinePunct/>
        <w:autoSpaceDE/>
        <w:autoSpaceDN/>
        <w:bidi w:val="0"/>
        <w:snapToGrid w:val="0"/>
        <w:spacing w:line="396" w:lineRule="auto"/>
        <w:ind w:left="426" w:firstLine="0"/>
        <w:rPr>
          <w:rFonts w:hint="eastAsia" w:ascii="宋体" w:hAnsi="宋体" w:eastAsia="宋体" w:cs="宋体"/>
          <w:sz w:val="24"/>
          <w:szCs w:val="24"/>
        </w:rPr>
      </w:pPr>
      <w:r>
        <w:rPr>
          <w:rFonts w:hint="eastAsia" w:ascii="宋体" w:hAnsi="宋体" w:eastAsia="宋体" w:cs="宋体"/>
          <w:sz w:val="24"/>
          <w:szCs w:val="24"/>
        </w:rPr>
        <w:t>文档资料管理</w:t>
      </w:r>
    </w:p>
    <w:p>
      <w:pPr>
        <w:keepNext w:val="0"/>
        <w:keepLines w:val="0"/>
        <w:pageBreakBefore w:val="0"/>
        <w:widowControl w:val="0"/>
        <w:kinsoku/>
        <w:wordWrap/>
        <w:overflowPunct/>
        <w:topLinePunct/>
        <w:autoSpaceDE/>
        <w:autoSpaceDN/>
        <w:bidi w:val="0"/>
        <w:adjustRightInd w:val="0"/>
        <w:spacing w:line="396" w:lineRule="auto"/>
        <w:ind w:left="210" w:leftChars="10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文档是保证项目实施连贯性的重要保证，投标人需要提供完善的文档，并对项目进行过程中的文档进行有效的管理，接受采购人对项目各阶段评估分析和监督管理。</w:t>
      </w:r>
    </w:p>
    <w:p>
      <w:pPr>
        <w:keepNext w:val="0"/>
        <w:keepLines w:val="0"/>
        <w:pageBreakBefore w:val="0"/>
        <w:widowControl w:val="0"/>
        <w:numPr>
          <w:ilvl w:val="0"/>
          <w:numId w:val="20"/>
        </w:numPr>
        <w:kinsoku/>
        <w:wordWrap/>
        <w:overflowPunct/>
        <w:topLinePunct/>
        <w:autoSpaceDE/>
        <w:autoSpaceDN/>
        <w:bidi w:val="0"/>
        <w:snapToGrid w:val="0"/>
        <w:spacing w:line="396" w:lineRule="auto"/>
        <w:ind w:left="426" w:firstLine="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实施方案</w:t>
      </w:r>
    </w:p>
    <w:p>
      <w:pPr>
        <w:keepNext w:val="0"/>
        <w:keepLines w:val="0"/>
        <w:pageBreakBefore w:val="0"/>
        <w:widowControl w:val="0"/>
        <w:kinsoku/>
        <w:wordWrap/>
        <w:overflowPunct/>
        <w:topLinePunct/>
        <w:autoSpaceDE/>
        <w:autoSpaceDN/>
        <w:bidi w:val="0"/>
        <w:adjustRightInd w:val="0"/>
        <w:spacing w:line="396" w:lineRule="auto"/>
        <w:ind w:firstLine="960" w:firstLineChars="4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投标人应提供详细的设备维保服务方案，包括而且不限于以下内容：</w:t>
      </w:r>
    </w:p>
    <w:p>
      <w:pPr>
        <w:keepNext w:val="0"/>
        <w:keepLines w:val="0"/>
        <w:pageBreakBefore w:val="0"/>
        <w:widowControl w:val="0"/>
        <w:numPr>
          <w:ilvl w:val="0"/>
          <w:numId w:val="0"/>
        </w:numPr>
        <w:kinsoku/>
        <w:wordWrap/>
        <w:overflowPunct/>
        <w:topLinePunct/>
        <w:autoSpaceDE/>
        <w:autoSpaceDN/>
        <w:bidi w:val="0"/>
        <w:snapToGrid w:val="0"/>
        <w:spacing w:line="396" w:lineRule="auto"/>
        <w:ind w:left="426" w:leftChars="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运维团队：投标人必须在郑州本地组建专业的保障团队，为河南省人民医院</w:t>
      </w:r>
      <w:r>
        <w:rPr>
          <w:rFonts w:hint="eastAsia" w:ascii="宋体" w:hAnsi="宋体" w:cs="宋体"/>
          <w:sz w:val="24"/>
          <w:szCs w:val="24"/>
          <w:highlight w:val="none"/>
          <w:lang w:eastAsia="zh-CN"/>
        </w:rPr>
        <w:t>2024-2027年度全院服务器及存储设备维保服务项目</w:t>
      </w:r>
      <w:r>
        <w:rPr>
          <w:rFonts w:hint="eastAsia" w:ascii="宋体" w:hAnsi="宋体" w:eastAsia="宋体" w:cs="宋体"/>
          <w:sz w:val="24"/>
          <w:szCs w:val="24"/>
          <w:highlight w:val="none"/>
        </w:rPr>
        <w:t>提供7*24小时应急响应服务要求。投标人必须提供保障团队的人员名单，联系电话，相关资质证明，并在投</w:t>
      </w:r>
      <w:r>
        <w:rPr>
          <w:rFonts w:hint="eastAsia" w:ascii="宋体" w:hAnsi="宋体" w:cs="宋体"/>
          <w:sz w:val="24"/>
          <w:szCs w:val="24"/>
          <w:highlight w:val="none"/>
          <w:lang w:val="en-US" w:eastAsia="zh-CN"/>
        </w:rPr>
        <w:t>标</w:t>
      </w:r>
      <w:r>
        <w:rPr>
          <w:rFonts w:hint="eastAsia" w:ascii="宋体" w:hAnsi="宋体" w:eastAsia="宋体" w:cs="宋体"/>
          <w:sz w:val="24"/>
          <w:szCs w:val="24"/>
          <w:highlight w:val="none"/>
        </w:rPr>
        <w:t>响应中保证。</w:t>
      </w:r>
    </w:p>
    <w:p>
      <w:pPr>
        <w:keepNext w:val="0"/>
        <w:keepLines w:val="0"/>
        <w:pageBreakBefore w:val="0"/>
        <w:widowControl w:val="0"/>
        <w:numPr>
          <w:ilvl w:val="0"/>
          <w:numId w:val="0"/>
        </w:numPr>
        <w:kinsoku/>
        <w:wordWrap/>
        <w:overflowPunct/>
        <w:topLinePunct/>
        <w:autoSpaceDE/>
        <w:autoSpaceDN/>
        <w:bidi w:val="0"/>
        <w:snapToGrid w:val="0"/>
        <w:spacing w:line="396" w:lineRule="auto"/>
        <w:ind w:left="426" w:leftChars="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管理制度：驻场服务人员应遵守网络信息中心相关制度，服从网络信息中心的工作安排。驻场人员应遵照招标中的驻场要求开展设备维保服务相关工作。投标人提供的驻场团队人员一经采购人确认，在服务过程中未经采购人同意不得更换。如有特殊情况须进行更换的，投标人应及时通知采购人，并附上拟更换人员的资质、简历证明文件。在经采购人审核同意后，方可进行人员更换。</w:t>
      </w:r>
    </w:p>
    <w:p>
      <w:pPr>
        <w:pStyle w:val="32"/>
        <w:rPr>
          <w:rFonts w:hint="default"/>
          <w:highlight w:val="none"/>
          <w:lang w:val="en-US" w:eastAsia="zh-CN"/>
        </w:rPr>
      </w:pPr>
    </w:p>
    <w:p>
      <w:pPr>
        <w:keepNext w:val="0"/>
        <w:keepLines w:val="0"/>
        <w:pageBreakBefore w:val="0"/>
        <w:widowControl w:val="0"/>
        <w:numPr>
          <w:ilvl w:val="0"/>
          <w:numId w:val="16"/>
        </w:numPr>
        <w:tabs>
          <w:tab w:val="left" w:pos="426"/>
        </w:tabs>
        <w:kinsoku/>
        <w:wordWrap/>
        <w:overflowPunct/>
        <w:topLinePunct/>
        <w:autoSpaceDE/>
        <w:autoSpaceDN/>
        <w:bidi w:val="0"/>
        <w:snapToGrid w:val="0"/>
        <w:spacing w:line="396" w:lineRule="auto"/>
        <w:ind w:firstLine="6"/>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lang w:val="en-US" w:eastAsia="zh-CN"/>
        </w:rPr>
        <w:t>保密及安全</w:t>
      </w:r>
      <w:r>
        <w:rPr>
          <w:rFonts w:hint="eastAsia" w:ascii="宋体" w:hAnsi="宋体" w:eastAsia="宋体" w:cs="宋体"/>
          <w:b/>
          <w:bCs/>
          <w:sz w:val="24"/>
          <w:szCs w:val="24"/>
          <w:highlight w:val="none"/>
          <w:lang w:val="zh-CN"/>
        </w:rPr>
        <w:t>要求</w:t>
      </w:r>
    </w:p>
    <w:p>
      <w:pPr>
        <w:keepNext w:val="0"/>
        <w:keepLines w:val="0"/>
        <w:pageBreakBefore w:val="0"/>
        <w:widowControl w:val="0"/>
        <w:kinsoku/>
        <w:wordWrap/>
        <w:overflowPunct/>
        <w:topLinePunct/>
        <w:autoSpaceDE/>
        <w:autoSpaceDN/>
        <w:bidi w:val="0"/>
        <w:adjustRightInd w:val="0"/>
        <w:spacing w:line="396" w:lineRule="auto"/>
        <w:ind w:left="210" w:leftChars="10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投标人在</w:t>
      </w:r>
      <w:r>
        <w:rPr>
          <w:rFonts w:hint="eastAsia" w:ascii="宋体" w:hAnsi="宋体" w:eastAsia="宋体" w:cs="宋体"/>
          <w:sz w:val="24"/>
          <w:szCs w:val="24"/>
          <w:highlight w:val="none"/>
        </w:rPr>
        <w:t>推进本项目合作的所有的商业秘密、技术秘密、以及其他具有保密性的信息，包括由</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向</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提供的详细资料，和所有与本项目相关的其他资料等。秘密信息仅备用与</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或</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rPr>
        <w:t>所规定的用途，除非得到</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的书面同意，不得向任何第三方透漏。</w:t>
      </w:r>
    </w:p>
    <w:p>
      <w:pPr>
        <w:keepNext w:val="0"/>
        <w:keepLines w:val="0"/>
        <w:pageBreakBefore w:val="0"/>
        <w:widowControl w:val="0"/>
        <w:kinsoku/>
        <w:wordWrap/>
        <w:overflowPunct/>
        <w:topLinePunct/>
        <w:autoSpaceDE/>
        <w:autoSpaceDN/>
        <w:bidi w:val="0"/>
        <w:adjustRightInd w:val="0"/>
        <w:spacing w:line="396" w:lineRule="auto"/>
        <w:ind w:left="210" w:leftChars="100"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依据中华人民共和国数据安全法、中华人民共和国网络安全法及投标人规定的信息设备账号权限管理制度。投标人项目团队应严格遵守相关法律法规及医院管理制度。</w:t>
      </w:r>
    </w:p>
    <w:p>
      <w:pPr>
        <w:keepNext w:val="0"/>
        <w:keepLines w:val="0"/>
        <w:pageBreakBefore w:val="0"/>
        <w:widowControl w:val="0"/>
        <w:numPr>
          <w:ilvl w:val="0"/>
          <w:numId w:val="16"/>
        </w:numPr>
        <w:tabs>
          <w:tab w:val="left" w:pos="426"/>
        </w:tabs>
        <w:kinsoku/>
        <w:wordWrap/>
        <w:overflowPunct/>
        <w:topLinePunct/>
        <w:autoSpaceDE/>
        <w:autoSpaceDN/>
        <w:bidi w:val="0"/>
        <w:snapToGrid w:val="0"/>
        <w:spacing w:line="396" w:lineRule="auto"/>
        <w:ind w:firstLine="6"/>
        <w:rPr>
          <w:rFonts w:hint="default" w:ascii="宋体" w:hAnsi="宋体" w:eastAsia="宋体" w:cs="宋体"/>
          <w:b/>
          <w:bCs/>
          <w:sz w:val="24"/>
          <w:szCs w:val="24"/>
          <w:highlight w:val="none"/>
          <w:lang w:val="en-US" w:eastAsia="zh-CN"/>
        </w:rPr>
      </w:pPr>
      <w:r>
        <w:rPr>
          <w:rFonts w:hint="default" w:ascii="宋体" w:hAnsi="宋体" w:eastAsia="宋体" w:cs="宋体"/>
          <w:b/>
          <w:bCs/>
          <w:sz w:val="24"/>
          <w:szCs w:val="24"/>
          <w:highlight w:val="none"/>
          <w:lang w:val="en-US" w:eastAsia="zh-CN"/>
        </w:rPr>
        <w:t>设备维保备品备件库管理</w:t>
      </w:r>
    </w:p>
    <w:p>
      <w:pPr>
        <w:keepNext w:val="0"/>
        <w:keepLines w:val="0"/>
        <w:pageBreakBefore w:val="0"/>
        <w:widowControl w:val="0"/>
        <w:kinsoku/>
        <w:wordWrap/>
        <w:overflowPunct/>
        <w:topLinePunct/>
        <w:autoSpaceDE/>
        <w:autoSpaceDN/>
        <w:bidi w:val="0"/>
        <w:adjustRightInd w:val="0"/>
        <w:spacing w:line="396" w:lineRule="auto"/>
        <w:ind w:left="210" w:leftChars="100" w:firstLine="480" w:firstLineChars="200"/>
        <w:textAlignment w:val="baseline"/>
        <w:rPr>
          <w:rFonts w:hint="eastAsia" w:ascii="宋体" w:hAnsi="宋体" w:cs="宋体"/>
          <w:sz w:val="24"/>
          <w:szCs w:val="24"/>
          <w:highlight w:val="none"/>
          <w:lang w:eastAsia="zh-CN"/>
        </w:rPr>
      </w:pPr>
      <w:r>
        <w:rPr>
          <w:rFonts w:hint="default" w:ascii="宋体" w:hAnsi="宋体" w:eastAsia="宋体" w:cs="宋体"/>
          <w:sz w:val="24"/>
          <w:szCs w:val="24"/>
          <w:highlight w:val="none"/>
          <w:lang w:val="en-US" w:eastAsia="zh-CN"/>
        </w:rPr>
        <w:t>为</w:t>
      </w:r>
      <w:r>
        <w:rPr>
          <w:rFonts w:hint="eastAsia" w:ascii="宋体" w:hAnsi="宋体" w:cs="宋体"/>
          <w:sz w:val="24"/>
          <w:szCs w:val="24"/>
          <w:highlight w:val="none"/>
          <w:lang w:val="en-US" w:eastAsia="zh-CN"/>
        </w:rPr>
        <w:t>保证</w:t>
      </w:r>
      <w:r>
        <w:rPr>
          <w:rFonts w:hint="default" w:ascii="宋体" w:hAnsi="宋体" w:eastAsia="宋体" w:cs="宋体"/>
          <w:sz w:val="24"/>
          <w:szCs w:val="24"/>
          <w:highlight w:val="none"/>
          <w:lang w:val="en-US" w:eastAsia="zh-CN"/>
        </w:rPr>
        <w:t>招标方系统出现故障后，能够快速进行备件响应，投标人在郑州市有备件库</w:t>
      </w:r>
      <w:r>
        <w:rPr>
          <w:rFonts w:hint="eastAsia" w:ascii="宋体" w:hAnsi="宋体" w:eastAsia="宋体" w:cs="宋体"/>
          <w:sz w:val="24"/>
          <w:szCs w:val="24"/>
          <w:highlight w:val="none"/>
          <w:lang w:val="en-US" w:eastAsia="zh-CN"/>
        </w:rPr>
        <w:t>，</w:t>
      </w:r>
      <w:r>
        <w:rPr>
          <w:rFonts w:hint="default" w:ascii="宋体" w:hAnsi="宋体" w:eastAsia="宋体" w:cs="宋体"/>
          <w:sz w:val="24"/>
          <w:szCs w:val="24"/>
          <w:highlight w:val="none"/>
          <w:lang w:val="en-US" w:eastAsia="zh-CN"/>
        </w:rPr>
        <w:t>需提供备件库实地照片；提供房屋租赁合同或房屋产权证明资料等复印件</w:t>
      </w:r>
      <w:r>
        <w:rPr>
          <w:rFonts w:hint="eastAsia" w:ascii="宋体" w:hAnsi="宋体" w:eastAsia="宋体" w:cs="宋体"/>
          <w:sz w:val="24"/>
          <w:szCs w:val="24"/>
          <w:highlight w:val="none"/>
          <w:lang w:val="en-US" w:eastAsia="zh-CN"/>
        </w:rPr>
        <w:t>。提供本项目相关备件清单，清单详细真实。</w:t>
      </w:r>
      <w:r>
        <w:rPr>
          <w:rFonts w:hint="eastAsia" w:ascii="宋体" w:hAnsi="宋体" w:cs="宋体"/>
          <w:sz w:val="24"/>
          <w:szCs w:val="24"/>
          <w:highlight w:val="none"/>
          <w:lang w:val="en-US" w:eastAsia="zh-CN"/>
        </w:rPr>
        <w:t>如投标时不能提供以上证明材料，需承诺在中标后签订合同时向招标人提供。</w:t>
      </w:r>
    </w:p>
    <w:p>
      <w:pPr>
        <w:keepNext w:val="0"/>
        <w:keepLines w:val="0"/>
        <w:pageBreakBefore w:val="0"/>
        <w:widowControl w:val="0"/>
        <w:numPr>
          <w:ilvl w:val="0"/>
          <w:numId w:val="16"/>
        </w:numPr>
        <w:tabs>
          <w:tab w:val="left" w:pos="426"/>
        </w:tabs>
        <w:kinsoku/>
        <w:wordWrap/>
        <w:overflowPunct/>
        <w:topLinePunct/>
        <w:autoSpaceDE/>
        <w:autoSpaceDN/>
        <w:bidi w:val="0"/>
        <w:snapToGrid w:val="0"/>
        <w:spacing w:line="396" w:lineRule="auto"/>
        <w:ind w:firstLine="6"/>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项目应急管理</w:t>
      </w:r>
    </w:p>
    <w:p>
      <w:pPr>
        <w:keepNext w:val="0"/>
        <w:keepLines w:val="0"/>
        <w:pageBreakBefore w:val="0"/>
        <w:widowControl w:val="0"/>
        <w:numPr>
          <w:ilvl w:val="0"/>
          <w:numId w:val="0"/>
        </w:numPr>
        <w:kinsoku/>
        <w:wordWrap/>
        <w:overflowPunct/>
        <w:topLinePunct/>
        <w:autoSpaceDE/>
        <w:autoSpaceDN/>
        <w:bidi w:val="0"/>
        <w:snapToGrid w:val="0"/>
        <w:spacing w:line="396" w:lineRule="auto"/>
        <w:ind w:left="426" w:leftChars="0"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制定</w:t>
      </w:r>
      <w:r>
        <w:rPr>
          <w:rFonts w:hint="eastAsia" w:ascii="宋体" w:hAnsi="宋体" w:cs="宋体"/>
          <w:sz w:val="24"/>
          <w:szCs w:val="24"/>
          <w:highlight w:val="none"/>
          <w:lang w:eastAsia="zh-CN"/>
        </w:rPr>
        <w:t>应急应对策略，针对</w:t>
      </w:r>
      <w:r>
        <w:rPr>
          <w:rFonts w:hint="eastAsia" w:ascii="宋体" w:hAnsi="宋体" w:cs="宋体"/>
          <w:sz w:val="24"/>
          <w:szCs w:val="24"/>
          <w:highlight w:val="none"/>
          <w:lang w:val="en-US" w:eastAsia="zh-CN"/>
        </w:rPr>
        <w:t>本项目可能发生的应急事件</w:t>
      </w:r>
      <w:r>
        <w:rPr>
          <w:rFonts w:hint="eastAsia" w:ascii="宋体" w:hAnsi="宋体" w:cs="宋体"/>
          <w:sz w:val="24"/>
          <w:szCs w:val="24"/>
          <w:highlight w:val="none"/>
          <w:lang w:eastAsia="zh-CN"/>
        </w:rPr>
        <w:t>，设计应对措施。</w:t>
      </w:r>
      <w:r>
        <w:rPr>
          <w:rFonts w:hint="eastAsia" w:ascii="宋体" w:hAnsi="宋体" w:cs="宋体"/>
          <w:sz w:val="24"/>
          <w:szCs w:val="24"/>
          <w:highlight w:val="none"/>
          <w:lang w:val="en-US" w:eastAsia="zh-CN"/>
        </w:rPr>
        <w:t>对突发重大事件拥有可靠的应急团队及应急的硬件及软件服务支持，通过对应急事故、故障进行全过程管理，以流程化、标准化的处理方式确保应急事故、故障得到及时妥善的解决。提供应急保障方案，应至少包含但不限于以下内容：①应急管理计划；②应急保障处理流程；③突发事件解决措施。 ④应急演练</w:t>
      </w:r>
    </w:p>
    <w:p>
      <w:pPr>
        <w:keepNext w:val="0"/>
        <w:keepLines w:val="0"/>
        <w:pageBreakBefore w:val="0"/>
        <w:widowControl w:val="0"/>
        <w:numPr>
          <w:ilvl w:val="0"/>
          <w:numId w:val="16"/>
        </w:numPr>
        <w:tabs>
          <w:tab w:val="left" w:pos="426"/>
        </w:tabs>
        <w:kinsoku/>
        <w:wordWrap/>
        <w:overflowPunct/>
        <w:topLinePunct/>
        <w:autoSpaceDE/>
        <w:autoSpaceDN/>
        <w:bidi w:val="0"/>
        <w:snapToGrid w:val="0"/>
        <w:spacing w:line="396" w:lineRule="auto"/>
        <w:ind w:firstLine="6"/>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培训</w:t>
      </w:r>
    </w:p>
    <w:p>
      <w:pPr>
        <w:keepNext w:val="0"/>
        <w:keepLines w:val="0"/>
        <w:pageBreakBefore w:val="0"/>
        <w:widowControl w:val="0"/>
        <w:kinsoku/>
        <w:wordWrap/>
        <w:overflowPunct/>
        <w:topLinePunct/>
        <w:autoSpaceDE/>
        <w:autoSpaceDN/>
        <w:bidi w:val="0"/>
        <w:spacing w:line="396" w:lineRule="auto"/>
        <w:ind w:left="426"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投标方对其提供的维保应尽培训义务。投标方应提供对我院的基本免费培训，使我院使用人员能够正常操作</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投标方需按招标人要求对项目涉及设备、工具的新技术进行培训交流，提升我院人员技术水平。</w:t>
      </w:r>
    </w:p>
    <w:p>
      <w:pPr>
        <w:pStyle w:val="32"/>
        <w:rPr>
          <w:rFonts w:hint="default"/>
          <w:lang w:val="en-US" w:eastAsia="zh-CN"/>
        </w:rPr>
      </w:pPr>
    </w:p>
    <w:p>
      <w:pPr>
        <w:keepNext w:val="0"/>
        <w:keepLines w:val="0"/>
        <w:pageBreakBefore w:val="0"/>
        <w:widowControl w:val="0"/>
        <w:kinsoku/>
        <w:wordWrap/>
        <w:overflowPunct/>
        <w:topLinePunct/>
        <w:autoSpaceDE/>
        <w:autoSpaceDN/>
        <w:bidi w:val="0"/>
        <w:adjustRightInd w:val="0"/>
        <w:spacing w:line="396" w:lineRule="auto"/>
        <w:ind w:left="210" w:leftChars="100" w:firstLine="480" w:firstLineChars="200"/>
        <w:textAlignment w:val="baseline"/>
        <w:rPr>
          <w:rFonts w:hint="default" w:ascii="宋体" w:hAnsi="宋体" w:cs="宋体"/>
          <w:sz w:val="24"/>
          <w:szCs w:val="24"/>
          <w:highlight w:val="yellow"/>
          <w:lang w:val="en-US" w:eastAsia="zh-CN"/>
        </w:rPr>
      </w:pPr>
    </w:p>
    <w:p>
      <w:pPr>
        <w:keepNext w:val="0"/>
        <w:keepLines w:val="0"/>
        <w:pageBreakBefore w:val="0"/>
        <w:widowControl w:val="0"/>
        <w:tabs>
          <w:tab w:val="left" w:pos="426"/>
        </w:tabs>
        <w:kinsoku/>
        <w:wordWrap/>
        <w:overflowPunct/>
        <w:topLinePunct/>
        <w:autoSpaceDE/>
        <w:autoSpaceDN/>
        <w:bidi w:val="0"/>
        <w:snapToGrid w:val="0"/>
        <w:spacing w:line="396" w:lineRule="auto"/>
        <w:rPr>
          <w:rFonts w:hint="eastAsia" w:ascii="宋体" w:hAnsi="宋体" w:eastAsia="宋体" w:cs="宋体"/>
          <w:b/>
          <w:bCs/>
          <w:sz w:val="24"/>
          <w:szCs w:val="24"/>
        </w:rPr>
      </w:pPr>
    </w:p>
    <w:p>
      <w:pPr>
        <w:keepNext w:val="0"/>
        <w:keepLines w:val="0"/>
        <w:pageBreakBefore w:val="0"/>
        <w:widowControl w:val="0"/>
        <w:numPr>
          <w:ilvl w:val="0"/>
          <w:numId w:val="16"/>
        </w:numPr>
        <w:tabs>
          <w:tab w:val="left" w:pos="426"/>
        </w:tabs>
        <w:kinsoku/>
        <w:wordWrap/>
        <w:overflowPunct/>
        <w:topLinePunct/>
        <w:autoSpaceDE/>
        <w:autoSpaceDN/>
        <w:bidi w:val="0"/>
        <w:snapToGrid w:val="0"/>
        <w:spacing w:line="396" w:lineRule="auto"/>
        <w:ind w:firstLine="6"/>
        <w:rPr>
          <w:rFonts w:hint="eastAsia" w:ascii="宋体" w:hAnsi="宋体" w:eastAsia="宋体" w:cs="宋体"/>
          <w:b/>
          <w:bCs/>
          <w:sz w:val="24"/>
          <w:szCs w:val="24"/>
        </w:rPr>
      </w:pPr>
      <w:r>
        <w:rPr>
          <w:rFonts w:hint="eastAsia" w:ascii="宋体" w:hAnsi="宋体" w:eastAsia="宋体" w:cs="宋体"/>
          <w:b/>
          <w:bCs/>
          <w:sz w:val="24"/>
          <w:szCs w:val="24"/>
        </w:rPr>
        <w:t>售后服务要求</w:t>
      </w:r>
    </w:p>
    <w:p>
      <w:pPr>
        <w:keepNext w:val="0"/>
        <w:keepLines w:val="0"/>
        <w:pageBreakBefore w:val="0"/>
        <w:widowControl w:val="0"/>
        <w:kinsoku/>
        <w:wordWrap/>
        <w:overflowPunct/>
        <w:topLinePunct/>
        <w:autoSpaceDE/>
        <w:autoSpaceDN/>
        <w:bidi w:val="0"/>
        <w:adjustRightInd w:val="0"/>
        <w:spacing w:line="396"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本项目旨在建设河南省人民医院</w:t>
      </w:r>
      <w:r>
        <w:rPr>
          <w:rFonts w:hint="eastAsia" w:ascii="宋体" w:hAnsi="宋体" w:cs="宋体"/>
          <w:sz w:val="24"/>
          <w:szCs w:val="24"/>
          <w:lang w:eastAsia="zh-CN"/>
        </w:rPr>
        <w:t>2024-2027年度全院服务器及存储设备维保服务项目</w:t>
      </w:r>
      <w:r>
        <w:rPr>
          <w:rFonts w:hint="eastAsia" w:ascii="宋体" w:hAnsi="宋体" w:eastAsia="宋体" w:cs="宋体"/>
          <w:sz w:val="24"/>
          <w:szCs w:val="24"/>
        </w:rPr>
        <w:t>体系，因此服务期间需要提供相应的支撑保障，全方位的提升业务体验与系统可靠性。</w:t>
      </w:r>
    </w:p>
    <w:p>
      <w:pPr>
        <w:keepNext w:val="0"/>
        <w:keepLines w:val="0"/>
        <w:pageBreakBefore w:val="0"/>
        <w:widowControl w:val="0"/>
        <w:kinsoku/>
        <w:wordWrap/>
        <w:overflowPunct/>
        <w:topLinePunct/>
        <w:autoSpaceDE/>
        <w:autoSpaceDN/>
        <w:bidi w:val="0"/>
        <w:adjustRightInd w:val="0"/>
        <w:spacing w:line="396"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投标人应提供合同期内驻场设备维保服务，并指派专门技术团队。投标人承诺驻场人员无理由接受甲方工作安排，遇重大活动短时间内增加驻场人员供甲方调遣，甲方不再支付任何费用。</w:t>
      </w:r>
    </w:p>
    <w:p>
      <w:pPr>
        <w:keepNext w:val="0"/>
        <w:keepLines w:val="0"/>
        <w:pageBreakBefore w:val="0"/>
        <w:widowControl w:val="0"/>
        <w:numPr>
          <w:ilvl w:val="0"/>
          <w:numId w:val="0"/>
        </w:numPr>
        <w:tabs>
          <w:tab w:val="left" w:pos="993"/>
        </w:tabs>
        <w:kinsoku/>
        <w:wordWrap/>
        <w:overflowPunct/>
        <w:topLinePunct/>
        <w:autoSpaceDE/>
        <w:autoSpaceDN/>
        <w:bidi w:val="0"/>
        <w:snapToGrid w:val="0"/>
        <w:spacing w:line="396" w:lineRule="auto"/>
        <w:ind w:left="852" w:leftChars="0"/>
        <w:rPr>
          <w:rFonts w:hint="eastAsia" w:ascii="宋体" w:hAnsi="宋体" w:eastAsia="宋体" w:cs="宋体"/>
          <w:sz w:val="24"/>
          <w:szCs w:val="24"/>
        </w:rPr>
      </w:pPr>
    </w:p>
    <w:p>
      <w:pPr>
        <w:keepNext w:val="0"/>
        <w:keepLines w:val="0"/>
        <w:pageBreakBefore w:val="0"/>
        <w:widowControl w:val="0"/>
        <w:numPr>
          <w:ilvl w:val="0"/>
          <w:numId w:val="16"/>
        </w:numPr>
        <w:tabs>
          <w:tab w:val="left" w:pos="426"/>
        </w:tabs>
        <w:kinsoku/>
        <w:wordWrap/>
        <w:overflowPunct/>
        <w:topLinePunct/>
        <w:autoSpaceDE/>
        <w:autoSpaceDN/>
        <w:bidi w:val="0"/>
        <w:snapToGrid w:val="0"/>
        <w:spacing w:line="396" w:lineRule="auto"/>
        <w:ind w:firstLine="6"/>
        <w:rPr>
          <w:rFonts w:hint="eastAsia" w:ascii="宋体" w:hAnsi="宋体" w:eastAsia="宋体" w:cs="宋体"/>
          <w:b/>
          <w:bCs/>
          <w:sz w:val="24"/>
          <w:szCs w:val="24"/>
        </w:rPr>
      </w:pPr>
      <w:r>
        <w:rPr>
          <w:rFonts w:hint="eastAsia" w:ascii="宋体" w:hAnsi="宋体" w:eastAsia="宋体" w:cs="宋体"/>
          <w:b/>
          <w:bCs/>
          <w:sz w:val="24"/>
          <w:szCs w:val="24"/>
        </w:rPr>
        <w:t>验收</w:t>
      </w:r>
    </w:p>
    <w:p>
      <w:pPr>
        <w:keepNext w:val="0"/>
        <w:keepLines w:val="0"/>
        <w:pageBreakBefore w:val="0"/>
        <w:widowControl w:val="0"/>
        <w:numPr>
          <w:ilvl w:val="0"/>
          <w:numId w:val="22"/>
        </w:numPr>
        <w:kinsoku/>
        <w:wordWrap/>
        <w:overflowPunct/>
        <w:topLinePunct/>
        <w:autoSpaceDE/>
        <w:autoSpaceDN/>
        <w:bidi w:val="0"/>
        <w:snapToGrid w:val="0"/>
        <w:spacing w:line="396" w:lineRule="auto"/>
        <w:ind w:left="426" w:firstLine="0"/>
        <w:rPr>
          <w:rFonts w:hint="eastAsia" w:ascii="宋体" w:hAnsi="宋体" w:eastAsia="宋体" w:cs="宋体"/>
          <w:sz w:val="24"/>
          <w:szCs w:val="24"/>
        </w:rPr>
      </w:pPr>
      <w:r>
        <w:rPr>
          <w:rFonts w:hint="eastAsia" w:ascii="宋体" w:hAnsi="宋体" w:eastAsia="宋体" w:cs="宋体"/>
          <w:sz w:val="24"/>
          <w:szCs w:val="24"/>
        </w:rPr>
        <w:t>按照合同规定的时间和合同约定交付报告内容按时向招标方提交年度服务验收报告，并在医院现场以双方认可的方式进行验收。</w:t>
      </w:r>
    </w:p>
    <w:p>
      <w:pPr>
        <w:keepNext w:val="0"/>
        <w:keepLines w:val="0"/>
        <w:pageBreakBefore w:val="0"/>
        <w:widowControl w:val="0"/>
        <w:numPr>
          <w:ilvl w:val="0"/>
          <w:numId w:val="22"/>
        </w:numPr>
        <w:kinsoku/>
        <w:wordWrap/>
        <w:overflowPunct/>
        <w:topLinePunct/>
        <w:autoSpaceDE/>
        <w:autoSpaceDN/>
        <w:bidi w:val="0"/>
        <w:snapToGrid w:val="0"/>
        <w:spacing w:line="396" w:lineRule="auto"/>
        <w:ind w:left="426" w:firstLine="0"/>
        <w:rPr>
          <w:rFonts w:hint="eastAsia" w:ascii="宋体" w:hAnsi="宋体" w:eastAsia="宋体" w:cs="宋体"/>
          <w:sz w:val="24"/>
          <w:szCs w:val="24"/>
        </w:rPr>
      </w:pPr>
      <w:r>
        <w:rPr>
          <w:rFonts w:hint="eastAsia" w:ascii="宋体" w:hAnsi="宋体" w:eastAsia="宋体" w:cs="宋体"/>
          <w:sz w:val="24"/>
          <w:szCs w:val="24"/>
        </w:rPr>
        <w:t>投标人应按照《河南省人民医院信息项目验收办法》要求进行验收,在采购人单位对标书中所要求全部内容验收后方视为该项目全部完成，验收由医院相关人员按照合同中年服务内容条目进行考核。</w:t>
      </w:r>
    </w:p>
    <w:p>
      <w:pPr>
        <w:keepNext w:val="0"/>
        <w:keepLines w:val="0"/>
        <w:pageBreakBefore w:val="0"/>
        <w:widowControl w:val="0"/>
        <w:numPr>
          <w:ilvl w:val="0"/>
          <w:numId w:val="22"/>
        </w:numPr>
        <w:kinsoku/>
        <w:wordWrap/>
        <w:overflowPunct/>
        <w:topLinePunct/>
        <w:autoSpaceDE/>
        <w:autoSpaceDN/>
        <w:bidi w:val="0"/>
        <w:snapToGrid w:val="0"/>
        <w:spacing w:line="396" w:lineRule="auto"/>
        <w:ind w:left="426" w:firstLine="0"/>
        <w:rPr>
          <w:rFonts w:hint="eastAsia" w:ascii="宋体" w:hAnsi="宋体" w:eastAsia="宋体" w:cs="宋体"/>
          <w:sz w:val="24"/>
          <w:szCs w:val="24"/>
        </w:rPr>
      </w:pPr>
      <w:r>
        <w:rPr>
          <w:rFonts w:hint="eastAsia" w:ascii="宋体" w:hAnsi="宋体" w:eastAsia="宋体" w:cs="宋体"/>
          <w:sz w:val="24"/>
          <w:szCs w:val="24"/>
        </w:rPr>
        <w:t>项目验收时，投标人需提供下列技术资料文档资料及其电子版,如未完整提供则视为验收不合格: 服务过程中记录的相关文档资料包括但不限于：月度巡检报告，风险评估报告，配件更换清单等，故障处理报告，重大事件操作报告，整体运行报告等。</w:t>
      </w:r>
    </w:p>
    <w:p>
      <w:pPr>
        <w:keepNext w:val="0"/>
        <w:keepLines w:val="0"/>
        <w:pageBreakBefore w:val="0"/>
        <w:widowControl w:val="0"/>
        <w:numPr>
          <w:ilvl w:val="0"/>
          <w:numId w:val="22"/>
        </w:numPr>
        <w:kinsoku/>
        <w:wordWrap/>
        <w:overflowPunct/>
        <w:topLinePunct/>
        <w:autoSpaceDE/>
        <w:autoSpaceDN/>
        <w:bidi w:val="0"/>
        <w:snapToGrid w:val="0"/>
        <w:spacing w:line="396" w:lineRule="auto"/>
        <w:ind w:left="426" w:firstLine="0"/>
        <w:rPr>
          <w:rFonts w:hint="eastAsia" w:ascii="宋体" w:hAnsi="宋体" w:eastAsia="宋体" w:cs="宋体"/>
          <w:sz w:val="24"/>
          <w:szCs w:val="24"/>
        </w:rPr>
      </w:pPr>
      <w:r>
        <w:rPr>
          <w:rFonts w:hint="eastAsia" w:ascii="宋体" w:hAnsi="宋体" w:eastAsia="宋体" w:cs="宋体"/>
          <w:sz w:val="24"/>
          <w:szCs w:val="24"/>
        </w:rPr>
        <w:t>招标人将对投标人的服务满意度进行每半年评价（优秀、合格、不合格），服务满意度将作为项目验收标准之一。</w:t>
      </w:r>
    </w:p>
    <w:p>
      <w:pPr>
        <w:keepNext w:val="0"/>
        <w:keepLines w:val="0"/>
        <w:pageBreakBefore w:val="0"/>
        <w:widowControl w:val="0"/>
        <w:numPr>
          <w:ilvl w:val="0"/>
          <w:numId w:val="22"/>
        </w:numPr>
        <w:kinsoku/>
        <w:wordWrap/>
        <w:overflowPunct/>
        <w:topLinePunct/>
        <w:autoSpaceDE/>
        <w:autoSpaceDN/>
        <w:bidi w:val="0"/>
        <w:snapToGrid w:val="0"/>
        <w:spacing w:line="396" w:lineRule="auto"/>
        <w:ind w:left="426" w:firstLine="0"/>
        <w:rPr>
          <w:rFonts w:hint="eastAsia" w:ascii="宋体" w:hAnsi="宋体" w:eastAsia="宋体" w:cs="宋体"/>
          <w:sz w:val="24"/>
          <w:szCs w:val="24"/>
        </w:rPr>
      </w:pPr>
      <w:r>
        <w:rPr>
          <w:rFonts w:hint="eastAsia" w:ascii="宋体" w:hAnsi="宋体" w:eastAsia="宋体" w:cs="宋体"/>
          <w:sz w:val="24"/>
          <w:szCs w:val="24"/>
        </w:rPr>
        <w:t>招标人定期按本项目服务要求及我院信息公司考核办法对投标人服务进行考核，如对投标人考核不合格，需按照招标人要求整改，若投标人一直未能按照招标人要求整改并按要求提供维保服务，招标人有权单方终止合同并不需承担任何责任，投标人需承担给招标人造成的所有损失。</w:t>
      </w:r>
    </w:p>
    <w:p>
      <w:pPr>
        <w:keepNext w:val="0"/>
        <w:keepLines w:val="0"/>
        <w:pageBreakBefore w:val="0"/>
        <w:widowControl w:val="0"/>
        <w:numPr>
          <w:ilvl w:val="0"/>
          <w:numId w:val="22"/>
        </w:numPr>
        <w:kinsoku/>
        <w:wordWrap/>
        <w:overflowPunct/>
        <w:topLinePunct/>
        <w:autoSpaceDE/>
        <w:autoSpaceDN/>
        <w:bidi w:val="0"/>
        <w:snapToGrid w:val="0"/>
        <w:spacing w:line="396" w:lineRule="auto"/>
        <w:ind w:left="426" w:firstLine="0"/>
        <w:rPr>
          <w:rFonts w:hint="eastAsia" w:ascii="宋体" w:hAnsi="宋体" w:eastAsia="宋体" w:cs="宋体"/>
          <w:sz w:val="24"/>
          <w:szCs w:val="24"/>
        </w:rPr>
      </w:pPr>
      <w:r>
        <w:rPr>
          <w:rFonts w:hint="eastAsia" w:ascii="宋体" w:hAnsi="宋体" w:eastAsia="宋体" w:cs="宋体"/>
          <w:sz w:val="24"/>
          <w:szCs w:val="24"/>
        </w:rPr>
        <w:t>招标人对提供的设备、备件每季度经行一次验收，投标方需提供设备、耗材、备件的签收单并现场核对设备、耗材、备件的安装使用情况。</w:t>
      </w:r>
    </w:p>
    <w:p>
      <w:pPr>
        <w:keepNext w:val="0"/>
        <w:keepLines w:val="0"/>
        <w:pageBreakBefore w:val="0"/>
        <w:widowControl w:val="0"/>
        <w:numPr>
          <w:ilvl w:val="0"/>
          <w:numId w:val="22"/>
        </w:numPr>
        <w:kinsoku/>
        <w:wordWrap/>
        <w:overflowPunct/>
        <w:topLinePunct/>
        <w:autoSpaceDE/>
        <w:autoSpaceDN/>
        <w:bidi w:val="0"/>
        <w:snapToGrid w:val="0"/>
        <w:spacing w:line="396" w:lineRule="auto"/>
        <w:ind w:left="426" w:firstLine="0"/>
        <w:rPr>
          <w:rFonts w:hint="eastAsia" w:ascii="宋体" w:hAnsi="宋体" w:eastAsia="宋体" w:cs="宋体"/>
          <w:sz w:val="24"/>
          <w:szCs w:val="24"/>
        </w:rPr>
      </w:pPr>
      <w:r>
        <w:rPr>
          <w:rFonts w:hint="eastAsia" w:ascii="宋体" w:hAnsi="宋体" w:eastAsia="宋体" w:cs="宋体"/>
          <w:sz w:val="24"/>
          <w:szCs w:val="24"/>
        </w:rPr>
        <w:t>运行情况、服务统计、巡检情况分析及故障处理情况。总结报告由双方签字确认后，由双方存档作为验收依据。</w:t>
      </w:r>
    </w:p>
    <w:p>
      <w:pPr>
        <w:keepNext w:val="0"/>
        <w:keepLines w:val="0"/>
        <w:pageBreakBefore w:val="0"/>
        <w:widowControl w:val="0"/>
        <w:numPr>
          <w:ilvl w:val="0"/>
          <w:numId w:val="16"/>
        </w:numPr>
        <w:tabs>
          <w:tab w:val="left" w:pos="426"/>
        </w:tabs>
        <w:kinsoku/>
        <w:wordWrap/>
        <w:overflowPunct/>
        <w:topLinePunct/>
        <w:autoSpaceDE/>
        <w:autoSpaceDN/>
        <w:bidi w:val="0"/>
        <w:snapToGrid w:val="0"/>
        <w:spacing w:line="396" w:lineRule="auto"/>
        <w:ind w:firstLine="6"/>
        <w:rPr>
          <w:rFonts w:hint="eastAsia" w:ascii="宋体" w:hAnsi="宋体" w:eastAsia="宋体" w:cs="宋体"/>
          <w:b/>
          <w:bCs/>
          <w:sz w:val="24"/>
          <w:szCs w:val="24"/>
        </w:rPr>
      </w:pPr>
      <w:r>
        <w:rPr>
          <w:rFonts w:hint="eastAsia" w:ascii="宋体" w:hAnsi="宋体" w:eastAsia="宋体" w:cs="宋体"/>
          <w:b/>
          <w:bCs/>
          <w:sz w:val="24"/>
          <w:szCs w:val="24"/>
        </w:rPr>
        <w:t>其他</w:t>
      </w:r>
    </w:p>
    <w:p>
      <w:pPr>
        <w:keepNext w:val="0"/>
        <w:keepLines w:val="0"/>
        <w:pageBreakBefore w:val="0"/>
        <w:widowControl w:val="0"/>
        <w:numPr>
          <w:ilvl w:val="0"/>
          <w:numId w:val="23"/>
        </w:numPr>
        <w:tabs>
          <w:tab w:val="left" w:pos="993"/>
        </w:tabs>
        <w:kinsoku/>
        <w:wordWrap/>
        <w:overflowPunct/>
        <w:topLinePunct/>
        <w:autoSpaceDE/>
        <w:autoSpaceDN/>
        <w:bidi w:val="0"/>
        <w:snapToGrid w:val="0"/>
        <w:spacing w:line="396" w:lineRule="auto"/>
        <w:rPr>
          <w:rFonts w:hint="eastAsia" w:ascii="宋体" w:hAnsi="宋体" w:eastAsia="宋体" w:cs="宋体"/>
          <w:sz w:val="24"/>
          <w:szCs w:val="24"/>
        </w:rPr>
      </w:pPr>
      <w:r>
        <w:rPr>
          <w:rFonts w:hint="eastAsia" w:ascii="宋体" w:hAnsi="宋体" w:eastAsia="宋体" w:cs="宋体"/>
          <w:sz w:val="24"/>
          <w:szCs w:val="24"/>
        </w:rPr>
        <w:t>投标人必须在投标文件中对以上条款和服务承诺明确列出，承诺内容必须达到本篇及招标文件其他条款的要求。</w:t>
      </w:r>
    </w:p>
    <w:p>
      <w:pPr>
        <w:keepNext w:val="0"/>
        <w:keepLines w:val="0"/>
        <w:pageBreakBefore w:val="0"/>
        <w:widowControl w:val="0"/>
        <w:numPr>
          <w:ilvl w:val="0"/>
          <w:numId w:val="23"/>
        </w:numPr>
        <w:tabs>
          <w:tab w:val="left" w:pos="993"/>
        </w:tabs>
        <w:kinsoku/>
        <w:wordWrap/>
        <w:overflowPunct/>
        <w:topLinePunct/>
        <w:autoSpaceDE/>
        <w:autoSpaceDN/>
        <w:bidi w:val="0"/>
        <w:snapToGrid w:val="0"/>
        <w:spacing w:line="396" w:lineRule="auto"/>
        <w:rPr>
          <w:rFonts w:hint="eastAsia" w:ascii="宋体" w:hAnsi="宋体" w:eastAsia="宋体" w:cs="宋体"/>
          <w:sz w:val="24"/>
          <w:szCs w:val="24"/>
        </w:rPr>
      </w:pPr>
      <w:r>
        <w:rPr>
          <w:rFonts w:hint="eastAsia" w:ascii="宋体" w:hAnsi="宋体" w:eastAsia="宋体" w:cs="宋体"/>
          <w:sz w:val="24"/>
          <w:szCs w:val="24"/>
        </w:rPr>
        <w:t>其他未尽事宜由供需双方在采购合同中详细约定。</w:t>
      </w:r>
    </w:p>
    <w:p>
      <w:pPr>
        <w:pStyle w:val="32"/>
        <w:rPr>
          <w:rFonts w:hint="eastAsia"/>
        </w:rPr>
      </w:pPr>
    </w:p>
    <w:p>
      <w:pPr>
        <w:kinsoku/>
        <w:wordWrap/>
        <w:overflowPunct/>
        <w:topLinePunct/>
        <w:autoSpaceDE/>
        <w:autoSpaceDN/>
        <w:bidi w:val="0"/>
        <w:snapToGrid w:val="0"/>
        <w:spacing w:line="500" w:lineRule="exact"/>
        <w:ind w:left="420"/>
        <w:rPr>
          <w:rFonts w:hint="eastAsia" w:ascii="宋体" w:hAnsi="宋体" w:eastAsia="宋体" w:cs="宋体"/>
          <w:sz w:val="24"/>
          <w:szCs w:val="24"/>
        </w:rPr>
      </w:pPr>
    </w:p>
    <w:p>
      <w:pPr>
        <w:pStyle w:val="85"/>
        <w:kinsoku/>
        <w:wordWrap/>
        <w:overflowPunct/>
        <w:topLinePunct/>
        <w:autoSpaceDE/>
        <w:autoSpaceDN/>
        <w:bidi w:val="0"/>
        <w:rPr>
          <w:rFonts w:hint="eastAsia" w:ascii="宋体" w:hAnsi="宋体" w:eastAsia="宋体" w:cs="宋体"/>
          <w:szCs w:val="36"/>
        </w:rPr>
      </w:pPr>
    </w:p>
    <w:p>
      <w:pPr>
        <w:pStyle w:val="2"/>
        <w:kinsoku/>
        <w:wordWrap/>
        <w:overflowPunct/>
        <w:topLinePunct/>
        <w:autoSpaceDE/>
        <w:autoSpaceDN/>
        <w:bidi w:val="0"/>
        <w:spacing w:line="276" w:lineRule="auto"/>
        <w:rPr>
          <w:rFonts w:hint="eastAsia" w:ascii="宋体" w:hAnsi="宋体" w:eastAsia="宋体" w:cs="宋体"/>
        </w:rPr>
      </w:pPr>
      <w:r>
        <w:rPr>
          <w:rFonts w:hint="eastAsia" w:ascii="宋体" w:hAnsi="宋体" w:eastAsia="宋体" w:cs="宋体"/>
          <w:szCs w:val="36"/>
        </w:rPr>
        <w:br w:type="page"/>
      </w:r>
      <w:r>
        <w:rPr>
          <w:rFonts w:hint="eastAsia" w:ascii="宋体" w:hAnsi="宋体" w:cs="宋体"/>
          <w:szCs w:val="36"/>
          <w:lang w:val="en-US" w:eastAsia="zh-CN"/>
        </w:rPr>
        <w:t xml:space="preserve">第四章 </w:t>
      </w:r>
      <w:r>
        <w:rPr>
          <w:rFonts w:hint="eastAsia" w:ascii="宋体" w:hAnsi="宋体" w:eastAsia="宋体" w:cs="宋体"/>
          <w:szCs w:val="36"/>
        </w:rPr>
        <w:t xml:space="preserve"> </w:t>
      </w:r>
      <w:bookmarkStart w:id="53" w:name="_Toc21166"/>
      <w:r>
        <w:rPr>
          <w:rFonts w:hint="eastAsia" w:ascii="宋体" w:hAnsi="宋体" w:eastAsia="宋体" w:cs="宋体"/>
          <w:szCs w:val="36"/>
        </w:rPr>
        <w:t>合同条款</w:t>
      </w:r>
      <w:bookmarkEnd w:id="27"/>
      <w:bookmarkEnd w:id="28"/>
      <w:bookmarkEnd w:id="29"/>
      <w:bookmarkEnd w:id="30"/>
      <w:bookmarkEnd w:id="53"/>
    </w:p>
    <w:p>
      <w:pPr>
        <w:kinsoku/>
        <w:wordWrap/>
        <w:overflowPunct/>
        <w:topLinePunct/>
        <w:autoSpaceDE/>
        <w:autoSpaceDN/>
        <w:bidi w:val="0"/>
        <w:jc w:val="center"/>
        <w:rPr>
          <w:rFonts w:hint="eastAsia" w:ascii="宋体" w:hAnsi="宋体" w:eastAsia="宋体" w:cs="宋体"/>
        </w:rPr>
      </w:pPr>
      <w:r>
        <w:rPr>
          <w:rFonts w:hint="eastAsia" w:ascii="宋体" w:hAnsi="宋体" w:eastAsia="宋体" w:cs="宋体"/>
          <w:sz w:val="24"/>
        </w:rPr>
        <w:t>（以下合同内容为范本，具体以签订合同内容为准）</w:t>
      </w:r>
    </w:p>
    <w:p>
      <w:pPr>
        <w:kinsoku/>
        <w:wordWrap/>
        <w:overflowPunct/>
        <w:topLinePunct/>
        <w:autoSpaceDE/>
        <w:autoSpaceDN/>
        <w:bidi w:val="0"/>
        <w:rPr>
          <w:rFonts w:hint="eastAsia" w:ascii="宋体" w:hAnsi="宋体" w:eastAsia="宋体" w:cs="宋体"/>
        </w:rPr>
      </w:pPr>
    </w:p>
    <w:p>
      <w:pPr>
        <w:pStyle w:val="84"/>
        <w:kinsoku/>
        <w:wordWrap/>
        <w:overflowPunct/>
        <w:topLinePunct/>
        <w:autoSpaceDE/>
        <w:autoSpaceDN/>
        <w:bidi w:val="0"/>
        <w:rPr>
          <w:rFonts w:hint="eastAsia" w:ascii="宋体" w:hAnsi="宋体" w:eastAsia="宋体" w:cs="宋体"/>
        </w:rPr>
      </w:pPr>
    </w:p>
    <w:p>
      <w:pPr>
        <w:pStyle w:val="85"/>
        <w:kinsoku/>
        <w:wordWrap/>
        <w:overflowPunct/>
        <w:topLinePunct/>
        <w:autoSpaceDE/>
        <w:autoSpaceDN/>
        <w:bidi w:val="0"/>
        <w:rPr>
          <w:rFonts w:hint="eastAsia" w:ascii="宋体" w:hAnsi="宋体" w:eastAsia="宋体" w:cs="宋体"/>
        </w:rPr>
      </w:pPr>
    </w:p>
    <w:p>
      <w:pPr>
        <w:pStyle w:val="85"/>
        <w:kinsoku/>
        <w:wordWrap/>
        <w:overflowPunct/>
        <w:topLinePunct/>
        <w:autoSpaceDE/>
        <w:autoSpaceDN/>
        <w:bidi w:val="0"/>
        <w:rPr>
          <w:rFonts w:hint="eastAsia" w:ascii="宋体" w:hAnsi="宋体" w:eastAsia="宋体" w:cs="宋体"/>
        </w:rPr>
      </w:pPr>
    </w:p>
    <w:p>
      <w:pPr>
        <w:pStyle w:val="85"/>
        <w:kinsoku/>
        <w:wordWrap/>
        <w:overflowPunct/>
        <w:topLinePunct/>
        <w:autoSpaceDE/>
        <w:autoSpaceDN/>
        <w:bidi w:val="0"/>
        <w:rPr>
          <w:rFonts w:hint="eastAsia" w:ascii="宋体" w:hAnsi="宋体" w:eastAsia="宋体" w:cs="宋体"/>
        </w:rPr>
      </w:pPr>
    </w:p>
    <w:p>
      <w:pPr>
        <w:pStyle w:val="85"/>
        <w:kinsoku/>
        <w:wordWrap/>
        <w:overflowPunct/>
        <w:topLinePunct/>
        <w:autoSpaceDE/>
        <w:autoSpaceDN/>
        <w:bidi w:val="0"/>
        <w:rPr>
          <w:rFonts w:hint="eastAsia" w:ascii="宋体" w:hAnsi="宋体" w:eastAsia="宋体" w:cs="宋体"/>
        </w:rPr>
      </w:pPr>
    </w:p>
    <w:p>
      <w:pPr>
        <w:pStyle w:val="85"/>
        <w:kinsoku/>
        <w:wordWrap/>
        <w:overflowPunct/>
        <w:topLinePunct/>
        <w:autoSpaceDE/>
        <w:autoSpaceDN/>
        <w:bidi w:val="0"/>
        <w:rPr>
          <w:rFonts w:hint="eastAsia" w:ascii="宋体" w:hAnsi="宋体" w:eastAsia="宋体" w:cs="宋体"/>
        </w:rPr>
      </w:pPr>
    </w:p>
    <w:p>
      <w:pPr>
        <w:pStyle w:val="85"/>
        <w:kinsoku/>
        <w:wordWrap/>
        <w:overflowPunct/>
        <w:topLinePunct/>
        <w:autoSpaceDE/>
        <w:autoSpaceDN/>
        <w:bidi w:val="0"/>
        <w:rPr>
          <w:rFonts w:hint="eastAsia" w:ascii="宋体" w:hAnsi="宋体" w:eastAsia="宋体" w:cs="宋体"/>
        </w:rPr>
      </w:pPr>
    </w:p>
    <w:p>
      <w:pPr>
        <w:pStyle w:val="85"/>
        <w:kinsoku/>
        <w:wordWrap/>
        <w:overflowPunct/>
        <w:topLinePunct/>
        <w:autoSpaceDE/>
        <w:autoSpaceDN/>
        <w:bidi w:val="0"/>
        <w:rPr>
          <w:rFonts w:hint="eastAsia" w:ascii="宋体" w:hAnsi="宋体" w:eastAsia="宋体" w:cs="宋体"/>
        </w:rPr>
      </w:pPr>
    </w:p>
    <w:p>
      <w:pPr>
        <w:kinsoku/>
        <w:wordWrap/>
        <w:overflowPunct/>
        <w:topLinePunct/>
        <w:autoSpaceDE/>
        <w:autoSpaceDN/>
        <w:bidi w:val="0"/>
        <w:rPr>
          <w:rFonts w:hint="eastAsia" w:ascii="宋体" w:hAnsi="宋体" w:eastAsia="宋体" w:cs="宋体"/>
        </w:rPr>
      </w:pPr>
    </w:p>
    <w:p>
      <w:pPr>
        <w:kinsoku/>
        <w:wordWrap/>
        <w:overflowPunct/>
        <w:topLinePunct/>
        <w:autoSpaceDE/>
        <w:autoSpaceDN/>
        <w:bidi w:val="0"/>
        <w:rPr>
          <w:rFonts w:hint="eastAsia" w:ascii="宋体" w:hAnsi="宋体" w:eastAsia="宋体" w:cs="宋体"/>
        </w:rPr>
      </w:pPr>
    </w:p>
    <w:p>
      <w:pPr>
        <w:kinsoku/>
        <w:wordWrap/>
        <w:overflowPunct/>
        <w:topLinePunct/>
        <w:autoSpaceDE/>
        <w:autoSpaceDN/>
        <w:bidi w:val="0"/>
        <w:rPr>
          <w:rFonts w:hint="eastAsia" w:ascii="宋体" w:hAnsi="宋体" w:eastAsia="宋体" w:cs="宋体"/>
        </w:rPr>
      </w:pPr>
    </w:p>
    <w:p>
      <w:pPr>
        <w:kinsoku/>
        <w:wordWrap/>
        <w:overflowPunct/>
        <w:topLinePunct/>
        <w:autoSpaceDE/>
        <w:autoSpaceDN/>
        <w:bidi w:val="0"/>
        <w:rPr>
          <w:rFonts w:hint="eastAsia" w:ascii="宋体" w:hAnsi="宋体" w:eastAsia="宋体" w:cs="宋体"/>
        </w:rPr>
      </w:pPr>
    </w:p>
    <w:p>
      <w:pPr>
        <w:kinsoku/>
        <w:wordWrap/>
        <w:overflowPunct/>
        <w:topLinePunct/>
        <w:autoSpaceDE/>
        <w:autoSpaceDN/>
        <w:bidi w:val="0"/>
        <w:spacing w:line="500" w:lineRule="exact"/>
        <w:ind w:firstLine="420"/>
        <w:rPr>
          <w:rFonts w:hint="eastAsia" w:ascii="宋体" w:hAnsi="宋体" w:eastAsia="宋体" w:cs="宋体"/>
          <w:b/>
          <w:sz w:val="24"/>
          <w:szCs w:val="24"/>
        </w:rPr>
      </w:pPr>
      <w:r>
        <w:rPr>
          <w:rFonts w:hint="eastAsia" w:ascii="宋体" w:hAnsi="宋体" w:eastAsia="宋体" w:cs="宋体"/>
          <w:b/>
          <w:sz w:val="44"/>
          <w:szCs w:val="44"/>
        </w:rPr>
        <w:br w:type="page"/>
      </w:r>
      <w:r>
        <w:rPr>
          <w:rFonts w:hint="eastAsia" w:ascii="宋体" w:hAnsi="宋体" w:eastAsia="宋体" w:cs="宋体"/>
          <w:b/>
          <w:sz w:val="24"/>
          <w:szCs w:val="24"/>
        </w:rPr>
        <w:t>依据《中华人民共和国民法典》及20XX年XX月XX日河南省人民医院采供处发出的中标通知书。河南省人民医院（以下简称“甲方”）和</w:t>
      </w:r>
      <w:r>
        <w:rPr>
          <w:rFonts w:hint="eastAsia" w:ascii="宋体" w:hAnsi="宋体" w:eastAsia="宋体" w:cs="宋体"/>
          <w:b/>
          <w:sz w:val="24"/>
          <w:szCs w:val="24"/>
          <w:u w:val="single"/>
        </w:rPr>
        <w:t xml:space="preserve">       </w:t>
      </w:r>
      <w:r>
        <w:rPr>
          <w:rFonts w:hint="eastAsia" w:ascii="宋体" w:hAnsi="宋体" w:eastAsia="宋体" w:cs="宋体"/>
          <w:b/>
          <w:sz w:val="24"/>
          <w:szCs w:val="24"/>
        </w:rPr>
        <w:t>（以下简称“乙方”）本着平等互利的原则，甲乙双方对招标编号为[</w:t>
      </w:r>
      <w:r>
        <w:rPr>
          <w:rFonts w:hint="eastAsia" w:ascii="宋体" w:hAnsi="宋体" w:eastAsia="宋体" w:cs="宋体"/>
          <w:b/>
          <w:sz w:val="24"/>
          <w:szCs w:val="24"/>
          <w:u w:val="single"/>
        </w:rPr>
        <w:t xml:space="preserve">      </w:t>
      </w:r>
      <w:r>
        <w:rPr>
          <w:rFonts w:hint="eastAsia" w:ascii="宋体" w:hAnsi="宋体" w:eastAsia="宋体" w:cs="宋体"/>
          <w:b/>
          <w:sz w:val="24"/>
          <w:szCs w:val="24"/>
        </w:rPr>
        <w:t>]的合同执行，经友好协商，达成以下合同条款，以兹共同遵照履行。</w:t>
      </w:r>
    </w:p>
    <w:p>
      <w:pPr>
        <w:kinsoku/>
        <w:wordWrap/>
        <w:overflowPunct/>
        <w:topLinePunct/>
        <w:autoSpaceDE/>
        <w:autoSpaceDN/>
        <w:bidi w:val="0"/>
        <w:spacing w:line="500" w:lineRule="exact"/>
        <w:ind w:left="424" w:leftChars="202" w:firstLine="600" w:firstLineChars="250"/>
        <w:rPr>
          <w:rFonts w:hint="eastAsia" w:ascii="宋体" w:hAnsi="宋体" w:eastAsia="宋体" w:cs="宋体"/>
          <w:kern w:val="0"/>
          <w:sz w:val="24"/>
          <w:szCs w:val="24"/>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kern w:val="0"/>
          <w:sz w:val="24"/>
          <w:szCs w:val="24"/>
          <w:highlight w:val="none"/>
        </w:rPr>
      </w:pPr>
      <w:r>
        <w:rPr>
          <w:rFonts w:hint="eastAsia" w:ascii="宋体" w:hAnsi="宋体" w:eastAsia="宋体" w:cs="宋体"/>
          <w:b/>
          <w:bCs/>
          <w:kern w:val="0"/>
          <w:sz w:val="24"/>
          <w:szCs w:val="24"/>
          <w:highlight w:val="none"/>
        </w:rPr>
        <w:t xml:space="preserve"> 甲方向乙方购买的产品、服务名称及价格</w:t>
      </w:r>
    </w:p>
    <w:p>
      <w:pPr>
        <w:pStyle w:val="495"/>
        <w:numPr>
          <w:ilvl w:val="0"/>
          <w:numId w:val="25"/>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甲方向乙方购买的产品为</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rPr>
        <w:t>。</w:t>
      </w:r>
    </w:p>
    <w:p>
      <w:pPr>
        <w:pStyle w:val="495"/>
        <w:numPr>
          <w:ilvl w:val="0"/>
          <w:numId w:val="25"/>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前述乙方产品的相应金额见附件一《合同金额清单》。</w:t>
      </w:r>
    </w:p>
    <w:p>
      <w:pPr>
        <w:pStyle w:val="495"/>
        <w:numPr>
          <w:ilvl w:val="0"/>
          <w:numId w:val="25"/>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甲方向乙方购买的软件产品功能见附件二《软件产品功能清单》。 </w:t>
      </w:r>
    </w:p>
    <w:p>
      <w:pPr>
        <w:pStyle w:val="495"/>
        <w:numPr>
          <w:ilvl w:val="0"/>
          <w:numId w:val="25"/>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甲方向乙方购买的硬件产品功能见附件三《硬件产品交付清单》。</w:t>
      </w:r>
    </w:p>
    <w:p>
      <w:pPr>
        <w:pStyle w:val="495"/>
        <w:numPr>
          <w:ilvl w:val="0"/>
          <w:numId w:val="25"/>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乙方提供软件的安装、调试、初始化、培训、</w:t>
      </w:r>
      <w:r>
        <w:rPr>
          <w:rFonts w:hint="eastAsia" w:ascii="宋体" w:hAnsi="宋体" w:eastAsia="宋体" w:cs="宋体"/>
          <w:kern w:val="0"/>
          <w:sz w:val="24"/>
          <w:szCs w:val="24"/>
          <w:highlight w:val="none"/>
        </w:rPr>
        <w:t>与其他信息系统接口及售后服务。</w:t>
      </w:r>
    </w:p>
    <w:p>
      <w:pPr>
        <w:pStyle w:val="495"/>
        <w:numPr>
          <w:ilvl w:val="0"/>
          <w:numId w:val="25"/>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kern w:val="0"/>
          <w:sz w:val="24"/>
          <w:szCs w:val="24"/>
          <w:highlight w:val="none"/>
        </w:rPr>
        <w:t>硬件产品由原厂家提供质保，需要售后时由乙方进行联系并按售后承诺更换、维修。</w:t>
      </w:r>
    </w:p>
    <w:p>
      <w:pPr>
        <w:pStyle w:val="495"/>
        <w:kinsoku/>
        <w:wordWrap/>
        <w:overflowPunct/>
        <w:topLinePunct/>
        <w:autoSpaceDE/>
        <w:autoSpaceDN/>
        <w:bidi w:val="0"/>
        <w:spacing w:line="500" w:lineRule="exact"/>
        <w:ind w:left="1442" w:firstLine="0" w:firstLineChars="0"/>
        <w:rPr>
          <w:rFonts w:hint="eastAsia" w:ascii="宋体" w:hAnsi="宋体" w:eastAsia="宋体" w:cs="宋体"/>
          <w:sz w:val="24"/>
          <w:szCs w:val="24"/>
          <w:highlight w:val="none"/>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工期要求</w:t>
      </w:r>
    </w:p>
    <w:p>
      <w:pPr>
        <w:pStyle w:val="495"/>
        <w:kinsoku/>
        <w:wordWrap/>
        <w:overflowPunct/>
        <w:topLinePunct/>
        <w:autoSpaceDE/>
        <w:autoSpaceDN/>
        <w:bidi w:val="0"/>
        <w:spacing w:line="500" w:lineRule="exact"/>
        <w:rPr>
          <w:rFonts w:hint="eastAsia" w:ascii="宋体" w:hAnsi="宋体" w:eastAsia="宋体" w:cs="宋体"/>
          <w:b/>
          <w:bCs/>
          <w:kern w:val="0"/>
          <w:sz w:val="24"/>
          <w:szCs w:val="24"/>
          <w:highlight w:val="none"/>
        </w:rPr>
      </w:pPr>
      <w:r>
        <w:rPr>
          <w:rFonts w:hint="eastAsia" w:ascii="宋体" w:hAnsi="宋体" w:eastAsia="宋体" w:cs="宋体"/>
          <w:kern w:val="0"/>
          <w:sz w:val="24"/>
          <w:szCs w:val="24"/>
          <w:highlight w:val="none"/>
        </w:rPr>
        <w:t>合同签订后</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日历天内完成本项目的软硬件实施、调试并具备验收条件。</w:t>
      </w:r>
    </w:p>
    <w:p>
      <w:pPr>
        <w:pStyle w:val="495"/>
        <w:kinsoku/>
        <w:wordWrap/>
        <w:overflowPunct/>
        <w:topLinePunct/>
        <w:autoSpaceDE/>
        <w:autoSpaceDN/>
        <w:bidi w:val="0"/>
        <w:spacing w:line="500" w:lineRule="exact"/>
        <w:ind w:left="851" w:firstLine="0" w:firstLineChars="0"/>
        <w:rPr>
          <w:rFonts w:hint="eastAsia" w:ascii="宋体" w:hAnsi="宋体" w:eastAsia="宋体" w:cs="宋体"/>
          <w:kern w:val="0"/>
          <w:sz w:val="24"/>
          <w:szCs w:val="24"/>
          <w:highlight w:val="none"/>
          <w:u w:val="single"/>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合同总金额</w:t>
      </w:r>
    </w:p>
    <w:p>
      <w:pPr>
        <w:pStyle w:val="495"/>
        <w:kinsoku/>
        <w:wordWrap/>
        <w:overflowPunct/>
        <w:topLinePunct/>
        <w:autoSpaceDE/>
        <w:autoSpaceDN/>
        <w:bidi w:val="0"/>
        <w:spacing w:line="500" w:lineRule="exact"/>
        <w:ind w:firstLine="501" w:firstLineChars="20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合同总金额为：人民币</w:t>
      </w:r>
      <w:r>
        <w:rPr>
          <w:rFonts w:hint="eastAsia" w:ascii="宋体" w:hAnsi="宋体" w:eastAsia="宋体" w:cs="宋体"/>
          <w:b/>
          <w:kern w:val="0"/>
          <w:sz w:val="24"/>
          <w:szCs w:val="24"/>
          <w:highlight w:val="none"/>
          <w:u w:val="single"/>
        </w:rPr>
        <w:t xml:space="preserve">       万元整</w:t>
      </w:r>
      <w:r>
        <w:rPr>
          <w:rFonts w:hint="eastAsia" w:ascii="宋体" w:hAnsi="宋体" w:eastAsia="宋体" w:cs="宋体"/>
          <w:kern w:val="0"/>
          <w:sz w:val="24"/>
          <w:szCs w:val="24"/>
          <w:highlight w:val="none"/>
        </w:rPr>
        <w:t>，小写：</w:t>
      </w:r>
      <w:r>
        <w:rPr>
          <w:rFonts w:hint="eastAsia" w:ascii="宋体" w:hAnsi="宋体" w:eastAsia="宋体" w:cs="宋体"/>
          <w:sz w:val="24"/>
          <w:szCs w:val="24"/>
          <w:highlight w:val="none"/>
        </w:rPr>
        <w:t>¥</w:t>
      </w:r>
      <w:r>
        <w:rPr>
          <w:rFonts w:hint="eastAsia" w:ascii="宋体" w:hAnsi="宋体" w:eastAsia="宋体" w:cs="宋体"/>
          <w:b/>
          <w:bCs/>
          <w:iCs/>
          <w:sz w:val="24"/>
          <w:szCs w:val="24"/>
          <w:highlight w:val="none"/>
          <w:u w:val="single"/>
        </w:rPr>
        <w:t xml:space="preserve">        .00（含税）</w:t>
      </w:r>
      <w:r>
        <w:rPr>
          <w:rFonts w:hint="eastAsia" w:ascii="宋体" w:hAnsi="宋体" w:eastAsia="宋体" w:cs="宋体"/>
          <w:kern w:val="0"/>
          <w:sz w:val="24"/>
          <w:szCs w:val="24"/>
          <w:highlight w:val="none"/>
        </w:rPr>
        <w:t>。</w:t>
      </w:r>
    </w:p>
    <w:p>
      <w:pPr>
        <w:pStyle w:val="495"/>
        <w:kinsoku/>
        <w:wordWrap/>
        <w:overflowPunct/>
        <w:topLinePunct/>
        <w:autoSpaceDE/>
        <w:autoSpaceDN/>
        <w:bidi w:val="0"/>
        <w:spacing w:line="500" w:lineRule="exact"/>
        <w:ind w:firstLine="501" w:firstLineChars="209"/>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合同金额包括软硬件产品、包装、仓储、运输、安装及乙方技术服务、三年售后服务及乙方将货物运到甲方指定地点的增值税、其他税费、运杂费、保险费等。</w:t>
      </w:r>
    </w:p>
    <w:p>
      <w:pPr>
        <w:pStyle w:val="384"/>
        <w:kinsoku/>
        <w:wordWrap/>
        <w:overflowPunct/>
        <w:topLinePunct/>
        <w:autoSpaceDE/>
        <w:autoSpaceDN/>
        <w:bidi w:val="0"/>
        <w:spacing w:line="500" w:lineRule="exact"/>
        <w:ind w:left="405" w:leftChars="193" w:firstLine="960" w:firstLineChars="400"/>
        <w:rPr>
          <w:rFonts w:hint="eastAsia" w:ascii="宋体" w:hAnsi="宋体" w:eastAsia="宋体" w:cs="宋体"/>
          <w:sz w:val="24"/>
          <w:szCs w:val="24"/>
          <w:highlight w:val="none"/>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付款方式</w:t>
      </w:r>
    </w:p>
    <w:p>
      <w:pPr>
        <w:pStyle w:val="495"/>
        <w:numPr>
          <w:ilvl w:val="0"/>
          <w:numId w:val="26"/>
        </w:numPr>
        <w:kinsoku/>
        <w:wordWrap/>
        <w:overflowPunct/>
        <w:topLinePunct/>
        <w:autoSpaceDE/>
        <w:autoSpaceDN/>
        <w:bidi w:val="0"/>
        <w:spacing w:line="500" w:lineRule="exact"/>
        <w:ind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产品总金额及付款方式</w:t>
      </w:r>
    </w:p>
    <w:p>
      <w:pPr>
        <w:pStyle w:val="495"/>
        <w:numPr>
          <w:ilvl w:val="2"/>
          <w:numId w:val="27"/>
        </w:numPr>
        <w:kinsoku/>
        <w:wordWrap/>
        <w:overflowPunct/>
        <w:topLinePunct/>
        <w:autoSpaceDE/>
        <w:autoSpaceDN/>
        <w:bidi w:val="0"/>
        <w:spacing w:line="500" w:lineRule="exact"/>
        <w:ind w:firstLineChars="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本合同中产品金额合计</w:t>
      </w:r>
      <w:r>
        <w:rPr>
          <w:rFonts w:hint="eastAsia" w:ascii="宋体" w:hAnsi="宋体" w:eastAsia="宋体" w:cs="宋体"/>
          <w:sz w:val="24"/>
          <w:szCs w:val="24"/>
          <w:highlight w:val="none"/>
        </w:rPr>
        <w:t>人民币</w:t>
      </w:r>
      <w:r>
        <w:rPr>
          <w:rFonts w:hint="eastAsia" w:ascii="宋体" w:hAnsi="宋体" w:eastAsia="宋体" w:cs="宋体"/>
          <w:b/>
          <w:kern w:val="0"/>
          <w:sz w:val="24"/>
          <w:szCs w:val="24"/>
          <w:highlight w:val="none"/>
          <w:u w:val="single"/>
        </w:rPr>
        <w:t xml:space="preserve">         万元整</w:t>
      </w:r>
      <w:r>
        <w:rPr>
          <w:rFonts w:hint="eastAsia" w:ascii="宋体" w:hAnsi="宋体" w:eastAsia="宋体" w:cs="宋体"/>
          <w:sz w:val="24"/>
          <w:szCs w:val="24"/>
          <w:highlight w:val="none"/>
        </w:rPr>
        <w:t>，小写¥</w:t>
      </w:r>
      <w:r>
        <w:rPr>
          <w:rFonts w:hint="eastAsia" w:ascii="宋体" w:hAnsi="宋体" w:eastAsia="宋体" w:cs="宋体"/>
          <w:b/>
          <w:bCs/>
          <w:iCs/>
          <w:sz w:val="24"/>
          <w:szCs w:val="24"/>
          <w:highlight w:val="none"/>
          <w:u w:val="single"/>
        </w:rPr>
        <w:t xml:space="preserve">       .00</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rPr>
        <w:t>硬件产品明细及金额详见附件一：</w:t>
      </w:r>
      <w:r>
        <w:rPr>
          <w:rFonts w:hint="eastAsia" w:ascii="宋体" w:hAnsi="宋体" w:eastAsia="宋体" w:cs="宋体"/>
          <w:sz w:val="24"/>
          <w:szCs w:val="24"/>
          <w:highlight w:val="none"/>
        </w:rPr>
        <w:t>《合同金额清单》</w:t>
      </w:r>
      <w:r>
        <w:rPr>
          <w:rFonts w:hint="eastAsia" w:ascii="宋体" w:hAnsi="宋体" w:eastAsia="宋体" w:cs="宋体"/>
          <w:kern w:val="0"/>
          <w:sz w:val="24"/>
          <w:szCs w:val="24"/>
          <w:highlight w:val="none"/>
        </w:rPr>
        <w:t>中第一项。</w:t>
      </w:r>
    </w:p>
    <w:p>
      <w:pPr>
        <w:pStyle w:val="495"/>
        <w:numPr>
          <w:ilvl w:val="2"/>
          <w:numId w:val="27"/>
        </w:numPr>
        <w:kinsoku/>
        <w:wordWrap/>
        <w:overflowPunct/>
        <w:topLinePunct/>
        <w:autoSpaceDE/>
        <w:autoSpaceDN/>
        <w:bidi w:val="0"/>
        <w:spacing w:line="500" w:lineRule="exact"/>
        <w:ind w:firstLineChars="0"/>
        <w:jc w:val="lef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合同签订之日起计算设备维保服务期，</w:t>
      </w:r>
      <w:r>
        <w:rPr>
          <w:rFonts w:hint="eastAsia" w:ascii="宋体" w:hAnsi="宋体" w:eastAsia="宋体" w:cs="宋体"/>
          <w:sz w:val="24"/>
          <w:szCs w:val="24"/>
          <w:highlight w:val="none"/>
          <w:lang w:val="en-US" w:eastAsia="zh-CN"/>
        </w:rPr>
        <w:t>合同签订后，驻场人员到场经</w:t>
      </w:r>
      <w:r>
        <w:rPr>
          <w:rFonts w:hint="eastAsia" w:ascii="宋体" w:hAnsi="宋体" w:eastAsia="宋体" w:cs="宋体"/>
          <w:sz w:val="24"/>
          <w:szCs w:val="24"/>
          <w:highlight w:val="none"/>
        </w:rPr>
        <w:t>甲方</w:t>
      </w:r>
      <w:r>
        <w:rPr>
          <w:rFonts w:hint="eastAsia" w:ascii="宋体" w:hAnsi="宋体" w:eastAsia="宋体" w:cs="宋体"/>
          <w:sz w:val="24"/>
          <w:szCs w:val="24"/>
          <w:highlight w:val="none"/>
          <w:lang w:val="en-US" w:eastAsia="zh-CN"/>
        </w:rPr>
        <w:t>网络信息中心认定后，向乙方支付合同总金额的10%，</w:t>
      </w:r>
      <w:r>
        <w:rPr>
          <w:rFonts w:hint="eastAsia" w:ascii="宋体" w:hAnsi="宋体" w:eastAsia="宋体" w:cs="宋体"/>
          <w:kern w:val="0"/>
          <w:sz w:val="24"/>
          <w:szCs w:val="24"/>
          <w:highlight w:val="none"/>
        </w:rPr>
        <w:t>合计</w:t>
      </w:r>
      <w:r>
        <w:rPr>
          <w:rFonts w:hint="eastAsia" w:ascii="宋体" w:hAnsi="宋体" w:eastAsia="宋体" w:cs="宋体"/>
          <w:sz w:val="24"/>
          <w:szCs w:val="24"/>
          <w:highlight w:val="none"/>
        </w:rPr>
        <w:t>人民币</w:t>
      </w:r>
      <w:r>
        <w:rPr>
          <w:rFonts w:hint="eastAsia" w:ascii="宋体" w:hAnsi="宋体" w:eastAsia="宋体" w:cs="宋体"/>
          <w:b/>
          <w:sz w:val="24"/>
          <w:szCs w:val="24"/>
          <w:highlight w:val="none"/>
          <w:u w:val="single"/>
        </w:rPr>
        <w:t xml:space="preserve">  元整</w:t>
      </w:r>
      <w:r>
        <w:rPr>
          <w:rFonts w:hint="eastAsia" w:ascii="宋体" w:hAnsi="宋体" w:eastAsia="宋体" w:cs="宋体"/>
          <w:sz w:val="24"/>
          <w:szCs w:val="24"/>
          <w:highlight w:val="none"/>
        </w:rPr>
        <w:t>，小写：</w:t>
      </w:r>
      <w:r>
        <w:rPr>
          <w:rFonts w:hint="eastAsia" w:ascii="宋体" w:hAnsi="宋体" w:eastAsia="宋体" w:cs="宋体"/>
          <w:sz w:val="24"/>
          <w:szCs w:val="24"/>
          <w:highlight w:val="none"/>
          <w:u w:val="single"/>
        </w:rPr>
        <w:t>￥</w:t>
      </w:r>
      <w:r>
        <w:rPr>
          <w:rFonts w:hint="eastAsia" w:ascii="宋体" w:hAnsi="宋体" w:eastAsia="宋体" w:cs="宋体"/>
          <w:b/>
          <w:bCs/>
          <w:iCs/>
          <w:sz w:val="24"/>
          <w:szCs w:val="24"/>
          <w:highlight w:val="none"/>
          <w:u w:val="single"/>
        </w:rPr>
        <w:t>000000</w:t>
      </w:r>
      <w:r>
        <w:rPr>
          <w:rFonts w:hint="eastAsia" w:ascii="宋体" w:hAnsi="宋体" w:eastAsia="宋体" w:cs="宋体"/>
          <w:b/>
          <w:iCs/>
          <w:sz w:val="24"/>
          <w:szCs w:val="24"/>
          <w:highlight w:val="none"/>
          <w:u w:val="single"/>
        </w:rPr>
        <w:t>.00。</w:t>
      </w:r>
      <w:r>
        <w:rPr>
          <w:rFonts w:hint="eastAsia" w:ascii="宋体" w:hAnsi="宋体" w:eastAsia="宋体" w:cs="宋体"/>
          <w:sz w:val="24"/>
          <w:szCs w:val="24"/>
          <w:highlight w:val="none"/>
          <w:lang w:val="en-US" w:eastAsia="zh-CN"/>
        </w:rPr>
        <w:t>。</w:t>
      </w:r>
    </w:p>
    <w:p>
      <w:pPr>
        <w:pStyle w:val="495"/>
        <w:numPr>
          <w:ilvl w:val="2"/>
          <w:numId w:val="27"/>
        </w:numPr>
        <w:kinsoku/>
        <w:wordWrap/>
        <w:overflowPunct/>
        <w:topLinePunct/>
        <w:autoSpaceDE/>
        <w:autoSpaceDN/>
        <w:bidi w:val="0"/>
        <w:spacing w:line="500" w:lineRule="exact"/>
        <w:ind w:firstLineChars="0"/>
        <w:jc w:val="left"/>
        <w:rPr>
          <w:rFonts w:hint="eastAsia" w:ascii="宋体" w:hAnsi="宋体" w:eastAsia="宋体" w:cs="宋体"/>
          <w:kern w:val="0"/>
          <w:sz w:val="24"/>
          <w:szCs w:val="24"/>
          <w:highlight w:val="none"/>
        </w:rPr>
      </w:pPr>
      <w:r>
        <w:rPr>
          <w:rFonts w:hint="eastAsia" w:ascii="宋体" w:hAnsi="宋体" w:eastAsia="宋体" w:cs="宋体"/>
          <w:sz w:val="24"/>
          <w:szCs w:val="24"/>
          <w:highlight w:val="none"/>
          <w:lang w:val="en-US" w:eastAsia="zh-CN"/>
        </w:rPr>
        <w:t>第一年服务期到期后，经甲方网络信息中心验收合格后，向乙方支付合同总金额的30%，</w:t>
      </w:r>
      <w:r>
        <w:rPr>
          <w:rFonts w:hint="eastAsia" w:ascii="宋体" w:hAnsi="宋体" w:eastAsia="宋体" w:cs="宋体"/>
          <w:kern w:val="0"/>
          <w:sz w:val="24"/>
          <w:szCs w:val="24"/>
          <w:highlight w:val="none"/>
        </w:rPr>
        <w:t>合计</w:t>
      </w:r>
      <w:r>
        <w:rPr>
          <w:rFonts w:hint="eastAsia" w:ascii="宋体" w:hAnsi="宋体" w:eastAsia="宋体" w:cs="宋体"/>
          <w:sz w:val="24"/>
          <w:szCs w:val="24"/>
          <w:highlight w:val="none"/>
        </w:rPr>
        <w:t>人民币</w:t>
      </w:r>
      <w:r>
        <w:rPr>
          <w:rFonts w:hint="eastAsia" w:ascii="宋体" w:hAnsi="宋体" w:eastAsia="宋体" w:cs="宋体"/>
          <w:b/>
          <w:sz w:val="24"/>
          <w:szCs w:val="24"/>
          <w:highlight w:val="none"/>
          <w:u w:val="single"/>
        </w:rPr>
        <w:t xml:space="preserve">  元整</w:t>
      </w:r>
      <w:r>
        <w:rPr>
          <w:rFonts w:hint="eastAsia" w:ascii="宋体" w:hAnsi="宋体" w:eastAsia="宋体" w:cs="宋体"/>
          <w:sz w:val="24"/>
          <w:szCs w:val="24"/>
          <w:highlight w:val="none"/>
        </w:rPr>
        <w:t>，小写：</w:t>
      </w:r>
      <w:r>
        <w:rPr>
          <w:rFonts w:hint="eastAsia" w:ascii="宋体" w:hAnsi="宋体" w:eastAsia="宋体" w:cs="宋体"/>
          <w:sz w:val="24"/>
          <w:szCs w:val="24"/>
          <w:highlight w:val="none"/>
          <w:u w:val="single"/>
        </w:rPr>
        <w:t>￥</w:t>
      </w:r>
      <w:r>
        <w:rPr>
          <w:rFonts w:hint="eastAsia" w:ascii="宋体" w:hAnsi="宋体" w:eastAsia="宋体" w:cs="宋体"/>
          <w:b/>
          <w:bCs/>
          <w:iCs/>
          <w:sz w:val="24"/>
          <w:szCs w:val="24"/>
          <w:highlight w:val="none"/>
          <w:u w:val="single"/>
        </w:rPr>
        <w:t>000000</w:t>
      </w:r>
      <w:r>
        <w:rPr>
          <w:rFonts w:hint="eastAsia" w:ascii="宋体" w:hAnsi="宋体" w:eastAsia="宋体" w:cs="宋体"/>
          <w:b/>
          <w:iCs/>
          <w:sz w:val="24"/>
          <w:szCs w:val="24"/>
          <w:highlight w:val="none"/>
          <w:u w:val="single"/>
        </w:rPr>
        <w:t>.00。</w:t>
      </w:r>
      <w:r>
        <w:rPr>
          <w:rFonts w:hint="eastAsia" w:ascii="宋体" w:hAnsi="宋体" w:eastAsia="宋体" w:cs="宋体"/>
          <w:sz w:val="24"/>
          <w:szCs w:val="24"/>
          <w:highlight w:val="none"/>
          <w:lang w:val="en-US" w:eastAsia="zh-CN"/>
        </w:rPr>
        <w:t>。</w:t>
      </w:r>
    </w:p>
    <w:p>
      <w:pPr>
        <w:pStyle w:val="495"/>
        <w:numPr>
          <w:ilvl w:val="2"/>
          <w:numId w:val="27"/>
        </w:numPr>
        <w:kinsoku/>
        <w:wordWrap/>
        <w:overflowPunct/>
        <w:topLinePunct/>
        <w:autoSpaceDE/>
        <w:autoSpaceDN/>
        <w:bidi w:val="0"/>
        <w:spacing w:line="500" w:lineRule="exact"/>
        <w:ind w:firstLineChars="0"/>
        <w:jc w:val="left"/>
        <w:rPr>
          <w:rFonts w:hint="eastAsia" w:ascii="宋体" w:hAnsi="宋体" w:eastAsia="宋体" w:cs="宋体"/>
          <w:kern w:val="0"/>
          <w:sz w:val="24"/>
          <w:szCs w:val="24"/>
          <w:highlight w:val="none"/>
        </w:rPr>
      </w:pPr>
      <w:r>
        <w:rPr>
          <w:rFonts w:hint="eastAsia" w:ascii="宋体" w:hAnsi="宋体" w:eastAsia="宋体" w:cs="宋体"/>
          <w:sz w:val="24"/>
          <w:szCs w:val="24"/>
          <w:highlight w:val="none"/>
          <w:lang w:val="en-US" w:eastAsia="zh-CN"/>
        </w:rPr>
        <w:t>第二年服务期到期后，经甲方网络信息中心验收合格后，向乙方支付合同总金额的30%，</w:t>
      </w:r>
      <w:r>
        <w:rPr>
          <w:rFonts w:hint="eastAsia" w:ascii="宋体" w:hAnsi="宋体" w:eastAsia="宋体" w:cs="宋体"/>
          <w:kern w:val="0"/>
          <w:sz w:val="24"/>
          <w:szCs w:val="24"/>
          <w:highlight w:val="none"/>
        </w:rPr>
        <w:t>合计</w:t>
      </w:r>
      <w:r>
        <w:rPr>
          <w:rFonts w:hint="eastAsia" w:ascii="宋体" w:hAnsi="宋体" w:eastAsia="宋体" w:cs="宋体"/>
          <w:sz w:val="24"/>
          <w:szCs w:val="24"/>
          <w:highlight w:val="none"/>
        </w:rPr>
        <w:t>人民币</w:t>
      </w:r>
      <w:r>
        <w:rPr>
          <w:rFonts w:hint="eastAsia" w:ascii="宋体" w:hAnsi="宋体" w:eastAsia="宋体" w:cs="宋体"/>
          <w:b/>
          <w:sz w:val="24"/>
          <w:szCs w:val="24"/>
          <w:highlight w:val="none"/>
          <w:u w:val="single"/>
        </w:rPr>
        <w:t xml:space="preserve">  元整</w:t>
      </w:r>
      <w:r>
        <w:rPr>
          <w:rFonts w:hint="eastAsia" w:ascii="宋体" w:hAnsi="宋体" w:eastAsia="宋体" w:cs="宋体"/>
          <w:sz w:val="24"/>
          <w:szCs w:val="24"/>
          <w:highlight w:val="none"/>
        </w:rPr>
        <w:t>，小写：</w:t>
      </w:r>
      <w:r>
        <w:rPr>
          <w:rFonts w:hint="eastAsia" w:ascii="宋体" w:hAnsi="宋体" w:eastAsia="宋体" w:cs="宋体"/>
          <w:sz w:val="24"/>
          <w:szCs w:val="24"/>
          <w:highlight w:val="none"/>
          <w:u w:val="single"/>
        </w:rPr>
        <w:t>￥</w:t>
      </w:r>
      <w:r>
        <w:rPr>
          <w:rFonts w:hint="eastAsia" w:ascii="宋体" w:hAnsi="宋体" w:eastAsia="宋体" w:cs="宋体"/>
          <w:b/>
          <w:bCs/>
          <w:iCs/>
          <w:sz w:val="24"/>
          <w:szCs w:val="24"/>
          <w:highlight w:val="none"/>
          <w:u w:val="single"/>
        </w:rPr>
        <w:t>000000</w:t>
      </w:r>
      <w:r>
        <w:rPr>
          <w:rFonts w:hint="eastAsia" w:ascii="宋体" w:hAnsi="宋体" w:eastAsia="宋体" w:cs="宋体"/>
          <w:b/>
          <w:iCs/>
          <w:sz w:val="24"/>
          <w:szCs w:val="24"/>
          <w:highlight w:val="none"/>
          <w:u w:val="single"/>
        </w:rPr>
        <w:t>.00。</w:t>
      </w:r>
      <w:r>
        <w:rPr>
          <w:rFonts w:hint="eastAsia" w:ascii="宋体" w:hAnsi="宋体" w:eastAsia="宋体" w:cs="宋体"/>
          <w:sz w:val="24"/>
          <w:szCs w:val="24"/>
          <w:highlight w:val="none"/>
          <w:lang w:val="en-US" w:eastAsia="zh-CN"/>
        </w:rPr>
        <w:t>。</w:t>
      </w:r>
    </w:p>
    <w:p>
      <w:pPr>
        <w:pStyle w:val="495"/>
        <w:numPr>
          <w:ilvl w:val="2"/>
          <w:numId w:val="27"/>
        </w:numPr>
        <w:kinsoku/>
        <w:wordWrap/>
        <w:overflowPunct/>
        <w:topLinePunct/>
        <w:autoSpaceDE/>
        <w:autoSpaceDN/>
        <w:bidi w:val="0"/>
        <w:spacing w:line="500" w:lineRule="exact"/>
        <w:ind w:firstLineChars="0"/>
        <w:jc w:val="left"/>
        <w:rPr>
          <w:rFonts w:hint="eastAsia" w:ascii="宋体" w:hAnsi="宋体" w:eastAsia="宋体" w:cs="宋体"/>
          <w:kern w:val="0"/>
          <w:sz w:val="24"/>
          <w:szCs w:val="24"/>
          <w:highlight w:val="none"/>
        </w:rPr>
      </w:pPr>
      <w:r>
        <w:rPr>
          <w:rFonts w:hint="eastAsia" w:ascii="宋体" w:hAnsi="宋体" w:eastAsia="宋体" w:cs="宋体"/>
          <w:sz w:val="24"/>
          <w:szCs w:val="24"/>
          <w:highlight w:val="none"/>
          <w:lang w:val="en-US" w:eastAsia="zh-CN"/>
        </w:rPr>
        <w:t>第三年服务期到期后，经甲方网络信息中心验收合格后，向乙方支付合同总金额的30%，</w:t>
      </w:r>
      <w:r>
        <w:rPr>
          <w:rFonts w:hint="eastAsia" w:ascii="宋体" w:hAnsi="宋体" w:eastAsia="宋体" w:cs="宋体"/>
          <w:kern w:val="0"/>
          <w:sz w:val="24"/>
          <w:szCs w:val="24"/>
          <w:highlight w:val="none"/>
        </w:rPr>
        <w:t>合计</w:t>
      </w:r>
      <w:r>
        <w:rPr>
          <w:rFonts w:hint="eastAsia" w:ascii="宋体" w:hAnsi="宋体" w:eastAsia="宋体" w:cs="宋体"/>
          <w:sz w:val="24"/>
          <w:szCs w:val="24"/>
          <w:highlight w:val="none"/>
        </w:rPr>
        <w:t>人民币</w:t>
      </w:r>
      <w:r>
        <w:rPr>
          <w:rFonts w:hint="eastAsia" w:ascii="宋体" w:hAnsi="宋体" w:eastAsia="宋体" w:cs="宋体"/>
          <w:b/>
          <w:sz w:val="24"/>
          <w:szCs w:val="24"/>
          <w:highlight w:val="none"/>
          <w:u w:val="single"/>
        </w:rPr>
        <w:t xml:space="preserve">  元整</w:t>
      </w:r>
      <w:r>
        <w:rPr>
          <w:rFonts w:hint="eastAsia" w:ascii="宋体" w:hAnsi="宋体" w:eastAsia="宋体" w:cs="宋体"/>
          <w:sz w:val="24"/>
          <w:szCs w:val="24"/>
          <w:highlight w:val="none"/>
        </w:rPr>
        <w:t>，小写：</w:t>
      </w:r>
      <w:r>
        <w:rPr>
          <w:rFonts w:hint="eastAsia" w:ascii="宋体" w:hAnsi="宋体" w:eastAsia="宋体" w:cs="宋体"/>
          <w:sz w:val="24"/>
          <w:szCs w:val="24"/>
          <w:highlight w:val="none"/>
          <w:u w:val="single"/>
        </w:rPr>
        <w:t>￥</w:t>
      </w:r>
      <w:r>
        <w:rPr>
          <w:rFonts w:hint="eastAsia" w:ascii="宋体" w:hAnsi="宋体" w:eastAsia="宋体" w:cs="宋体"/>
          <w:b/>
          <w:bCs/>
          <w:iCs/>
          <w:sz w:val="24"/>
          <w:szCs w:val="24"/>
          <w:highlight w:val="none"/>
          <w:u w:val="single"/>
        </w:rPr>
        <w:t>000000</w:t>
      </w:r>
      <w:r>
        <w:rPr>
          <w:rFonts w:hint="eastAsia" w:ascii="宋体" w:hAnsi="宋体" w:eastAsia="宋体" w:cs="宋体"/>
          <w:b/>
          <w:iCs/>
          <w:sz w:val="24"/>
          <w:szCs w:val="24"/>
          <w:highlight w:val="none"/>
          <w:u w:val="single"/>
        </w:rPr>
        <w:t>.00。</w:t>
      </w:r>
      <w:r>
        <w:rPr>
          <w:rFonts w:hint="eastAsia" w:ascii="宋体" w:hAnsi="宋体" w:eastAsia="宋体" w:cs="宋体"/>
          <w:sz w:val="24"/>
          <w:szCs w:val="24"/>
          <w:highlight w:val="none"/>
          <w:lang w:val="en-US" w:eastAsia="zh-CN"/>
        </w:rPr>
        <w:t>。</w:t>
      </w:r>
    </w:p>
    <w:p>
      <w:pPr>
        <w:pStyle w:val="495"/>
        <w:numPr>
          <w:ilvl w:val="2"/>
          <w:numId w:val="27"/>
        </w:numPr>
        <w:kinsoku/>
        <w:wordWrap/>
        <w:overflowPunct/>
        <w:topLinePunct/>
        <w:autoSpaceDE/>
        <w:autoSpaceDN/>
        <w:bidi w:val="0"/>
        <w:spacing w:line="500" w:lineRule="exact"/>
        <w:ind w:left="1560" w:hanging="709" w:firstLineChars="0"/>
        <w:jc w:val="lef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付款时乙方须向甲方提供合法合规发票。</w:t>
      </w:r>
    </w:p>
    <w:p>
      <w:pPr>
        <w:pStyle w:val="495"/>
        <w:kinsoku/>
        <w:wordWrap/>
        <w:overflowPunct/>
        <w:topLinePunct/>
        <w:autoSpaceDE/>
        <w:autoSpaceDN/>
        <w:bidi w:val="0"/>
        <w:spacing w:line="500" w:lineRule="exact"/>
        <w:ind w:left="0" w:leftChars="0" w:firstLine="0" w:firstLineChars="0"/>
        <w:jc w:val="left"/>
        <w:rPr>
          <w:rFonts w:hint="eastAsia" w:ascii="宋体" w:hAnsi="宋体" w:eastAsia="宋体" w:cs="宋体"/>
          <w:sz w:val="24"/>
          <w:szCs w:val="24"/>
          <w:highlight w:val="none"/>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甲方的权利与义务</w:t>
      </w:r>
    </w:p>
    <w:p>
      <w:pPr>
        <w:pStyle w:val="495"/>
        <w:numPr>
          <w:ilvl w:val="0"/>
          <w:numId w:val="28"/>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合同签订后五天内甲乙双方根据乙方提交的《实施计划书》进行讨论并定稿，作为双方实施期内共同执行的计划，并按计划做好准备工作。</w:t>
      </w:r>
    </w:p>
    <w:p>
      <w:pPr>
        <w:pStyle w:val="495"/>
        <w:numPr>
          <w:ilvl w:val="0"/>
          <w:numId w:val="28"/>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乙方硬件到达甲方指定的地方后甲方应及时予以确认签收，如果乙方在甲方确定的时间内将硬件产品送达后甲方无正当理由不予签收达三个工作日以上，所产生的费用由甲方自行承担。</w:t>
      </w:r>
    </w:p>
    <w:p>
      <w:pPr>
        <w:pStyle w:val="495"/>
        <w:numPr>
          <w:ilvl w:val="0"/>
          <w:numId w:val="28"/>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须在《实施计划书》定稿前，将甲方应准备的硬件设备、硬件设施、备件材料等准备到位，并提供符合乙方信息系统软硬件安装、实施要求的工作环境、运行环境。包括工作场地、模拟调试网络、检验联机所需通信线等材料及工具，并对乙方实施工作给予支持。</w:t>
      </w:r>
    </w:p>
    <w:p>
      <w:pPr>
        <w:pStyle w:val="495"/>
        <w:numPr>
          <w:ilvl w:val="0"/>
          <w:numId w:val="28"/>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须成立一个项目组，协调项目实施的各项工作，并指定专人负责。甲方的项目组须负责落实医院内部各部门、组织按项目实施计划的要求完成各自的工作。包括但不限于组织人员准备应用软件系统所需的各类基本信息及数据，并协助乙方按时完成录入及复核工作、项目需求的收集整理和复核、组织相关人员参加并完成培训工作、软件流程/功能/准确性的确认工作、硬件准备等工作，并保证所承担工作的进度和质量符合项目计划的要求。</w:t>
      </w:r>
    </w:p>
    <w:p>
      <w:pPr>
        <w:pStyle w:val="495"/>
        <w:numPr>
          <w:ilvl w:val="0"/>
          <w:numId w:val="28"/>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项目实施主要分为：项目启动、环境搭建、功能确认、上线准备（软件、硬件、接口、培训、数据、报表）、系统联调、模拟运行（含性能测试）、上线培训、项目验收等阶段，每一阶段结束乙方须向甲方提供对应的阶段文档。甲方项目组组长在每阶段工作结束后，在乙方提供的对应的阶段文档及《项目实施进度表》中签字确认。</w:t>
      </w:r>
    </w:p>
    <w:p>
      <w:pPr>
        <w:pStyle w:val="495"/>
        <w:numPr>
          <w:ilvl w:val="0"/>
          <w:numId w:val="28"/>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甲方在软件实施结束后，将得到乙方提交的软件《使用手册》。</w:t>
      </w:r>
    </w:p>
    <w:p>
      <w:pPr>
        <w:pStyle w:val="495"/>
        <w:numPr>
          <w:ilvl w:val="0"/>
          <w:numId w:val="28"/>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若需要变更实施计划，双方协商《实施计划变更说明》，并提交相应的变更意见存档备案（计划变更也需要双方签字盖章）。</w:t>
      </w:r>
    </w:p>
    <w:p>
      <w:pPr>
        <w:pStyle w:val="495"/>
        <w:numPr>
          <w:ilvl w:val="0"/>
          <w:numId w:val="28"/>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甲方应对乙方提交的实施情况反馈表(包括《项目工作报告》、《项目实施进度表》等)中的意见认真讨论并及时给予书面答复。</w:t>
      </w:r>
    </w:p>
    <w:p>
      <w:pPr>
        <w:pStyle w:val="495"/>
        <w:numPr>
          <w:ilvl w:val="0"/>
          <w:numId w:val="28"/>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甲方有权对乙方的工作提出意见。</w:t>
      </w:r>
    </w:p>
    <w:p>
      <w:pPr>
        <w:pStyle w:val="495"/>
        <w:numPr>
          <w:ilvl w:val="0"/>
          <w:numId w:val="28"/>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甲方有权要求乙方提供相关的技术咨询，确保系统软硬件正常运行。</w:t>
      </w:r>
    </w:p>
    <w:p>
      <w:pPr>
        <w:pStyle w:val="495"/>
        <w:tabs>
          <w:tab w:val="left" w:pos="0"/>
          <w:tab w:val="left" w:pos="7260"/>
        </w:tabs>
        <w:kinsoku/>
        <w:wordWrap/>
        <w:overflowPunct/>
        <w:topLinePunct/>
        <w:autoSpaceDE/>
        <w:autoSpaceDN/>
        <w:bidi w:val="0"/>
        <w:spacing w:line="500" w:lineRule="exact"/>
        <w:ind w:left="830" w:firstLine="0" w:firstLineChars="0"/>
        <w:rPr>
          <w:rFonts w:hint="eastAsia" w:ascii="宋体" w:hAnsi="宋体" w:eastAsia="宋体" w:cs="宋体"/>
          <w:sz w:val="24"/>
          <w:szCs w:val="24"/>
          <w:highlight w:val="none"/>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乙方的权利与义务</w:t>
      </w:r>
    </w:p>
    <w:p>
      <w:pPr>
        <w:pStyle w:val="495"/>
        <w:numPr>
          <w:ilvl w:val="0"/>
          <w:numId w:val="29"/>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对于乙方提供的硬件中本身自带的第三方软件，包括但不限于操作系统软件、数据库软件，乙方应保证该第三方软件的合法性，确保甲方的合法使用权，若因此造成侵权，甲方将追究乙方的责任并由乙方赔偿全部损失。</w:t>
      </w:r>
    </w:p>
    <w:p>
      <w:pPr>
        <w:pStyle w:val="495"/>
        <w:numPr>
          <w:ilvl w:val="0"/>
          <w:numId w:val="29"/>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乙方应将甲方用户需求“用户需求”汇总成文档。</w:t>
      </w:r>
    </w:p>
    <w:p>
      <w:pPr>
        <w:pStyle w:val="495"/>
        <w:numPr>
          <w:ilvl w:val="0"/>
          <w:numId w:val="29"/>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乙方将在签订合同的五天内向甲方提交软件的《实施计划书》，与甲方讨论后定稿，并按计划进行各系统的软件及硬件的实施。</w:t>
      </w:r>
    </w:p>
    <w:p>
      <w:pPr>
        <w:pStyle w:val="495"/>
        <w:numPr>
          <w:ilvl w:val="0"/>
          <w:numId w:val="29"/>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任何原因导致需要更改实施计划，乙方须主动与甲方商议并经同意后调整，并提交相应的变更意见存档备案（计划变更也需要双方签字盖章）。</w:t>
      </w:r>
    </w:p>
    <w:p>
      <w:pPr>
        <w:pStyle w:val="495"/>
        <w:numPr>
          <w:ilvl w:val="0"/>
          <w:numId w:val="29"/>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乙方将在甲方所在地建立进行现场系统调试，期间不得影响其他信息系统正常运行。与甲方有关人员一起根据《实施计划书》中所确定的《项目功能范围确认单》逐一核对软件功能，并确认。</w:t>
      </w:r>
    </w:p>
    <w:p>
      <w:pPr>
        <w:pStyle w:val="495"/>
        <w:numPr>
          <w:ilvl w:val="0"/>
          <w:numId w:val="29"/>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乙方应文明施工，确保施工安全，由此造成的安全事故及损失，由乙方承担。</w:t>
      </w:r>
    </w:p>
    <w:p>
      <w:pPr>
        <w:pStyle w:val="495"/>
        <w:numPr>
          <w:ilvl w:val="0"/>
          <w:numId w:val="29"/>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承诺，三年免费质保期内，在医院设专职的系统维护工程师，保证系统运行。一旦系统出现故障，乙方在接到通知后，30分钟内响应并处理，2小时内到达现场，到达现场后2小时内问题解决。如在规定时间内无法有效处理，则采取应急措施解决，不影响用户的正常工作。如果未能达到上述要求，则每次处罚金</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元整（不超过合同总金额的千分之五）元。</w:t>
      </w:r>
    </w:p>
    <w:p>
      <w:pPr>
        <w:pStyle w:val="495"/>
        <w:numPr>
          <w:ilvl w:val="0"/>
          <w:numId w:val="29"/>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乙方承诺服务人员将签署保密协议，并遵守甲方相关制度。</w:t>
      </w:r>
    </w:p>
    <w:p>
      <w:pPr>
        <w:pStyle w:val="495"/>
        <w:numPr>
          <w:ilvl w:val="0"/>
          <w:numId w:val="29"/>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乙方承诺要对服务人员进行岗前培训，具备甲方认可的相应技能及业务素质。</w:t>
      </w:r>
    </w:p>
    <w:p>
      <w:pPr>
        <w:pStyle w:val="495"/>
        <w:numPr>
          <w:ilvl w:val="0"/>
          <w:numId w:val="29"/>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要按投标承诺安排项目服务人员，要保证项目服务团队成员的稳定性，不得随意更换服务人员，双方无重大事项，不得变更项目组人员，确需调整的，应按投标承诺的项目团队成员配置标准，提交书面建议给甲方。</w:t>
      </w:r>
    </w:p>
    <w:p>
      <w:pPr>
        <w:pStyle w:val="495"/>
        <w:kinsoku/>
        <w:wordWrap/>
        <w:overflowPunct/>
        <w:topLinePunct/>
        <w:autoSpaceDE/>
        <w:autoSpaceDN/>
        <w:bidi w:val="0"/>
        <w:spacing w:line="500" w:lineRule="exact"/>
        <w:ind w:left="830" w:firstLine="0" w:firstLineChars="0"/>
        <w:rPr>
          <w:rFonts w:hint="eastAsia" w:ascii="宋体" w:hAnsi="宋体" w:eastAsia="宋体" w:cs="宋体"/>
          <w:sz w:val="24"/>
          <w:szCs w:val="24"/>
          <w:highlight w:val="none"/>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项目验收</w:t>
      </w:r>
    </w:p>
    <w:p>
      <w:pPr>
        <w:pStyle w:val="495"/>
        <w:numPr>
          <w:ilvl w:val="0"/>
          <w:numId w:val="30"/>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甲方按《软件产品功能清单》及《硬件产品交付清单》对乙方提供的软硬件进行验收。</w:t>
      </w:r>
    </w:p>
    <w:p>
      <w:pPr>
        <w:pStyle w:val="495"/>
        <w:numPr>
          <w:ilvl w:val="0"/>
          <w:numId w:val="30"/>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项目开发和服务具备完工（竣工）验收条件，乙方向甲方代表提供完整的资料及其请求验收的报告。甲方代表接到报告后5个工作日内按相关验收条件核实已完成情况，组织现场验收，并在验收会议召开24小时前通知乙方，乙方应为验收提供便利条件并派有关人员参加，甲方应在验收后5个工作日内给予批准或提出修改意见。</w:t>
      </w:r>
    </w:p>
    <w:p>
      <w:pPr>
        <w:pStyle w:val="495"/>
        <w:numPr>
          <w:ilvl w:val="0"/>
          <w:numId w:val="30"/>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项目验收时，投标人需提供下列技术资料文档资料及其电子版,如未完整提供则视为验收不合格: 服务过程中记录的相关文档资料包括但不限于：月度巡检报告，风险评估报告，配件更换清单等，故障处理报告，重大事件操作报告，整体运行报告等。</w:t>
      </w:r>
    </w:p>
    <w:p>
      <w:pPr>
        <w:pStyle w:val="495"/>
        <w:numPr>
          <w:ilvl w:val="0"/>
          <w:numId w:val="30"/>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已安装硬件及管线需有明显标识。</w:t>
      </w:r>
    </w:p>
    <w:p>
      <w:pPr>
        <w:pStyle w:val="495"/>
        <w:numPr>
          <w:ilvl w:val="0"/>
          <w:numId w:val="30"/>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安装调试完成后，设备生产厂家技术工程师负责对甲方的直接使用者进行免费的现场培训，并达到甲方人员能够掌握正常操作，甲乙双方共同对设备安装调试及乙方培训效果进行验收，并由设备生产厂家技术工程师、乙方授权指派人员和甲方授权指定人员共同签署《项目验收报告》，一式三份，设备生产厂家及甲乙双方各执一份，具有同等的法律效力。 </w:t>
      </w:r>
    </w:p>
    <w:p>
      <w:pPr>
        <w:pStyle w:val="495"/>
        <w:kinsoku/>
        <w:wordWrap/>
        <w:overflowPunct/>
        <w:topLinePunct/>
        <w:autoSpaceDE/>
        <w:autoSpaceDN/>
        <w:bidi w:val="0"/>
        <w:spacing w:line="500" w:lineRule="exact"/>
        <w:ind w:left="830" w:firstLine="0" w:firstLineChars="0"/>
        <w:rPr>
          <w:rFonts w:hint="eastAsia" w:ascii="宋体" w:hAnsi="宋体" w:eastAsia="宋体" w:cs="宋体"/>
          <w:sz w:val="24"/>
          <w:szCs w:val="24"/>
          <w:highlight w:val="none"/>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保修及维护</w:t>
      </w:r>
    </w:p>
    <w:p>
      <w:pPr>
        <w:pStyle w:val="495"/>
        <w:numPr>
          <w:ilvl w:val="0"/>
          <w:numId w:val="31"/>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到货、安装、验收</w:t>
      </w:r>
    </w:p>
    <w:p>
      <w:pPr>
        <w:pStyle w:val="400"/>
        <w:kinsoku/>
        <w:wordWrap/>
        <w:overflowPunct/>
        <w:topLinePunct/>
        <w:autoSpaceDE/>
        <w:autoSpaceDN/>
        <w:bidi w:val="0"/>
        <w:spacing w:line="500" w:lineRule="exact"/>
        <w:ind w:left="1134" w:firstLine="48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货物（含软件和硬件）运抵使用单位后，乙方在甲方要求的时间内派技术人员到达项目现场，并在甲方技术人员在场的情况下开箱清点货物，且负责设备/系统的免费安装、调试。乙方提供安装调试所需的工具、备件、消耗品，并进行操作试验，直至设备/系统运行正常。</w:t>
      </w:r>
    </w:p>
    <w:p>
      <w:pPr>
        <w:pStyle w:val="495"/>
        <w:numPr>
          <w:ilvl w:val="0"/>
          <w:numId w:val="31"/>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技术支持</w:t>
      </w:r>
    </w:p>
    <w:p>
      <w:pPr>
        <w:pStyle w:val="400"/>
        <w:kinsoku/>
        <w:wordWrap/>
        <w:overflowPunct/>
        <w:topLinePunct/>
        <w:autoSpaceDE/>
        <w:autoSpaceDN/>
        <w:bidi w:val="0"/>
        <w:spacing w:line="500" w:lineRule="exact"/>
        <w:ind w:left="1134" w:firstLine="48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乙方负责提供完整的技术资料，包括中文操作手册及维修手册 2 套；且所供软件中所有软件的终身免费升级（发布后约三个月内），并提供相关技术咨询服务。</w:t>
      </w:r>
    </w:p>
    <w:p>
      <w:pPr>
        <w:pStyle w:val="495"/>
        <w:numPr>
          <w:ilvl w:val="0"/>
          <w:numId w:val="31"/>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培训</w:t>
      </w:r>
    </w:p>
    <w:p>
      <w:pPr>
        <w:pStyle w:val="400"/>
        <w:kinsoku/>
        <w:wordWrap/>
        <w:overflowPunct/>
        <w:topLinePunct/>
        <w:autoSpaceDE/>
        <w:autoSpaceDN/>
        <w:bidi w:val="0"/>
        <w:spacing w:line="500" w:lineRule="exact"/>
        <w:ind w:left="1134" w:firstLine="48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在设备/系统安装地点免费为医院相关人员进行使用及日常维护培训，直至甲方相关科室人员能熟练使用设备和日常故障的处理。详见培训方案。</w:t>
      </w:r>
    </w:p>
    <w:p>
      <w:pPr>
        <w:pStyle w:val="495"/>
        <w:numPr>
          <w:ilvl w:val="0"/>
          <w:numId w:val="31"/>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售后维修服务</w:t>
      </w:r>
    </w:p>
    <w:p>
      <w:pPr>
        <w:pStyle w:val="495"/>
        <w:numPr>
          <w:ilvl w:val="3"/>
          <w:numId w:val="32"/>
        </w:numPr>
        <w:kinsoku/>
        <w:wordWrap/>
        <w:overflowPunct/>
        <w:topLinePunct/>
        <w:autoSpaceDE/>
        <w:autoSpaceDN/>
        <w:bidi w:val="0"/>
        <w:spacing w:line="500" w:lineRule="exact"/>
        <w:ind w:left="1134"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保修期</w:t>
      </w:r>
    </w:p>
    <w:p>
      <w:pPr>
        <w:pStyle w:val="400"/>
        <w:kinsoku/>
        <w:wordWrap/>
        <w:overflowPunct/>
        <w:topLinePunct/>
        <w:autoSpaceDE/>
        <w:autoSpaceDN/>
        <w:bidi w:val="0"/>
        <w:spacing w:line="500" w:lineRule="exact"/>
        <w:ind w:left="1134" w:firstLine="48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验收合格之日起提供</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年系统软件的质保期，所有硬件</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年原厂保修，并指派专门维护团队，每年免费巡检</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次。保修期内零配件应免费更换。原厂负责设备维修。需返厂维修的部件乙方负责提供符合要求的替代产品，运费由乙方负担。</w:t>
      </w:r>
    </w:p>
    <w:p>
      <w:pPr>
        <w:pStyle w:val="495"/>
        <w:numPr>
          <w:ilvl w:val="3"/>
          <w:numId w:val="32"/>
        </w:numPr>
        <w:kinsoku/>
        <w:wordWrap/>
        <w:overflowPunct/>
        <w:topLinePunct/>
        <w:autoSpaceDE/>
        <w:autoSpaceDN/>
        <w:bidi w:val="0"/>
        <w:spacing w:line="500" w:lineRule="exact"/>
        <w:ind w:left="1134"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保修期延长</w:t>
      </w:r>
    </w:p>
    <w:p>
      <w:pPr>
        <w:pStyle w:val="400"/>
        <w:kinsoku/>
        <w:wordWrap/>
        <w:overflowPunct/>
        <w:topLinePunct/>
        <w:autoSpaceDE/>
        <w:autoSpaceDN/>
        <w:bidi w:val="0"/>
        <w:spacing w:line="500" w:lineRule="exact"/>
        <w:ind w:left="1134" w:firstLine="48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对于保修期内因维修或更换造成设备/系统停止使用，或开机率不够 95%的，保修期时间须相应延长。更换或维修过的系统/设备或部件的保修期应从更换或维修完成之日起相应延长。</w:t>
      </w:r>
    </w:p>
    <w:p>
      <w:pPr>
        <w:pStyle w:val="495"/>
        <w:numPr>
          <w:ilvl w:val="3"/>
          <w:numId w:val="32"/>
        </w:numPr>
        <w:kinsoku/>
        <w:wordWrap/>
        <w:overflowPunct/>
        <w:topLinePunct/>
        <w:autoSpaceDE/>
        <w:autoSpaceDN/>
        <w:bidi w:val="0"/>
        <w:spacing w:line="500" w:lineRule="exact"/>
        <w:ind w:left="1134"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运维团队：</w:t>
      </w:r>
    </w:p>
    <w:p>
      <w:pPr>
        <w:pStyle w:val="400"/>
        <w:kinsoku/>
        <w:wordWrap/>
        <w:overflowPunct/>
        <w:topLinePunct/>
        <w:autoSpaceDE/>
        <w:autoSpaceDN/>
        <w:bidi w:val="0"/>
        <w:spacing w:line="500" w:lineRule="exact"/>
        <w:ind w:left="1134" w:firstLine="48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乙方在郑州本地组建专业的保障团队，为河南省人民医院</w:t>
      </w:r>
      <w:r>
        <w:rPr>
          <w:rFonts w:hint="eastAsia" w:ascii="宋体" w:hAnsi="宋体" w:eastAsia="宋体" w:cs="宋体"/>
          <w:sz w:val="24"/>
          <w:szCs w:val="24"/>
          <w:highlight w:val="none"/>
          <w:u w:val="single"/>
        </w:rPr>
        <w:t xml:space="preserve">        </w:t>
      </w:r>
      <w:r>
        <w:rPr>
          <w:rFonts w:hint="eastAsia" w:ascii="宋体" w:hAnsi="宋体" w:eastAsia="宋体" w:cs="宋体"/>
          <w:kern w:val="0"/>
          <w:sz w:val="24"/>
          <w:szCs w:val="24"/>
          <w:highlight w:val="none"/>
        </w:rPr>
        <w:t>项目提供 7*24 小时响应服务需求。乙方提供保障团队的人员名单，联系电话，乙方保证，此保障团队能够提供 7×24 小时的包括主机、存储、网络、软件层面的维护保障服务。</w:t>
      </w:r>
    </w:p>
    <w:p>
      <w:pPr>
        <w:pStyle w:val="495"/>
        <w:numPr>
          <w:ilvl w:val="3"/>
          <w:numId w:val="32"/>
        </w:numPr>
        <w:kinsoku/>
        <w:wordWrap/>
        <w:overflowPunct/>
        <w:topLinePunct/>
        <w:autoSpaceDE/>
        <w:autoSpaceDN/>
        <w:bidi w:val="0"/>
        <w:spacing w:line="500" w:lineRule="exact"/>
        <w:ind w:left="1134"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乙方需响应并执行投标文件做出的各项服务承诺。</w:t>
      </w:r>
    </w:p>
    <w:p>
      <w:pPr>
        <w:pStyle w:val="400"/>
        <w:kinsoku/>
        <w:wordWrap/>
        <w:overflowPunct/>
        <w:topLinePunct/>
        <w:autoSpaceDE/>
        <w:autoSpaceDN/>
        <w:bidi w:val="0"/>
        <w:spacing w:line="500" w:lineRule="exact"/>
        <w:ind w:left="405" w:firstLine="0" w:firstLineChars="0"/>
        <w:jc w:val="left"/>
        <w:rPr>
          <w:rFonts w:hint="eastAsia" w:ascii="宋体" w:hAnsi="宋体" w:eastAsia="宋体" w:cs="宋体"/>
          <w:kern w:val="0"/>
          <w:sz w:val="24"/>
          <w:szCs w:val="24"/>
          <w:highlight w:val="none"/>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知识产权权属及知识产权保护</w:t>
      </w:r>
    </w:p>
    <w:p>
      <w:pPr>
        <w:pStyle w:val="495"/>
        <w:numPr>
          <w:ilvl w:val="0"/>
          <w:numId w:val="33"/>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本合同项下开发的所有软件，包括但不限于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系统的知识产权均为乙方合法所有。</w:t>
      </w:r>
    </w:p>
    <w:p>
      <w:pPr>
        <w:pStyle w:val="495"/>
        <w:numPr>
          <w:ilvl w:val="0"/>
          <w:numId w:val="33"/>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本合同项目所产生的数据归甲方所有，乙方不得以任何形式将甲方数据泄露给第三方，由此造成的侵权和损失由乙方承担。</w:t>
      </w:r>
    </w:p>
    <w:p>
      <w:pPr>
        <w:pStyle w:val="495"/>
        <w:numPr>
          <w:ilvl w:val="0"/>
          <w:numId w:val="33"/>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乙方将数据库结构及说明全面提供给甲方，以便于甲方合法使用本合同项目所产生的数据。</w:t>
      </w:r>
    </w:p>
    <w:p>
      <w:pPr>
        <w:pStyle w:val="495"/>
        <w:numPr>
          <w:ilvl w:val="0"/>
          <w:numId w:val="33"/>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乙方拥有乙方公司编制的程序的版权，并拥有该软件在软件登记中心的申报权。</w:t>
      </w:r>
    </w:p>
    <w:p>
      <w:pPr>
        <w:pStyle w:val="495"/>
        <w:numPr>
          <w:ilvl w:val="0"/>
          <w:numId w:val="33"/>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甲方按本合同条款规定支付完毕合同书上所列产品的全部软件许可使用费（包含合同价内）后，乙方授予甲方上述软件产品的合法使用权。甲方对本合同中的相关系统及子系统具有使用权。</w:t>
      </w:r>
    </w:p>
    <w:p>
      <w:pPr>
        <w:pStyle w:val="495"/>
        <w:numPr>
          <w:ilvl w:val="0"/>
          <w:numId w:val="33"/>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甲方不得将乙方授予的软件使用权及相关文档进行出租、出借、销售、转让、非存档目的的拷贝或通过提供分许可、转许可、信息网络等形式供任何第三人利用。</w:t>
      </w:r>
    </w:p>
    <w:p>
      <w:pPr>
        <w:pStyle w:val="495"/>
        <w:numPr>
          <w:ilvl w:val="0"/>
          <w:numId w:val="33"/>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甲方不得删除或修改乙方软件和乙方提供的资料中所包含的任何版权、商标或其他任何标志。</w:t>
      </w:r>
    </w:p>
    <w:p>
      <w:pPr>
        <w:pStyle w:val="495"/>
        <w:numPr>
          <w:ilvl w:val="0"/>
          <w:numId w:val="33"/>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知晓并认可该乙方软件系乙方财产，乙方拥有完整的所有权,甲方仅有使用权，未经乙方正式的书面授权甲方不得在乙方软件上进行二次开发。甲方在乙方软件上的任何修改、扩展应用、二次开发等均需得到乙方书面文字形式的正式授权。</w:t>
      </w:r>
    </w:p>
    <w:p>
      <w:pPr>
        <w:pStyle w:val="495"/>
        <w:numPr>
          <w:ilvl w:val="0"/>
          <w:numId w:val="33"/>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甲方不得将乙方软件全部或部分移植到本项目以外的其它平台、硬件或设备中。</w:t>
      </w:r>
    </w:p>
    <w:p>
      <w:pPr>
        <w:pStyle w:val="495"/>
        <w:numPr>
          <w:ilvl w:val="0"/>
          <w:numId w:val="33"/>
        </w:numPr>
        <w:kinsoku/>
        <w:wordWrap/>
        <w:overflowPunct/>
        <w:topLinePunct/>
        <w:autoSpaceDE/>
        <w:autoSpaceDN/>
        <w:bidi w:val="0"/>
        <w:spacing w:line="500" w:lineRule="exact"/>
        <w:ind w:firstLineChars="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乙方保证前述乙方软件不存在任何侵权行为，如经法院以生效判决确认侵权的，乙方将承担该生效判决内所认定的侵权赔偿责任。</w:t>
      </w:r>
    </w:p>
    <w:p>
      <w:pPr>
        <w:pStyle w:val="495"/>
        <w:kinsoku/>
        <w:wordWrap/>
        <w:overflowPunct/>
        <w:topLinePunct/>
        <w:autoSpaceDE/>
        <w:autoSpaceDN/>
        <w:bidi w:val="0"/>
        <w:spacing w:line="500" w:lineRule="exact"/>
        <w:ind w:left="1442"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w:t>
      </w: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保密约定</w:t>
      </w:r>
    </w:p>
    <w:p>
      <w:pPr>
        <w:pStyle w:val="495"/>
        <w:numPr>
          <w:ilvl w:val="0"/>
          <w:numId w:val="34"/>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软件的成交价格是已在充分考虑甲方实际情况下所定的优惠价格，亦为乙方的商业秘密，甲方承诺在本合同签订后叁年内不将此价格透露给任何第三方,包括但不限于院内未直接参与合同与招标谈判的其他工作人员。</w:t>
      </w:r>
    </w:p>
    <w:p>
      <w:pPr>
        <w:pStyle w:val="495"/>
        <w:numPr>
          <w:ilvl w:val="0"/>
          <w:numId w:val="34"/>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甲方不得将乙方提供的文档、资料向第三方（包括但不限于院内未直接参与合同与招标谈判的其他工作人员）泄露。</w:t>
      </w:r>
    </w:p>
    <w:p>
      <w:pPr>
        <w:pStyle w:val="495"/>
        <w:numPr>
          <w:ilvl w:val="0"/>
          <w:numId w:val="34"/>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甲方保证不向甲方以外地任何人透漏任何乙方商业机密及专有知识、专有技术或乙方的知识产权。</w:t>
      </w:r>
    </w:p>
    <w:p>
      <w:pPr>
        <w:pStyle w:val="495"/>
        <w:numPr>
          <w:ilvl w:val="0"/>
          <w:numId w:val="34"/>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提供的为推进本项目合作的所有的商业秘密、技术秘密、以及其他具有保密性的信息，包括由甲方向乙方提供的详细资料，和所有与本项目相关的其他资料等。秘密信息仅备用与甲方或合同所规定的用途，除非得到甲方的书面同意，不得向任何第三方透漏，否则甲方有权追究相关法律责任。</w:t>
      </w:r>
    </w:p>
    <w:p>
      <w:pPr>
        <w:pStyle w:val="495"/>
        <w:numPr>
          <w:ilvl w:val="0"/>
          <w:numId w:val="34"/>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乙方对在工作过程中接触到的甲方的任何资料、文件、数据（无论书面的或电子的）以及对为甲方服务形成的任何交付物，负有为甲方保密的责任。乙方未得到甲方同意，不得以任何方式向任何第三方提供或透露。</w:t>
      </w:r>
    </w:p>
    <w:p>
      <w:pPr>
        <w:pStyle w:val="495"/>
        <w:numPr>
          <w:ilvl w:val="0"/>
          <w:numId w:val="34"/>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甲方向乙方提供的任何资料、文件和信息在乙方服务结束后，乙方应及时归还甲方，电子文档的，应从自己的电脑等存储设备上永久删除。</w:t>
      </w:r>
    </w:p>
    <w:p>
      <w:pPr>
        <w:pStyle w:val="495"/>
        <w:kinsoku/>
        <w:wordWrap/>
        <w:overflowPunct/>
        <w:topLinePunct/>
        <w:autoSpaceDE/>
        <w:autoSpaceDN/>
        <w:bidi w:val="0"/>
        <w:spacing w:line="500" w:lineRule="exact"/>
        <w:ind w:left="830" w:firstLine="0" w:firstLineChars="0"/>
        <w:rPr>
          <w:rFonts w:hint="eastAsia" w:ascii="宋体" w:hAnsi="宋体" w:eastAsia="宋体" w:cs="宋体"/>
          <w:sz w:val="24"/>
          <w:szCs w:val="24"/>
          <w:highlight w:val="none"/>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违约及诉讼</w:t>
      </w:r>
      <w:r>
        <w:rPr>
          <w:rFonts w:hint="eastAsia" w:ascii="宋体" w:hAnsi="宋体" w:eastAsia="宋体" w:cs="宋体"/>
          <w:b/>
          <w:bCs/>
          <w:kern w:val="0"/>
          <w:sz w:val="24"/>
          <w:szCs w:val="24"/>
          <w:highlight w:val="none"/>
        </w:rPr>
        <w:tab/>
      </w:r>
    </w:p>
    <w:p>
      <w:pPr>
        <w:pStyle w:val="495"/>
        <w:numPr>
          <w:ilvl w:val="0"/>
          <w:numId w:val="35"/>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双方将本着长期友好合作的精神，协商解决合同执行过程中的问题及纠纷。双方一致同意，当协商不成时，甲乙双方均可向甲方所在地人民法院起诉，结果是最终的，对双方均有约束力。本合同中包含的任何一项条款在被认为无效或不具有强制执行力的情况下，该项 条款的无效性或不可执行性不得影响其它条款的执行。</w:t>
      </w:r>
    </w:p>
    <w:p>
      <w:pPr>
        <w:pStyle w:val="495"/>
        <w:numPr>
          <w:ilvl w:val="0"/>
          <w:numId w:val="35"/>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任何一方违反其在本合同项下的任何义务，均被视为违约行为，违约方应当承担采取补救措施、支付违约金或赔偿损失等违约责任。</w:t>
      </w:r>
    </w:p>
    <w:p>
      <w:pPr>
        <w:pStyle w:val="495"/>
        <w:numPr>
          <w:ilvl w:val="0"/>
          <w:numId w:val="35"/>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如甲方延期付款的，每逾期一日，甲方应向乙方支付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不超过合同总金额千分之五）的逾期付款违约金。如逾期付款超过六十工作日，乙方有权单方终止本合同。甲方应当向乙方支付所有乙方已经发生的前期投入费用并承担因甲方违约给乙方造成的全部损失。如乙方未能按时完成本合同约定的项目工期，每逾期一日，乙方应向甲方支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不超过合同总金额千分之五）的逾期交付违约金，如逾期付款超过六十工作日，甲方有权单方终止本合同。乙方应当向甲方支付所有甲方已经发生的前期投入费用（包括硬件投入）并承担因乙方违约给甲方造成的全部损失。</w:t>
      </w:r>
    </w:p>
    <w:p>
      <w:pPr>
        <w:pStyle w:val="495"/>
        <w:numPr>
          <w:ilvl w:val="0"/>
          <w:numId w:val="35"/>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任何一方违反本合同第九条的约定，守约方有权立即单方解除本合同。如守约方因对方的违约行为遭受了损失（包括但不限于守约方因采取补救措施所发生的合理的律师费用、调查取证费及执行该赔偿的费用），违约方还应向守约方赔偿全部损失。上述赔偿并不免除双方在本合同项下的其他义务。</w:t>
      </w:r>
    </w:p>
    <w:p>
      <w:pPr>
        <w:pStyle w:val="495"/>
        <w:numPr>
          <w:ilvl w:val="0"/>
          <w:numId w:val="35"/>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如软件验收不合格，则令其改至合格为止。如硬件产品技术参数未达到原有要求，则必须更换不低于合同要求的硬件产品；如质量不合格，则必须更换技术参数不低于合同要求的硬件产品。如乙方一直未达到甲方验收要求，则不予以支付合同费用。</w:t>
      </w:r>
    </w:p>
    <w:p>
      <w:pPr>
        <w:pStyle w:val="400"/>
        <w:widowControl/>
        <w:kinsoku/>
        <w:wordWrap/>
        <w:overflowPunct/>
        <w:topLinePunct/>
        <w:autoSpaceDE/>
        <w:autoSpaceDN/>
        <w:bidi w:val="0"/>
        <w:spacing w:line="500" w:lineRule="exact"/>
        <w:ind w:left="405" w:firstLine="0" w:firstLineChars="0"/>
        <w:jc w:val="left"/>
        <w:rPr>
          <w:rFonts w:hint="eastAsia" w:ascii="宋体" w:hAnsi="宋体" w:eastAsia="宋体" w:cs="宋体"/>
          <w:kern w:val="0"/>
          <w:sz w:val="24"/>
          <w:szCs w:val="24"/>
          <w:highlight w:val="none"/>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合同暂停与终止</w:t>
      </w:r>
    </w:p>
    <w:p>
      <w:pPr>
        <w:pStyle w:val="495"/>
        <w:numPr>
          <w:ilvl w:val="0"/>
          <w:numId w:val="36"/>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合同变更</w:t>
      </w:r>
    </w:p>
    <w:p>
      <w:pPr>
        <w:pStyle w:val="495"/>
        <w:kinsoku/>
        <w:wordWrap/>
        <w:overflowPunct/>
        <w:topLinePunct/>
        <w:autoSpaceDE/>
        <w:autoSpaceDN/>
        <w:bidi w:val="0"/>
        <w:spacing w:line="500" w:lineRule="exact"/>
        <w:ind w:left="1276"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本合同履行期间，发生特殊情况时，甲、乙任何一方需变更本合同的，要求变更一方应及时书面通知对方，征得对方同意后，双方在规定的时限内（书面通知发出3天内）签订书面变更协议，该协议将成为合同不可分割的部分。未经双方签署书面文件，任何一方无权变更本合同，否则，由此造成对方的经济损失，由责任方承担。</w:t>
      </w:r>
    </w:p>
    <w:p>
      <w:pPr>
        <w:pStyle w:val="495"/>
        <w:numPr>
          <w:ilvl w:val="0"/>
          <w:numId w:val="36"/>
        </w:numPr>
        <w:kinsoku/>
        <w:wordWrap/>
        <w:overflowPunct/>
        <w:topLinePunct/>
        <w:autoSpaceDE/>
        <w:autoSpaceDN/>
        <w:bidi w:val="0"/>
        <w:spacing w:line="500" w:lineRule="exact"/>
        <w:ind w:left="1418" w:hanging="709"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合同终止</w:t>
      </w:r>
    </w:p>
    <w:p>
      <w:pPr>
        <w:pStyle w:val="495"/>
        <w:kinsoku/>
        <w:wordWrap/>
        <w:overflowPunct/>
        <w:topLinePunct/>
        <w:autoSpaceDE/>
        <w:autoSpaceDN/>
        <w:bidi w:val="0"/>
        <w:spacing w:line="500" w:lineRule="exact"/>
        <w:ind w:left="1276"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除本合同已有约定的合同终止情形外，若乙方未能履行合同项下的任何义务，在收到甲方发出的要求乙方纠正违约行为的通知后15天内（含本数）仍未能采取纠正措施，则甲方可向乙方发出书面解除合同的通知，终止全部或部分合同。此种合同终止并不损害或影响甲方根据本合同已采取或将采取任何补救措施的权利。</w:t>
      </w:r>
    </w:p>
    <w:p>
      <w:pPr>
        <w:pStyle w:val="495"/>
        <w:kinsoku/>
        <w:wordWrap/>
        <w:overflowPunct/>
        <w:topLinePunct/>
        <w:autoSpaceDE/>
        <w:autoSpaceDN/>
        <w:bidi w:val="0"/>
        <w:spacing w:line="500" w:lineRule="exact"/>
        <w:ind w:left="1276"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甲方终止部分或全部合同后，可以按其认为适当的条件和方式向第三方采购乙方未交付的合同硬件或已交付但被退回的合同硬件。乙方应承担甲方向第三方购买本应由乙方供应的合同硬件所发生的所有额外费用，并应按照甲方要求继续履行合同未终止部分。</w:t>
      </w:r>
    </w:p>
    <w:p>
      <w:pPr>
        <w:pStyle w:val="495"/>
        <w:kinsoku/>
        <w:wordWrap/>
        <w:overflowPunct/>
        <w:topLinePunct/>
        <w:autoSpaceDE/>
        <w:autoSpaceDN/>
        <w:bidi w:val="0"/>
        <w:spacing w:line="500" w:lineRule="exact"/>
        <w:ind w:left="1418" w:firstLine="0" w:firstLineChars="0"/>
        <w:rPr>
          <w:rFonts w:hint="eastAsia" w:ascii="宋体" w:hAnsi="宋体" w:eastAsia="宋体" w:cs="宋体"/>
          <w:sz w:val="24"/>
          <w:szCs w:val="24"/>
          <w:highlight w:val="none"/>
        </w:rPr>
      </w:pPr>
    </w:p>
    <w:p>
      <w:pPr>
        <w:pStyle w:val="495"/>
        <w:numPr>
          <w:ilvl w:val="0"/>
          <w:numId w:val="24"/>
        </w:numPr>
        <w:kinsoku/>
        <w:wordWrap/>
        <w:overflowPunct/>
        <w:topLinePunct/>
        <w:autoSpaceDE/>
        <w:autoSpaceDN/>
        <w:bidi w:val="0"/>
        <w:spacing w:line="500" w:lineRule="exact"/>
        <w:ind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不可抗力</w:t>
      </w:r>
    </w:p>
    <w:p>
      <w:pPr>
        <w:pStyle w:val="495"/>
        <w:numPr>
          <w:ilvl w:val="0"/>
          <w:numId w:val="37"/>
        </w:numPr>
        <w:kinsoku/>
        <w:wordWrap/>
        <w:overflowPunct/>
        <w:topLinePunct/>
        <w:autoSpaceDE/>
        <w:autoSpaceDN/>
        <w:bidi w:val="0"/>
        <w:spacing w:line="500" w:lineRule="exact"/>
        <w:ind w:left="1418"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不可抗力是指不能预见、不能避免并不能克服的客观情况。</w:t>
      </w:r>
    </w:p>
    <w:p>
      <w:pPr>
        <w:pStyle w:val="495"/>
        <w:numPr>
          <w:ilvl w:val="0"/>
          <w:numId w:val="37"/>
        </w:numPr>
        <w:kinsoku/>
        <w:wordWrap/>
        <w:overflowPunct/>
        <w:topLinePunct/>
        <w:autoSpaceDE/>
        <w:autoSpaceDN/>
        <w:bidi w:val="0"/>
        <w:spacing w:line="500" w:lineRule="exact"/>
        <w:ind w:left="1418" w:hanging="709"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任何一方由于不可抗力而影响合同义务履行时，可根据不可抗力的影响程度和范围延迟或免除履行部分或全部合同义务。但是受不可抗力影响的一方应尽量减小不可抗力引起的延误或其他不利影响，并在不可抗力影响消除后，立即通知对方。任何一方不得因不可抗力造成的延迟而要求调整合同价格。</w:t>
      </w:r>
    </w:p>
    <w:p>
      <w:pPr>
        <w:pStyle w:val="495"/>
        <w:numPr>
          <w:ilvl w:val="0"/>
          <w:numId w:val="37"/>
        </w:numPr>
        <w:kinsoku/>
        <w:wordWrap/>
        <w:overflowPunct/>
        <w:topLinePunct/>
        <w:autoSpaceDE/>
        <w:autoSpaceDN/>
        <w:bidi w:val="0"/>
        <w:spacing w:line="500" w:lineRule="exact"/>
        <w:ind w:left="1418" w:hanging="709"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受到不可抗力影响的一方应在不可抗力事件发生后2周内（含本数），取得有关部门关于发生不可抗力事件的证明文件，并以传真等书面形式提交另一方确认。否则，无权以不可抗力为由要求减轻或免除合同责任。</w:t>
      </w:r>
    </w:p>
    <w:p>
      <w:pPr>
        <w:pStyle w:val="495"/>
        <w:numPr>
          <w:ilvl w:val="0"/>
          <w:numId w:val="37"/>
        </w:numPr>
        <w:kinsoku/>
        <w:wordWrap/>
        <w:overflowPunct/>
        <w:topLinePunct/>
        <w:autoSpaceDE/>
        <w:autoSpaceDN/>
        <w:bidi w:val="0"/>
        <w:spacing w:line="500" w:lineRule="exact"/>
        <w:ind w:left="1418" w:hanging="709" w:firstLineChars="0"/>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如果不可抗力事件的影响已达120天或双方预计不可抗力事件的影响将延续120天（含本数）以上时，任何一方有权终止本合同。由于合同终止所引起的后续问题由双方友好协商解决。</w:t>
      </w:r>
      <w:r>
        <w:rPr>
          <w:rFonts w:hint="eastAsia" w:ascii="宋体" w:hAnsi="宋体" w:eastAsia="宋体" w:cs="宋体"/>
          <w:kern w:val="0"/>
          <w:sz w:val="24"/>
          <w:szCs w:val="24"/>
          <w:highlight w:val="none"/>
        </w:rPr>
        <w:t xml:space="preserve"> </w:t>
      </w:r>
    </w:p>
    <w:p>
      <w:pPr>
        <w:pStyle w:val="387"/>
        <w:kinsoku/>
        <w:wordWrap/>
        <w:overflowPunct/>
        <w:topLinePunct/>
        <w:autoSpaceDE/>
        <w:autoSpaceDN/>
        <w:bidi w:val="0"/>
        <w:spacing w:line="500" w:lineRule="exact"/>
        <w:ind w:firstLine="0" w:firstLineChars="0"/>
        <w:rPr>
          <w:rFonts w:hint="eastAsia" w:ascii="宋体" w:hAnsi="宋体" w:eastAsia="宋体" w:cs="宋体"/>
          <w:sz w:val="24"/>
          <w:szCs w:val="24"/>
          <w:highlight w:val="none"/>
        </w:rPr>
      </w:pPr>
    </w:p>
    <w:p>
      <w:pPr>
        <w:pStyle w:val="495"/>
        <w:numPr>
          <w:ilvl w:val="0"/>
          <w:numId w:val="24"/>
        </w:numPr>
        <w:kinsoku/>
        <w:wordWrap/>
        <w:overflowPunct/>
        <w:topLinePunct/>
        <w:autoSpaceDE/>
        <w:autoSpaceDN/>
        <w:bidi w:val="0"/>
        <w:spacing w:line="500" w:lineRule="exact"/>
        <w:ind w:left="851" w:hanging="851"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其它约定</w:t>
      </w:r>
    </w:p>
    <w:p>
      <w:pPr>
        <w:pStyle w:val="495"/>
        <w:numPr>
          <w:ilvl w:val="0"/>
          <w:numId w:val="38"/>
        </w:numPr>
        <w:kinsoku/>
        <w:wordWrap/>
        <w:overflowPunct/>
        <w:topLinePunct/>
        <w:autoSpaceDE/>
        <w:autoSpaceDN/>
        <w:bidi w:val="0"/>
        <w:spacing w:line="5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本合同书一式陆份，具有同等法律效力。甲方执肆份，乙方执贰份。</w:t>
      </w:r>
    </w:p>
    <w:p>
      <w:pPr>
        <w:pStyle w:val="495"/>
        <w:numPr>
          <w:ilvl w:val="0"/>
          <w:numId w:val="38"/>
        </w:numPr>
        <w:kinsoku/>
        <w:wordWrap/>
        <w:overflowPunct/>
        <w:topLinePunct/>
        <w:autoSpaceDE/>
        <w:autoSpaceDN/>
        <w:bidi w:val="0"/>
        <w:spacing w:line="500" w:lineRule="exact"/>
        <w:ind w:left="1418" w:hanging="709"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本合同自双方法定代表人或其授权代表人签字，并加盖双方公章或合同章后即生效。</w:t>
      </w:r>
    </w:p>
    <w:p>
      <w:pPr>
        <w:pStyle w:val="495"/>
        <w:numPr>
          <w:ilvl w:val="0"/>
          <w:numId w:val="38"/>
        </w:numPr>
        <w:kinsoku/>
        <w:wordWrap/>
        <w:overflowPunct/>
        <w:topLinePunct/>
        <w:autoSpaceDE/>
        <w:autoSpaceDN/>
        <w:bidi w:val="0"/>
        <w:spacing w:line="500" w:lineRule="exact"/>
        <w:ind w:left="1418" w:hanging="709"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未尽事宜，双方将协商解决，并就具体问题签署补充合同或备忘录。附件与合同具有同等法律效力。</w:t>
      </w:r>
    </w:p>
    <w:p>
      <w:pPr>
        <w:kinsoku/>
        <w:wordWrap/>
        <w:overflowPunct/>
        <w:topLinePunct/>
        <w:autoSpaceDE/>
        <w:autoSpaceDN/>
        <w:bidi w:val="0"/>
        <w:spacing w:line="500" w:lineRule="exact"/>
        <w:ind w:firstLine="723" w:firstLineChars="300"/>
        <w:rPr>
          <w:rFonts w:hint="eastAsia" w:ascii="宋体" w:hAnsi="宋体" w:eastAsia="宋体" w:cs="宋体"/>
          <w:b/>
          <w:sz w:val="24"/>
          <w:szCs w:val="24"/>
          <w:highlight w:val="none"/>
        </w:rPr>
      </w:pPr>
      <w:r>
        <w:rPr>
          <w:rFonts w:hint="eastAsia" w:ascii="宋体" w:hAnsi="宋体" w:eastAsia="宋体" w:cs="宋体"/>
          <w:b/>
          <w:sz w:val="24"/>
          <w:szCs w:val="24"/>
          <w:highlight w:val="none"/>
        </w:rPr>
        <w:t>以下的文件作为本合同的附件：</w:t>
      </w:r>
    </w:p>
    <w:p>
      <w:pPr>
        <w:kinsoku/>
        <w:wordWrap/>
        <w:overflowPunct/>
        <w:topLinePunct/>
        <w:autoSpaceDE/>
        <w:autoSpaceDN/>
        <w:bidi w:val="0"/>
        <w:spacing w:line="500" w:lineRule="exact"/>
        <w:ind w:left="425" w:firstLine="425"/>
        <w:rPr>
          <w:rFonts w:hint="eastAsia" w:ascii="宋体" w:hAnsi="宋体" w:eastAsia="宋体" w:cs="宋体"/>
          <w:sz w:val="24"/>
          <w:szCs w:val="24"/>
          <w:highlight w:val="none"/>
        </w:rPr>
      </w:pPr>
      <w:r>
        <w:rPr>
          <w:rFonts w:hint="eastAsia" w:ascii="宋体" w:hAnsi="宋体" w:eastAsia="宋体" w:cs="宋体"/>
          <w:sz w:val="24"/>
          <w:szCs w:val="24"/>
          <w:highlight w:val="none"/>
        </w:rPr>
        <w:t>附件一：《合同金额清单》</w:t>
      </w:r>
    </w:p>
    <w:p>
      <w:pPr>
        <w:kinsoku/>
        <w:wordWrap/>
        <w:overflowPunct/>
        <w:topLinePunct/>
        <w:autoSpaceDE/>
        <w:autoSpaceDN/>
        <w:bidi w:val="0"/>
        <w:spacing w:line="500" w:lineRule="exact"/>
        <w:ind w:left="425" w:firstLine="425"/>
        <w:rPr>
          <w:rFonts w:hint="eastAsia" w:ascii="宋体" w:hAnsi="宋体" w:eastAsia="宋体" w:cs="宋体"/>
          <w:sz w:val="24"/>
          <w:szCs w:val="24"/>
          <w:highlight w:val="none"/>
        </w:rPr>
      </w:pPr>
      <w:r>
        <w:rPr>
          <w:rFonts w:hint="eastAsia" w:ascii="宋体" w:hAnsi="宋体" w:eastAsia="宋体" w:cs="宋体"/>
          <w:sz w:val="24"/>
          <w:szCs w:val="24"/>
          <w:highlight w:val="none"/>
        </w:rPr>
        <w:t>附件二：《软件产品功能清单》</w:t>
      </w:r>
    </w:p>
    <w:p>
      <w:pPr>
        <w:kinsoku/>
        <w:wordWrap/>
        <w:overflowPunct/>
        <w:topLinePunct/>
        <w:autoSpaceDE/>
        <w:autoSpaceDN/>
        <w:bidi w:val="0"/>
        <w:spacing w:line="500" w:lineRule="exact"/>
        <w:ind w:left="425" w:firstLine="425"/>
        <w:rPr>
          <w:rFonts w:hint="eastAsia" w:ascii="宋体" w:hAnsi="宋体" w:eastAsia="宋体" w:cs="宋体"/>
          <w:sz w:val="24"/>
          <w:szCs w:val="24"/>
          <w:highlight w:val="none"/>
        </w:rPr>
      </w:pPr>
      <w:r>
        <w:rPr>
          <w:rFonts w:hint="eastAsia" w:ascii="宋体" w:hAnsi="宋体" w:eastAsia="宋体" w:cs="宋体"/>
          <w:sz w:val="24"/>
          <w:szCs w:val="24"/>
          <w:highlight w:val="none"/>
        </w:rPr>
        <w:t>附件三：《硬件产品交付清单》</w:t>
      </w:r>
    </w:p>
    <w:p>
      <w:pPr>
        <w:kinsoku/>
        <w:wordWrap/>
        <w:overflowPunct/>
        <w:topLinePunct/>
        <w:autoSpaceDE/>
        <w:autoSpaceDN/>
        <w:bidi w:val="0"/>
        <w:spacing w:line="500" w:lineRule="exact"/>
        <w:ind w:left="425" w:firstLine="425"/>
        <w:rPr>
          <w:rFonts w:hint="eastAsia" w:ascii="宋体" w:hAnsi="宋体" w:eastAsia="宋体" w:cs="宋体"/>
          <w:sz w:val="24"/>
          <w:szCs w:val="24"/>
          <w:highlight w:val="none"/>
        </w:rPr>
      </w:pPr>
      <w:r>
        <w:rPr>
          <w:rFonts w:hint="eastAsia" w:ascii="宋体" w:hAnsi="宋体" w:eastAsia="宋体" w:cs="宋体"/>
          <w:sz w:val="24"/>
          <w:szCs w:val="24"/>
          <w:highlight w:val="none"/>
        </w:rPr>
        <w:t>附件四：《上线确认书》</w:t>
      </w:r>
    </w:p>
    <w:p>
      <w:pPr>
        <w:kinsoku/>
        <w:wordWrap/>
        <w:overflowPunct/>
        <w:topLinePunct/>
        <w:autoSpaceDE/>
        <w:autoSpaceDN/>
        <w:bidi w:val="0"/>
        <w:spacing w:line="500" w:lineRule="exact"/>
        <w:ind w:left="425" w:firstLine="425"/>
        <w:rPr>
          <w:rFonts w:hint="eastAsia" w:ascii="宋体" w:hAnsi="宋体" w:eastAsia="宋体" w:cs="宋体"/>
          <w:sz w:val="24"/>
          <w:szCs w:val="24"/>
          <w:highlight w:val="none"/>
        </w:rPr>
      </w:pPr>
      <w:r>
        <w:rPr>
          <w:rFonts w:hint="eastAsia" w:ascii="宋体" w:hAnsi="宋体" w:eastAsia="宋体" w:cs="宋体"/>
          <w:sz w:val="24"/>
          <w:szCs w:val="24"/>
          <w:highlight w:val="none"/>
        </w:rPr>
        <w:t>附件五：《项目验收报告》</w:t>
      </w:r>
    </w:p>
    <w:p>
      <w:pPr>
        <w:kinsoku/>
        <w:wordWrap/>
        <w:overflowPunct/>
        <w:topLinePunct/>
        <w:autoSpaceDE/>
        <w:autoSpaceDN/>
        <w:bidi w:val="0"/>
        <w:spacing w:line="500" w:lineRule="exact"/>
        <w:ind w:left="425" w:firstLine="425"/>
        <w:rPr>
          <w:rFonts w:hint="eastAsia" w:ascii="宋体" w:hAnsi="宋体" w:eastAsia="宋体" w:cs="宋体"/>
          <w:sz w:val="24"/>
          <w:szCs w:val="24"/>
        </w:rPr>
      </w:pPr>
    </w:p>
    <w:p>
      <w:pPr>
        <w:kinsoku/>
        <w:wordWrap/>
        <w:overflowPunct/>
        <w:topLinePunct/>
        <w:autoSpaceDE/>
        <w:autoSpaceDN/>
        <w:bidi w:val="0"/>
        <w:spacing w:line="276" w:lineRule="auto"/>
        <w:rPr>
          <w:rFonts w:hint="eastAsia" w:ascii="宋体" w:hAnsi="宋体" w:eastAsia="宋体" w:cs="宋体"/>
          <w:sz w:val="24"/>
          <w:szCs w:val="24"/>
        </w:rPr>
      </w:pPr>
    </w:p>
    <w:p>
      <w:pPr>
        <w:kinsoku/>
        <w:wordWrap/>
        <w:overflowPunct/>
        <w:topLinePunct/>
        <w:autoSpaceDE/>
        <w:autoSpaceDN/>
        <w:bidi w:val="0"/>
        <w:rPr>
          <w:rFonts w:hint="eastAsia" w:ascii="宋体" w:hAnsi="宋体" w:eastAsia="宋体" w:cs="宋体"/>
        </w:rPr>
      </w:pPr>
      <w:bookmarkStart w:id="54" w:name="_Toc393360948"/>
      <w:bookmarkStart w:id="55" w:name="_Toc393361069"/>
      <w:bookmarkStart w:id="56" w:name="_Toc393361160"/>
      <w:bookmarkStart w:id="57" w:name="_Toc393359937"/>
    </w:p>
    <w:p>
      <w:pPr>
        <w:kinsoku/>
        <w:wordWrap/>
        <w:overflowPunct/>
        <w:topLinePunct/>
        <w:autoSpaceDE/>
        <w:autoSpaceDN/>
        <w:bidi w:val="0"/>
        <w:rPr>
          <w:rFonts w:hint="eastAsia" w:ascii="宋体" w:hAnsi="宋体" w:eastAsia="宋体" w:cs="宋体"/>
        </w:rPr>
      </w:pPr>
    </w:p>
    <w:p>
      <w:pPr>
        <w:kinsoku/>
        <w:wordWrap/>
        <w:overflowPunct/>
        <w:topLinePunct/>
        <w:autoSpaceDE/>
        <w:autoSpaceDN/>
        <w:bidi w:val="0"/>
        <w:rPr>
          <w:rFonts w:hint="eastAsia" w:ascii="宋体" w:hAnsi="宋体" w:eastAsia="宋体" w:cs="宋体"/>
        </w:rPr>
      </w:pPr>
    </w:p>
    <w:p>
      <w:pPr>
        <w:kinsoku/>
        <w:wordWrap/>
        <w:overflowPunct/>
        <w:topLinePunct/>
        <w:autoSpaceDE/>
        <w:autoSpaceDN/>
        <w:bidi w:val="0"/>
        <w:rPr>
          <w:rFonts w:hint="eastAsia" w:ascii="宋体" w:hAnsi="宋体" w:eastAsia="宋体" w:cs="宋体"/>
        </w:rPr>
      </w:pPr>
    </w:p>
    <w:p>
      <w:pPr>
        <w:kinsoku/>
        <w:wordWrap/>
        <w:overflowPunct/>
        <w:topLinePunct/>
        <w:autoSpaceDE/>
        <w:autoSpaceDN/>
        <w:bidi w:val="0"/>
        <w:rPr>
          <w:rFonts w:hint="eastAsia" w:ascii="宋体" w:hAnsi="宋体" w:eastAsia="宋体" w:cs="宋体"/>
        </w:rPr>
      </w:pPr>
    </w:p>
    <w:p>
      <w:pPr>
        <w:kinsoku/>
        <w:wordWrap/>
        <w:overflowPunct/>
        <w:topLinePunct/>
        <w:autoSpaceDE/>
        <w:autoSpaceDN/>
        <w:bidi w:val="0"/>
        <w:rPr>
          <w:rFonts w:hint="eastAsia" w:ascii="宋体" w:hAnsi="宋体" w:eastAsia="宋体" w:cs="宋体"/>
        </w:rPr>
      </w:pPr>
    </w:p>
    <w:p>
      <w:pPr>
        <w:rPr>
          <w:rFonts w:hint="eastAsia" w:ascii="宋体" w:hAnsi="宋体" w:eastAsia="宋体" w:cs="宋体"/>
          <w:szCs w:val="36"/>
        </w:rPr>
      </w:pPr>
      <w:r>
        <w:rPr>
          <w:rFonts w:hint="eastAsia" w:ascii="宋体" w:hAnsi="宋体" w:eastAsia="宋体" w:cs="宋体"/>
          <w:szCs w:val="36"/>
        </w:rPr>
        <w:br w:type="page"/>
      </w:r>
    </w:p>
    <w:p>
      <w:pPr>
        <w:pStyle w:val="2"/>
        <w:kinsoku/>
        <w:wordWrap/>
        <w:overflowPunct/>
        <w:topLinePunct/>
        <w:autoSpaceDE/>
        <w:autoSpaceDN/>
        <w:bidi w:val="0"/>
        <w:spacing w:line="276" w:lineRule="auto"/>
        <w:jc w:val="center"/>
        <w:rPr>
          <w:rFonts w:hint="eastAsia" w:ascii="宋体" w:hAnsi="宋体" w:eastAsia="宋体" w:cs="宋体"/>
          <w:szCs w:val="36"/>
        </w:rPr>
      </w:pPr>
      <w:bookmarkStart w:id="58" w:name="_Toc18236"/>
      <w:r>
        <w:rPr>
          <w:rFonts w:hint="eastAsia" w:ascii="宋体" w:hAnsi="宋体" w:eastAsia="宋体" w:cs="宋体"/>
          <w:szCs w:val="36"/>
        </w:rPr>
        <w:t>第五章  投标文件相关格式</w:t>
      </w:r>
      <w:bookmarkEnd w:id="54"/>
      <w:bookmarkEnd w:id="55"/>
      <w:bookmarkEnd w:id="56"/>
      <w:bookmarkEnd w:id="57"/>
      <w:bookmarkEnd w:id="58"/>
    </w:p>
    <w:p>
      <w:pPr>
        <w:kinsoku/>
        <w:wordWrap/>
        <w:overflowPunct/>
        <w:topLinePunct/>
        <w:autoSpaceDE/>
        <w:autoSpaceDN/>
        <w:bidi w:val="0"/>
        <w:spacing w:line="276" w:lineRule="auto"/>
        <w:jc w:val="center"/>
        <w:rPr>
          <w:rFonts w:hint="eastAsia" w:ascii="宋体" w:hAnsi="宋体" w:eastAsia="宋体" w:cs="宋体"/>
          <w:sz w:val="24"/>
          <w:szCs w:val="24"/>
        </w:rPr>
      </w:pPr>
    </w:p>
    <w:p>
      <w:pPr>
        <w:kinsoku/>
        <w:wordWrap/>
        <w:overflowPunct/>
        <w:topLinePunct/>
        <w:autoSpaceDE/>
        <w:autoSpaceDN/>
        <w:bidi w:val="0"/>
        <w:spacing w:line="360" w:lineRule="auto"/>
        <w:jc w:val="center"/>
        <w:rPr>
          <w:rFonts w:hint="eastAsia" w:ascii="宋体" w:hAnsi="宋体" w:eastAsia="宋体" w:cs="宋体"/>
          <w:b/>
          <w:sz w:val="44"/>
        </w:rPr>
      </w:pPr>
    </w:p>
    <w:p>
      <w:pPr>
        <w:kinsoku/>
        <w:wordWrap/>
        <w:overflowPunct/>
        <w:topLinePunct/>
        <w:autoSpaceDE/>
        <w:autoSpaceDN/>
        <w:bidi w:val="0"/>
        <w:spacing w:line="360" w:lineRule="auto"/>
        <w:jc w:val="center"/>
        <w:rPr>
          <w:rFonts w:hint="eastAsia" w:ascii="宋体" w:hAnsi="宋体" w:eastAsia="宋体" w:cs="宋体"/>
          <w:sz w:val="44"/>
          <w:szCs w:val="44"/>
          <w:lang w:eastAsia="zh-CN"/>
        </w:rPr>
      </w:pPr>
      <w:r>
        <w:rPr>
          <w:rFonts w:hint="eastAsia" w:ascii="宋体" w:hAnsi="宋体" w:eastAsia="宋体" w:cs="宋体"/>
          <w:b/>
          <w:bCs/>
          <w:sz w:val="36"/>
          <w:szCs w:val="36"/>
        </w:rPr>
        <w:t>河南省人民医院</w:t>
      </w:r>
      <w:r>
        <w:rPr>
          <w:rFonts w:hint="eastAsia" w:ascii="宋体" w:hAnsi="宋体" w:cs="宋体"/>
          <w:b/>
          <w:bCs/>
          <w:sz w:val="36"/>
          <w:szCs w:val="36"/>
          <w:lang w:eastAsia="zh-CN"/>
        </w:rPr>
        <w:t>2024-2027年度全院服务器及存储设备维保服务项目</w:t>
      </w:r>
    </w:p>
    <w:p>
      <w:pPr>
        <w:kinsoku/>
        <w:wordWrap/>
        <w:overflowPunct/>
        <w:topLinePunct/>
        <w:autoSpaceDE/>
        <w:autoSpaceDN/>
        <w:bidi w:val="0"/>
        <w:spacing w:line="360" w:lineRule="auto"/>
        <w:jc w:val="center"/>
        <w:rPr>
          <w:rFonts w:hint="eastAsia" w:ascii="宋体" w:hAnsi="宋体" w:eastAsia="宋体" w:cs="宋体"/>
          <w:b/>
          <w:bCs/>
          <w:sz w:val="32"/>
          <w:szCs w:val="21"/>
        </w:rPr>
      </w:pPr>
    </w:p>
    <w:p>
      <w:pPr>
        <w:kinsoku/>
        <w:wordWrap/>
        <w:overflowPunct/>
        <w:topLinePunct/>
        <w:autoSpaceDE/>
        <w:autoSpaceDN/>
        <w:bidi w:val="0"/>
        <w:rPr>
          <w:rFonts w:hint="eastAsia" w:ascii="宋体" w:hAnsi="宋体" w:eastAsia="宋体" w:cs="宋体"/>
          <w:b/>
          <w:kern w:val="0"/>
          <w:sz w:val="44"/>
        </w:rPr>
      </w:pPr>
    </w:p>
    <w:p>
      <w:pPr>
        <w:pStyle w:val="84"/>
        <w:kinsoku/>
        <w:wordWrap/>
        <w:overflowPunct/>
        <w:topLinePunct/>
        <w:autoSpaceDE/>
        <w:autoSpaceDN/>
        <w:bidi w:val="0"/>
        <w:rPr>
          <w:rFonts w:hint="eastAsia" w:ascii="宋体" w:hAnsi="宋体" w:eastAsia="宋体" w:cs="宋体"/>
        </w:rPr>
      </w:pPr>
    </w:p>
    <w:p>
      <w:pPr>
        <w:pStyle w:val="85"/>
        <w:kinsoku/>
        <w:wordWrap/>
        <w:overflowPunct/>
        <w:topLinePunct/>
        <w:autoSpaceDE/>
        <w:autoSpaceDN/>
        <w:bidi w:val="0"/>
        <w:rPr>
          <w:rFonts w:hint="eastAsia" w:ascii="宋体" w:hAnsi="宋体" w:eastAsia="宋体" w:cs="宋体"/>
        </w:rPr>
      </w:pPr>
    </w:p>
    <w:p>
      <w:pPr>
        <w:pStyle w:val="85"/>
        <w:kinsoku/>
        <w:wordWrap/>
        <w:overflowPunct/>
        <w:topLinePunct/>
        <w:autoSpaceDE/>
        <w:autoSpaceDN/>
        <w:bidi w:val="0"/>
        <w:rPr>
          <w:rFonts w:hint="eastAsia" w:ascii="宋体" w:hAnsi="宋体" w:eastAsia="宋体" w:cs="宋体"/>
        </w:rPr>
      </w:pPr>
    </w:p>
    <w:p>
      <w:pPr>
        <w:pStyle w:val="85"/>
        <w:kinsoku/>
        <w:wordWrap/>
        <w:overflowPunct/>
        <w:topLinePunct/>
        <w:autoSpaceDE/>
        <w:autoSpaceDN/>
        <w:bidi w:val="0"/>
        <w:rPr>
          <w:rFonts w:hint="eastAsia" w:ascii="宋体" w:hAnsi="宋体" w:eastAsia="宋体" w:cs="宋体"/>
        </w:rPr>
      </w:pPr>
    </w:p>
    <w:p>
      <w:pPr>
        <w:kinsoku/>
        <w:wordWrap/>
        <w:overflowPunct/>
        <w:topLinePunct/>
        <w:autoSpaceDE/>
        <w:autoSpaceDN/>
        <w:bidi w:val="0"/>
        <w:spacing w:line="360" w:lineRule="auto"/>
        <w:jc w:val="center"/>
        <w:rPr>
          <w:rFonts w:hint="eastAsia" w:ascii="宋体" w:hAnsi="宋体" w:eastAsia="宋体" w:cs="宋体"/>
          <w:b/>
          <w:sz w:val="84"/>
        </w:rPr>
      </w:pPr>
      <w:r>
        <w:rPr>
          <w:rFonts w:hint="eastAsia" w:ascii="宋体" w:hAnsi="宋体" w:eastAsia="宋体" w:cs="宋体"/>
          <w:b/>
          <w:sz w:val="84"/>
        </w:rPr>
        <w:t>投 标 文 件</w:t>
      </w:r>
    </w:p>
    <w:p>
      <w:pPr>
        <w:pStyle w:val="44"/>
        <w:kinsoku/>
        <w:wordWrap/>
        <w:overflowPunct/>
        <w:topLinePunct/>
        <w:autoSpaceDE/>
        <w:autoSpaceDN/>
        <w:bidi w:val="0"/>
        <w:spacing w:line="240" w:lineRule="exact"/>
        <w:rPr>
          <w:rFonts w:hint="eastAsia" w:ascii="宋体" w:hAnsi="宋体" w:eastAsia="宋体" w:cs="宋体"/>
          <w:b/>
          <w:sz w:val="32"/>
        </w:rPr>
      </w:pPr>
    </w:p>
    <w:p>
      <w:pPr>
        <w:kinsoku/>
        <w:wordWrap/>
        <w:overflowPunct/>
        <w:topLinePunct/>
        <w:autoSpaceDE/>
        <w:autoSpaceDN/>
        <w:bidi w:val="0"/>
        <w:spacing w:line="360" w:lineRule="auto"/>
        <w:jc w:val="center"/>
        <w:rPr>
          <w:rFonts w:hint="eastAsia" w:ascii="宋体" w:hAnsi="宋体" w:eastAsia="宋体" w:cs="宋体"/>
          <w:b/>
          <w:kern w:val="0"/>
          <w:sz w:val="36"/>
        </w:rPr>
      </w:pPr>
      <w:r>
        <w:rPr>
          <w:rFonts w:hint="eastAsia" w:ascii="宋体" w:hAnsi="宋体" w:eastAsia="宋体" w:cs="宋体"/>
          <w:b/>
          <w:sz w:val="36"/>
        </w:rPr>
        <w:t>招标编号：</w:t>
      </w:r>
    </w:p>
    <w:p>
      <w:pPr>
        <w:kinsoku/>
        <w:wordWrap/>
        <w:overflowPunct/>
        <w:topLinePunct/>
        <w:autoSpaceDE/>
        <w:autoSpaceDN/>
        <w:bidi w:val="0"/>
        <w:spacing w:line="600" w:lineRule="exact"/>
        <w:rPr>
          <w:rFonts w:hint="eastAsia" w:ascii="宋体" w:hAnsi="宋体" w:eastAsia="宋体" w:cs="宋体"/>
          <w:b/>
          <w:sz w:val="32"/>
        </w:rPr>
      </w:pPr>
    </w:p>
    <w:p>
      <w:pPr>
        <w:pStyle w:val="84"/>
        <w:kinsoku/>
        <w:wordWrap/>
        <w:overflowPunct/>
        <w:topLinePunct/>
        <w:autoSpaceDE/>
        <w:autoSpaceDN/>
        <w:bidi w:val="0"/>
        <w:rPr>
          <w:rFonts w:hint="eastAsia" w:ascii="宋体" w:hAnsi="宋体" w:eastAsia="宋体" w:cs="宋体"/>
        </w:rPr>
      </w:pPr>
    </w:p>
    <w:p>
      <w:pPr>
        <w:kinsoku/>
        <w:wordWrap/>
        <w:overflowPunct/>
        <w:topLinePunct/>
        <w:autoSpaceDE/>
        <w:autoSpaceDN/>
        <w:bidi w:val="0"/>
        <w:spacing w:line="600" w:lineRule="exact"/>
        <w:ind w:firstLine="630" w:firstLineChars="196"/>
        <w:rPr>
          <w:rFonts w:hint="eastAsia" w:ascii="宋体" w:hAnsi="宋体" w:eastAsia="宋体" w:cs="宋体"/>
          <w:b/>
          <w:sz w:val="32"/>
        </w:rPr>
      </w:pPr>
    </w:p>
    <w:p>
      <w:pPr>
        <w:pStyle w:val="84"/>
        <w:kinsoku/>
        <w:wordWrap/>
        <w:overflowPunct/>
        <w:topLinePunct/>
        <w:autoSpaceDE/>
        <w:autoSpaceDN/>
        <w:bidi w:val="0"/>
        <w:rPr>
          <w:rFonts w:hint="eastAsia" w:ascii="宋体" w:hAnsi="宋体" w:eastAsia="宋体" w:cs="宋体"/>
          <w:b/>
          <w:sz w:val="32"/>
        </w:rPr>
      </w:pPr>
    </w:p>
    <w:p>
      <w:pPr>
        <w:pStyle w:val="85"/>
        <w:kinsoku/>
        <w:wordWrap/>
        <w:overflowPunct/>
        <w:topLinePunct/>
        <w:autoSpaceDE/>
        <w:autoSpaceDN/>
        <w:bidi w:val="0"/>
        <w:rPr>
          <w:rFonts w:hint="eastAsia" w:ascii="宋体" w:hAnsi="宋体" w:eastAsia="宋体" w:cs="宋体"/>
        </w:rPr>
      </w:pPr>
    </w:p>
    <w:p>
      <w:pPr>
        <w:keepNext w:val="0"/>
        <w:keepLines w:val="0"/>
        <w:pageBreakBefore w:val="0"/>
        <w:widowControl w:val="0"/>
        <w:kinsoku/>
        <w:wordWrap/>
        <w:overflowPunct/>
        <w:topLinePunct/>
        <w:autoSpaceDE/>
        <w:autoSpaceDN/>
        <w:bidi w:val="0"/>
        <w:adjustRightInd/>
        <w:snapToGrid/>
        <w:spacing w:line="480" w:lineRule="auto"/>
        <w:textAlignment w:val="auto"/>
        <w:rPr>
          <w:rFonts w:hint="eastAsia" w:ascii="宋体" w:hAnsi="宋体" w:eastAsia="宋体" w:cs="宋体"/>
          <w:b/>
          <w:sz w:val="30"/>
          <w:szCs w:val="30"/>
          <w:u w:val="single"/>
        </w:rPr>
      </w:pPr>
      <w:r>
        <w:rPr>
          <w:rFonts w:hint="eastAsia" w:ascii="宋体" w:hAnsi="宋体" w:eastAsia="宋体" w:cs="宋体"/>
          <w:b/>
          <w:sz w:val="30"/>
          <w:szCs w:val="30"/>
        </w:rPr>
        <w:t>投标人：</w:t>
      </w:r>
      <w:r>
        <w:rPr>
          <w:rFonts w:hint="eastAsia" w:ascii="宋体" w:hAnsi="宋体" w:eastAsia="宋体" w:cs="宋体"/>
          <w:b/>
          <w:sz w:val="30"/>
          <w:szCs w:val="30"/>
          <w:u w:val="single"/>
        </w:rPr>
        <w:t xml:space="preserve">       </w:t>
      </w:r>
      <w:r>
        <w:rPr>
          <w:rFonts w:hint="eastAsia" w:ascii="宋体" w:hAnsi="宋体" w:eastAsia="宋体" w:cs="宋体"/>
          <w:b/>
          <w:sz w:val="30"/>
          <w:szCs w:val="30"/>
          <w:u w:val="single"/>
          <w:lang w:val="en-US" w:eastAsia="zh-CN"/>
        </w:rPr>
        <w:t xml:space="preserve">            </w:t>
      </w:r>
      <w:r>
        <w:rPr>
          <w:rFonts w:hint="eastAsia" w:ascii="宋体" w:hAnsi="宋体" w:eastAsia="宋体" w:cs="宋体"/>
          <w:b/>
          <w:sz w:val="30"/>
          <w:szCs w:val="30"/>
          <w:u w:val="single"/>
        </w:rPr>
        <w:t xml:space="preserve">               （盖电子签章）</w:t>
      </w:r>
      <w:r>
        <w:rPr>
          <w:rFonts w:hint="eastAsia" w:ascii="宋体" w:hAnsi="宋体" w:eastAsia="宋体" w:cs="宋体"/>
          <w:b/>
          <w:sz w:val="30"/>
          <w:szCs w:val="30"/>
        </w:rPr>
        <w:t xml:space="preserve"> </w:t>
      </w:r>
    </w:p>
    <w:p>
      <w:pPr>
        <w:keepNext w:val="0"/>
        <w:keepLines w:val="0"/>
        <w:pageBreakBefore w:val="0"/>
        <w:widowControl w:val="0"/>
        <w:kinsoku/>
        <w:wordWrap/>
        <w:overflowPunct/>
        <w:topLinePunct/>
        <w:autoSpaceDE/>
        <w:autoSpaceDN/>
        <w:bidi w:val="0"/>
        <w:adjustRightInd/>
        <w:snapToGrid/>
        <w:spacing w:line="480" w:lineRule="auto"/>
        <w:textAlignment w:val="auto"/>
        <w:rPr>
          <w:rFonts w:hint="eastAsia" w:ascii="宋体" w:hAnsi="宋体" w:eastAsia="宋体" w:cs="宋体"/>
          <w:b/>
          <w:sz w:val="30"/>
          <w:szCs w:val="30"/>
          <w:u w:val="single"/>
        </w:rPr>
      </w:pPr>
      <w:r>
        <w:rPr>
          <w:rFonts w:hint="eastAsia" w:ascii="宋体" w:hAnsi="宋体" w:eastAsia="宋体" w:cs="宋体"/>
          <w:b/>
          <w:sz w:val="30"/>
          <w:szCs w:val="30"/>
        </w:rPr>
        <w:t>法定代表人（单位负责人）或其委托代理人：</w:t>
      </w:r>
      <w:r>
        <w:rPr>
          <w:rFonts w:hint="eastAsia" w:ascii="宋体" w:hAnsi="宋体" w:eastAsia="宋体" w:cs="宋体"/>
          <w:b/>
          <w:sz w:val="30"/>
          <w:szCs w:val="30"/>
          <w:u w:val="single"/>
        </w:rPr>
        <w:t xml:space="preserve">    （签字/签章）</w:t>
      </w:r>
    </w:p>
    <w:p>
      <w:pPr>
        <w:keepNext w:val="0"/>
        <w:keepLines w:val="0"/>
        <w:pageBreakBefore w:val="0"/>
        <w:widowControl w:val="0"/>
        <w:kinsoku/>
        <w:wordWrap/>
        <w:overflowPunct/>
        <w:topLinePunct/>
        <w:autoSpaceDE/>
        <w:autoSpaceDN/>
        <w:bidi w:val="0"/>
        <w:adjustRightInd/>
        <w:snapToGrid/>
        <w:spacing w:line="480" w:lineRule="auto"/>
        <w:ind w:firstLine="846" w:firstLineChars="281"/>
        <w:jc w:val="center"/>
        <w:textAlignment w:val="auto"/>
        <w:rPr>
          <w:rFonts w:hint="eastAsia" w:ascii="宋体" w:hAnsi="宋体" w:eastAsia="宋体" w:cs="宋体"/>
          <w:b/>
          <w:sz w:val="30"/>
          <w:szCs w:val="30"/>
        </w:rPr>
      </w:pPr>
      <w:r>
        <w:rPr>
          <w:rFonts w:hint="eastAsia" w:ascii="宋体" w:hAnsi="宋体" w:eastAsia="宋体" w:cs="宋体"/>
          <w:b/>
          <w:sz w:val="30"/>
          <w:szCs w:val="30"/>
        </w:rPr>
        <w:t>年    月    日</w:t>
      </w:r>
    </w:p>
    <w:p>
      <w:pPr>
        <w:kinsoku/>
        <w:wordWrap/>
        <w:overflowPunct/>
        <w:topLinePunct/>
        <w:autoSpaceDE/>
        <w:autoSpaceDN/>
        <w:bidi w:val="0"/>
        <w:spacing w:line="360" w:lineRule="auto"/>
        <w:jc w:val="both"/>
        <w:rPr>
          <w:rFonts w:hint="eastAsia" w:ascii="宋体" w:hAnsi="宋体" w:eastAsia="宋体" w:cs="宋体"/>
          <w:b/>
          <w:sz w:val="32"/>
        </w:rPr>
        <w:sectPr>
          <w:headerReference r:id="rId3" w:type="default"/>
          <w:footerReference r:id="rId4" w:type="default"/>
          <w:pgSz w:w="11906" w:h="16838"/>
          <w:pgMar w:top="1417" w:right="1587" w:bottom="1417" w:left="1587" w:header="850" w:footer="992" w:gutter="0"/>
          <w:pgNumType w:fmt="decimal"/>
          <w:cols w:space="0" w:num="1"/>
          <w:titlePg/>
          <w:rtlGutter w:val="0"/>
          <w:docGrid w:linePitch="312" w:charSpace="0"/>
        </w:sectPr>
      </w:pPr>
    </w:p>
    <w:p>
      <w:pPr>
        <w:kinsoku/>
        <w:wordWrap/>
        <w:overflowPunct/>
        <w:topLinePunct/>
        <w:autoSpaceDE/>
        <w:autoSpaceDN/>
        <w:bidi w:val="0"/>
        <w:spacing w:line="520" w:lineRule="exact"/>
        <w:jc w:val="center"/>
        <w:outlineLvl w:val="1"/>
        <w:rPr>
          <w:rFonts w:hint="eastAsia" w:ascii="宋体" w:hAnsi="宋体" w:eastAsia="宋体" w:cs="宋体"/>
          <w:b/>
          <w:bCs/>
          <w:kern w:val="0"/>
          <w:sz w:val="24"/>
        </w:rPr>
      </w:pPr>
      <w:bookmarkStart w:id="59" w:name="_Toc11007"/>
      <w:r>
        <w:rPr>
          <w:rFonts w:hint="eastAsia" w:ascii="宋体" w:hAnsi="宋体" w:eastAsia="宋体" w:cs="宋体"/>
          <w:b/>
          <w:bCs/>
          <w:sz w:val="36"/>
          <w:szCs w:val="36"/>
        </w:rPr>
        <w:t>目  录</w:t>
      </w:r>
      <w:bookmarkEnd w:id="59"/>
      <w:bookmarkStart w:id="60" w:name="_Toc247639917"/>
      <w:bookmarkStart w:id="61" w:name="_Toc286069579"/>
      <w:bookmarkStart w:id="62" w:name="_Toc279505680"/>
    </w:p>
    <w:bookmarkEnd w:id="60"/>
    <w:bookmarkEnd w:id="61"/>
    <w:bookmarkEnd w:id="62"/>
    <w:p>
      <w:pPr>
        <w:keepNext w:val="0"/>
        <w:keepLines w:val="0"/>
        <w:pageBreakBefore w:val="0"/>
        <w:widowControl w:val="0"/>
        <w:kinsoku/>
        <w:wordWrap/>
        <w:overflowPunct/>
        <w:topLinePunct/>
        <w:autoSpaceDE/>
        <w:autoSpaceDN/>
        <w:bidi w:val="0"/>
        <w:adjustRightInd/>
        <w:snapToGrid/>
        <w:spacing w:line="480" w:lineRule="auto"/>
        <w:textAlignment w:val="baseline"/>
        <w:rPr>
          <w:rFonts w:hint="eastAsia" w:ascii="宋体" w:hAnsi="宋体" w:eastAsia="宋体" w:cs="宋体"/>
          <w:b/>
          <w:sz w:val="24"/>
          <w:szCs w:val="24"/>
        </w:rPr>
      </w:pPr>
      <w:bookmarkStart w:id="63" w:name="_Toc14557"/>
      <w:bookmarkStart w:id="64" w:name="_Toc5841"/>
      <w:r>
        <w:rPr>
          <w:rFonts w:hint="eastAsia" w:ascii="宋体" w:hAnsi="宋体" w:eastAsia="宋体" w:cs="宋体"/>
          <w:b/>
          <w:sz w:val="24"/>
          <w:szCs w:val="24"/>
        </w:rPr>
        <w:t>第一部分  经济部分</w:t>
      </w:r>
    </w:p>
    <w:p>
      <w:pPr>
        <w:keepNext w:val="0"/>
        <w:keepLines w:val="0"/>
        <w:pageBreakBefore w:val="0"/>
        <w:widowControl w:val="0"/>
        <w:kinsoku/>
        <w:wordWrap/>
        <w:overflowPunct/>
        <w:topLinePunct/>
        <w:autoSpaceDE/>
        <w:autoSpaceDN/>
        <w:bidi w:val="0"/>
        <w:adjustRightInd/>
        <w:snapToGrid/>
        <w:spacing w:line="480"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1.投标函</w:t>
      </w:r>
    </w:p>
    <w:p>
      <w:pPr>
        <w:keepNext w:val="0"/>
        <w:keepLines w:val="0"/>
        <w:pageBreakBefore w:val="0"/>
        <w:widowControl w:val="0"/>
        <w:kinsoku/>
        <w:wordWrap/>
        <w:overflowPunct/>
        <w:topLinePunct/>
        <w:autoSpaceDE/>
        <w:autoSpaceDN/>
        <w:bidi w:val="0"/>
        <w:adjustRightInd/>
        <w:snapToGrid/>
        <w:spacing w:line="480"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2.投标报价一览表</w:t>
      </w:r>
    </w:p>
    <w:p>
      <w:pPr>
        <w:keepNext w:val="0"/>
        <w:keepLines w:val="0"/>
        <w:pageBreakBefore w:val="0"/>
        <w:widowControl w:val="0"/>
        <w:kinsoku/>
        <w:wordWrap/>
        <w:overflowPunct/>
        <w:topLinePunct/>
        <w:autoSpaceDE/>
        <w:autoSpaceDN/>
        <w:bidi w:val="0"/>
        <w:adjustRightInd/>
        <w:snapToGrid/>
        <w:spacing w:line="480" w:lineRule="auto"/>
        <w:textAlignment w:val="baseline"/>
        <w:rPr>
          <w:rFonts w:hint="eastAsia" w:ascii="宋体" w:hAnsi="宋体" w:eastAsia="宋体" w:cs="宋体"/>
          <w:b/>
          <w:sz w:val="24"/>
          <w:szCs w:val="24"/>
        </w:rPr>
      </w:pPr>
      <w:r>
        <w:rPr>
          <w:rFonts w:hint="eastAsia" w:ascii="宋体" w:hAnsi="宋体" w:eastAsia="宋体" w:cs="宋体"/>
          <w:b/>
          <w:sz w:val="24"/>
          <w:szCs w:val="24"/>
        </w:rPr>
        <w:t>第二部分  技术部分</w:t>
      </w:r>
    </w:p>
    <w:p>
      <w:pPr>
        <w:keepNext w:val="0"/>
        <w:keepLines w:val="0"/>
        <w:pageBreakBefore w:val="0"/>
        <w:widowControl w:val="0"/>
        <w:kinsoku/>
        <w:wordWrap/>
        <w:overflowPunct/>
        <w:topLinePunct/>
        <w:autoSpaceDE/>
        <w:autoSpaceDN/>
        <w:bidi w:val="0"/>
        <w:adjustRightInd/>
        <w:snapToGrid/>
        <w:spacing w:line="480"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1.技术偏离表</w:t>
      </w:r>
    </w:p>
    <w:p>
      <w:pPr>
        <w:keepNext w:val="0"/>
        <w:keepLines w:val="0"/>
        <w:pageBreakBefore w:val="0"/>
        <w:widowControl w:val="0"/>
        <w:kinsoku/>
        <w:wordWrap/>
        <w:overflowPunct/>
        <w:topLinePunct/>
        <w:autoSpaceDE/>
        <w:autoSpaceDN/>
        <w:bidi w:val="0"/>
        <w:adjustRightInd/>
        <w:snapToGrid/>
        <w:spacing w:line="480"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2.服务方案</w:t>
      </w:r>
    </w:p>
    <w:p>
      <w:pPr>
        <w:keepNext w:val="0"/>
        <w:keepLines w:val="0"/>
        <w:pageBreakBefore w:val="0"/>
        <w:widowControl w:val="0"/>
        <w:kinsoku/>
        <w:wordWrap/>
        <w:overflowPunct/>
        <w:topLinePunct/>
        <w:autoSpaceDE/>
        <w:autoSpaceDN/>
        <w:bidi w:val="0"/>
        <w:adjustRightInd/>
        <w:snapToGrid/>
        <w:spacing w:line="480"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3.优惠服务承诺</w:t>
      </w:r>
    </w:p>
    <w:p>
      <w:pPr>
        <w:keepNext w:val="0"/>
        <w:keepLines w:val="0"/>
        <w:pageBreakBefore w:val="0"/>
        <w:widowControl w:val="0"/>
        <w:kinsoku/>
        <w:wordWrap/>
        <w:overflowPunct/>
        <w:topLinePunct/>
        <w:autoSpaceDE/>
        <w:autoSpaceDN/>
        <w:bidi w:val="0"/>
        <w:adjustRightInd/>
        <w:snapToGrid/>
        <w:spacing w:line="480"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4.投标人认为有利于本项目竞争的其他材料</w:t>
      </w:r>
    </w:p>
    <w:p>
      <w:pPr>
        <w:keepNext w:val="0"/>
        <w:keepLines w:val="0"/>
        <w:pageBreakBefore w:val="0"/>
        <w:widowControl w:val="0"/>
        <w:kinsoku/>
        <w:wordWrap/>
        <w:overflowPunct/>
        <w:topLinePunct/>
        <w:autoSpaceDE/>
        <w:autoSpaceDN/>
        <w:bidi w:val="0"/>
        <w:adjustRightInd/>
        <w:snapToGrid/>
        <w:spacing w:line="480" w:lineRule="auto"/>
        <w:textAlignment w:val="baseline"/>
        <w:rPr>
          <w:rFonts w:hint="eastAsia" w:ascii="宋体" w:hAnsi="宋体" w:eastAsia="宋体" w:cs="宋体"/>
          <w:b/>
          <w:sz w:val="24"/>
          <w:szCs w:val="24"/>
        </w:rPr>
      </w:pPr>
      <w:r>
        <w:rPr>
          <w:rFonts w:hint="eastAsia" w:ascii="宋体" w:hAnsi="宋体" w:eastAsia="宋体" w:cs="宋体"/>
          <w:b/>
          <w:sz w:val="24"/>
          <w:szCs w:val="24"/>
        </w:rPr>
        <w:t>第三部分  综合部分</w:t>
      </w:r>
    </w:p>
    <w:p>
      <w:pPr>
        <w:keepNext w:val="0"/>
        <w:keepLines w:val="0"/>
        <w:pageBreakBefore w:val="0"/>
        <w:widowControl w:val="0"/>
        <w:kinsoku/>
        <w:wordWrap/>
        <w:overflowPunct/>
        <w:topLinePunct/>
        <w:autoSpaceDE/>
        <w:autoSpaceDN/>
        <w:bidi w:val="0"/>
        <w:adjustRightInd/>
        <w:snapToGrid/>
        <w:spacing w:line="480"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1.法定代表人身份证明</w:t>
      </w:r>
    </w:p>
    <w:p>
      <w:pPr>
        <w:keepNext w:val="0"/>
        <w:keepLines w:val="0"/>
        <w:pageBreakBefore w:val="0"/>
        <w:widowControl w:val="0"/>
        <w:kinsoku/>
        <w:wordWrap/>
        <w:overflowPunct/>
        <w:topLinePunct/>
        <w:autoSpaceDE/>
        <w:autoSpaceDN/>
        <w:bidi w:val="0"/>
        <w:adjustRightInd/>
        <w:snapToGrid/>
        <w:spacing w:line="480"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2.法定代表人授权委托书</w:t>
      </w:r>
    </w:p>
    <w:p>
      <w:pPr>
        <w:keepNext w:val="0"/>
        <w:keepLines w:val="0"/>
        <w:pageBreakBefore w:val="0"/>
        <w:widowControl w:val="0"/>
        <w:kinsoku/>
        <w:wordWrap/>
        <w:overflowPunct/>
        <w:topLinePunct/>
        <w:autoSpaceDE/>
        <w:autoSpaceDN/>
        <w:bidi w:val="0"/>
        <w:adjustRightInd/>
        <w:snapToGrid/>
        <w:spacing w:line="480"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3.商务条款偏离表</w:t>
      </w:r>
    </w:p>
    <w:p>
      <w:pPr>
        <w:keepNext w:val="0"/>
        <w:keepLines w:val="0"/>
        <w:pageBreakBefore w:val="0"/>
        <w:widowControl w:val="0"/>
        <w:kinsoku/>
        <w:wordWrap/>
        <w:overflowPunct/>
        <w:topLinePunct/>
        <w:autoSpaceDE/>
        <w:autoSpaceDN/>
        <w:bidi w:val="0"/>
        <w:adjustRightInd/>
        <w:snapToGrid/>
        <w:spacing w:line="480" w:lineRule="auto"/>
        <w:ind w:firstLine="480" w:firstLineChars="200"/>
        <w:textAlignment w:val="baseline"/>
        <w:rPr>
          <w:rFonts w:hint="eastAsia" w:ascii="宋体" w:hAnsi="宋体" w:eastAsia="宋体" w:cs="宋体"/>
        </w:rPr>
      </w:pPr>
      <w:r>
        <w:rPr>
          <w:rFonts w:hint="eastAsia" w:ascii="宋体" w:hAnsi="宋体" w:eastAsia="宋体" w:cs="宋体"/>
          <w:sz w:val="24"/>
          <w:szCs w:val="24"/>
        </w:rPr>
        <w:t>4.</w:t>
      </w:r>
      <w:r>
        <w:rPr>
          <w:rFonts w:hint="eastAsia" w:ascii="宋体" w:hAnsi="宋体" w:eastAsia="宋体" w:cs="宋体"/>
          <w:sz w:val="24"/>
        </w:rPr>
        <w:t>基本账户开户许可证复印件（或基本存款账户信息）</w:t>
      </w:r>
    </w:p>
    <w:p>
      <w:pPr>
        <w:keepNext w:val="0"/>
        <w:keepLines w:val="0"/>
        <w:pageBreakBefore w:val="0"/>
        <w:widowControl w:val="0"/>
        <w:kinsoku/>
        <w:wordWrap/>
        <w:overflowPunct/>
        <w:topLinePunct/>
        <w:autoSpaceDE/>
        <w:autoSpaceDN/>
        <w:bidi w:val="0"/>
        <w:adjustRightInd/>
        <w:snapToGrid/>
        <w:spacing w:line="480"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5.资格审查资料</w:t>
      </w:r>
    </w:p>
    <w:p>
      <w:pPr>
        <w:keepNext w:val="0"/>
        <w:keepLines w:val="0"/>
        <w:pageBreakBefore w:val="0"/>
        <w:widowControl w:val="0"/>
        <w:kinsoku/>
        <w:wordWrap/>
        <w:overflowPunct/>
        <w:topLinePunct/>
        <w:autoSpaceDE/>
        <w:autoSpaceDN/>
        <w:bidi w:val="0"/>
        <w:adjustRightInd/>
        <w:snapToGrid/>
        <w:spacing w:line="480" w:lineRule="auto"/>
        <w:ind w:firstLine="470" w:firstLineChars="196"/>
        <w:textAlignment w:val="baseline"/>
        <w:rPr>
          <w:rFonts w:hint="eastAsia" w:ascii="宋体" w:hAnsi="宋体" w:eastAsia="宋体" w:cs="宋体"/>
          <w:sz w:val="24"/>
          <w:szCs w:val="24"/>
        </w:rPr>
      </w:pPr>
      <w:r>
        <w:rPr>
          <w:rFonts w:hint="eastAsia" w:ascii="宋体" w:hAnsi="宋体" w:eastAsia="宋体" w:cs="宋体"/>
          <w:sz w:val="24"/>
          <w:szCs w:val="24"/>
        </w:rPr>
        <w:t>6.诚信承诺书</w:t>
      </w:r>
    </w:p>
    <w:p>
      <w:pPr>
        <w:kinsoku/>
        <w:wordWrap/>
        <w:overflowPunct/>
        <w:topLinePunct/>
        <w:autoSpaceDE/>
        <w:autoSpaceDN/>
        <w:bidi w:val="0"/>
        <w:rPr>
          <w:rFonts w:hint="eastAsia" w:ascii="宋体" w:hAnsi="宋体" w:eastAsia="宋体" w:cs="宋体"/>
          <w:sz w:val="28"/>
          <w:szCs w:val="28"/>
        </w:rPr>
      </w:pPr>
      <w:r>
        <w:rPr>
          <w:rFonts w:hint="eastAsia" w:ascii="宋体" w:hAnsi="宋体" w:eastAsia="宋体" w:cs="宋体"/>
          <w:sz w:val="28"/>
          <w:szCs w:val="28"/>
        </w:rPr>
        <w:br w:type="page"/>
      </w:r>
    </w:p>
    <w:bookmarkEnd w:id="63"/>
    <w:bookmarkEnd w:id="64"/>
    <w:p>
      <w:pPr>
        <w:kinsoku/>
        <w:wordWrap/>
        <w:overflowPunct/>
        <w:topLinePunct/>
        <w:autoSpaceDE/>
        <w:autoSpaceDN/>
        <w:bidi w:val="0"/>
        <w:spacing w:line="480" w:lineRule="auto"/>
        <w:ind w:firstLine="643" w:firstLineChars="200"/>
        <w:jc w:val="center"/>
        <w:rPr>
          <w:rFonts w:hint="eastAsia" w:ascii="宋体" w:hAnsi="宋体" w:eastAsia="宋体" w:cs="宋体"/>
          <w:b/>
          <w:bCs/>
          <w:sz w:val="32"/>
          <w:szCs w:val="32"/>
        </w:rPr>
      </w:pPr>
      <w:bookmarkStart w:id="65" w:name="_Toc23468"/>
      <w:bookmarkStart w:id="66" w:name="_Toc11605"/>
    </w:p>
    <w:p>
      <w:pPr>
        <w:kinsoku/>
        <w:wordWrap/>
        <w:overflowPunct/>
        <w:topLinePunct/>
        <w:autoSpaceDE/>
        <w:autoSpaceDN/>
        <w:bidi w:val="0"/>
        <w:spacing w:line="480" w:lineRule="auto"/>
        <w:ind w:firstLine="643" w:firstLineChars="200"/>
        <w:jc w:val="center"/>
        <w:rPr>
          <w:rFonts w:hint="eastAsia" w:ascii="宋体" w:hAnsi="宋体" w:eastAsia="宋体" w:cs="宋体"/>
          <w:b/>
          <w:bCs/>
          <w:sz w:val="32"/>
          <w:szCs w:val="32"/>
        </w:rPr>
      </w:pPr>
    </w:p>
    <w:p>
      <w:pPr>
        <w:kinsoku/>
        <w:wordWrap/>
        <w:overflowPunct/>
        <w:topLinePunct/>
        <w:autoSpaceDE/>
        <w:autoSpaceDN/>
        <w:bidi w:val="0"/>
        <w:spacing w:line="480" w:lineRule="auto"/>
        <w:ind w:firstLine="643" w:firstLineChars="200"/>
        <w:jc w:val="center"/>
        <w:rPr>
          <w:rFonts w:hint="eastAsia" w:ascii="宋体" w:hAnsi="宋体" w:eastAsia="宋体" w:cs="宋体"/>
          <w:b/>
          <w:bCs/>
          <w:sz w:val="32"/>
          <w:szCs w:val="32"/>
        </w:rPr>
      </w:pPr>
    </w:p>
    <w:p>
      <w:pPr>
        <w:kinsoku/>
        <w:wordWrap/>
        <w:overflowPunct/>
        <w:topLinePunct/>
        <w:autoSpaceDE/>
        <w:autoSpaceDN/>
        <w:bidi w:val="0"/>
        <w:spacing w:line="480" w:lineRule="auto"/>
        <w:ind w:firstLine="643" w:firstLineChars="200"/>
        <w:jc w:val="center"/>
        <w:rPr>
          <w:rFonts w:hint="eastAsia" w:ascii="宋体" w:hAnsi="宋体" w:eastAsia="宋体" w:cs="宋体"/>
          <w:b/>
          <w:bCs/>
          <w:sz w:val="32"/>
          <w:szCs w:val="32"/>
        </w:rPr>
      </w:pPr>
    </w:p>
    <w:p>
      <w:pPr>
        <w:kinsoku/>
        <w:wordWrap/>
        <w:overflowPunct/>
        <w:topLinePunct/>
        <w:autoSpaceDE/>
        <w:autoSpaceDN/>
        <w:bidi w:val="0"/>
        <w:spacing w:line="480" w:lineRule="auto"/>
        <w:ind w:firstLine="643" w:firstLineChars="200"/>
        <w:jc w:val="center"/>
        <w:rPr>
          <w:rFonts w:hint="eastAsia" w:ascii="宋体" w:hAnsi="宋体" w:eastAsia="宋体" w:cs="宋体"/>
          <w:b/>
          <w:bCs/>
          <w:sz w:val="32"/>
          <w:szCs w:val="32"/>
        </w:rPr>
      </w:pPr>
    </w:p>
    <w:p>
      <w:pPr>
        <w:kinsoku/>
        <w:wordWrap/>
        <w:overflowPunct/>
        <w:topLinePunct/>
        <w:autoSpaceDE/>
        <w:autoSpaceDN/>
        <w:bidi w:val="0"/>
        <w:spacing w:line="480" w:lineRule="auto"/>
        <w:ind w:firstLine="643" w:firstLineChars="200"/>
        <w:jc w:val="center"/>
        <w:rPr>
          <w:rFonts w:hint="eastAsia" w:ascii="宋体" w:hAnsi="宋体" w:eastAsia="宋体" w:cs="宋体"/>
          <w:b/>
          <w:bCs/>
          <w:sz w:val="32"/>
          <w:szCs w:val="32"/>
        </w:rPr>
      </w:pPr>
    </w:p>
    <w:p>
      <w:pPr>
        <w:kinsoku/>
        <w:wordWrap/>
        <w:overflowPunct/>
        <w:topLinePunct/>
        <w:autoSpaceDE/>
        <w:autoSpaceDN/>
        <w:bidi w:val="0"/>
        <w:spacing w:line="480" w:lineRule="auto"/>
        <w:ind w:firstLine="643" w:firstLineChars="200"/>
        <w:jc w:val="center"/>
        <w:rPr>
          <w:rFonts w:hint="eastAsia" w:ascii="宋体" w:hAnsi="宋体" w:eastAsia="宋体" w:cs="宋体"/>
          <w:b/>
          <w:bCs/>
          <w:sz w:val="32"/>
          <w:szCs w:val="32"/>
        </w:rPr>
      </w:pPr>
    </w:p>
    <w:p>
      <w:pPr>
        <w:kinsoku/>
        <w:wordWrap/>
        <w:overflowPunct/>
        <w:topLinePunct/>
        <w:autoSpaceDE/>
        <w:autoSpaceDN/>
        <w:bidi w:val="0"/>
        <w:spacing w:line="480" w:lineRule="auto"/>
        <w:ind w:firstLine="643" w:firstLineChars="200"/>
        <w:jc w:val="center"/>
        <w:rPr>
          <w:rFonts w:hint="eastAsia" w:ascii="宋体" w:hAnsi="宋体" w:eastAsia="宋体" w:cs="宋体"/>
          <w:b/>
          <w:bCs/>
          <w:sz w:val="32"/>
          <w:szCs w:val="32"/>
        </w:rPr>
      </w:pPr>
    </w:p>
    <w:p>
      <w:pPr>
        <w:kinsoku/>
        <w:wordWrap/>
        <w:overflowPunct/>
        <w:topLinePunct/>
        <w:autoSpaceDE/>
        <w:autoSpaceDN/>
        <w:bidi w:val="0"/>
        <w:spacing w:line="480" w:lineRule="auto"/>
        <w:ind w:firstLine="643" w:firstLineChars="200"/>
        <w:jc w:val="center"/>
        <w:rPr>
          <w:rFonts w:hint="eastAsia" w:ascii="宋体" w:hAnsi="宋体" w:eastAsia="宋体" w:cs="宋体"/>
          <w:b/>
          <w:bCs/>
          <w:sz w:val="32"/>
          <w:szCs w:val="32"/>
        </w:rPr>
      </w:pPr>
    </w:p>
    <w:p>
      <w:pPr>
        <w:pStyle w:val="3"/>
        <w:bidi w:val="0"/>
        <w:rPr>
          <w:rFonts w:hint="eastAsia"/>
        </w:rPr>
      </w:pPr>
      <w:bookmarkStart w:id="67" w:name="_Toc10142"/>
      <w:r>
        <w:rPr>
          <w:rFonts w:hint="eastAsia"/>
        </w:rPr>
        <w:t>第一部分   经济部分</w:t>
      </w:r>
      <w:bookmarkEnd w:id="67"/>
    </w:p>
    <w:p>
      <w:pPr>
        <w:kinsoku/>
        <w:wordWrap/>
        <w:overflowPunct/>
        <w:topLinePunct/>
        <w:autoSpaceDE/>
        <w:autoSpaceDN/>
        <w:bidi w:val="0"/>
        <w:spacing w:line="480" w:lineRule="auto"/>
        <w:ind w:firstLine="643" w:firstLineChars="200"/>
        <w:jc w:val="center"/>
        <w:rPr>
          <w:rFonts w:hint="eastAsia" w:ascii="宋体" w:hAnsi="宋体" w:eastAsia="宋体" w:cs="宋体"/>
          <w:b/>
          <w:bCs/>
          <w:sz w:val="32"/>
          <w:szCs w:val="32"/>
        </w:rPr>
      </w:pPr>
    </w:p>
    <w:p>
      <w:pPr>
        <w:pStyle w:val="3"/>
        <w:bidi w:val="0"/>
        <w:rPr>
          <w:rFonts w:hint="eastAsia" w:ascii="宋体" w:hAnsi="宋体" w:eastAsia="宋体" w:cs="宋体"/>
          <w:b/>
          <w:bCs/>
          <w:sz w:val="28"/>
          <w:szCs w:val="28"/>
        </w:rPr>
      </w:pPr>
      <w:r>
        <w:rPr>
          <w:rFonts w:hint="eastAsia" w:ascii="宋体" w:hAnsi="宋体" w:eastAsia="宋体" w:cs="宋体"/>
          <w:b/>
          <w:bCs/>
          <w:sz w:val="30"/>
          <w:szCs w:val="30"/>
        </w:rPr>
        <w:br w:type="page"/>
      </w:r>
      <w:bookmarkStart w:id="68" w:name="_Toc13690"/>
      <w:r>
        <w:rPr>
          <w:rStyle w:val="276"/>
          <w:rFonts w:hint="eastAsia"/>
          <w:b/>
          <w:bCs/>
        </w:rPr>
        <w:t>一、投标函</w:t>
      </w:r>
      <w:bookmarkEnd w:id="65"/>
      <w:bookmarkEnd w:id="66"/>
      <w:bookmarkEnd w:id="68"/>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textAlignment w:val="auto"/>
        <w:rPr>
          <w:rFonts w:hint="eastAsia" w:ascii="宋体" w:hAnsi="宋体" w:eastAsia="宋体" w:cs="宋体"/>
          <w:sz w:val="24"/>
          <w:szCs w:val="24"/>
          <w:shd w:val="clear" w:color="auto" w:fill="FFFFFF"/>
        </w:rPr>
      </w:pP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致：</w:t>
      </w:r>
      <w:r>
        <w:rPr>
          <w:rFonts w:hint="eastAsia" w:ascii="宋体" w:hAnsi="宋体" w:eastAsia="宋体" w:cs="宋体"/>
          <w:sz w:val="24"/>
          <w:szCs w:val="24"/>
          <w:u w:val="single"/>
          <w:shd w:val="clear" w:color="auto" w:fill="FFFFFF"/>
        </w:rPr>
        <w:t xml:space="preserve">                    </w:t>
      </w:r>
      <w:r>
        <w:rPr>
          <w:rFonts w:hint="eastAsia" w:ascii="宋体" w:hAnsi="宋体" w:eastAsia="宋体" w:cs="宋体"/>
          <w:sz w:val="24"/>
          <w:szCs w:val="24"/>
          <w:shd w:val="clear" w:color="auto" w:fill="FFFFFF"/>
        </w:rPr>
        <w:t xml:space="preserve">（招标人名称）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1、我方已仔细研究了</w:t>
      </w:r>
      <w:r>
        <w:rPr>
          <w:rFonts w:hint="eastAsia" w:ascii="宋体" w:hAnsi="宋体" w:eastAsia="宋体" w:cs="宋体"/>
          <w:sz w:val="24"/>
          <w:szCs w:val="24"/>
          <w:u w:val="single"/>
          <w:shd w:val="clear" w:color="auto" w:fill="FFFFFF"/>
        </w:rPr>
        <w:t xml:space="preserve">              </w:t>
      </w:r>
      <w:r>
        <w:rPr>
          <w:rFonts w:hint="eastAsia" w:ascii="宋体" w:hAnsi="宋体" w:eastAsia="宋体" w:cs="宋体"/>
          <w:sz w:val="24"/>
          <w:szCs w:val="24"/>
          <w:shd w:val="clear" w:color="auto" w:fill="FFFFFF"/>
        </w:rPr>
        <w:t>项目招标文件的全部内容，愿按照招标文件中规定的条款和要求，完成本项目。投标总报价为（大写）</w:t>
      </w:r>
      <w:r>
        <w:rPr>
          <w:rFonts w:hint="eastAsia" w:ascii="宋体" w:hAnsi="宋体" w:eastAsia="宋体" w:cs="宋体"/>
          <w:sz w:val="24"/>
          <w:szCs w:val="24"/>
          <w:u w:val="single"/>
          <w:shd w:val="clear" w:color="auto" w:fill="FFFFFF"/>
        </w:rPr>
        <w:t xml:space="preserve">        </w:t>
      </w:r>
      <w:r>
        <w:rPr>
          <w:rFonts w:hint="eastAsia" w:ascii="宋体" w:hAnsi="宋体" w:eastAsia="宋体" w:cs="宋体"/>
          <w:sz w:val="24"/>
          <w:szCs w:val="24"/>
          <w:shd w:val="clear" w:color="auto" w:fill="FFFFFF"/>
        </w:rPr>
        <w:t>（¥</w:t>
      </w:r>
      <w:r>
        <w:rPr>
          <w:rFonts w:hint="eastAsia" w:ascii="宋体" w:hAnsi="宋体" w:eastAsia="宋体" w:cs="宋体"/>
          <w:sz w:val="24"/>
          <w:szCs w:val="24"/>
          <w:u w:val="single"/>
          <w:shd w:val="clear" w:color="auto" w:fill="FFFFFF"/>
        </w:rPr>
        <w:t xml:space="preserve">       </w:t>
      </w:r>
      <w:r>
        <w:rPr>
          <w:rFonts w:hint="eastAsia" w:ascii="宋体" w:hAnsi="宋体" w:eastAsia="宋体" w:cs="宋体"/>
          <w:sz w:val="24"/>
          <w:szCs w:val="24"/>
          <w:shd w:val="clear" w:color="auto" w:fill="FFFFFF"/>
        </w:rPr>
        <w:t>元），工期（交货期/监理周期/设计周期）为合同生效后</w:t>
      </w:r>
      <w:r>
        <w:rPr>
          <w:rFonts w:hint="eastAsia" w:ascii="宋体" w:hAnsi="宋体" w:eastAsia="宋体" w:cs="宋体"/>
          <w:sz w:val="24"/>
          <w:szCs w:val="24"/>
          <w:u w:val="single"/>
          <w:shd w:val="clear" w:color="auto" w:fill="FFFFFF"/>
        </w:rPr>
        <w:t xml:space="preserve">         </w:t>
      </w:r>
      <w:r>
        <w:rPr>
          <w:rFonts w:hint="eastAsia" w:ascii="宋体" w:hAnsi="宋体" w:eastAsia="宋体" w:cs="宋体"/>
          <w:sz w:val="24"/>
          <w:szCs w:val="24"/>
          <w:shd w:val="clear" w:color="auto" w:fill="FFFFFF"/>
        </w:rPr>
        <w:t>，质量</w:t>
      </w:r>
      <w:r>
        <w:rPr>
          <w:rFonts w:hint="eastAsia" w:ascii="宋体" w:hAnsi="宋体" w:eastAsia="宋体" w:cs="宋体"/>
          <w:sz w:val="24"/>
          <w:szCs w:val="24"/>
          <w:u w:val="single"/>
          <w:shd w:val="clear" w:color="auto" w:fill="FFFFFF"/>
        </w:rPr>
        <w:t xml:space="preserve">         </w:t>
      </w:r>
      <w:r>
        <w:rPr>
          <w:rFonts w:hint="eastAsia" w:ascii="宋体" w:hAnsi="宋体" w:eastAsia="宋体" w:cs="宋体"/>
          <w:sz w:val="24"/>
          <w:szCs w:val="24"/>
          <w:shd w:val="clear" w:color="auto" w:fill="FFFFFF"/>
        </w:rPr>
        <w:t>，项目负责人（项目总监）</w:t>
      </w:r>
      <w:r>
        <w:rPr>
          <w:rFonts w:hint="eastAsia" w:ascii="宋体" w:hAnsi="宋体" w:eastAsia="宋体" w:cs="宋体"/>
          <w:sz w:val="24"/>
          <w:szCs w:val="24"/>
          <w:u w:val="single"/>
          <w:shd w:val="clear" w:color="auto" w:fill="FFFFFF"/>
        </w:rPr>
        <w:t xml:space="preserve">             </w:t>
      </w:r>
      <w:r>
        <w:rPr>
          <w:rFonts w:hint="eastAsia" w:ascii="宋体" w:hAnsi="宋体" w:eastAsia="宋体" w:cs="宋体"/>
          <w:sz w:val="24"/>
          <w:szCs w:val="24"/>
          <w:shd w:val="clear" w:color="auto" w:fill="FFFFFF"/>
        </w:rPr>
        <w:t xml:space="preserve">。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 xml:space="preserve">2、我方承诺在投标有效期内不修改、撤销投标文件。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3、投标保证金已按招标文件规定提交，金额为人民币（大写）</w:t>
      </w:r>
      <w:r>
        <w:rPr>
          <w:rFonts w:hint="eastAsia" w:ascii="宋体" w:hAnsi="宋体" w:eastAsia="宋体" w:cs="宋体"/>
          <w:sz w:val="24"/>
          <w:szCs w:val="24"/>
          <w:u w:val="single"/>
          <w:shd w:val="clear" w:color="auto" w:fill="FFFFFF"/>
        </w:rPr>
        <w:t xml:space="preserve"> 零元 </w:t>
      </w:r>
      <w:r>
        <w:rPr>
          <w:rFonts w:hint="eastAsia" w:ascii="宋体" w:hAnsi="宋体" w:eastAsia="宋体" w:cs="宋体"/>
          <w:sz w:val="24"/>
          <w:szCs w:val="24"/>
          <w:shd w:val="clear" w:color="auto" w:fill="FFFFFF"/>
        </w:rPr>
        <w:t>（¥</w:t>
      </w:r>
      <w:r>
        <w:rPr>
          <w:rFonts w:hint="eastAsia" w:ascii="宋体" w:hAnsi="宋体" w:eastAsia="宋体" w:cs="宋体"/>
          <w:sz w:val="24"/>
          <w:szCs w:val="24"/>
          <w:u w:val="single"/>
          <w:shd w:val="clear" w:color="auto" w:fill="FFFFFF"/>
        </w:rPr>
        <w:t xml:space="preserve"> 0 </w:t>
      </w:r>
      <w:r>
        <w:rPr>
          <w:rFonts w:hint="eastAsia" w:ascii="宋体" w:hAnsi="宋体" w:eastAsia="宋体" w:cs="宋体"/>
          <w:sz w:val="24"/>
          <w:szCs w:val="24"/>
          <w:shd w:val="clear" w:color="auto" w:fill="FFFFFF"/>
        </w:rPr>
        <w:t xml:space="preserve">元）。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 xml:space="preserve">4、如我方中标：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（1）</w:t>
      </w:r>
      <w:r>
        <w:rPr>
          <w:rFonts w:hint="eastAsia" w:ascii="宋体" w:hAnsi="宋体" w:eastAsia="宋体" w:cs="宋体"/>
          <w:spacing w:val="-6"/>
          <w:sz w:val="24"/>
          <w:szCs w:val="24"/>
          <w:shd w:val="clear" w:color="auto" w:fill="FFFFFF"/>
        </w:rPr>
        <w:t>我方承诺在收到中标通知书后，在中标通知书规定的期限内与你方签订合同</w:t>
      </w:r>
      <w:r>
        <w:rPr>
          <w:rFonts w:hint="eastAsia" w:ascii="宋体" w:hAnsi="宋体" w:eastAsia="宋体" w:cs="宋体"/>
          <w:sz w:val="24"/>
          <w:szCs w:val="24"/>
          <w:shd w:val="clear" w:color="auto" w:fill="FFFFFF"/>
        </w:rPr>
        <w:t xml:space="preserve">。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 xml:space="preserve">（2）随同本投标函递交的投标函附录属于合同文件的组成部分。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 xml:space="preserve">（3）我方承诺按照招标文件规定向你方递交履约担保。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（4）我方承诺在合同约定的期限内完成本项目。</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 xml:space="preserve">5、我方在此声明，所递交的投标文件及有关资料内容完整、真实和准确。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6、</w:t>
      </w:r>
      <w:r>
        <w:rPr>
          <w:rFonts w:hint="eastAsia" w:ascii="宋体" w:hAnsi="宋体" w:eastAsia="宋体" w:cs="宋体"/>
          <w:sz w:val="24"/>
          <w:szCs w:val="24"/>
          <w:u w:val="single"/>
        </w:rPr>
        <w:t xml:space="preserve">                          </w:t>
      </w:r>
      <w:r>
        <w:rPr>
          <w:rFonts w:hint="eastAsia" w:ascii="宋体" w:hAnsi="宋体" w:eastAsia="宋体" w:cs="宋体"/>
          <w:sz w:val="24"/>
          <w:szCs w:val="24"/>
          <w:shd w:val="clear" w:color="auto" w:fill="FFFFFF"/>
        </w:rPr>
        <w:t>（其他补充说明）。</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textAlignment w:val="auto"/>
        <w:rPr>
          <w:rFonts w:hint="eastAsia" w:ascii="宋体" w:hAnsi="宋体" w:eastAsia="宋体" w:cs="宋体"/>
          <w:sz w:val="24"/>
          <w:szCs w:val="24"/>
          <w:shd w:val="clear" w:color="auto" w:fill="FFFFFF"/>
        </w:rPr>
      </w:pP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投标人（盖电子签章）：</w:t>
      </w:r>
      <w:r>
        <w:rPr>
          <w:rFonts w:hint="eastAsia" w:ascii="宋体" w:hAnsi="宋体" w:eastAsia="宋体" w:cs="宋体"/>
          <w:sz w:val="24"/>
          <w:szCs w:val="24"/>
          <w:u w:val="single"/>
        </w:rPr>
        <w:t xml:space="preserve">                     </w:t>
      </w:r>
      <w:r>
        <w:rPr>
          <w:rFonts w:hint="eastAsia" w:ascii="宋体" w:hAnsi="宋体" w:eastAsia="宋体" w:cs="宋体"/>
          <w:sz w:val="24"/>
          <w:szCs w:val="24"/>
          <w:shd w:val="clear" w:color="auto" w:fill="FFFFFF"/>
        </w:rPr>
        <w:t xml:space="preserve">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法定代表人或委托代理人（签字或盖章）：</w:t>
      </w:r>
      <w:r>
        <w:rPr>
          <w:rFonts w:hint="eastAsia" w:ascii="宋体" w:hAnsi="宋体" w:eastAsia="宋体" w:cs="宋体"/>
          <w:sz w:val="24"/>
          <w:szCs w:val="24"/>
          <w:u w:val="single"/>
        </w:rPr>
        <w:t xml:space="preserve">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日</w:t>
      </w:r>
      <w:r>
        <w:rPr>
          <w:rFonts w:hint="eastAsia" w:eastAsia="宋体" w:cs="宋体"/>
          <w:sz w:val="24"/>
          <w:szCs w:val="24"/>
          <w:shd w:val="clear" w:color="auto" w:fill="FFFFFF"/>
          <w:lang w:val="en-US" w:eastAsia="zh-CN"/>
        </w:rPr>
        <w:t xml:space="preserve">    </w:t>
      </w:r>
      <w:r>
        <w:rPr>
          <w:rFonts w:hint="eastAsia" w:ascii="宋体" w:hAnsi="宋体" w:eastAsia="宋体" w:cs="宋体"/>
          <w:sz w:val="24"/>
          <w:szCs w:val="24"/>
          <w:shd w:val="clear" w:color="auto" w:fill="FFFFFF"/>
        </w:rPr>
        <w:t>期：</w:t>
      </w:r>
      <w:r>
        <w:rPr>
          <w:rFonts w:hint="eastAsia" w:ascii="宋体" w:hAnsi="宋体" w:eastAsia="宋体" w:cs="宋体"/>
          <w:sz w:val="24"/>
          <w:szCs w:val="24"/>
          <w:u w:val="single"/>
        </w:rPr>
        <w:t xml:space="preserve">                     </w:t>
      </w:r>
    </w:p>
    <w:p>
      <w:pPr>
        <w:pStyle w:val="79"/>
        <w:keepNext w:val="0"/>
        <w:keepLines w:val="0"/>
        <w:pageBreakBefore w:val="0"/>
        <w:widowControl/>
        <w:kinsoku/>
        <w:wordWrap/>
        <w:overflowPunct/>
        <w:topLinePunct/>
        <w:autoSpaceDE/>
        <w:autoSpaceDN/>
        <w:bidi w:val="0"/>
        <w:adjustRightInd/>
        <w:snapToGrid/>
        <w:spacing w:before="0" w:beforeAutospacing="0" w:after="0" w:afterAutospacing="0" w:line="396" w:lineRule="auto"/>
        <w:textAlignment w:val="auto"/>
        <w:rPr>
          <w:rFonts w:hint="eastAsia" w:ascii="宋体" w:hAnsi="宋体" w:eastAsia="宋体" w:cs="宋体"/>
          <w:sz w:val="24"/>
          <w:szCs w:val="24"/>
        </w:rPr>
      </w:pPr>
    </w:p>
    <w:p>
      <w:pPr>
        <w:kinsoku/>
        <w:wordWrap/>
        <w:overflowPunct/>
        <w:topLinePunct/>
        <w:autoSpaceDE/>
        <w:autoSpaceDN/>
        <w:bidi w:val="0"/>
        <w:rPr>
          <w:rFonts w:hint="eastAsia" w:ascii="宋体" w:hAnsi="宋体" w:eastAsia="宋体" w:cs="宋体"/>
        </w:rPr>
      </w:pPr>
    </w:p>
    <w:p>
      <w:pPr>
        <w:kinsoku/>
        <w:wordWrap/>
        <w:overflowPunct/>
        <w:topLinePunct/>
        <w:autoSpaceDE/>
        <w:autoSpaceDN/>
        <w:bidi w:val="0"/>
        <w:spacing w:line="276" w:lineRule="auto"/>
        <w:jc w:val="center"/>
        <w:rPr>
          <w:rFonts w:hint="eastAsia" w:ascii="宋体" w:hAnsi="宋体" w:eastAsia="宋体" w:cs="宋体"/>
          <w:b/>
          <w:sz w:val="32"/>
          <w:szCs w:val="32"/>
        </w:rPr>
        <w:sectPr>
          <w:pgSz w:w="11906" w:h="16838"/>
          <w:pgMar w:top="1417" w:right="1587" w:bottom="1417" w:left="1587" w:header="850" w:footer="992" w:gutter="0"/>
          <w:pgNumType w:fmt="decimal"/>
          <w:cols w:space="0" w:num="1"/>
          <w:rtlGutter w:val="0"/>
          <w:docGrid w:linePitch="312" w:charSpace="0"/>
        </w:sectPr>
      </w:pPr>
    </w:p>
    <w:p>
      <w:pPr>
        <w:pStyle w:val="3"/>
        <w:bidi w:val="0"/>
        <w:rPr>
          <w:rFonts w:hint="eastAsia"/>
        </w:rPr>
      </w:pPr>
      <w:bookmarkStart w:id="69" w:name="_Toc20077"/>
      <w:r>
        <w:rPr>
          <w:rFonts w:hint="eastAsia"/>
        </w:rPr>
        <w:t>二、投标报价一览表</w:t>
      </w:r>
      <w:bookmarkEnd w:id="69"/>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6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36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jc w:val="center"/>
              <w:rPr>
                <w:rFonts w:hint="eastAsia" w:ascii="宋体" w:hAnsi="宋体" w:eastAsia="宋体" w:cs="宋体"/>
                <w:sz w:val="21"/>
                <w:szCs w:val="21"/>
              </w:rPr>
            </w:pPr>
            <w:r>
              <w:rPr>
                <w:rFonts w:hint="eastAsia" w:ascii="宋体" w:hAnsi="宋体" w:eastAsia="宋体" w:cs="宋体"/>
                <w:sz w:val="21"/>
                <w:szCs w:val="21"/>
              </w:rPr>
              <w:t>项目名称</w:t>
            </w:r>
          </w:p>
        </w:tc>
        <w:tc>
          <w:tcPr>
            <w:tcW w:w="6705" w:type="dxa"/>
            <w:vAlign w:val="center"/>
          </w:tcPr>
          <w:p>
            <w:pPr>
              <w:pStyle w:val="44"/>
              <w:keepNext w:val="0"/>
              <w:keepLines w:val="0"/>
              <w:pageBreakBefore w:val="0"/>
              <w:widowControl w:val="0"/>
              <w:kinsoku/>
              <w:wordWrap/>
              <w:overflowPunct/>
              <w:topLinePunct/>
              <w:autoSpaceDE/>
              <w:autoSpaceDN/>
              <w:bidi w:val="0"/>
              <w:snapToGrid/>
              <w:spacing w:line="276" w:lineRule="auto"/>
              <w:rPr>
                <w:rFonts w:hint="eastAsia" w:ascii="宋体" w:hAnsi="宋体" w:eastAsia="宋体" w:cs="宋体"/>
                <w:sz w:val="21"/>
                <w:szCs w:val="21"/>
                <w:u w:val="single"/>
                <w:lang w:eastAsia="zh-CN"/>
              </w:rPr>
            </w:pPr>
            <w:r>
              <w:rPr>
                <w:rFonts w:hint="eastAsia" w:ascii="宋体" w:hAnsi="宋体" w:eastAsia="宋体" w:cs="宋体"/>
                <w:kern w:val="0"/>
                <w:sz w:val="21"/>
                <w:szCs w:val="21"/>
              </w:rPr>
              <w:t>河南省人民医院</w:t>
            </w:r>
            <w:r>
              <w:rPr>
                <w:rFonts w:hint="eastAsia" w:hAnsi="宋体" w:cs="宋体"/>
                <w:kern w:val="0"/>
                <w:sz w:val="21"/>
                <w:szCs w:val="21"/>
                <w:lang w:eastAsia="zh-CN"/>
              </w:rPr>
              <w:t>2024-2027年度全院服务器及存储设备维保服务项目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36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jc w:val="center"/>
              <w:rPr>
                <w:rFonts w:hint="eastAsia" w:ascii="宋体" w:hAnsi="宋体" w:eastAsia="宋体" w:cs="宋体"/>
                <w:sz w:val="21"/>
                <w:szCs w:val="21"/>
              </w:rPr>
            </w:pPr>
            <w:r>
              <w:rPr>
                <w:rFonts w:hint="eastAsia" w:ascii="宋体" w:hAnsi="宋体" w:eastAsia="宋体" w:cs="宋体"/>
                <w:sz w:val="21"/>
                <w:szCs w:val="21"/>
              </w:rPr>
              <w:t>投标人名称</w:t>
            </w:r>
          </w:p>
        </w:tc>
        <w:tc>
          <w:tcPr>
            <w:tcW w:w="6705" w:type="dxa"/>
            <w:vAlign w:val="center"/>
          </w:tcPr>
          <w:p>
            <w:pPr>
              <w:pStyle w:val="44"/>
              <w:keepNext w:val="0"/>
              <w:keepLines w:val="0"/>
              <w:pageBreakBefore w:val="0"/>
              <w:widowControl w:val="0"/>
              <w:kinsoku/>
              <w:wordWrap/>
              <w:overflowPunct/>
              <w:topLinePunct/>
              <w:autoSpaceDE/>
              <w:autoSpaceDN/>
              <w:bidi w:val="0"/>
              <w:snapToGrid/>
              <w:spacing w:line="276"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36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jc w:val="center"/>
              <w:rPr>
                <w:rFonts w:hint="eastAsia" w:ascii="宋体" w:hAnsi="宋体" w:eastAsia="宋体" w:cs="宋体"/>
                <w:sz w:val="21"/>
                <w:szCs w:val="21"/>
              </w:rPr>
            </w:pPr>
            <w:r>
              <w:rPr>
                <w:rFonts w:hint="eastAsia" w:ascii="宋体" w:hAnsi="宋体" w:eastAsia="宋体" w:cs="宋体"/>
                <w:sz w:val="21"/>
                <w:szCs w:val="21"/>
              </w:rPr>
              <w:t>投标范围</w:t>
            </w:r>
          </w:p>
        </w:tc>
        <w:tc>
          <w:tcPr>
            <w:tcW w:w="670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rPr>
                <w:rFonts w:hint="eastAsia" w:ascii="宋体" w:hAnsi="宋体" w:eastAsia="宋体" w:cs="宋体"/>
                <w:sz w:val="21"/>
                <w:szCs w:val="21"/>
              </w:rPr>
            </w:pPr>
            <w:r>
              <w:rPr>
                <w:rFonts w:hint="eastAsia" w:ascii="宋体" w:hAnsi="宋体" w:eastAsia="宋体" w:cs="宋体"/>
                <w:sz w:val="21"/>
                <w:szCs w:val="21"/>
              </w:rPr>
              <w:t>本项目招标文件范围内全部内容。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36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jc w:val="center"/>
              <w:rPr>
                <w:rFonts w:hint="eastAsia" w:ascii="宋体" w:hAnsi="宋体" w:eastAsia="宋体" w:cs="宋体"/>
                <w:sz w:val="21"/>
                <w:szCs w:val="21"/>
              </w:rPr>
            </w:pPr>
            <w:r>
              <w:rPr>
                <w:rFonts w:hint="eastAsia" w:ascii="宋体" w:hAnsi="宋体" w:eastAsia="宋体" w:cs="宋体"/>
                <w:sz w:val="21"/>
                <w:szCs w:val="21"/>
              </w:rPr>
              <w:t>投标总报价（元）</w:t>
            </w:r>
          </w:p>
        </w:tc>
        <w:tc>
          <w:tcPr>
            <w:tcW w:w="670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rPr>
                <w:rFonts w:hint="eastAsia" w:ascii="宋体" w:hAnsi="宋体" w:eastAsia="宋体" w:cs="宋体"/>
                <w:sz w:val="21"/>
                <w:szCs w:val="21"/>
              </w:rPr>
            </w:pPr>
            <w:r>
              <w:rPr>
                <w:rFonts w:hint="eastAsia" w:ascii="宋体" w:hAnsi="宋体" w:eastAsia="宋体" w:cs="宋体"/>
                <w:sz w:val="21"/>
                <w:szCs w:val="21"/>
              </w:rPr>
              <w:t>大写：</w:t>
            </w:r>
            <w:r>
              <w:rPr>
                <w:rFonts w:hint="eastAsia" w:ascii="宋体" w:hAnsi="宋体" w:eastAsia="宋体" w:cs="宋体"/>
                <w:sz w:val="21"/>
                <w:szCs w:val="21"/>
                <w:u w:val="single"/>
              </w:rPr>
              <w:t xml:space="preserve">         </w:t>
            </w:r>
            <w:r>
              <w:rPr>
                <w:rFonts w:hint="eastAsia" w:ascii="宋体" w:hAnsi="宋体" w:eastAsia="宋体" w:cs="宋体"/>
                <w:sz w:val="21"/>
                <w:szCs w:val="21"/>
              </w:rPr>
              <w:t>元</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pStyle w:val="490"/>
              <w:keepNext w:val="0"/>
              <w:keepLines w:val="0"/>
              <w:pageBreakBefore w:val="0"/>
              <w:widowControl w:val="0"/>
              <w:kinsoku/>
              <w:wordWrap/>
              <w:overflowPunct/>
              <w:topLinePunct/>
              <w:autoSpaceDE/>
              <w:autoSpaceDN/>
              <w:bidi w:val="0"/>
              <w:snapToGrid/>
              <w:spacing w:line="276" w:lineRule="auto"/>
              <w:ind w:firstLine="0"/>
              <w:rPr>
                <w:rFonts w:hint="eastAsia" w:ascii="宋体" w:hAnsi="宋体" w:eastAsia="宋体" w:cs="宋体"/>
                <w:sz w:val="21"/>
                <w:szCs w:val="21"/>
                <w:u w:val="single"/>
              </w:rPr>
            </w:pPr>
            <w:r>
              <w:rPr>
                <w:rFonts w:hint="eastAsia" w:ascii="宋体" w:hAnsi="宋体" w:eastAsia="宋体" w:cs="宋体"/>
                <w:sz w:val="21"/>
                <w:szCs w:val="21"/>
              </w:rPr>
              <w:t>小写：</w:t>
            </w:r>
            <w:r>
              <w:rPr>
                <w:rFonts w:hint="eastAsia" w:ascii="宋体" w:hAnsi="宋体" w:eastAsia="宋体" w:cs="宋体"/>
                <w:sz w:val="21"/>
                <w:szCs w:val="21"/>
                <w:u w:val="single"/>
              </w:rPr>
              <w:t xml:space="preserve">         </w:t>
            </w:r>
            <w:r>
              <w:rPr>
                <w:rFonts w:hint="eastAsia" w:ascii="宋体" w:hAnsi="宋体" w:eastAsia="宋体" w:cs="宋体"/>
                <w:sz w:val="21"/>
                <w:szCs w:val="21"/>
              </w:rPr>
              <w:t>元</w:t>
            </w:r>
            <w:r>
              <w:rPr>
                <w:rFonts w:hint="eastAsia" w:ascii="宋体" w:hAnsi="宋体" w:eastAsia="宋体" w:cs="宋体"/>
                <w:sz w:val="21"/>
                <w:szCs w:val="21"/>
                <w:u w:val="single"/>
              </w:rPr>
              <w:t xml:space="preserve">              </w:t>
            </w:r>
          </w:p>
          <w:p>
            <w:pPr>
              <w:pStyle w:val="490"/>
              <w:keepNext w:val="0"/>
              <w:keepLines w:val="0"/>
              <w:pageBreakBefore w:val="0"/>
              <w:widowControl w:val="0"/>
              <w:kinsoku/>
              <w:wordWrap/>
              <w:overflowPunct/>
              <w:topLinePunct/>
              <w:autoSpaceDE/>
              <w:autoSpaceDN/>
              <w:bidi w:val="0"/>
              <w:snapToGrid/>
              <w:spacing w:line="276" w:lineRule="auto"/>
              <w:ind w:firstLine="0"/>
              <w:rPr>
                <w:rFonts w:hint="eastAsia" w:ascii="宋体" w:hAnsi="宋体" w:eastAsia="宋体" w:cs="宋体"/>
                <w:sz w:val="21"/>
                <w:szCs w:val="21"/>
                <w:u w:val="single"/>
              </w:rPr>
            </w:pPr>
            <w:r>
              <w:rPr>
                <w:rFonts w:hint="eastAsia" w:ascii="宋体" w:hAnsi="宋体" w:eastAsia="宋体" w:cs="宋体"/>
                <w:sz w:val="21"/>
                <w:szCs w:val="21"/>
              </w:rPr>
              <w:t>其中每年报价：</w:t>
            </w:r>
            <w:r>
              <w:rPr>
                <w:rFonts w:hint="eastAsia" w:ascii="宋体" w:hAnsi="宋体" w:eastAsia="宋体" w:cs="宋体"/>
                <w:sz w:val="21"/>
                <w:szCs w:val="21"/>
                <w:u w:val="single"/>
              </w:rPr>
              <w:t xml:space="preserve">         </w:t>
            </w:r>
            <w:r>
              <w:rPr>
                <w:rFonts w:hint="eastAsia" w:ascii="宋体" w:hAnsi="宋体" w:eastAsia="宋体" w:cs="宋体"/>
                <w:sz w:val="21"/>
                <w:szCs w:val="21"/>
              </w:rPr>
              <w:t>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36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jc w:val="center"/>
              <w:rPr>
                <w:rFonts w:hint="eastAsia" w:ascii="宋体" w:hAnsi="宋体" w:eastAsia="宋体" w:cs="宋体"/>
                <w:sz w:val="21"/>
                <w:szCs w:val="21"/>
              </w:rPr>
            </w:pPr>
            <w:r>
              <w:rPr>
                <w:rFonts w:hint="eastAsia" w:ascii="宋体" w:hAnsi="宋体" w:eastAsia="宋体" w:cs="宋体"/>
                <w:sz w:val="21"/>
                <w:szCs w:val="21"/>
              </w:rPr>
              <w:t>项目期限承诺</w:t>
            </w:r>
          </w:p>
        </w:tc>
        <w:tc>
          <w:tcPr>
            <w:tcW w:w="670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rPr>
                <w:rFonts w:hint="eastAsia" w:ascii="宋体" w:hAnsi="宋体" w:eastAsia="宋体" w:cs="宋体"/>
                <w:sz w:val="21"/>
                <w:szCs w:val="21"/>
              </w:rPr>
            </w:pPr>
            <w:r>
              <w:rPr>
                <w:rFonts w:hint="eastAsia" w:ascii="宋体" w:hAnsi="宋体" w:eastAsia="宋体" w:cs="宋体"/>
                <w:sz w:val="21"/>
                <w:szCs w:val="21"/>
              </w:rPr>
              <w:t>合同签订之日起三年。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36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jc w:val="center"/>
              <w:rPr>
                <w:rFonts w:hint="eastAsia" w:ascii="宋体" w:hAnsi="宋体" w:eastAsia="宋体" w:cs="宋体"/>
                <w:sz w:val="21"/>
                <w:szCs w:val="21"/>
              </w:rPr>
            </w:pPr>
            <w:r>
              <w:rPr>
                <w:rFonts w:hint="eastAsia" w:ascii="宋体" w:hAnsi="宋体" w:eastAsia="宋体" w:cs="宋体"/>
                <w:sz w:val="21"/>
                <w:szCs w:val="21"/>
              </w:rPr>
              <w:t>质量承诺</w:t>
            </w:r>
          </w:p>
        </w:tc>
        <w:tc>
          <w:tcPr>
            <w:tcW w:w="670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rPr>
                <w:rFonts w:hint="eastAsia" w:ascii="宋体" w:hAnsi="宋体" w:eastAsia="宋体" w:cs="宋体"/>
                <w:sz w:val="21"/>
                <w:szCs w:val="21"/>
              </w:rPr>
            </w:pPr>
            <w:r>
              <w:rPr>
                <w:rFonts w:hint="eastAsia" w:ascii="宋体" w:hAnsi="宋体" w:eastAsia="宋体" w:cs="宋体"/>
                <w:sz w:val="21"/>
                <w:szCs w:val="21"/>
              </w:rPr>
              <w:t>达到国家、行业相关规范、规定合格标准及本项目招标文件的要求。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36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jc w:val="center"/>
              <w:rPr>
                <w:rFonts w:hint="eastAsia" w:ascii="宋体" w:hAnsi="宋体" w:eastAsia="宋体" w:cs="宋体"/>
                <w:sz w:val="21"/>
                <w:szCs w:val="21"/>
              </w:rPr>
            </w:pPr>
            <w:r>
              <w:rPr>
                <w:rFonts w:hint="eastAsia" w:ascii="宋体" w:hAnsi="宋体" w:eastAsia="宋体" w:cs="宋体"/>
                <w:sz w:val="21"/>
                <w:szCs w:val="21"/>
              </w:rPr>
              <w:t>合同期限承诺</w:t>
            </w:r>
          </w:p>
        </w:tc>
        <w:tc>
          <w:tcPr>
            <w:tcW w:w="670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jc w:val="left"/>
              <w:rPr>
                <w:rFonts w:hint="eastAsia" w:ascii="宋体" w:hAnsi="宋体" w:eastAsia="宋体" w:cs="宋体"/>
                <w:sz w:val="21"/>
                <w:szCs w:val="21"/>
              </w:rPr>
            </w:pPr>
            <w:r>
              <w:rPr>
                <w:rFonts w:hint="eastAsia" w:ascii="宋体" w:hAnsi="宋体" w:eastAsia="宋体" w:cs="宋体"/>
                <w:sz w:val="21"/>
                <w:szCs w:val="21"/>
              </w:rPr>
              <w:t>签订合同之日起三年。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65" w:type="dxa"/>
            <w:vAlign w:val="center"/>
          </w:tcPr>
          <w:p>
            <w:pPr>
              <w:keepNext w:val="0"/>
              <w:keepLines w:val="0"/>
              <w:pageBreakBefore w:val="0"/>
              <w:widowControl w:val="0"/>
              <w:kinsoku/>
              <w:wordWrap/>
              <w:overflowPunct/>
              <w:topLinePunct/>
              <w:autoSpaceDE/>
              <w:autoSpaceDN/>
              <w:bidi w:val="0"/>
              <w:snapToGrid/>
              <w:spacing w:line="276" w:lineRule="auto"/>
              <w:jc w:val="center"/>
              <w:rPr>
                <w:rFonts w:hint="eastAsia" w:ascii="宋体" w:hAnsi="宋体" w:eastAsia="宋体" w:cs="宋体"/>
                <w:sz w:val="21"/>
                <w:szCs w:val="21"/>
              </w:rPr>
            </w:pPr>
            <w:r>
              <w:rPr>
                <w:rFonts w:hint="eastAsia" w:ascii="宋体" w:hAnsi="宋体" w:eastAsia="宋体" w:cs="宋体"/>
                <w:sz w:val="21"/>
                <w:szCs w:val="21"/>
              </w:rPr>
              <w:t>权利和义务</w:t>
            </w:r>
          </w:p>
        </w:tc>
        <w:tc>
          <w:tcPr>
            <w:tcW w:w="6705" w:type="dxa"/>
            <w:vAlign w:val="center"/>
          </w:tcPr>
          <w:p>
            <w:pPr>
              <w:keepNext w:val="0"/>
              <w:keepLines w:val="0"/>
              <w:pageBreakBefore w:val="0"/>
              <w:widowControl w:val="0"/>
              <w:kinsoku/>
              <w:wordWrap/>
              <w:overflowPunct/>
              <w:topLinePunct/>
              <w:autoSpaceDE/>
              <w:autoSpaceDN/>
              <w:bidi w:val="0"/>
              <w:snapToGrid/>
              <w:spacing w:line="276" w:lineRule="auto"/>
              <w:jc w:val="left"/>
              <w:rPr>
                <w:rFonts w:hint="eastAsia" w:ascii="宋体" w:hAnsi="宋体" w:eastAsia="宋体" w:cs="宋体"/>
                <w:sz w:val="21"/>
                <w:szCs w:val="21"/>
              </w:rPr>
            </w:pPr>
            <w:r>
              <w:rPr>
                <w:rFonts w:hint="eastAsia" w:ascii="宋体" w:hAnsi="宋体" w:eastAsia="宋体" w:cs="宋体"/>
                <w:sz w:val="21"/>
                <w:szCs w:val="21"/>
              </w:rPr>
              <w:t>符合第四章“合同条款”中的规定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65" w:type="dxa"/>
            <w:vAlign w:val="center"/>
          </w:tcPr>
          <w:p>
            <w:pPr>
              <w:keepNext w:val="0"/>
              <w:keepLines w:val="0"/>
              <w:pageBreakBefore w:val="0"/>
              <w:widowControl w:val="0"/>
              <w:kinsoku/>
              <w:wordWrap/>
              <w:overflowPunct/>
              <w:topLinePunct/>
              <w:autoSpaceDE/>
              <w:autoSpaceDN/>
              <w:bidi w:val="0"/>
              <w:snapToGrid/>
              <w:spacing w:line="276" w:lineRule="auto"/>
              <w:jc w:val="center"/>
              <w:rPr>
                <w:rFonts w:hint="eastAsia" w:ascii="宋体" w:hAnsi="宋体" w:eastAsia="宋体" w:cs="宋体"/>
                <w:sz w:val="21"/>
                <w:szCs w:val="21"/>
              </w:rPr>
            </w:pPr>
            <w:r>
              <w:rPr>
                <w:rFonts w:hint="eastAsia" w:ascii="宋体" w:hAnsi="宋体" w:eastAsia="宋体" w:cs="宋体"/>
                <w:sz w:val="21"/>
                <w:szCs w:val="21"/>
              </w:rPr>
              <w:t>技术标准与要求</w:t>
            </w:r>
          </w:p>
        </w:tc>
        <w:tc>
          <w:tcPr>
            <w:tcW w:w="6705" w:type="dxa"/>
            <w:vAlign w:val="center"/>
          </w:tcPr>
          <w:p>
            <w:pPr>
              <w:keepNext w:val="0"/>
              <w:keepLines w:val="0"/>
              <w:pageBreakBefore w:val="0"/>
              <w:widowControl w:val="0"/>
              <w:kinsoku/>
              <w:wordWrap/>
              <w:overflowPunct/>
              <w:topLinePunct/>
              <w:autoSpaceDE/>
              <w:autoSpaceDN/>
              <w:bidi w:val="0"/>
              <w:snapToGrid/>
              <w:spacing w:line="276" w:lineRule="auto"/>
              <w:jc w:val="left"/>
              <w:rPr>
                <w:rFonts w:hint="eastAsia" w:ascii="宋体" w:hAnsi="宋体" w:eastAsia="宋体" w:cs="宋体"/>
                <w:sz w:val="21"/>
                <w:szCs w:val="21"/>
              </w:rPr>
            </w:pPr>
            <w:r>
              <w:rPr>
                <w:rFonts w:hint="eastAsia" w:ascii="宋体" w:hAnsi="宋体" w:eastAsia="宋体" w:cs="宋体"/>
                <w:sz w:val="21"/>
                <w:szCs w:val="21"/>
              </w:rPr>
              <w:t>符合第三章“采购人要求”中的实质性要求和条件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6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jc w:val="center"/>
              <w:rPr>
                <w:rFonts w:hint="eastAsia" w:ascii="宋体" w:hAnsi="宋体" w:eastAsia="宋体" w:cs="宋体"/>
                <w:sz w:val="21"/>
                <w:szCs w:val="21"/>
              </w:rPr>
            </w:pPr>
            <w:r>
              <w:rPr>
                <w:rFonts w:hint="eastAsia" w:ascii="宋体" w:hAnsi="宋体" w:eastAsia="宋体" w:cs="宋体"/>
                <w:sz w:val="21"/>
                <w:szCs w:val="21"/>
              </w:rPr>
              <w:t>投标有效期</w:t>
            </w:r>
          </w:p>
        </w:tc>
        <w:tc>
          <w:tcPr>
            <w:tcW w:w="670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jc w:val="left"/>
              <w:rPr>
                <w:rFonts w:hint="eastAsia" w:ascii="宋体" w:hAnsi="宋体" w:eastAsia="宋体" w:cs="宋体"/>
                <w:sz w:val="21"/>
                <w:szCs w:val="21"/>
              </w:rPr>
            </w:pPr>
            <w:r>
              <w:rPr>
                <w:rFonts w:hint="eastAsia" w:ascii="宋体" w:hAnsi="宋体" w:eastAsia="宋体" w:cs="宋体"/>
                <w:sz w:val="21"/>
                <w:szCs w:val="21"/>
              </w:rPr>
              <w:t>180日历天（从投标截止之日算起）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36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jc w:val="center"/>
              <w:rPr>
                <w:rFonts w:hint="eastAsia" w:ascii="宋体" w:hAnsi="宋体" w:eastAsia="宋体" w:cs="宋体"/>
                <w:sz w:val="21"/>
                <w:szCs w:val="21"/>
              </w:rPr>
            </w:pPr>
            <w:r>
              <w:rPr>
                <w:rFonts w:hint="eastAsia" w:ascii="宋体" w:hAnsi="宋体" w:eastAsia="宋体" w:cs="宋体"/>
                <w:sz w:val="21"/>
                <w:szCs w:val="21"/>
              </w:rPr>
              <w:t>其他声明（如果没有，请填写“无”）</w:t>
            </w:r>
          </w:p>
        </w:tc>
        <w:tc>
          <w:tcPr>
            <w:tcW w:w="6705" w:type="dxa"/>
            <w:vAlign w:val="center"/>
          </w:tcPr>
          <w:p>
            <w:pPr>
              <w:pStyle w:val="490"/>
              <w:keepNext w:val="0"/>
              <w:keepLines w:val="0"/>
              <w:pageBreakBefore w:val="0"/>
              <w:widowControl w:val="0"/>
              <w:kinsoku/>
              <w:wordWrap/>
              <w:overflowPunct/>
              <w:topLinePunct/>
              <w:autoSpaceDE/>
              <w:autoSpaceDN/>
              <w:bidi w:val="0"/>
              <w:snapToGrid/>
              <w:spacing w:line="276" w:lineRule="auto"/>
              <w:ind w:firstLine="0"/>
              <w:rPr>
                <w:rFonts w:hint="eastAsia" w:ascii="宋体" w:hAnsi="宋体" w:eastAsia="宋体" w:cs="宋体"/>
                <w:sz w:val="21"/>
                <w:szCs w:val="21"/>
              </w:rPr>
            </w:pPr>
            <w:r>
              <w:rPr>
                <w:rFonts w:hint="eastAsia" w:ascii="宋体" w:hAnsi="宋体" w:eastAsia="宋体" w:cs="宋体"/>
                <w:sz w:val="21"/>
                <w:szCs w:val="21"/>
              </w:rPr>
              <w:t xml:space="preserve">           </w:t>
            </w:r>
          </w:p>
        </w:tc>
      </w:tr>
    </w:tbl>
    <w:p>
      <w:pPr>
        <w:kinsoku/>
        <w:wordWrap/>
        <w:overflowPunct/>
        <w:topLinePunct/>
        <w:autoSpaceDE/>
        <w:autoSpaceDN/>
        <w:bidi w:val="0"/>
        <w:spacing w:line="360" w:lineRule="auto"/>
        <w:ind w:firstLine="480" w:firstLineChars="200"/>
        <w:rPr>
          <w:rFonts w:hint="eastAsia" w:ascii="宋体" w:hAnsi="宋体" w:eastAsia="宋体" w:cs="宋体"/>
          <w:sz w:val="24"/>
          <w:szCs w:val="24"/>
        </w:rPr>
      </w:pPr>
    </w:p>
    <w:p>
      <w:pPr>
        <w:kinsoku/>
        <w:wordWrap/>
        <w:overflowPunct/>
        <w:topLinePunct/>
        <w:autoSpaceDE/>
        <w:autoSpaceDN/>
        <w:bidi w:val="0"/>
        <w:spacing w:line="360" w:lineRule="auto"/>
        <w:ind w:firstLine="420" w:firstLineChars="200"/>
        <w:rPr>
          <w:rFonts w:hint="eastAsia" w:ascii="宋体" w:hAnsi="宋体" w:eastAsia="宋体" w:cs="宋体"/>
          <w:szCs w:val="21"/>
        </w:rPr>
      </w:pPr>
    </w:p>
    <w:p>
      <w:pPr>
        <w:kinsoku/>
        <w:wordWrap/>
        <w:overflowPunct/>
        <w:topLinePunct/>
        <w:autoSpaceDE/>
        <w:autoSpaceDN/>
        <w:bidi w:val="0"/>
        <w:spacing w:line="360" w:lineRule="auto"/>
        <w:ind w:firstLine="420" w:firstLineChars="200"/>
        <w:rPr>
          <w:rFonts w:hint="eastAsia" w:ascii="宋体" w:hAnsi="宋体" w:eastAsia="宋体" w:cs="宋体"/>
          <w:szCs w:val="21"/>
          <w:u w:val="single"/>
        </w:rPr>
      </w:pPr>
      <w:r>
        <w:rPr>
          <w:rFonts w:hint="eastAsia" w:ascii="宋体" w:hAnsi="宋体" w:eastAsia="宋体" w:cs="宋体"/>
          <w:szCs w:val="21"/>
        </w:rPr>
        <w:t>投标人名称：</w:t>
      </w:r>
      <w:r>
        <w:rPr>
          <w:rFonts w:hint="eastAsia" w:ascii="宋体" w:hAnsi="宋体" w:eastAsia="宋体" w:cs="宋体"/>
          <w:szCs w:val="21"/>
          <w:u w:val="single"/>
        </w:rPr>
        <w:t xml:space="preserve">                       （盖电子签章）</w:t>
      </w:r>
    </w:p>
    <w:p>
      <w:pPr>
        <w:kinsoku/>
        <w:wordWrap/>
        <w:overflowPunct/>
        <w:topLinePunct/>
        <w:autoSpaceDE/>
        <w:autoSpaceDN/>
        <w:bidi w:val="0"/>
        <w:spacing w:line="360" w:lineRule="auto"/>
        <w:ind w:firstLine="420" w:firstLineChars="200"/>
        <w:rPr>
          <w:rFonts w:hint="eastAsia" w:ascii="宋体" w:hAnsi="宋体" w:eastAsia="宋体" w:cs="宋体"/>
          <w:szCs w:val="21"/>
        </w:rPr>
      </w:pPr>
    </w:p>
    <w:p>
      <w:pPr>
        <w:kinsoku/>
        <w:wordWrap/>
        <w:overflowPunct/>
        <w:topLinePunct/>
        <w:autoSpaceDE/>
        <w:autoSpaceDN/>
        <w:bidi w:val="0"/>
        <w:spacing w:line="360" w:lineRule="auto"/>
        <w:ind w:firstLine="420" w:firstLineChars="200"/>
        <w:rPr>
          <w:rFonts w:hint="eastAsia" w:ascii="宋体" w:hAnsi="宋体" w:eastAsia="宋体" w:cs="宋体"/>
          <w:szCs w:val="21"/>
          <w:u w:val="single"/>
        </w:rPr>
      </w:pPr>
      <w:r>
        <w:rPr>
          <w:rFonts w:hint="eastAsia" w:ascii="宋体" w:hAnsi="宋体" w:eastAsia="宋体" w:cs="宋体"/>
          <w:szCs w:val="21"/>
        </w:rPr>
        <w:t>法定代表人（单位负责人）或其委托代理人：</w:t>
      </w:r>
      <w:r>
        <w:rPr>
          <w:rFonts w:hint="eastAsia" w:ascii="宋体" w:hAnsi="宋体" w:eastAsia="宋体" w:cs="宋体"/>
          <w:szCs w:val="21"/>
          <w:u w:val="single"/>
        </w:rPr>
        <w:t xml:space="preserve">               (签字或签章) </w:t>
      </w:r>
    </w:p>
    <w:p>
      <w:pPr>
        <w:kinsoku/>
        <w:wordWrap/>
        <w:overflowPunct/>
        <w:topLinePunct/>
        <w:autoSpaceDE/>
        <w:autoSpaceDN/>
        <w:bidi w:val="0"/>
        <w:spacing w:line="360" w:lineRule="auto"/>
        <w:ind w:firstLine="4830" w:firstLineChars="2300"/>
        <w:rPr>
          <w:rFonts w:hint="eastAsia" w:ascii="宋体" w:hAnsi="宋体" w:eastAsia="宋体" w:cs="宋体"/>
          <w:szCs w:val="21"/>
          <w:u w:val="single"/>
        </w:rPr>
      </w:pP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日  期：    年   月   日</w:t>
      </w:r>
    </w:p>
    <w:p>
      <w:pPr>
        <w:kinsoku/>
        <w:wordWrap/>
        <w:overflowPunct/>
        <w:topLinePunct/>
        <w:autoSpaceDE/>
        <w:autoSpaceDN/>
        <w:bidi w:val="0"/>
        <w:spacing w:line="360" w:lineRule="auto"/>
        <w:rPr>
          <w:rFonts w:hint="eastAsia" w:ascii="宋体" w:hAnsi="宋体" w:eastAsia="宋体" w:cs="宋体"/>
          <w:sz w:val="24"/>
          <w:szCs w:val="24"/>
        </w:rPr>
      </w:pPr>
    </w:p>
    <w:p>
      <w:pPr>
        <w:kinsoku/>
        <w:wordWrap/>
        <w:overflowPunct/>
        <w:topLinePunct/>
        <w:autoSpaceDE/>
        <w:autoSpaceDN/>
        <w:bidi w:val="0"/>
        <w:spacing w:line="360" w:lineRule="auto"/>
        <w:jc w:val="center"/>
        <w:rPr>
          <w:rFonts w:hint="eastAsia" w:ascii="宋体" w:hAnsi="宋体" w:eastAsia="宋体" w:cs="宋体"/>
          <w:sz w:val="24"/>
          <w:szCs w:val="24"/>
        </w:rPr>
        <w:sectPr>
          <w:pgSz w:w="11906" w:h="16838"/>
          <w:pgMar w:top="1417" w:right="1587" w:bottom="1417" w:left="1587" w:header="850" w:footer="992" w:gutter="0"/>
          <w:pgNumType w:fmt="decimal"/>
          <w:cols w:space="0" w:num="1"/>
          <w:rtlGutter w:val="0"/>
          <w:docGrid w:linePitch="312" w:charSpace="0"/>
        </w:sectPr>
      </w:pPr>
    </w:p>
    <w:p>
      <w:pPr>
        <w:kinsoku/>
        <w:wordWrap/>
        <w:overflowPunct/>
        <w:topLinePunct/>
        <w:autoSpaceDE/>
        <w:autoSpaceDN/>
        <w:bidi w:val="0"/>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2.1.分项价格表（如果有，根据本项目实际进行报价）</w:t>
      </w:r>
    </w:p>
    <w:p>
      <w:pPr>
        <w:pStyle w:val="32"/>
        <w:numPr>
          <w:ilvl w:val="0"/>
          <w:numId w:val="39"/>
        </w:numPr>
        <w:kinsoku/>
        <w:wordWrap/>
        <w:overflowPunct/>
        <w:topLinePunct/>
        <w:autoSpaceDE/>
        <w:autoSpaceDN/>
        <w:bidi w:val="0"/>
        <w:spacing w:before="151"/>
        <w:ind w:left="540"/>
        <w:rPr>
          <w:rFonts w:hint="eastAsia" w:ascii="宋体" w:hAnsi="宋体" w:eastAsia="宋体" w:cs="宋体"/>
          <w:sz w:val="21"/>
          <w:szCs w:val="21"/>
        </w:rPr>
      </w:pPr>
      <w:r>
        <w:rPr>
          <w:rFonts w:hint="eastAsia" w:ascii="宋体" w:hAnsi="宋体" w:eastAsia="宋体" w:cs="宋体"/>
          <w:sz w:val="21"/>
          <w:szCs w:val="21"/>
        </w:rPr>
        <w:t>分项报价表</w:t>
      </w:r>
    </w:p>
    <w:p>
      <w:pPr>
        <w:pStyle w:val="463"/>
        <w:kinsoku/>
        <w:wordWrap/>
        <w:overflowPunct/>
        <w:topLinePunct/>
        <w:autoSpaceDE/>
        <w:autoSpaceDN/>
        <w:bidi w:val="0"/>
        <w:rPr>
          <w:rFonts w:hint="eastAsia" w:ascii="宋体" w:hAnsi="宋体" w:eastAsia="宋体" w:cs="宋体"/>
          <w:sz w:val="21"/>
          <w:szCs w:val="21"/>
        </w:rPr>
      </w:pPr>
    </w:p>
    <w:p>
      <w:pPr>
        <w:pStyle w:val="32"/>
        <w:numPr>
          <w:ilvl w:val="0"/>
          <w:numId w:val="39"/>
        </w:numPr>
        <w:kinsoku/>
        <w:wordWrap/>
        <w:overflowPunct/>
        <w:topLinePunct/>
        <w:autoSpaceDE/>
        <w:autoSpaceDN/>
        <w:bidi w:val="0"/>
        <w:spacing w:before="151"/>
        <w:ind w:left="540"/>
        <w:rPr>
          <w:rFonts w:hint="eastAsia" w:ascii="宋体" w:hAnsi="宋体" w:eastAsia="宋体" w:cs="宋体"/>
          <w:sz w:val="21"/>
          <w:szCs w:val="21"/>
        </w:rPr>
      </w:pPr>
      <w:r>
        <w:rPr>
          <w:rFonts w:hint="eastAsia" w:ascii="宋体" w:hAnsi="宋体" w:eastAsia="宋体" w:cs="宋体"/>
          <w:sz w:val="21"/>
          <w:szCs w:val="21"/>
        </w:rPr>
        <w:t>所有零部件报价</w:t>
      </w:r>
    </w:p>
    <w:p>
      <w:pPr>
        <w:pStyle w:val="32"/>
        <w:kinsoku/>
        <w:wordWrap/>
        <w:overflowPunct/>
        <w:topLinePunct/>
        <w:autoSpaceDE/>
        <w:autoSpaceDN/>
        <w:bidi w:val="0"/>
        <w:spacing w:before="7"/>
        <w:rPr>
          <w:rFonts w:hint="eastAsia" w:ascii="宋体" w:hAnsi="宋体" w:eastAsia="宋体" w:cs="宋体"/>
          <w:sz w:val="21"/>
          <w:szCs w:val="21"/>
        </w:rPr>
      </w:pPr>
    </w:p>
    <w:p>
      <w:pPr>
        <w:pStyle w:val="32"/>
        <w:kinsoku/>
        <w:wordWrap/>
        <w:overflowPunct/>
        <w:topLinePunct/>
        <w:autoSpaceDE/>
        <w:autoSpaceDN/>
        <w:bidi w:val="0"/>
        <w:spacing w:before="37" w:after="57"/>
        <w:ind w:right="274"/>
        <w:jc w:val="right"/>
        <w:rPr>
          <w:rFonts w:hint="eastAsia" w:ascii="宋体" w:hAnsi="宋体" w:eastAsia="宋体" w:cs="宋体"/>
          <w:sz w:val="21"/>
          <w:szCs w:val="21"/>
        </w:rPr>
      </w:pPr>
      <w:r>
        <w:rPr>
          <w:rFonts w:hint="eastAsia" w:ascii="宋体" w:hAnsi="宋体" w:eastAsia="宋体" w:cs="宋体"/>
          <w:sz w:val="21"/>
          <w:szCs w:val="21"/>
        </w:rPr>
        <w:t>单位：人民币/元</w:t>
      </w:r>
    </w:p>
    <w:tbl>
      <w:tblPr>
        <w:tblStyle w:val="86"/>
        <w:tblW w:w="93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3"/>
        <w:gridCol w:w="1660"/>
        <w:gridCol w:w="1058"/>
        <w:gridCol w:w="1205"/>
        <w:gridCol w:w="1510"/>
        <w:gridCol w:w="1808"/>
        <w:gridCol w:w="1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86" w:type="dxa"/>
            <w:vAlign w:val="center"/>
          </w:tcPr>
          <w:p>
            <w:pPr>
              <w:pStyle w:val="325"/>
              <w:kinsoku/>
              <w:wordWrap/>
              <w:overflowPunct/>
              <w:topLinePunct/>
              <w:autoSpaceDE/>
              <w:autoSpaceDN/>
              <w:bidi w:val="0"/>
              <w:spacing w:line="332" w:lineRule="exact"/>
              <w:ind w:left="113" w:right="113"/>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733" w:type="dxa"/>
            <w:tcBorders>
              <w:right w:val="single" w:color="000000" w:sz="4" w:space="0"/>
            </w:tcBorders>
            <w:vAlign w:val="center"/>
          </w:tcPr>
          <w:p>
            <w:pPr>
              <w:pStyle w:val="325"/>
              <w:kinsoku/>
              <w:wordWrap/>
              <w:overflowPunct/>
              <w:topLinePunct/>
              <w:autoSpaceDE/>
              <w:autoSpaceDN/>
              <w:bidi w:val="0"/>
              <w:spacing w:line="332" w:lineRule="exact"/>
              <w:ind w:left="335" w:right="335"/>
              <w:jc w:val="center"/>
              <w:rPr>
                <w:rFonts w:hint="eastAsia" w:ascii="宋体" w:hAnsi="宋体" w:eastAsia="宋体" w:cs="宋体"/>
                <w:b/>
                <w:sz w:val="21"/>
                <w:szCs w:val="21"/>
              </w:rPr>
            </w:pPr>
            <w:r>
              <w:rPr>
                <w:rFonts w:hint="eastAsia" w:ascii="宋体" w:hAnsi="宋体" w:eastAsia="宋体" w:cs="宋体"/>
                <w:b/>
                <w:sz w:val="21"/>
                <w:szCs w:val="21"/>
              </w:rPr>
              <w:t>分项名称</w:t>
            </w:r>
          </w:p>
        </w:tc>
        <w:tc>
          <w:tcPr>
            <w:tcW w:w="1104" w:type="dxa"/>
            <w:tcBorders>
              <w:left w:val="single" w:color="000000" w:sz="4" w:space="0"/>
            </w:tcBorders>
            <w:vAlign w:val="center"/>
          </w:tcPr>
          <w:p>
            <w:pPr>
              <w:pStyle w:val="325"/>
              <w:kinsoku/>
              <w:wordWrap/>
              <w:overflowPunct/>
              <w:topLinePunct/>
              <w:autoSpaceDE/>
              <w:autoSpaceDN/>
              <w:bidi w:val="0"/>
              <w:spacing w:line="332" w:lineRule="exact"/>
              <w:ind w:left="280"/>
              <w:jc w:val="center"/>
              <w:rPr>
                <w:rFonts w:hint="eastAsia" w:ascii="宋体" w:hAnsi="宋体" w:eastAsia="宋体" w:cs="宋体"/>
                <w:b/>
                <w:sz w:val="21"/>
                <w:szCs w:val="21"/>
              </w:rPr>
            </w:pPr>
            <w:r>
              <w:rPr>
                <w:rFonts w:hint="eastAsia" w:ascii="宋体" w:hAnsi="宋体" w:eastAsia="宋体" w:cs="宋体"/>
                <w:b/>
                <w:sz w:val="21"/>
                <w:szCs w:val="21"/>
              </w:rPr>
              <w:t>单位</w:t>
            </w:r>
          </w:p>
        </w:tc>
        <w:tc>
          <w:tcPr>
            <w:tcW w:w="1258" w:type="dxa"/>
            <w:vAlign w:val="center"/>
          </w:tcPr>
          <w:p>
            <w:pPr>
              <w:pStyle w:val="325"/>
              <w:kinsoku/>
              <w:wordWrap/>
              <w:overflowPunct/>
              <w:topLinePunct/>
              <w:autoSpaceDE/>
              <w:autoSpaceDN/>
              <w:bidi w:val="0"/>
              <w:spacing w:line="332" w:lineRule="exact"/>
              <w:ind w:left="350"/>
              <w:jc w:val="center"/>
              <w:rPr>
                <w:rFonts w:hint="eastAsia" w:ascii="宋体" w:hAnsi="宋体" w:eastAsia="宋体" w:cs="宋体"/>
                <w:b/>
                <w:sz w:val="21"/>
                <w:szCs w:val="21"/>
              </w:rPr>
            </w:pPr>
            <w:r>
              <w:rPr>
                <w:rFonts w:hint="eastAsia" w:ascii="宋体" w:hAnsi="宋体" w:eastAsia="宋体" w:cs="宋体"/>
                <w:b/>
                <w:sz w:val="21"/>
                <w:szCs w:val="21"/>
              </w:rPr>
              <w:t>数量</w:t>
            </w:r>
          </w:p>
        </w:tc>
        <w:tc>
          <w:tcPr>
            <w:tcW w:w="1576" w:type="dxa"/>
            <w:vAlign w:val="center"/>
          </w:tcPr>
          <w:p>
            <w:pPr>
              <w:pStyle w:val="325"/>
              <w:kinsoku/>
              <w:wordWrap/>
              <w:overflowPunct/>
              <w:topLinePunct/>
              <w:autoSpaceDE/>
              <w:autoSpaceDN/>
              <w:bidi w:val="0"/>
              <w:spacing w:line="332" w:lineRule="exact"/>
              <w:ind w:left="175"/>
              <w:jc w:val="center"/>
              <w:rPr>
                <w:rFonts w:hint="eastAsia" w:ascii="宋体" w:hAnsi="宋体" w:eastAsia="宋体" w:cs="宋体"/>
                <w:b/>
                <w:sz w:val="21"/>
                <w:szCs w:val="21"/>
              </w:rPr>
            </w:pPr>
            <w:r>
              <w:rPr>
                <w:rFonts w:hint="eastAsia" w:ascii="宋体" w:hAnsi="宋体" w:eastAsia="宋体" w:cs="宋体"/>
                <w:b/>
                <w:sz w:val="21"/>
                <w:szCs w:val="21"/>
              </w:rPr>
              <w:t>单价（元）</w:t>
            </w:r>
          </w:p>
        </w:tc>
        <w:tc>
          <w:tcPr>
            <w:tcW w:w="1887" w:type="dxa"/>
            <w:vAlign w:val="center"/>
          </w:tcPr>
          <w:p>
            <w:pPr>
              <w:pStyle w:val="325"/>
              <w:kinsoku/>
              <w:wordWrap/>
              <w:overflowPunct/>
              <w:topLinePunct/>
              <w:autoSpaceDE/>
              <w:autoSpaceDN/>
              <w:bidi w:val="0"/>
              <w:spacing w:line="332" w:lineRule="exact"/>
              <w:ind w:left="319"/>
              <w:jc w:val="center"/>
              <w:rPr>
                <w:rFonts w:hint="eastAsia" w:ascii="宋体" w:hAnsi="宋体" w:eastAsia="宋体" w:cs="宋体"/>
                <w:b/>
                <w:sz w:val="21"/>
                <w:szCs w:val="21"/>
              </w:rPr>
            </w:pPr>
            <w:r>
              <w:rPr>
                <w:rFonts w:hint="eastAsia" w:ascii="宋体" w:hAnsi="宋体" w:eastAsia="宋体" w:cs="宋体"/>
                <w:b/>
                <w:sz w:val="21"/>
                <w:szCs w:val="21"/>
              </w:rPr>
              <w:t>总价（元）</w:t>
            </w:r>
          </w:p>
        </w:tc>
        <w:tc>
          <w:tcPr>
            <w:tcW w:w="1418" w:type="dxa"/>
            <w:vAlign w:val="center"/>
          </w:tcPr>
          <w:p>
            <w:pPr>
              <w:pStyle w:val="325"/>
              <w:kinsoku/>
              <w:wordWrap/>
              <w:overflowPunct/>
              <w:topLinePunct/>
              <w:autoSpaceDE/>
              <w:autoSpaceDN/>
              <w:bidi w:val="0"/>
              <w:spacing w:line="332" w:lineRule="exact"/>
              <w:ind w:left="422"/>
              <w:jc w:val="center"/>
              <w:rPr>
                <w:rFonts w:hint="eastAsia" w:ascii="宋体" w:hAnsi="宋体" w:eastAsia="宋体" w:cs="宋体"/>
                <w:b/>
                <w:sz w:val="21"/>
                <w:szCs w:val="21"/>
              </w:rPr>
            </w:pPr>
            <w:r>
              <w:rPr>
                <w:rFonts w:hint="eastAsia" w:ascii="宋体" w:hAnsi="宋体" w:eastAsia="宋体" w:cs="宋体"/>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86" w:type="dxa"/>
            <w:vAlign w:val="center"/>
          </w:tcPr>
          <w:p>
            <w:pPr>
              <w:pStyle w:val="325"/>
              <w:kinsoku/>
              <w:wordWrap/>
              <w:overflowPunct/>
              <w:topLinePunct/>
              <w:autoSpaceDE/>
              <w:autoSpaceDN/>
              <w:bidi w:val="0"/>
              <w:spacing w:before="75"/>
              <w:jc w:val="center"/>
              <w:rPr>
                <w:rFonts w:hint="eastAsia" w:ascii="宋体" w:hAnsi="宋体" w:eastAsia="宋体" w:cs="宋体"/>
                <w:sz w:val="21"/>
                <w:szCs w:val="21"/>
              </w:rPr>
            </w:pPr>
            <w:r>
              <w:rPr>
                <w:rFonts w:hint="eastAsia" w:ascii="宋体" w:hAnsi="宋体" w:eastAsia="宋体" w:cs="宋体"/>
                <w:sz w:val="21"/>
                <w:szCs w:val="21"/>
              </w:rPr>
              <w:t>1</w:t>
            </w:r>
          </w:p>
        </w:tc>
        <w:tc>
          <w:tcPr>
            <w:tcW w:w="1733" w:type="dxa"/>
            <w:tcBorders>
              <w:right w:val="single" w:color="000000" w:sz="4" w:space="0"/>
            </w:tcBorders>
            <w:vAlign w:val="center"/>
          </w:tcPr>
          <w:p>
            <w:pPr>
              <w:kinsoku/>
              <w:wordWrap/>
              <w:overflowPunct/>
              <w:topLinePunct/>
              <w:autoSpaceDE/>
              <w:autoSpaceDN/>
              <w:bidi w:val="0"/>
              <w:jc w:val="center"/>
              <w:rPr>
                <w:rFonts w:hint="eastAsia" w:ascii="宋体" w:hAnsi="宋体" w:eastAsia="宋体" w:cs="宋体"/>
                <w:sz w:val="21"/>
                <w:szCs w:val="21"/>
              </w:rPr>
            </w:pPr>
          </w:p>
        </w:tc>
        <w:tc>
          <w:tcPr>
            <w:tcW w:w="1104" w:type="dxa"/>
            <w:tcBorders>
              <w:left w:val="single" w:color="000000" w:sz="4" w:space="0"/>
            </w:tcBorders>
            <w:vAlign w:val="center"/>
          </w:tcPr>
          <w:p>
            <w:pPr>
              <w:kinsoku/>
              <w:wordWrap/>
              <w:overflowPunct/>
              <w:topLinePunct/>
              <w:autoSpaceDE/>
              <w:autoSpaceDN/>
              <w:bidi w:val="0"/>
              <w:jc w:val="center"/>
              <w:rPr>
                <w:rFonts w:hint="eastAsia" w:ascii="宋体" w:hAnsi="宋体" w:eastAsia="宋体" w:cs="宋体"/>
                <w:sz w:val="21"/>
                <w:szCs w:val="21"/>
              </w:rPr>
            </w:pPr>
          </w:p>
        </w:tc>
        <w:tc>
          <w:tcPr>
            <w:tcW w:w="1258"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576"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887"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418" w:type="dxa"/>
            <w:vAlign w:val="center"/>
          </w:tcPr>
          <w:p>
            <w:pPr>
              <w:kinsoku/>
              <w:wordWrap/>
              <w:overflowPunct/>
              <w:topLinePunct/>
              <w:autoSpaceDE/>
              <w:autoSpaceDN/>
              <w:bidi w:val="0"/>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86" w:type="dxa"/>
            <w:vAlign w:val="center"/>
          </w:tcPr>
          <w:p>
            <w:pPr>
              <w:pStyle w:val="325"/>
              <w:kinsoku/>
              <w:wordWrap/>
              <w:overflowPunct/>
              <w:topLinePunct/>
              <w:autoSpaceDE/>
              <w:autoSpaceDN/>
              <w:bidi w:val="0"/>
              <w:spacing w:before="75"/>
              <w:jc w:val="center"/>
              <w:rPr>
                <w:rFonts w:hint="eastAsia" w:ascii="宋体" w:hAnsi="宋体" w:eastAsia="宋体" w:cs="宋体"/>
                <w:sz w:val="21"/>
                <w:szCs w:val="21"/>
              </w:rPr>
            </w:pPr>
            <w:r>
              <w:rPr>
                <w:rFonts w:hint="eastAsia" w:ascii="宋体" w:hAnsi="宋体" w:eastAsia="宋体" w:cs="宋体"/>
                <w:sz w:val="21"/>
                <w:szCs w:val="21"/>
              </w:rPr>
              <w:t>2</w:t>
            </w:r>
          </w:p>
        </w:tc>
        <w:tc>
          <w:tcPr>
            <w:tcW w:w="1733" w:type="dxa"/>
            <w:tcBorders>
              <w:right w:val="single" w:color="000000" w:sz="4" w:space="0"/>
            </w:tcBorders>
            <w:vAlign w:val="center"/>
          </w:tcPr>
          <w:p>
            <w:pPr>
              <w:kinsoku/>
              <w:wordWrap/>
              <w:overflowPunct/>
              <w:topLinePunct/>
              <w:autoSpaceDE/>
              <w:autoSpaceDN/>
              <w:bidi w:val="0"/>
              <w:jc w:val="center"/>
              <w:rPr>
                <w:rFonts w:hint="eastAsia" w:ascii="宋体" w:hAnsi="宋体" w:eastAsia="宋体" w:cs="宋体"/>
                <w:sz w:val="21"/>
                <w:szCs w:val="21"/>
              </w:rPr>
            </w:pPr>
          </w:p>
        </w:tc>
        <w:tc>
          <w:tcPr>
            <w:tcW w:w="1104" w:type="dxa"/>
            <w:tcBorders>
              <w:left w:val="single" w:color="000000" w:sz="4" w:space="0"/>
            </w:tcBorders>
            <w:vAlign w:val="center"/>
          </w:tcPr>
          <w:p>
            <w:pPr>
              <w:kinsoku/>
              <w:wordWrap/>
              <w:overflowPunct/>
              <w:topLinePunct/>
              <w:autoSpaceDE/>
              <w:autoSpaceDN/>
              <w:bidi w:val="0"/>
              <w:jc w:val="center"/>
              <w:rPr>
                <w:rFonts w:hint="eastAsia" w:ascii="宋体" w:hAnsi="宋体" w:eastAsia="宋体" w:cs="宋体"/>
                <w:sz w:val="21"/>
                <w:szCs w:val="21"/>
              </w:rPr>
            </w:pPr>
          </w:p>
        </w:tc>
        <w:tc>
          <w:tcPr>
            <w:tcW w:w="1258"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576"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887"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418" w:type="dxa"/>
            <w:vAlign w:val="center"/>
          </w:tcPr>
          <w:p>
            <w:pPr>
              <w:kinsoku/>
              <w:wordWrap/>
              <w:overflowPunct/>
              <w:topLinePunct/>
              <w:autoSpaceDE/>
              <w:autoSpaceDN/>
              <w:bidi w:val="0"/>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86" w:type="dxa"/>
            <w:vAlign w:val="center"/>
          </w:tcPr>
          <w:p>
            <w:pPr>
              <w:pStyle w:val="325"/>
              <w:kinsoku/>
              <w:wordWrap/>
              <w:overflowPunct/>
              <w:topLinePunct/>
              <w:autoSpaceDE/>
              <w:autoSpaceDN/>
              <w:bidi w:val="0"/>
              <w:spacing w:before="75"/>
              <w:jc w:val="center"/>
              <w:rPr>
                <w:rFonts w:hint="eastAsia" w:ascii="宋体" w:hAnsi="宋体" w:eastAsia="宋体" w:cs="宋体"/>
                <w:sz w:val="21"/>
                <w:szCs w:val="21"/>
              </w:rPr>
            </w:pPr>
            <w:r>
              <w:rPr>
                <w:rFonts w:hint="eastAsia" w:ascii="宋体" w:hAnsi="宋体" w:eastAsia="宋体" w:cs="宋体"/>
                <w:sz w:val="21"/>
                <w:szCs w:val="21"/>
              </w:rPr>
              <w:t>3</w:t>
            </w:r>
          </w:p>
        </w:tc>
        <w:tc>
          <w:tcPr>
            <w:tcW w:w="1733" w:type="dxa"/>
            <w:tcBorders>
              <w:right w:val="single" w:color="000000" w:sz="4" w:space="0"/>
            </w:tcBorders>
            <w:vAlign w:val="center"/>
          </w:tcPr>
          <w:p>
            <w:pPr>
              <w:kinsoku/>
              <w:wordWrap/>
              <w:overflowPunct/>
              <w:topLinePunct/>
              <w:autoSpaceDE/>
              <w:autoSpaceDN/>
              <w:bidi w:val="0"/>
              <w:jc w:val="center"/>
              <w:rPr>
                <w:rFonts w:hint="eastAsia" w:ascii="宋体" w:hAnsi="宋体" w:eastAsia="宋体" w:cs="宋体"/>
                <w:sz w:val="21"/>
                <w:szCs w:val="21"/>
              </w:rPr>
            </w:pPr>
          </w:p>
        </w:tc>
        <w:tc>
          <w:tcPr>
            <w:tcW w:w="1104" w:type="dxa"/>
            <w:tcBorders>
              <w:left w:val="single" w:color="000000" w:sz="4" w:space="0"/>
            </w:tcBorders>
            <w:vAlign w:val="center"/>
          </w:tcPr>
          <w:p>
            <w:pPr>
              <w:kinsoku/>
              <w:wordWrap/>
              <w:overflowPunct/>
              <w:topLinePunct/>
              <w:autoSpaceDE/>
              <w:autoSpaceDN/>
              <w:bidi w:val="0"/>
              <w:jc w:val="center"/>
              <w:rPr>
                <w:rFonts w:hint="eastAsia" w:ascii="宋体" w:hAnsi="宋体" w:eastAsia="宋体" w:cs="宋体"/>
                <w:sz w:val="21"/>
                <w:szCs w:val="21"/>
              </w:rPr>
            </w:pPr>
          </w:p>
        </w:tc>
        <w:tc>
          <w:tcPr>
            <w:tcW w:w="1258"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576"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887"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418" w:type="dxa"/>
            <w:vAlign w:val="center"/>
          </w:tcPr>
          <w:p>
            <w:pPr>
              <w:kinsoku/>
              <w:wordWrap/>
              <w:overflowPunct/>
              <w:topLinePunct/>
              <w:autoSpaceDE/>
              <w:autoSpaceDN/>
              <w:bidi w:val="0"/>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86" w:type="dxa"/>
            <w:vAlign w:val="center"/>
          </w:tcPr>
          <w:p>
            <w:pPr>
              <w:pStyle w:val="325"/>
              <w:kinsoku/>
              <w:wordWrap/>
              <w:overflowPunct/>
              <w:topLinePunct/>
              <w:autoSpaceDE/>
              <w:autoSpaceDN/>
              <w:bidi w:val="0"/>
              <w:spacing w:before="75"/>
              <w:jc w:val="center"/>
              <w:rPr>
                <w:rFonts w:hint="eastAsia" w:ascii="宋体" w:hAnsi="宋体" w:eastAsia="宋体" w:cs="宋体"/>
                <w:sz w:val="21"/>
                <w:szCs w:val="21"/>
              </w:rPr>
            </w:pPr>
            <w:r>
              <w:rPr>
                <w:rFonts w:hint="eastAsia" w:ascii="宋体" w:hAnsi="宋体" w:eastAsia="宋体" w:cs="宋体"/>
                <w:sz w:val="21"/>
                <w:szCs w:val="21"/>
              </w:rPr>
              <w:t>4</w:t>
            </w:r>
          </w:p>
        </w:tc>
        <w:tc>
          <w:tcPr>
            <w:tcW w:w="1733" w:type="dxa"/>
            <w:tcBorders>
              <w:right w:val="single" w:color="000000" w:sz="4" w:space="0"/>
            </w:tcBorders>
            <w:vAlign w:val="center"/>
          </w:tcPr>
          <w:p>
            <w:pPr>
              <w:kinsoku/>
              <w:wordWrap/>
              <w:overflowPunct/>
              <w:topLinePunct/>
              <w:autoSpaceDE/>
              <w:autoSpaceDN/>
              <w:bidi w:val="0"/>
              <w:jc w:val="center"/>
              <w:rPr>
                <w:rFonts w:hint="eastAsia" w:ascii="宋体" w:hAnsi="宋体" w:eastAsia="宋体" w:cs="宋体"/>
                <w:sz w:val="21"/>
                <w:szCs w:val="21"/>
              </w:rPr>
            </w:pPr>
          </w:p>
        </w:tc>
        <w:tc>
          <w:tcPr>
            <w:tcW w:w="1104" w:type="dxa"/>
            <w:tcBorders>
              <w:left w:val="single" w:color="000000" w:sz="4" w:space="0"/>
            </w:tcBorders>
            <w:vAlign w:val="center"/>
          </w:tcPr>
          <w:p>
            <w:pPr>
              <w:kinsoku/>
              <w:wordWrap/>
              <w:overflowPunct/>
              <w:topLinePunct/>
              <w:autoSpaceDE/>
              <w:autoSpaceDN/>
              <w:bidi w:val="0"/>
              <w:jc w:val="center"/>
              <w:rPr>
                <w:rFonts w:hint="eastAsia" w:ascii="宋体" w:hAnsi="宋体" w:eastAsia="宋体" w:cs="宋体"/>
                <w:sz w:val="21"/>
                <w:szCs w:val="21"/>
              </w:rPr>
            </w:pPr>
          </w:p>
        </w:tc>
        <w:tc>
          <w:tcPr>
            <w:tcW w:w="1258"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576"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887"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418" w:type="dxa"/>
            <w:vAlign w:val="center"/>
          </w:tcPr>
          <w:p>
            <w:pPr>
              <w:kinsoku/>
              <w:wordWrap/>
              <w:overflowPunct/>
              <w:topLinePunct/>
              <w:autoSpaceDE/>
              <w:autoSpaceDN/>
              <w:bidi w:val="0"/>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86" w:type="dxa"/>
            <w:vAlign w:val="center"/>
          </w:tcPr>
          <w:p>
            <w:pPr>
              <w:pStyle w:val="325"/>
              <w:kinsoku/>
              <w:wordWrap/>
              <w:overflowPunct/>
              <w:topLinePunct/>
              <w:autoSpaceDE/>
              <w:autoSpaceDN/>
              <w:bidi w:val="0"/>
              <w:spacing w:before="75"/>
              <w:jc w:val="center"/>
              <w:rPr>
                <w:rFonts w:hint="eastAsia" w:ascii="宋体" w:hAnsi="宋体" w:eastAsia="宋体" w:cs="宋体"/>
                <w:sz w:val="21"/>
                <w:szCs w:val="21"/>
              </w:rPr>
            </w:pPr>
            <w:r>
              <w:rPr>
                <w:rFonts w:hint="eastAsia" w:ascii="宋体" w:hAnsi="宋体" w:eastAsia="宋体" w:cs="宋体"/>
                <w:sz w:val="21"/>
                <w:szCs w:val="21"/>
              </w:rPr>
              <w:t>……</w:t>
            </w:r>
          </w:p>
        </w:tc>
        <w:tc>
          <w:tcPr>
            <w:tcW w:w="1733" w:type="dxa"/>
            <w:tcBorders>
              <w:right w:val="single" w:color="000000" w:sz="4" w:space="0"/>
            </w:tcBorders>
            <w:vAlign w:val="center"/>
          </w:tcPr>
          <w:p>
            <w:pPr>
              <w:pStyle w:val="325"/>
              <w:kinsoku/>
              <w:wordWrap/>
              <w:overflowPunct/>
              <w:topLinePunct/>
              <w:autoSpaceDE/>
              <w:autoSpaceDN/>
              <w:bidi w:val="0"/>
              <w:spacing w:before="75"/>
              <w:jc w:val="center"/>
              <w:rPr>
                <w:rFonts w:hint="eastAsia" w:ascii="宋体" w:hAnsi="宋体" w:eastAsia="宋体" w:cs="宋体"/>
                <w:sz w:val="21"/>
                <w:szCs w:val="21"/>
              </w:rPr>
            </w:pPr>
            <w:r>
              <w:rPr>
                <w:rFonts w:hint="eastAsia" w:ascii="宋体" w:hAnsi="宋体" w:eastAsia="宋体" w:cs="宋体"/>
                <w:sz w:val="21"/>
                <w:szCs w:val="21"/>
              </w:rPr>
              <w:t>……</w:t>
            </w:r>
          </w:p>
        </w:tc>
        <w:tc>
          <w:tcPr>
            <w:tcW w:w="1104" w:type="dxa"/>
            <w:tcBorders>
              <w:left w:val="single" w:color="000000" w:sz="4" w:space="0"/>
            </w:tcBorders>
            <w:vAlign w:val="center"/>
          </w:tcPr>
          <w:p>
            <w:pPr>
              <w:kinsoku/>
              <w:wordWrap/>
              <w:overflowPunct/>
              <w:topLinePunct/>
              <w:autoSpaceDE/>
              <w:autoSpaceDN/>
              <w:bidi w:val="0"/>
              <w:jc w:val="center"/>
              <w:rPr>
                <w:rFonts w:hint="eastAsia" w:ascii="宋体" w:hAnsi="宋体" w:eastAsia="宋体" w:cs="宋体"/>
                <w:sz w:val="21"/>
                <w:szCs w:val="21"/>
              </w:rPr>
            </w:pPr>
          </w:p>
        </w:tc>
        <w:tc>
          <w:tcPr>
            <w:tcW w:w="1258"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576"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887"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418" w:type="dxa"/>
            <w:vAlign w:val="center"/>
          </w:tcPr>
          <w:p>
            <w:pPr>
              <w:kinsoku/>
              <w:wordWrap/>
              <w:overflowPunct/>
              <w:topLinePunct/>
              <w:autoSpaceDE/>
              <w:autoSpaceDN/>
              <w:bidi w:val="0"/>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457" w:type="dxa"/>
            <w:gridSpan w:val="5"/>
            <w:vAlign w:val="center"/>
          </w:tcPr>
          <w:p>
            <w:pPr>
              <w:pStyle w:val="325"/>
              <w:kinsoku/>
              <w:wordWrap/>
              <w:overflowPunct/>
              <w:topLinePunct/>
              <w:autoSpaceDE/>
              <w:autoSpaceDN/>
              <w:bidi w:val="0"/>
              <w:spacing w:line="329" w:lineRule="exact"/>
              <w:ind w:left="2462" w:right="2462"/>
              <w:jc w:val="center"/>
              <w:rPr>
                <w:rFonts w:hint="eastAsia" w:ascii="宋体" w:hAnsi="宋体" w:eastAsia="宋体" w:cs="宋体"/>
                <w:b/>
                <w:sz w:val="21"/>
                <w:szCs w:val="21"/>
              </w:rPr>
            </w:pPr>
            <w:r>
              <w:rPr>
                <w:rFonts w:hint="eastAsia" w:ascii="宋体" w:hAnsi="宋体" w:eastAsia="宋体" w:cs="宋体"/>
                <w:b/>
                <w:sz w:val="21"/>
                <w:szCs w:val="21"/>
              </w:rPr>
              <w:t>合计报价</w:t>
            </w:r>
          </w:p>
        </w:tc>
        <w:tc>
          <w:tcPr>
            <w:tcW w:w="1887" w:type="dxa"/>
            <w:vAlign w:val="center"/>
          </w:tcPr>
          <w:p>
            <w:pPr>
              <w:kinsoku/>
              <w:wordWrap/>
              <w:overflowPunct/>
              <w:topLinePunct/>
              <w:autoSpaceDE/>
              <w:autoSpaceDN/>
              <w:bidi w:val="0"/>
              <w:jc w:val="center"/>
              <w:rPr>
                <w:rFonts w:hint="eastAsia" w:ascii="宋体" w:hAnsi="宋体" w:eastAsia="宋体" w:cs="宋体"/>
                <w:sz w:val="21"/>
                <w:szCs w:val="21"/>
              </w:rPr>
            </w:pPr>
          </w:p>
        </w:tc>
        <w:tc>
          <w:tcPr>
            <w:tcW w:w="1418" w:type="dxa"/>
            <w:vAlign w:val="center"/>
          </w:tcPr>
          <w:p>
            <w:pPr>
              <w:kinsoku/>
              <w:wordWrap/>
              <w:overflowPunct/>
              <w:topLinePunct/>
              <w:autoSpaceDE/>
              <w:autoSpaceDN/>
              <w:bidi w:val="0"/>
              <w:jc w:val="center"/>
              <w:rPr>
                <w:rFonts w:hint="eastAsia" w:ascii="宋体" w:hAnsi="宋体" w:eastAsia="宋体" w:cs="宋体"/>
                <w:sz w:val="21"/>
                <w:szCs w:val="21"/>
              </w:rPr>
            </w:pPr>
          </w:p>
        </w:tc>
      </w:tr>
    </w:tbl>
    <w:p>
      <w:pPr>
        <w:kinsoku/>
        <w:wordWrap/>
        <w:overflowPunct/>
        <w:topLinePunct/>
        <w:autoSpaceDE/>
        <w:autoSpaceDN/>
        <w:bidi w:val="0"/>
        <w:rPr>
          <w:rFonts w:hint="eastAsia" w:ascii="宋体" w:hAnsi="宋体" w:eastAsia="宋体" w:cs="宋体"/>
          <w:szCs w:val="21"/>
        </w:rPr>
      </w:pPr>
    </w:p>
    <w:p>
      <w:pPr>
        <w:kinsoku/>
        <w:wordWrap/>
        <w:overflowPunct/>
        <w:topLinePunct/>
        <w:autoSpaceDE/>
        <w:autoSpaceDN/>
        <w:bidi w:val="0"/>
        <w:rPr>
          <w:rFonts w:hint="eastAsia" w:ascii="宋体" w:hAnsi="宋体" w:eastAsia="宋体" w:cs="宋体"/>
          <w:szCs w:val="21"/>
        </w:rPr>
      </w:pPr>
    </w:p>
    <w:tbl>
      <w:tblPr>
        <w:tblStyle w:val="86"/>
        <w:tblW w:w="9354" w:type="dxa"/>
        <w:jc w:val="center"/>
        <w:tblLayout w:type="fixed"/>
        <w:tblCellMar>
          <w:top w:w="0" w:type="dxa"/>
          <w:left w:w="108" w:type="dxa"/>
          <w:bottom w:w="0" w:type="dxa"/>
          <w:right w:w="108" w:type="dxa"/>
        </w:tblCellMar>
      </w:tblPr>
      <w:tblGrid>
        <w:gridCol w:w="941"/>
        <w:gridCol w:w="1871"/>
        <w:gridCol w:w="1711"/>
        <w:gridCol w:w="934"/>
        <w:gridCol w:w="1509"/>
        <w:gridCol w:w="2388"/>
      </w:tblGrid>
      <w:tr>
        <w:tblPrEx>
          <w:tblCellMar>
            <w:top w:w="0" w:type="dxa"/>
            <w:left w:w="108" w:type="dxa"/>
            <w:bottom w:w="0" w:type="dxa"/>
            <w:right w:w="108" w:type="dxa"/>
          </w:tblCellMar>
        </w:tblPrEx>
        <w:trPr>
          <w:trHeight w:val="56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pPr>
              <w:pStyle w:val="325"/>
              <w:kinsoku/>
              <w:wordWrap/>
              <w:overflowPunct/>
              <w:topLinePunct/>
              <w:autoSpaceDE/>
              <w:autoSpaceDN/>
              <w:bidi w:val="0"/>
              <w:spacing w:line="332" w:lineRule="exact"/>
              <w:ind w:left="113" w:right="113"/>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997" w:type="dxa"/>
            <w:tcBorders>
              <w:top w:val="single" w:color="auto" w:sz="4" w:space="0"/>
              <w:left w:val="single" w:color="auto" w:sz="4" w:space="0"/>
              <w:bottom w:val="single" w:color="auto" w:sz="4" w:space="0"/>
              <w:right w:val="single" w:color="auto" w:sz="4" w:space="0"/>
            </w:tcBorders>
            <w:vAlign w:val="center"/>
          </w:tcPr>
          <w:p>
            <w:pPr>
              <w:pStyle w:val="325"/>
              <w:kinsoku/>
              <w:wordWrap/>
              <w:overflowPunct/>
              <w:topLinePunct/>
              <w:autoSpaceDE/>
              <w:autoSpaceDN/>
              <w:bidi w:val="0"/>
              <w:spacing w:line="332" w:lineRule="exact"/>
              <w:ind w:left="113" w:right="113"/>
              <w:jc w:val="center"/>
              <w:rPr>
                <w:rFonts w:hint="eastAsia" w:ascii="宋体" w:hAnsi="宋体" w:eastAsia="宋体" w:cs="宋体"/>
                <w:b/>
                <w:sz w:val="21"/>
                <w:szCs w:val="21"/>
              </w:rPr>
            </w:pPr>
            <w:r>
              <w:rPr>
                <w:rFonts w:hint="eastAsia" w:ascii="宋体" w:hAnsi="宋体" w:eastAsia="宋体" w:cs="宋体"/>
                <w:b/>
                <w:sz w:val="21"/>
                <w:szCs w:val="21"/>
              </w:rPr>
              <w:t>零部件名称</w:t>
            </w:r>
          </w:p>
        </w:tc>
        <w:tc>
          <w:tcPr>
            <w:tcW w:w="1825" w:type="dxa"/>
            <w:tcBorders>
              <w:top w:val="single" w:color="auto" w:sz="4" w:space="0"/>
              <w:left w:val="nil"/>
              <w:bottom w:val="single" w:color="auto" w:sz="4" w:space="0"/>
              <w:right w:val="single" w:color="auto" w:sz="4" w:space="0"/>
            </w:tcBorders>
            <w:vAlign w:val="center"/>
          </w:tcPr>
          <w:p>
            <w:pPr>
              <w:pStyle w:val="325"/>
              <w:kinsoku/>
              <w:wordWrap/>
              <w:overflowPunct/>
              <w:topLinePunct/>
              <w:autoSpaceDE/>
              <w:autoSpaceDN/>
              <w:bidi w:val="0"/>
              <w:spacing w:line="332" w:lineRule="exact"/>
              <w:ind w:left="113" w:right="113"/>
              <w:jc w:val="center"/>
              <w:rPr>
                <w:rFonts w:hint="eastAsia" w:ascii="宋体" w:hAnsi="宋体" w:eastAsia="宋体" w:cs="宋体"/>
                <w:b/>
                <w:sz w:val="21"/>
                <w:szCs w:val="21"/>
              </w:rPr>
            </w:pPr>
            <w:r>
              <w:rPr>
                <w:rFonts w:hint="eastAsia" w:ascii="宋体" w:hAnsi="宋体" w:eastAsia="宋体" w:cs="宋体"/>
                <w:b/>
                <w:sz w:val="21"/>
                <w:szCs w:val="21"/>
              </w:rPr>
              <w:t>规格型号</w:t>
            </w:r>
          </w:p>
        </w:tc>
        <w:tc>
          <w:tcPr>
            <w:tcW w:w="988" w:type="dxa"/>
            <w:tcBorders>
              <w:top w:val="single" w:color="auto" w:sz="4" w:space="0"/>
              <w:left w:val="nil"/>
              <w:bottom w:val="single" w:color="auto" w:sz="4" w:space="0"/>
              <w:right w:val="single" w:color="auto" w:sz="4" w:space="0"/>
            </w:tcBorders>
            <w:vAlign w:val="center"/>
          </w:tcPr>
          <w:p>
            <w:pPr>
              <w:pStyle w:val="325"/>
              <w:kinsoku/>
              <w:wordWrap/>
              <w:overflowPunct/>
              <w:topLinePunct/>
              <w:autoSpaceDE/>
              <w:autoSpaceDN/>
              <w:bidi w:val="0"/>
              <w:spacing w:line="332" w:lineRule="exact"/>
              <w:ind w:left="113" w:right="113"/>
              <w:jc w:val="center"/>
              <w:rPr>
                <w:rFonts w:hint="eastAsia" w:ascii="宋体" w:hAnsi="宋体" w:eastAsia="宋体" w:cs="宋体"/>
                <w:b/>
                <w:sz w:val="21"/>
                <w:szCs w:val="21"/>
              </w:rPr>
            </w:pPr>
            <w:r>
              <w:rPr>
                <w:rFonts w:hint="eastAsia" w:ascii="宋体" w:hAnsi="宋体" w:eastAsia="宋体" w:cs="宋体"/>
                <w:b/>
                <w:sz w:val="21"/>
                <w:szCs w:val="21"/>
              </w:rPr>
              <w:t>单位</w:t>
            </w:r>
          </w:p>
        </w:tc>
        <w:tc>
          <w:tcPr>
            <w:tcW w:w="1607" w:type="dxa"/>
            <w:tcBorders>
              <w:top w:val="single" w:color="auto" w:sz="4" w:space="0"/>
              <w:left w:val="nil"/>
              <w:bottom w:val="single" w:color="auto" w:sz="4" w:space="0"/>
              <w:right w:val="single" w:color="auto" w:sz="4" w:space="0"/>
            </w:tcBorders>
            <w:vAlign w:val="center"/>
          </w:tcPr>
          <w:p>
            <w:pPr>
              <w:pStyle w:val="325"/>
              <w:kinsoku/>
              <w:wordWrap/>
              <w:overflowPunct/>
              <w:topLinePunct/>
              <w:autoSpaceDE/>
              <w:autoSpaceDN/>
              <w:bidi w:val="0"/>
              <w:spacing w:line="332" w:lineRule="exact"/>
              <w:ind w:right="113"/>
              <w:jc w:val="center"/>
              <w:rPr>
                <w:rFonts w:hint="eastAsia" w:ascii="宋体" w:hAnsi="宋体" w:eastAsia="宋体" w:cs="宋体"/>
                <w:b/>
                <w:sz w:val="21"/>
                <w:szCs w:val="21"/>
              </w:rPr>
            </w:pPr>
            <w:r>
              <w:rPr>
                <w:rFonts w:hint="eastAsia" w:ascii="宋体" w:hAnsi="宋体" w:eastAsia="宋体" w:cs="宋体"/>
                <w:b/>
                <w:sz w:val="21"/>
                <w:szCs w:val="21"/>
              </w:rPr>
              <w:t>单价（元）</w:t>
            </w:r>
          </w:p>
        </w:tc>
        <w:tc>
          <w:tcPr>
            <w:tcW w:w="2554" w:type="dxa"/>
            <w:tcBorders>
              <w:top w:val="single" w:color="auto" w:sz="4" w:space="0"/>
              <w:left w:val="nil"/>
              <w:bottom w:val="single" w:color="auto" w:sz="4" w:space="0"/>
              <w:right w:val="single" w:color="auto" w:sz="4" w:space="0"/>
            </w:tcBorders>
            <w:vAlign w:val="center"/>
          </w:tcPr>
          <w:p>
            <w:pPr>
              <w:pStyle w:val="325"/>
              <w:kinsoku/>
              <w:wordWrap/>
              <w:overflowPunct/>
              <w:topLinePunct/>
              <w:autoSpaceDE/>
              <w:autoSpaceDN/>
              <w:bidi w:val="0"/>
              <w:spacing w:line="332" w:lineRule="exact"/>
              <w:ind w:left="113" w:right="113"/>
              <w:jc w:val="center"/>
              <w:rPr>
                <w:rFonts w:hint="eastAsia" w:ascii="宋体" w:hAnsi="宋体" w:eastAsia="宋体" w:cs="宋体"/>
                <w:b/>
                <w:sz w:val="21"/>
                <w:szCs w:val="21"/>
              </w:rPr>
            </w:pPr>
            <w:r>
              <w:rPr>
                <w:rFonts w:hint="eastAsia" w:ascii="宋体" w:hAnsi="宋体" w:eastAsia="宋体" w:cs="宋体"/>
                <w:b/>
                <w:sz w:val="21"/>
                <w:szCs w:val="21"/>
              </w:rPr>
              <w:t>产地及生产企业</w:t>
            </w:r>
          </w:p>
        </w:tc>
      </w:tr>
      <w:tr>
        <w:tblPrEx>
          <w:tblCellMar>
            <w:top w:w="0" w:type="dxa"/>
            <w:left w:w="108" w:type="dxa"/>
            <w:bottom w:w="0" w:type="dxa"/>
            <w:right w:w="108" w:type="dxa"/>
          </w:tblCellMar>
        </w:tblPrEx>
        <w:trPr>
          <w:trHeight w:val="567" w:hRule="atLeast"/>
          <w:jc w:val="center"/>
        </w:trPr>
        <w:tc>
          <w:tcPr>
            <w:tcW w:w="997" w:type="dxa"/>
            <w:tcBorders>
              <w:top w:val="nil"/>
              <w:left w:val="single" w:color="auto" w:sz="4" w:space="0"/>
              <w:bottom w:val="single" w:color="auto" w:sz="4" w:space="0"/>
              <w:right w:val="single" w:color="auto" w:sz="4" w:space="0"/>
            </w:tcBorders>
            <w:vAlign w:val="center"/>
          </w:tcPr>
          <w:p>
            <w:pPr>
              <w:pStyle w:val="325"/>
              <w:kinsoku/>
              <w:wordWrap/>
              <w:overflowPunct/>
              <w:topLinePunct/>
              <w:autoSpaceDE/>
              <w:autoSpaceDN/>
              <w:bidi w:val="0"/>
              <w:spacing w:line="332" w:lineRule="exact"/>
              <w:ind w:left="113" w:right="113"/>
              <w:jc w:val="center"/>
              <w:rPr>
                <w:rFonts w:hint="eastAsia" w:ascii="宋体" w:hAnsi="宋体" w:eastAsia="宋体" w:cs="宋体"/>
                <w:b/>
                <w:sz w:val="21"/>
                <w:szCs w:val="21"/>
              </w:rPr>
            </w:pPr>
            <w:r>
              <w:rPr>
                <w:rFonts w:hint="eastAsia" w:ascii="宋体" w:hAnsi="宋体" w:eastAsia="宋体" w:cs="宋体"/>
                <w:b/>
                <w:sz w:val="21"/>
                <w:szCs w:val="21"/>
              </w:rPr>
              <w:t>1</w:t>
            </w:r>
          </w:p>
        </w:tc>
        <w:tc>
          <w:tcPr>
            <w:tcW w:w="1997" w:type="dxa"/>
            <w:tcBorders>
              <w:top w:val="nil"/>
              <w:left w:val="single" w:color="auto" w:sz="4" w:space="0"/>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1825"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988"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1607"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2554"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r>
      <w:tr>
        <w:tblPrEx>
          <w:tblCellMar>
            <w:top w:w="0" w:type="dxa"/>
            <w:left w:w="108" w:type="dxa"/>
            <w:bottom w:w="0" w:type="dxa"/>
            <w:right w:w="108" w:type="dxa"/>
          </w:tblCellMar>
        </w:tblPrEx>
        <w:trPr>
          <w:trHeight w:val="567" w:hRule="atLeast"/>
          <w:jc w:val="center"/>
        </w:trPr>
        <w:tc>
          <w:tcPr>
            <w:tcW w:w="997" w:type="dxa"/>
            <w:tcBorders>
              <w:top w:val="nil"/>
              <w:left w:val="single" w:color="auto" w:sz="4" w:space="0"/>
              <w:bottom w:val="single" w:color="auto" w:sz="4" w:space="0"/>
              <w:right w:val="single" w:color="auto" w:sz="4" w:space="0"/>
            </w:tcBorders>
            <w:vAlign w:val="center"/>
          </w:tcPr>
          <w:p>
            <w:pPr>
              <w:pStyle w:val="325"/>
              <w:kinsoku/>
              <w:wordWrap/>
              <w:overflowPunct/>
              <w:topLinePunct/>
              <w:autoSpaceDE/>
              <w:autoSpaceDN/>
              <w:bidi w:val="0"/>
              <w:spacing w:line="332" w:lineRule="exact"/>
              <w:ind w:left="113" w:right="113"/>
              <w:jc w:val="center"/>
              <w:rPr>
                <w:rFonts w:hint="eastAsia" w:ascii="宋体" w:hAnsi="宋体" w:eastAsia="宋体" w:cs="宋体"/>
                <w:b/>
                <w:sz w:val="21"/>
                <w:szCs w:val="21"/>
              </w:rPr>
            </w:pPr>
            <w:r>
              <w:rPr>
                <w:rFonts w:hint="eastAsia" w:ascii="宋体" w:hAnsi="宋体" w:eastAsia="宋体" w:cs="宋体"/>
                <w:b/>
                <w:sz w:val="21"/>
                <w:szCs w:val="21"/>
              </w:rPr>
              <w:t>2</w:t>
            </w:r>
          </w:p>
        </w:tc>
        <w:tc>
          <w:tcPr>
            <w:tcW w:w="1997" w:type="dxa"/>
            <w:tcBorders>
              <w:top w:val="nil"/>
              <w:left w:val="single" w:color="auto" w:sz="4" w:space="0"/>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1825"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988"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1607"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2554"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r>
      <w:tr>
        <w:tblPrEx>
          <w:tblCellMar>
            <w:top w:w="0" w:type="dxa"/>
            <w:left w:w="108" w:type="dxa"/>
            <w:bottom w:w="0" w:type="dxa"/>
            <w:right w:w="108" w:type="dxa"/>
          </w:tblCellMar>
        </w:tblPrEx>
        <w:trPr>
          <w:trHeight w:val="567" w:hRule="atLeast"/>
          <w:jc w:val="center"/>
        </w:trPr>
        <w:tc>
          <w:tcPr>
            <w:tcW w:w="997" w:type="dxa"/>
            <w:tcBorders>
              <w:top w:val="nil"/>
              <w:left w:val="single" w:color="auto" w:sz="4" w:space="0"/>
              <w:bottom w:val="single" w:color="auto" w:sz="4" w:space="0"/>
              <w:right w:val="single" w:color="auto" w:sz="4" w:space="0"/>
            </w:tcBorders>
            <w:vAlign w:val="center"/>
          </w:tcPr>
          <w:p>
            <w:pPr>
              <w:pStyle w:val="325"/>
              <w:kinsoku/>
              <w:wordWrap/>
              <w:overflowPunct/>
              <w:topLinePunct/>
              <w:autoSpaceDE/>
              <w:autoSpaceDN/>
              <w:bidi w:val="0"/>
              <w:spacing w:line="332" w:lineRule="exact"/>
              <w:ind w:left="113" w:right="113"/>
              <w:jc w:val="center"/>
              <w:rPr>
                <w:rFonts w:hint="eastAsia" w:ascii="宋体" w:hAnsi="宋体" w:eastAsia="宋体" w:cs="宋体"/>
                <w:b/>
                <w:sz w:val="21"/>
                <w:szCs w:val="21"/>
              </w:rPr>
            </w:pPr>
            <w:r>
              <w:rPr>
                <w:rFonts w:hint="eastAsia" w:ascii="宋体" w:hAnsi="宋体" w:eastAsia="宋体" w:cs="宋体"/>
                <w:b/>
                <w:sz w:val="21"/>
                <w:szCs w:val="21"/>
              </w:rPr>
              <w:t>3</w:t>
            </w:r>
          </w:p>
        </w:tc>
        <w:tc>
          <w:tcPr>
            <w:tcW w:w="1997" w:type="dxa"/>
            <w:tcBorders>
              <w:top w:val="nil"/>
              <w:left w:val="single" w:color="auto" w:sz="4" w:space="0"/>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1825"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988"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1607"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2554"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r>
      <w:tr>
        <w:tblPrEx>
          <w:tblCellMar>
            <w:top w:w="0" w:type="dxa"/>
            <w:left w:w="108" w:type="dxa"/>
            <w:bottom w:w="0" w:type="dxa"/>
            <w:right w:w="108" w:type="dxa"/>
          </w:tblCellMar>
        </w:tblPrEx>
        <w:trPr>
          <w:trHeight w:val="567" w:hRule="atLeast"/>
          <w:jc w:val="center"/>
        </w:trPr>
        <w:tc>
          <w:tcPr>
            <w:tcW w:w="997" w:type="dxa"/>
            <w:tcBorders>
              <w:top w:val="nil"/>
              <w:left w:val="single" w:color="auto" w:sz="4" w:space="0"/>
              <w:bottom w:val="single" w:color="auto" w:sz="4" w:space="0"/>
              <w:right w:val="single" w:color="auto" w:sz="4" w:space="0"/>
            </w:tcBorders>
            <w:vAlign w:val="center"/>
          </w:tcPr>
          <w:p>
            <w:pPr>
              <w:pStyle w:val="325"/>
              <w:kinsoku/>
              <w:wordWrap/>
              <w:overflowPunct/>
              <w:topLinePunct/>
              <w:autoSpaceDE/>
              <w:autoSpaceDN/>
              <w:bidi w:val="0"/>
              <w:spacing w:line="332" w:lineRule="exact"/>
              <w:ind w:left="113" w:right="113"/>
              <w:jc w:val="center"/>
              <w:rPr>
                <w:rFonts w:hint="eastAsia" w:ascii="宋体" w:hAnsi="宋体" w:eastAsia="宋体" w:cs="宋体"/>
                <w:b/>
                <w:sz w:val="21"/>
                <w:szCs w:val="21"/>
              </w:rPr>
            </w:pPr>
            <w:r>
              <w:rPr>
                <w:rFonts w:hint="eastAsia" w:ascii="宋体" w:hAnsi="宋体" w:eastAsia="宋体" w:cs="宋体"/>
                <w:b/>
                <w:sz w:val="21"/>
                <w:szCs w:val="21"/>
              </w:rPr>
              <w:t>4</w:t>
            </w:r>
          </w:p>
        </w:tc>
        <w:tc>
          <w:tcPr>
            <w:tcW w:w="1997" w:type="dxa"/>
            <w:tcBorders>
              <w:top w:val="nil"/>
              <w:left w:val="single" w:color="auto" w:sz="4" w:space="0"/>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1825"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988"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1607"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2554" w:type="dxa"/>
            <w:tcBorders>
              <w:top w:val="nil"/>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r>
      <w:tr>
        <w:tblPrEx>
          <w:tblCellMar>
            <w:top w:w="0" w:type="dxa"/>
            <w:left w:w="108" w:type="dxa"/>
            <w:bottom w:w="0" w:type="dxa"/>
            <w:right w:w="108" w:type="dxa"/>
          </w:tblCellMar>
        </w:tblPrEx>
        <w:trPr>
          <w:trHeight w:val="56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pPr>
              <w:pStyle w:val="325"/>
              <w:kinsoku/>
              <w:wordWrap/>
              <w:overflowPunct/>
              <w:topLinePunct/>
              <w:autoSpaceDE/>
              <w:autoSpaceDN/>
              <w:bidi w:val="0"/>
              <w:spacing w:before="75"/>
              <w:jc w:val="center"/>
              <w:rPr>
                <w:rFonts w:hint="eastAsia" w:ascii="宋体" w:hAnsi="宋体" w:eastAsia="宋体" w:cs="宋体"/>
                <w:b/>
                <w:sz w:val="21"/>
                <w:szCs w:val="21"/>
              </w:rPr>
            </w:pPr>
            <w:r>
              <w:rPr>
                <w:rFonts w:hint="eastAsia" w:ascii="宋体" w:hAnsi="宋体" w:eastAsia="宋体" w:cs="宋体"/>
                <w:sz w:val="21"/>
                <w:szCs w:val="21"/>
              </w:rPr>
              <w:t>……</w:t>
            </w:r>
          </w:p>
        </w:tc>
        <w:tc>
          <w:tcPr>
            <w:tcW w:w="1997" w:type="dxa"/>
            <w:tcBorders>
              <w:top w:val="single" w:color="auto" w:sz="4" w:space="0"/>
              <w:left w:val="single" w:color="auto" w:sz="4" w:space="0"/>
              <w:bottom w:val="single" w:color="auto" w:sz="4" w:space="0"/>
              <w:right w:val="single" w:color="auto" w:sz="4" w:space="0"/>
            </w:tcBorders>
            <w:vAlign w:val="center"/>
          </w:tcPr>
          <w:p>
            <w:pPr>
              <w:pStyle w:val="325"/>
              <w:kinsoku/>
              <w:wordWrap/>
              <w:overflowPunct/>
              <w:topLinePunct/>
              <w:autoSpaceDE/>
              <w:autoSpaceDN/>
              <w:bidi w:val="0"/>
              <w:spacing w:before="75"/>
              <w:jc w:val="center"/>
              <w:rPr>
                <w:rFonts w:hint="eastAsia" w:ascii="宋体" w:hAnsi="宋体" w:eastAsia="宋体" w:cs="宋体"/>
                <w:sz w:val="21"/>
                <w:szCs w:val="21"/>
              </w:rPr>
            </w:pPr>
            <w:r>
              <w:rPr>
                <w:rFonts w:hint="eastAsia" w:ascii="宋体" w:hAnsi="宋体" w:eastAsia="宋体" w:cs="宋体"/>
                <w:sz w:val="21"/>
                <w:szCs w:val="21"/>
              </w:rPr>
              <w:t>……</w:t>
            </w:r>
          </w:p>
        </w:tc>
        <w:tc>
          <w:tcPr>
            <w:tcW w:w="1825" w:type="dxa"/>
            <w:tcBorders>
              <w:top w:val="single" w:color="auto" w:sz="4" w:space="0"/>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988" w:type="dxa"/>
            <w:tcBorders>
              <w:top w:val="single" w:color="auto" w:sz="4" w:space="0"/>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1607" w:type="dxa"/>
            <w:tcBorders>
              <w:top w:val="single" w:color="auto" w:sz="4" w:space="0"/>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c>
          <w:tcPr>
            <w:tcW w:w="2554" w:type="dxa"/>
            <w:tcBorders>
              <w:top w:val="single" w:color="auto" w:sz="4" w:space="0"/>
              <w:left w:val="nil"/>
              <w:bottom w:val="single" w:color="auto" w:sz="4" w:space="0"/>
              <w:right w:val="single" w:color="auto" w:sz="4" w:space="0"/>
            </w:tcBorders>
            <w:vAlign w:val="center"/>
          </w:tcPr>
          <w:p>
            <w:pPr>
              <w:widowControl/>
              <w:kinsoku/>
              <w:wordWrap/>
              <w:overflowPunct/>
              <w:topLinePunct/>
              <w:autoSpaceDE/>
              <w:autoSpaceDN/>
              <w:bidi w:val="0"/>
              <w:jc w:val="center"/>
              <w:rPr>
                <w:rFonts w:hint="eastAsia" w:ascii="宋体" w:hAnsi="宋体" w:eastAsia="宋体" w:cs="宋体"/>
                <w:kern w:val="0"/>
                <w:sz w:val="21"/>
                <w:szCs w:val="21"/>
              </w:rPr>
            </w:pPr>
          </w:p>
        </w:tc>
      </w:tr>
    </w:tbl>
    <w:p>
      <w:pPr>
        <w:kinsoku/>
        <w:wordWrap/>
        <w:overflowPunct/>
        <w:topLinePunct/>
        <w:autoSpaceDE/>
        <w:autoSpaceDN/>
        <w:bidi w:val="0"/>
        <w:spacing w:line="360" w:lineRule="auto"/>
        <w:rPr>
          <w:rFonts w:hint="eastAsia" w:ascii="宋体" w:hAnsi="宋体" w:eastAsia="宋体" w:cs="宋体"/>
          <w:sz w:val="24"/>
          <w:szCs w:val="24"/>
        </w:rPr>
      </w:pPr>
    </w:p>
    <w:p>
      <w:pPr>
        <w:kinsoku/>
        <w:wordWrap/>
        <w:overflowPunct/>
        <w:topLinePunct/>
        <w:autoSpaceDE/>
        <w:autoSpaceDN/>
        <w:bidi w:val="0"/>
        <w:spacing w:line="360" w:lineRule="auto"/>
        <w:ind w:firstLine="420" w:firstLineChars="200"/>
        <w:rPr>
          <w:rFonts w:hint="eastAsia" w:ascii="宋体" w:hAnsi="宋体" w:eastAsia="宋体" w:cs="宋体"/>
          <w:szCs w:val="21"/>
          <w:u w:val="single"/>
        </w:rPr>
      </w:pPr>
      <w:r>
        <w:rPr>
          <w:rFonts w:hint="eastAsia" w:ascii="宋体" w:hAnsi="宋体" w:eastAsia="宋体" w:cs="宋体"/>
          <w:szCs w:val="21"/>
        </w:rPr>
        <w:t>投标人名称：</w:t>
      </w:r>
      <w:r>
        <w:rPr>
          <w:rFonts w:hint="eastAsia" w:ascii="宋体" w:hAnsi="宋体" w:eastAsia="宋体" w:cs="宋体"/>
          <w:szCs w:val="21"/>
          <w:u w:val="single"/>
        </w:rPr>
        <w:t xml:space="preserve">                       </w:t>
      </w:r>
      <w:bookmarkStart w:id="70" w:name="_Hlk495482056"/>
      <w:r>
        <w:rPr>
          <w:rFonts w:hint="eastAsia" w:ascii="宋体" w:hAnsi="宋体" w:eastAsia="宋体" w:cs="宋体"/>
          <w:szCs w:val="21"/>
          <w:u w:val="single"/>
        </w:rPr>
        <w:t>（盖电子签章）</w:t>
      </w:r>
      <w:bookmarkEnd w:id="70"/>
    </w:p>
    <w:p>
      <w:pPr>
        <w:kinsoku/>
        <w:wordWrap/>
        <w:overflowPunct/>
        <w:topLinePunct/>
        <w:autoSpaceDE/>
        <w:autoSpaceDN/>
        <w:bidi w:val="0"/>
        <w:spacing w:line="360" w:lineRule="auto"/>
        <w:rPr>
          <w:rFonts w:hint="eastAsia" w:ascii="宋体" w:hAnsi="宋体" w:eastAsia="宋体" w:cs="宋体"/>
          <w:szCs w:val="21"/>
        </w:rPr>
      </w:pPr>
    </w:p>
    <w:p>
      <w:pPr>
        <w:kinsoku/>
        <w:wordWrap/>
        <w:overflowPunct/>
        <w:topLinePunct/>
        <w:autoSpaceDE/>
        <w:autoSpaceDN/>
        <w:bidi w:val="0"/>
        <w:spacing w:line="360" w:lineRule="auto"/>
        <w:ind w:firstLine="420" w:firstLineChars="200"/>
        <w:rPr>
          <w:rFonts w:hint="eastAsia" w:ascii="宋体" w:hAnsi="宋体" w:eastAsia="宋体" w:cs="宋体"/>
          <w:szCs w:val="21"/>
          <w:u w:val="single"/>
        </w:rPr>
      </w:pPr>
      <w:r>
        <w:rPr>
          <w:rFonts w:hint="eastAsia" w:ascii="宋体" w:hAnsi="宋体" w:eastAsia="宋体" w:cs="宋体"/>
          <w:szCs w:val="21"/>
        </w:rPr>
        <w:t>法定代表人（单位负责人）或其委托代理人：</w:t>
      </w:r>
      <w:r>
        <w:rPr>
          <w:rFonts w:hint="eastAsia" w:ascii="宋体" w:hAnsi="宋体" w:eastAsia="宋体" w:cs="宋体"/>
          <w:szCs w:val="21"/>
          <w:u w:val="single"/>
        </w:rPr>
        <w:t xml:space="preserve">               (签字或签章) </w:t>
      </w:r>
    </w:p>
    <w:p>
      <w:pPr>
        <w:kinsoku/>
        <w:wordWrap/>
        <w:overflowPunct/>
        <w:topLinePunct/>
        <w:autoSpaceDE/>
        <w:autoSpaceDN/>
        <w:bidi w:val="0"/>
        <w:spacing w:line="360" w:lineRule="auto"/>
        <w:rPr>
          <w:rFonts w:hint="eastAsia" w:ascii="宋体" w:hAnsi="宋体" w:eastAsia="宋体" w:cs="宋体"/>
          <w:szCs w:val="21"/>
        </w:rPr>
      </w:pP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日  期：    年   月   日</w:t>
      </w:r>
    </w:p>
    <w:p>
      <w:pPr>
        <w:widowControl/>
        <w:kinsoku/>
        <w:wordWrap/>
        <w:overflowPunct/>
        <w:topLinePunct/>
        <w:autoSpaceDE/>
        <w:autoSpaceDN/>
        <w:bidi w:val="0"/>
        <w:rPr>
          <w:rFonts w:hint="eastAsia" w:ascii="宋体" w:hAnsi="宋体" w:eastAsia="宋体" w:cs="宋体"/>
          <w:b/>
          <w:kern w:val="0"/>
          <w:sz w:val="30"/>
          <w:szCs w:val="30"/>
        </w:rPr>
      </w:pPr>
    </w:p>
    <w:p>
      <w:pPr>
        <w:kinsoku/>
        <w:wordWrap/>
        <w:overflowPunct/>
        <w:topLinePunct/>
        <w:autoSpaceDE/>
        <w:autoSpaceDN/>
        <w:bidi w:val="0"/>
        <w:spacing w:line="360" w:lineRule="auto"/>
        <w:jc w:val="both"/>
        <w:rPr>
          <w:rFonts w:hint="eastAsia" w:ascii="宋体" w:hAnsi="宋体" w:eastAsia="宋体" w:cs="宋体"/>
          <w:b/>
          <w:sz w:val="26"/>
          <w:szCs w:val="26"/>
        </w:rPr>
      </w:pPr>
    </w:p>
    <w:p>
      <w:pPr>
        <w:kinsoku/>
        <w:wordWrap/>
        <w:overflowPunct/>
        <w:topLinePunct/>
        <w:autoSpaceDE/>
        <w:autoSpaceDN/>
        <w:bidi w:val="0"/>
        <w:spacing w:line="360" w:lineRule="auto"/>
        <w:ind w:firstLine="5520" w:firstLineChars="2300"/>
        <w:rPr>
          <w:rFonts w:hint="eastAsia" w:ascii="宋体" w:hAnsi="宋体" w:eastAsia="宋体" w:cs="宋体"/>
          <w:sz w:val="24"/>
          <w:szCs w:val="24"/>
        </w:rPr>
        <w:sectPr>
          <w:pgSz w:w="11906" w:h="16838"/>
          <w:pgMar w:top="1417" w:right="1587" w:bottom="1417" w:left="1587" w:header="850" w:footer="992" w:gutter="0"/>
          <w:pgNumType w:fmt="decimal"/>
          <w:cols w:space="0" w:num="1"/>
          <w:rtlGutter w:val="0"/>
          <w:docGrid w:linePitch="312" w:charSpace="0"/>
        </w:sectPr>
      </w:pPr>
    </w:p>
    <w:p>
      <w:pPr>
        <w:kinsoku/>
        <w:wordWrap/>
        <w:overflowPunct/>
        <w:topLinePunct/>
        <w:autoSpaceDE/>
        <w:autoSpaceDN/>
        <w:bidi w:val="0"/>
        <w:spacing w:line="360" w:lineRule="auto"/>
        <w:jc w:val="center"/>
        <w:rPr>
          <w:rFonts w:hint="eastAsia" w:ascii="宋体" w:hAnsi="宋体" w:eastAsia="宋体" w:cs="宋体"/>
          <w:b/>
          <w:sz w:val="36"/>
          <w:szCs w:val="36"/>
        </w:rPr>
      </w:pPr>
    </w:p>
    <w:p>
      <w:pPr>
        <w:kinsoku/>
        <w:wordWrap/>
        <w:overflowPunct/>
        <w:topLinePunct/>
        <w:autoSpaceDE/>
        <w:autoSpaceDN/>
        <w:bidi w:val="0"/>
        <w:spacing w:line="360" w:lineRule="auto"/>
        <w:jc w:val="center"/>
        <w:rPr>
          <w:rFonts w:hint="eastAsia" w:ascii="宋体" w:hAnsi="宋体" w:eastAsia="宋体" w:cs="宋体"/>
          <w:b/>
          <w:sz w:val="36"/>
          <w:szCs w:val="36"/>
        </w:rPr>
      </w:pPr>
    </w:p>
    <w:p>
      <w:pPr>
        <w:kinsoku/>
        <w:wordWrap/>
        <w:overflowPunct/>
        <w:topLinePunct/>
        <w:autoSpaceDE/>
        <w:autoSpaceDN/>
        <w:bidi w:val="0"/>
        <w:spacing w:line="360" w:lineRule="auto"/>
        <w:jc w:val="center"/>
        <w:rPr>
          <w:rFonts w:hint="eastAsia" w:ascii="宋体" w:hAnsi="宋体" w:eastAsia="宋体" w:cs="宋体"/>
          <w:b/>
          <w:sz w:val="36"/>
          <w:szCs w:val="36"/>
        </w:rPr>
      </w:pPr>
    </w:p>
    <w:p>
      <w:pPr>
        <w:kinsoku/>
        <w:wordWrap/>
        <w:overflowPunct/>
        <w:topLinePunct/>
        <w:autoSpaceDE/>
        <w:autoSpaceDN/>
        <w:bidi w:val="0"/>
        <w:spacing w:line="360" w:lineRule="auto"/>
        <w:jc w:val="center"/>
        <w:rPr>
          <w:rFonts w:hint="eastAsia" w:ascii="宋体" w:hAnsi="宋体" w:eastAsia="宋体" w:cs="宋体"/>
          <w:b/>
          <w:sz w:val="36"/>
          <w:szCs w:val="36"/>
        </w:rPr>
      </w:pPr>
    </w:p>
    <w:p>
      <w:pPr>
        <w:kinsoku/>
        <w:wordWrap/>
        <w:overflowPunct/>
        <w:topLinePunct/>
        <w:autoSpaceDE/>
        <w:autoSpaceDN/>
        <w:bidi w:val="0"/>
        <w:spacing w:line="360" w:lineRule="auto"/>
        <w:jc w:val="center"/>
        <w:rPr>
          <w:rFonts w:hint="eastAsia" w:ascii="宋体" w:hAnsi="宋体" w:eastAsia="宋体" w:cs="宋体"/>
          <w:b/>
          <w:sz w:val="36"/>
          <w:szCs w:val="36"/>
        </w:rPr>
      </w:pPr>
    </w:p>
    <w:p>
      <w:pPr>
        <w:kinsoku/>
        <w:wordWrap/>
        <w:overflowPunct/>
        <w:topLinePunct/>
        <w:autoSpaceDE/>
        <w:autoSpaceDN/>
        <w:bidi w:val="0"/>
        <w:spacing w:line="360" w:lineRule="auto"/>
        <w:jc w:val="center"/>
        <w:rPr>
          <w:rFonts w:hint="eastAsia" w:ascii="宋体" w:hAnsi="宋体" w:eastAsia="宋体" w:cs="宋体"/>
          <w:b/>
          <w:sz w:val="36"/>
          <w:szCs w:val="36"/>
        </w:rPr>
      </w:pPr>
    </w:p>
    <w:p>
      <w:pPr>
        <w:kinsoku/>
        <w:wordWrap/>
        <w:overflowPunct/>
        <w:topLinePunct/>
        <w:autoSpaceDE/>
        <w:autoSpaceDN/>
        <w:bidi w:val="0"/>
        <w:spacing w:line="360" w:lineRule="auto"/>
        <w:jc w:val="center"/>
        <w:rPr>
          <w:rFonts w:hint="eastAsia" w:ascii="宋体" w:hAnsi="宋体" w:eastAsia="宋体" w:cs="宋体"/>
          <w:b/>
          <w:sz w:val="36"/>
          <w:szCs w:val="36"/>
        </w:rPr>
      </w:pPr>
    </w:p>
    <w:p>
      <w:pPr>
        <w:kinsoku/>
        <w:wordWrap/>
        <w:overflowPunct/>
        <w:topLinePunct/>
        <w:autoSpaceDE/>
        <w:autoSpaceDN/>
        <w:bidi w:val="0"/>
        <w:spacing w:line="360" w:lineRule="auto"/>
        <w:jc w:val="center"/>
        <w:rPr>
          <w:rFonts w:hint="eastAsia" w:ascii="宋体" w:hAnsi="宋体" w:eastAsia="宋体" w:cs="宋体"/>
          <w:b/>
          <w:sz w:val="36"/>
          <w:szCs w:val="36"/>
        </w:rPr>
      </w:pPr>
    </w:p>
    <w:p>
      <w:pPr>
        <w:kinsoku/>
        <w:wordWrap/>
        <w:overflowPunct/>
        <w:topLinePunct/>
        <w:autoSpaceDE/>
        <w:autoSpaceDN/>
        <w:bidi w:val="0"/>
        <w:spacing w:line="360" w:lineRule="auto"/>
        <w:jc w:val="center"/>
        <w:rPr>
          <w:rFonts w:hint="eastAsia" w:ascii="宋体" w:hAnsi="宋体" w:eastAsia="宋体" w:cs="宋体"/>
          <w:b/>
          <w:sz w:val="36"/>
          <w:szCs w:val="36"/>
        </w:rPr>
      </w:pPr>
    </w:p>
    <w:p>
      <w:pPr>
        <w:pStyle w:val="3"/>
        <w:bidi w:val="0"/>
        <w:rPr>
          <w:rFonts w:hint="eastAsia"/>
        </w:rPr>
      </w:pPr>
      <w:bookmarkStart w:id="71" w:name="_Toc4842"/>
      <w:r>
        <w:rPr>
          <w:rFonts w:hint="eastAsia"/>
        </w:rPr>
        <w:t>第二部分   技术部分</w:t>
      </w:r>
      <w:bookmarkEnd w:id="71"/>
    </w:p>
    <w:p>
      <w:pPr>
        <w:pStyle w:val="3"/>
        <w:bidi w:val="0"/>
        <w:rPr>
          <w:rFonts w:hint="eastAsia" w:ascii="宋体" w:hAnsi="宋体" w:eastAsia="宋体" w:cs="宋体"/>
          <w:b/>
          <w:sz w:val="24"/>
          <w:szCs w:val="24"/>
        </w:rPr>
      </w:pPr>
      <w:r>
        <w:rPr>
          <w:rFonts w:hint="eastAsia" w:ascii="宋体" w:hAnsi="宋体" w:eastAsia="宋体" w:cs="宋体"/>
          <w:szCs w:val="32"/>
        </w:rPr>
        <w:br w:type="page"/>
      </w:r>
      <w:bookmarkStart w:id="72" w:name="_Toc21157"/>
      <w:r>
        <w:rPr>
          <w:rFonts w:hint="eastAsia" w:ascii="宋体" w:hAnsi="宋体" w:eastAsia="宋体" w:cs="宋体"/>
          <w:b/>
          <w:sz w:val="24"/>
          <w:szCs w:val="24"/>
        </w:rPr>
        <w:t>一、技术偏离表</w:t>
      </w:r>
      <w:bookmarkEnd w:id="72"/>
    </w:p>
    <w:p>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宋体" w:hAnsi="宋体" w:eastAsia="宋体" w:cs="宋体"/>
          <w:szCs w:val="21"/>
        </w:rPr>
      </w:pPr>
      <w:r>
        <w:rPr>
          <w:rFonts w:hint="eastAsia" w:ascii="宋体" w:hAnsi="宋体" w:eastAsia="宋体" w:cs="宋体"/>
          <w:szCs w:val="21"/>
        </w:rPr>
        <w:t>项目名称：</w:t>
      </w:r>
      <w:r>
        <w:rPr>
          <w:rFonts w:hint="eastAsia" w:ascii="宋体" w:hAnsi="宋体" w:eastAsia="宋体" w:cs="宋体"/>
          <w:szCs w:val="21"/>
          <w:u w:val="single"/>
        </w:rPr>
        <w:t xml:space="preserve">           </w:t>
      </w:r>
      <w:r>
        <w:rPr>
          <w:rFonts w:hint="eastAsia" w:ascii="宋体" w:hAnsi="宋体" w:eastAsia="宋体" w:cs="宋体"/>
          <w:szCs w:val="21"/>
        </w:rPr>
        <w:t xml:space="preserve">   招标编号：____________  </w:t>
      </w: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516"/>
        <w:gridCol w:w="2192"/>
        <w:gridCol w:w="2278"/>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bCs/>
                <w:kern w:val="0"/>
                <w:sz w:val="21"/>
                <w:szCs w:val="21"/>
              </w:rPr>
            </w:pPr>
            <w:r>
              <w:rPr>
                <w:rFonts w:hint="eastAsia" w:ascii="宋体" w:hAnsi="宋体" w:eastAsia="宋体" w:cs="宋体"/>
                <w:sz w:val="21"/>
                <w:szCs w:val="21"/>
              </w:rPr>
              <w:t>序号</w:t>
            </w:r>
          </w:p>
        </w:tc>
        <w:tc>
          <w:tcPr>
            <w:tcW w:w="2516"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bCs/>
                <w:kern w:val="0"/>
                <w:sz w:val="21"/>
                <w:szCs w:val="21"/>
              </w:rPr>
            </w:pPr>
            <w:r>
              <w:rPr>
                <w:rFonts w:hint="eastAsia" w:ascii="宋体" w:hAnsi="宋体" w:eastAsia="宋体" w:cs="宋体"/>
                <w:sz w:val="21"/>
                <w:szCs w:val="21"/>
              </w:rPr>
              <w:t>招标文件条款</w:t>
            </w:r>
          </w:p>
        </w:tc>
        <w:tc>
          <w:tcPr>
            <w:tcW w:w="2192"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bCs/>
                <w:kern w:val="0"/>
                <w:sz w:val="21"/>
                <w:szCs w:val="21"/>
              </w:rPr>
            </w:pPr>
            <w:r>
              <w:rPr>
                <w:rFonts w:hint="eastAsia" w:ascii="宋体" w:hAnsi="宋体" w:eastAsia="宋体" w:cs="宋体"/>
                <w:sz w:val="21"/>
                <w:szCs w:val="21"/>
              </w:rPr>
              <w:t>投标文件条款</w:t>
            </w:r>
          </w:p>
        </w:tc>
        <w:tc>
          <w:tcPr>
            <w:tcW w:w="2278"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bCs/>
                <w:kern w:val="0"/>
                <w:sz w:val="21"/>
                <w:szCs w:val="21"/>
              </w:rPr>
            </w:pPr>
            <w:r>
              <w:rPr>
                <w:rFonts w:hint="eastAsia" w:ascii="宋体" w:hAnsi="宋体" w:eastAsia="宋体" w:cs="宋体"/>
                <w:sz w:val="21"/>
                <w:szCs w:val="21"/>
              </w:rPr>
              <w:t>响应/正偏离/负偏离</w:t>
            </w:r>
          </w:p>
        </w:tc>
        <w:tc>
          <w:tcPr>
            <w:tcW w:w="1590"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bCs/>
                <w:kern w:val="0"/>
                <w:sz w:val="21"/>
                <w:szCs w:val="21"/>
              </w:rPr>
            </w:pPr>
            <w:r>
              <w:rPr>
                <w:rFonts w:hint="eastAsia" w:ascii="宋体" w:hAnsi="宋体" w:eastAsia="宋体" w:cs="宋体"/>
                <w:sz w:val="21"/>
                <w:szCs w:val="21"/>
              </w:rPr>
              <w:t>说明/索引页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default" w:ascii="宋体" w:hAnsi="宋体" w:eastAsia="宋体" w:cs="宋体"/>
                <w:b/>
                <w:bCs/>
                <w:kern w:val="0"/>
                <w:sz w:val="21"/>
                <w:szCs w:val="21"/>
                <w:lang w:val="en-US" w:eastAsia="zh-CN"/>
              </w:rPr>
            </w:pPr>
          </w:p>
        </w:tc>
        <w:tc>
          <w:tcPr>
            <w:tcW w:w="2516" w:type="dxa"/>
            <w:vAlign w:val="center"/>
          </w:tcPr>
          <w:p>
            <w:pPr>
              <w:keepNext w:val="0"/>
              <w:keepLines w:val="0"/>
              <w:pageBreakBefore w:val="0"/>
              <w:kinsoku/>
              <w:wordWrap/>
              <w:overflowPunct/>
              <w:topLinePunct/>
              <w:autoSpaceDE/>
              <w:autoSpaceDN/>
              <w:bidi w:val="0"/>
              <w:adjustRightInd/>
              <w:snapToGrid/>
              <w:spacing w:line="276" w:lineRule="auto"/>
              <w:jc w:val="left"/>
              <w:textAlignment w:val="auto"/>
              <w:rPr>
                <w:rFonts w:hint="eastAsia" w:ascii="宋体" w:hAnsi="宋体" w:eastAsia="宋体" w:cs="宋体"/>
                <w:sz w:val="21"/>
                <w:szCs w:val="21"/>
              </w:rPr>
            </w:pPr>
            <w:r>
              <w:rPr>
                <w:rFonts w:hint="eastAsia" w:ascii="宋体" w:hAnsi="宋体" w:eastAsia="宋体" w:cs="宋体"/>
                <w:sz w:val="21"/>
                <w:szCs w:val="21"/>
              </w:rPr>
              <w:t>以电话、邮件、书面等形式在规定时间内答复技术咨询问题，提供操作性或解释性说明或建议；设备发生异常或者问题时，提供7X24小时远程技术支持，对于突发事件安排专业技术人员到现场提供应急处理服务。</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b/>
                <w:bCs/>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b/>
                <w:bCs/>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kinsoku/>
              <w:wordWrap/>
              <w:overflowPunct/>
              <w:topLinePunct/>
              <w:autoSpaceDE/>
              <w:autoSpaceDN/>
              <w:bidi w:val="0"/>
              <w:adjustRightInd/>
              <w:snapToGrid/>
              <w:spacing w:line="276" w:lineRule="auto"/>
              <w:jc w:val="left"/>
              <w:textAlignment w:val="auto"/>
              <w:rPr>
                <w:rFonts w:hint="eastAsia" w:ascii="宋体" w:hAnsi="宋体" w:eastAsia="宋体" w:cs="宋体"/>
                <w:sz w:val="21"/>
                <w:szCs w:val="21"/>
              </w:rPr>
            </w:pPr>
            <w:r>
              <w:rPr>
                <w:rFonts w:hint="eastAsia" w:ascii="宋体" w:hAnsi="宋体" w:eastAsia="宋体" w:cs="宋体"/>
                <w:sz w:val="21"/>
                <w:szCs w:val="21"/>
              </w:rPr>
              <w:t>针对现网运行的设备的备品备件，确保在系统出现故障和问题情况下及时提供相应型号与性能的备件，缩短故障时间，备品备件包括设备电源、插口、板卡和整机等。</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kinsoku/>
              <w:wordWrap/>
              <w:overflowPunct/>
              <w:topLinePunct/>
              <w:autoSpaceDE/>
              <w:autoSpaceDN/>
              <w:bidi w:val="0"/>
              <w:adjustRightInd/>
              <w:snapToGrid/>
              <w:spacing w:line="276" w:lineRule="auto"/>
              <w:jc w:val="left"/>
              <w:textAlignment w:val="auto"/>
              <w:rPr>
                <w:rFonts w:hint="eastAsia" w:ascii="宋体" w:hAnsi="宋体" w:eastAsia="宋体" w:cs="宋体"/>
                <w:sz w:val="21"/>
                <w:szCs w:val="21"/>
              </w:rPr>
            </w:pPr>
            <w:r>
              <w:rPr>
                <w:rFonts w:hint="eastAsia" w:ascii="宋体" w:hAnsi="宋体" w:eastAsia="宋体" w:cs="宋体"/>
                <w:sz w:val="21"/>
                <w:szCs w:val="21"/>
              </w:rPr>
              <w:t>系统出现故障/问题或需要供应商技术人员提供现场技术支援时，提供及时有效的现场技术支持，安排经验丰富的技术支持工程师赴现场分析故障原因，制定故障解决方案，并最终排除和解决故障、问题。</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kinsoku/>
              <w:wordWrap/>
              <w:overflowPunct/>
              <w:topLinePunct/>
              <w:autoSpaceDE/>
              <w:autoSpaceDN/>
              <w:bidi w:val="0"/>
              <w:adjustRightInd/>
              <w:snapToGrid/>
              <w:spacing w:line="276" w:lineRule="auto"/>
              <w:jc w:val="left"/>
              <w:textAlignment w:val="auto"/>
              <w:rPr>
                <w:rFonts w:hint="eastAsia" w:ascii="宋体" w:hAnsi="宋体" w:eastAsia="宋体" w:cs="宋体"/>
                <w:sz w:val="21"/>
                <w:szCs w:val="21"/>
              </w:rPr>
            </w:pPr>
            <w:r>
              <w:rPr>
                <w:rFonts w:hint="eastAsia" w:ascii="宋体" w:hAnsi="宋体" w:eastAsia="宋体" w:cs="宋体"/>
                <w:sz w:val="21"/>
                <w:szCs w:val="21"/>
              </w:rPr>
              <w:t>正常情况下每月对设备进行全面的巡检和健康检查， 应积极配合对系统进行巡检、优化、升级。</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kinsoku/>
              <w:wordWrap/>
              <w:overflowPunct/>
              <w:topLinePunct/>
              <w:autoSpaceDE/>
              <w:autoSpaceDN/>
              <w:bidi w:val="0"/>
              <w:adjustRightInd/>
              <w:snapToGrid/>
              <w:spacing w:line="276"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系统配置、部署变更要求以及技术支持服务</w:t>
            </w:r>
            <w:r>
              <w:rPr>
                <w:rFonts w:hint="eastAsia" w:ascii="宋体" w:hAnsi="宋体" w:cs="宋体"/>
                <w:sz w:val="21"/>
                <w:szCs w:val="21"/>
                <w:lang w:eastAsia="zh-CN"/>
              </w:rPr>
              <w:t>。</w:t>
            </w:r>
            <w:r>
              <w:rPr>
                <w:rFonts w:hint="eastAsia" w:ascii="宋体" w:hAnsi="宋体" w:cs="宋体"/>
                <w:sz w:val="21"/>
                <w:szCs w:val="21"/>
                <w:lang w:val="en-US" w:eastAsia="zh-CN"/>
              </w:rPr>
              <w:t>详细解答有关设备维护运行的技术问题，对于有关系统维护运行中的疑难问题提供专项技术交流。</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kinsoku/>
              <w:wordWrap/>
              <w:overflowPunct/>
              <w:topLinePunct/>
              <w:autoSpaceDE/>
              <w:autoSpaceDN/>
              <w:bidi w:val="0"/>
              <w:adjustRightInd/>
              <w:snapToGrid/>
              <w:spacing w:line="276"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维保清单内设备在维保期内涉及对配件、设备重新更换的经费开支均包含在本项目合同内，且要求更换的配件、设备可溯源，由中标方承担，招标人不再支付任何费用。</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kinsoku/>
              <w:wordWrap/>
              <w:overflowPunct/>
              <w:topLinePunct/>
              <w:autoSpaceDE/>
              <w:autoSpaceDN/>
              <w:bidi w:val="0"/>
              <w:adjustRightInd/>
              <w:snapToGrid/>
              <w:spacing w:line="276" w:lineRule="auto"/>
              <w:jc w:val="left"/>
              <w:textAlignment w:val="auto"/>
              <w:rPr>
                <w:rFonts w:hint="eastAsia" w:ascii="宋体" w:hAnsi="宋体" w:eastAsia="宋体" w:cs="宋体"/>
                <w:sz w:val="21"/>
                <w:szCs w:val="21"/>
              </w:rPr>
            </w:pPr>
            <w:r>
              <w:rPr>
                <w:rFonts w:hint="eastAsia" w:ascii="宋体" w:hAnsi="宋体" w:eastAsia="宋体" w:cs="宋体"/>
                <w:sz w:val="21"/>
                <w:szCs w:val="21"/>
              </w:rPr>
              <w:t>维保服务期内，投标人提供全院所有服务器及存储设备原厂维保，所有硬件损坏投标人应及时更换原厂配件，同时提供操作系统及数据库等维保服务。</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b/>
                <w:bCs/>
                <w:kern w:val="0"/>
                <w:sz w:val="21"/>
                <w:szCs w:val="21"/>
              </w:rPr>
            </w:pPr>
          </w:p>
        </w:tc>
        <w:tc>
          <w:tcPr>
            <w:tcW w:w="2516" w:type="dxa"/>
            <w:vAlign w:val="center"/>
          </w:tcPr>
          <w:p>
            <w:pPr>
              <w:keepNext w:val="0"/>
              <w:keepLines w:val="0"/>
              <w:pageBreakBefore w:val="0"/>
              <w:kinsoku/>
              <w:wordWrap/>
              <w:overflowPunct/>
              <w:topLinePunct/>
              <w:autoSpaceDE/>
              <w:autoSpaceDN/>
              <w:bidi w:val="0"/>
              <w:adjustRightInd/>
              <w:snapToGrid/>
              <w:spacing w:line="276" w:lineRule="auto"/>
              <w:jc w:val="left"/>
              <w:textAlignment w:val="auto"/>
              <w:rPr>
                <w:rFonts w:hint="eastAsia" w:ascii="宋体" w:hAnsi="宋体" w:eastAsia="宋体" w:cs="宋体"/>
                <w:sz w:val="21"/>
                <w:szCs w:val="21"/>
              </w:rPr>
            </w:pPr>
            <w:r>
              <w:rPr>
                <w:rFonts w:hint="eastAsia" w:ascii="宋体" w:hAnsi="宋体" w:eastAsia="宋体" w:cs="宋体"/>
                <w:sz w:val="21"/>
                <w:szCs w:val="21"/>
              </w:rPr>
              <w:t>维保服务期开始后，投标人应在30日内对全院服务器及存储设备进行彻底摸排，熟悉并掌握后提供报告。</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kinsoku/>
              <w:wordWrap/>
              <w:overflowPunct/>
              <w:topLinePunct/>
              <w:autoSpaceDE/>
              <w:autoSpaceDN/>
              <w:bidi w:val="0"/>
              <w:adjustRightInd/>
              <w:snapToGrid/>
              <w:spacing w:line="276" w:lineRule="auto"/>
              <w:jc w:val="left"/>
              <w:textAlignment w:val="auto"/>
              <w:rPr>
                <w:rFonts w:hint="eastAsia" w:ascii="宋体" w:hAnsi="宋体" w:eastAsia="宋体" w:cs="宋体"/>
                <w:sz w:val="21"/>
                <w:szCs w:val="21"/>
              </w:rPr>
            </w:pPr>
            <w:r>
              <w:rPr>
                <w:rFonts w:hint="eastAsia" w:ascii="宋体" w:hAnsi="宋体" w:eastAsia="宋体" w:cs="宋体"/>
                <w:sz w:val="21"/>
                <w:szCs w:val="21"/>
              </w:rPr>
              <w:t>投标人应提供至少</w:t>
            </w:r>
            <w:r>
              <w:rPr>
                <w:rFonts w:hint="eastAsia" w:ascii="宋体" w:hAnsi="宋体" w:eastAsia="宋体" w:cs="宋体"/>
                <w:sz w:val="21"/>
                <w:szCs w:val="21"/>
                <w:lang w:val="en-US" w:eastAsia="zh-CN"/>
              </w:rPr>
              <w:t>3</w:t>
            </w:r>
            <w:r>
              <w:rPr>
                <w:rFonts w:hint="eastAsia" w:ascii="宋体" w:hAnsi="宋体" w:eastAsia="宋体" w:cs="宋体"/>
                <w:sz w:val="21"/>
                <w:szCs w:val="21"/>
              </w:rPr>
              <w:t>名驻场工程师负责本项目，驻场工程师应精通windows server、Linux（包含国内外Linux系统包含但不限于redhat、CentOS、Anolis OS、KylinOS等）、AIX等操作系统的维护，精通</w:t>
            </w:r>
            <w:r>
              <w:rPr>
                <w:rFonts w:hint="eastAsia" w:ascii="宋体" w:hAnsi="宋体" w:eastAsia="宋体" w:cs="宋体"/>
                <w:sz w:val="21"/>
                <w:szCs w:val="21"/>
                <w:lang w:val="en-US" w:eastAsia="zh-CN"/>
              </w:rPr>
              <w:t>包括且不限于</w:t>
            </w:r>
            <w:r>
              <w:rPr>
                <w:rFonts w:hint="eastAsia" w:ascii="宋体" w:hAnsi="宋体" w:eastAsia="宋体" w:cs="宋体"/>
                <w:sz w:val="21"/>
                <w:szCs w:val="21"/>
              </w:rPr>
              <w:t>sql server、MySQL、oracle</w:t>
            </w:r>
            <w:r>
              <w:rPr>
                <w:rFonts w:hint="eastAsia" w:ascii="宋体" w:hAnsi="宋体" w:eastAsia="宋体" w:cs="宋体"/>
                <w:sz w:val="21"/>
                <w:szCs w:val="21"/>
                <w:lang w:eastAsia="zh-CN"/>
              </w:rPr>
              <w:t>、</w:t>
            </w:r>
            <w:r>
              <w:rPr>
                <w:rFonts w:hint="eastAsia" w:ascii="宋体" w:hAnsi="宋体" w:eastAsia="宋体" w:cs="宋体"/>
                <w:sz w:val="21"/>
                <w:szCs w:val="21"/>
              </w:rPr>
              <w:t>等</w:t>
            </w:r>
            <w:r>
              <w:rPr>
                <w:rFonts w:hint="eastAsia" w:ascii="宋体" w:hAnsi="宋体" w:eastAsia="宋体" w:cs="宋体"/>
                <w:sz w:val="21"/>
                <w:szCs w:val="21"/>
                <w:lang w:val="en-US" w:eastAsia="zh-CN"/>
              </w:rPr>
              <w:t>国内外</w:t>
            </w:r>
            <w:r>
              <w:rPr>
                <w:rFonts w:hint="eastAsia" w:ascii="宋体" w:hAnsi="宋体" w:eastAsia="宋体" w:cs="宋体"/>
                <w:sz w:val="21"/>
                <w:szCs w:val="21"/>
              </w:rPr>
              <w:t>数据库维护。</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kinsoku/>
              <w:wordWrap/>
              <w:overflowPunct/>
              <w:topLinePunct/>
              <w:autoSpaceDE/>
              <w:autoSpaceDN/>
              <w:bidi w:val="0"/>
              <w:adjustRightInd/>
              <w:snapToGrid/>
              <w:spacing w:line="276"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30-12:00,14:30-18:00至少3名驻院熟练维护工程师，12:00-14:30至少1名驻院熟练维护工程师值班，18:00-次日7:30至少1名驻院熟练维护工程师值班，上述人数为最低标准。工程师配置数量以投标人实际调研评估后为准，且驻场人员需经网络信息中心考评合格后方可进行驻场服务，驻场人员上岗、考勤等工作相关事项均需要接受网络信息中心统一管理。投标人不得随意更换驻场人员。确需调整的，应按投标承诺的项目团队成员配置标准，提交书面建议给招标人，经招标人同意后投标人做好工作交接方能更换。在现场驻场时要听从河南省人员医院网络信息中心人员安排并遵守医院相关规章制度。</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投标人应对招标人清查统计全院服务器及存储设备固定资产，同时对所有服务器及存储设备进行编号，在设备粘贴二维码标签（标签上应有设备名称、设备型号、设备编号等信息），对于发生业务变动、位置改变的硬件要及时进行标签更新，确保其时效性和准确性。完成全院范围内机房硬件设备资产管理包含但不限于机房设备标签、设备迁移记录、设备增减记录、设备更换记录等。</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为适应医院信息化的发展需要，中标方要按照网络信息中心要求，配合调整机房内各硬件的部署，包含河南省人民医院医疗机构执业许可证上的地址内各种硬件的迁移、规划、安装、调试等，转移过程中，中标方应确保设备的安全，如发生损坏导致设备不可用，应由中标方承担相应损失。</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投标人应向招标方提供及时周到的快速备件更换服务。服务标准为备件先行7×24响应。</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一旦定位是硬件故障，投标人应在规定时间内将原厂商正品备件先行运抵现场，保证故障部件得到及时更换，以使招标方的业务能在最短时间内恢复正常。</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驻场工程师应做到3分钟响应，10分钟人员现场故障确诊，20分钟解决故障，如遇驻场工程师无法解决的故障，投标人应派其他工程师1小时内到达现场，到现场后1小时内解决故障。</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定期对系统进行预防性巡检维护，是确保系统正常健康运行的重要预防措施。通过该服务及时检查、发现故障隐患，更换与排除故障部件，调整系统性能，减少系统故障及宕机时间，保持业务持续性运行。</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巡检周期：每天巡检一次，对系统软硬件进行预防性检查维护，将隐患消除在萌芽之中。</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巡检内容：系统运行环境检查，包括机房温度、湿度和零地电压、零火电压等。维护合同签约后，投标人必须为甲方建立维护服务档案，主要内容包括：运行环境、系统硬件、系统软件。</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投标人有完善的质量管理体系，首检、月巡检均有文档记录，填写《详细配置清单》、《巡检表》或《服务记录单》等，详细记录设备型号、故障时间、故障类型、处理方法、处理结果、预防措施及维护时间和维护人员等信息。每次巡检结束后填写《阶段工作总结表》并提交当次的《维护总结报告》，并均由客户系统管理人员签署意见、评估工程师服务质量，并签字确认，该记录由客户和乙方共同持有并保存。</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巡检半年后的一周内，乙方提供半年的《半年维护总结报告》，详细陈述半年系统运行情况、服务统计、巡检情况分析及故障处理情况。总结报告由客户签字确认后，由双方存档。</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每年服务期结束前30天内，乙方提供本年度服务的全年汇总报告《全年维护总结报告》，详细陈述系统运行情况、服务统计、备件使用总结、系统情况分析等内容。同时将全年服务记录装订成册，交由甲方保管以作参考。</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监控管理平台要求</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为及时发现服务器、存储等设备的故障，提供监控管理平台，功能完善、稳定可靠的服务器监控系统，以确保服务器及存储等设备运行的稳定性，并能及时发现问题。该平台将对主机的CPU使用率、存活状态、内存使用率以及磁盘使用率进行实时监控，并在异常情况下能够及时发出告警通知，以便管理员及时采取措施解决问题。同时，平台还应具备良好的可扩展性，能够灵活支持新的监控对象的添加和移除，以满足未来业务的发展需求。</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至少包含以下功能模块：</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（1）. 监控模块：负责实时采集主机的CPU使用率、存活状态、内存使用率和磁盘使用率等指标数据，并将数据传输至后台处理模块，可对数据库层面健康程度进行监管。</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（2）. 告警通知模块：一旦监测到异常情况，如CPU负载过高、内存使用率过高等，系统将自动触发告警通知功能，向管理员发送邮件告警通知，提醒其及时处理。</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（3）. 数据可视化模块：提供直观的数据可视化界面，以图表、曲线等形式展示监控数据，帮助管理员实时了解服务器状态和性能趋势，并支持历史数据查询和导出功能。</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（4）. 管理模块：提供管理员对监控系统的配置管理功能，包括监控对象的添加、删除、修改等操作，以及告警通知规则的设置和管理，保障监控系统的稳定运行和灵活性，可通过移动端实时监控。</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出现故障时，应在规定时间予以响应，并在规定时间之内解决问题。在故障处理完成后24小时必须出具真实、详细、完整的故障报告并包含整改方案及预防措施。</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投标人需要成立针对本项目工作组，并提供成员简历，包括：</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1.项目经理：具有项目管理工作经历，并全权代表投标人执行各项技术及管理工作；</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2.项目实施人员：项目签约后，投标人保证须提供常驻项目实施人员在医院现场工作，直至项目实施、验收结束。</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3.项目管理与支持人员：服务期间，投标人保证须提供项目管理与二线支持人员。</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cs="宋体"/>
                <w:kern w:val="0"/>
                <w:sz w:val="21"/>
                <w:szCs w:val="21"/>
                <w:lang w:val="en-US" w:eastAsia="zh-CN"/>
              </w:rPr>
              <w:t>4.</w:t>
            </w:r>
            <w:r>
              <w:rPr>
                <w:rFonts w:hint="eastAsia" w:ascii="宋体" w:hAnsi="宋体" w:eastAsia="宋体" w:cs="宋体"/>
                <w:kern w:val="0"/>
                <w:sz w:val="21"/>
                <w:szCs w:val="21"/>
              </w:rPr>
              <w:t>驻场运维人员：投标人需指定专业驻场人员对接医院技术问题，要求该人员具备分析、处理故障的能力。该人员需长期对本项目负责，如发生人员更换，需提前通知院方。</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文档资料管理</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文档是保证项目实施连贯性的重要保证，投标人需要提供完善的文档，并对项目进行过程中的文档进行有效的管理，接受采购人对项目各阶段评估分析和监督管理。</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投标人应提供详细的设备维保服务方案，包括而且不限于以下内容：</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1、运维团队：投标人必须在郑州本地组建专业的保障团队，为河南省人民医院2024-2027年度全院服务器及存储设备维保服务项目提供7*24小时应急响应服务要求。投标人必须提供保障团队的人员名单，联系电话，相关资质证明，并在投标响应中保证。</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管理制度：驻场服务人员应遵守网络信息中心相关制度，服从网络信息中心的工作安排。驻场人员应遵照招标中的驻场要求开展设备维保服务相关工作。投标人提供的驻场团队人员一经采购人确认，在服务过程中未经采购人同意不得更换。如有特殊情况须进行更换的，投标人应及时通知采购人，并附上拟更换人员的资质、简历证明文件。在经采购人审核同意后，方可进行人员更换。</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保密及安全要求</w:t>
            </w:r>
            <w:r>
              <w:rPr>
                <w:rFonts w:hint="eastAsia" w:ascii="宋体" w:hAnsi="宋体" w:cs="宋体"/>
                <w:kern w:val="0"/>
                <w:sz w:val="21"/>
                <w:szCs w:val="21"/>
                <w:lang w:val="en-US" w:eastAsia="zh-CN"/>
              </w:rPr>
              <w:t>:</w:t>
            </w:r>
            <w:r>
              <w:rPr>
                <w:rFonts w:hint="eastAsia" w:ascii="宋体" w:hAnsi="宋体" w:eastAsia="宋体" w:cs="宋体"/>
                <w:kern w:val="0"/>
                <w:sz w:val="21"/>
                <w:szCs w:val="21"/>
              </w:rPr>
              <w:t>投标人在推进本项目合作的所有的商业秘密、技术秘密、以及其他具有保密性的信息，包括由招标人向投标人提供的详细资料，和所有与本项目相关的其他资料等。秘密信息仅备用与招标人或项目所规定的用途，除非得到投标人的书面同意，不得向任何第三方透漏。</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依据中华人民共和国数据安全法、中华人民共和国网络安全法及投标人规定的信息设备账号权限管理制度。投标人项目团队应严格遵守相关法律法规及医院管理制度。</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设备维保备品备件库管理</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为保证招标方系统出现故障后，能够快速进行备件响应，投标人在郑州市有备件库，需提供备件库实地照片；提供房屋租赁合同或房屋产权证明资料等复印件。提供本项目相关备件清单，清单详细真实。如投标时不能提供以上证明材料，需承诺在中标后签订合同时向招标人提供。</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项目应急管理</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制定应急应对策略，针对本项目可能发生的应急事件，设计应对措施。对突发重大事件拥有可靠的应急团队及应急的硬件及软件服务支持，通过对应急事故、故障进行全过程管理，以流程化、标准化的处理方式确保应急事故、故障得到及时妥善的解决。提供应急保障方案，应至少包含但不限于以下内容：①应急管理计划；②应急保障处理流程；③突发事件解决措施。 ④应急演练。</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cs="宋体"/>
                <w:kern w:val="0"/>
                <w:sz w:val="21"/>
                <w:szCs w:val="21"/>
                <w:lang w:val="en-US" w:eastAsia="zh-CN"/>
              </w:rPr>
            </w:pPr>
            <w:r>
              <w:rPr>
                <w:rFonts w:hint="eastAsia" w:ascii="宋体" w:hAnsi="宋体" w:cs="宋体"/>
                <w:kern w:val="0"/>
                <w:sz w:val="21"/>
                <w:szCs w:val="21"/>
                <w:lang w:val="en-US" w:eastAsia="zh-CN"/>
              </w:rPr>
              <w:t>培训</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投标方对其提供的维保应尽培训义务。投标方应提供对我院的基本免费培训，使我院使用人员能够正常操作。投标方需按招标人要求对项目涉及设备、工具的新技术进行培训交流，提升我院人员技术水平。</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投标人应提供合同期内驻场设备维保服务，并指派专门技术团队。投标人承诺驻场人员无理由接受甲方工作安排，遇重大活动短时间内增加驻场人员供甲方调遣，甲方不再支付任何费用。</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验收</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(一)按照合同规定的时间和合同约定交付报告内容按时向招标方提交年度服务验收报告，并在医院现场以双方认可的方式进行验收。</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(二)投标人应按照《河南省人民医院信息项目验收办法》要求进行验收,在采购人单位对标书中所要求全部内容验收后方视为该项目全部完成，验收由医院相关人员按照合同中年服务内容条目进行考核。</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(三)项目验收时，投标人需提供下列技术资料文档资料及其电子版,如未完整提供则视为验收不合格: 服务过程中记录的相关文档资料包括但不限于：月度巡检报告，风险评估报告，配件更换清单等，故障处理报告，重大事件操作报告，整体运行报告等。</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(四)招标人将对投标人的服务满意度进行每半年评价（优秀、合格、不合格），服务满意度将作为项目验收标准之一。</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五)招标人定期按本项目服务要求及我院信息公司考核办法对投标人服务进行考核，如对投标人考核不合格，需按照招标人要求整改，若投标人一直未能按照招标人要求整改并按要求提供维保服务，招标人有权单方终止合同并不需承担任何责任，投标人需承担给招标人造成的所有损失。</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(六) 招标人对提供的设备、备件每季度经行一次验收，投标方需提供设备、耗材、备件的签收单并现场核对设备、耗材、备件的安装使用情况。</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(七)运行情况、服务统计、巡检情况分析及故障处理情况。总结报告由双方签字确认后，由双方存档作为验收依据。</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516" w:type="dxa"/>
            <w:vAlign w:val="center"/>
          </w:tcPr>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其他</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1.投标人必须在投标文件中对以上条款和服务承诺明确列出，承诺内容必须达到本篇及招标文件其他条款的要求。</w:t>
            </w:r>
          </w:p>
          <w:p>
            <w:pPr>
              <w:keepNext w:val="0"/>
              <w:keepLines w:val="0"/>
              <w:pageBreakBefore w:val="0"/>
              <w:widowControl/>
              <w:kinsoku/>
              <w:wordWrap/>
              <w:overflowPunct/>
              <w:topLinePunct/>
              <w:autoSpaceDE/>
              <w:autoSpaceDN/>
              <w:bidi w:val="0"/>
              <w:adjustRightInd/>
              <w:snapToGrid/>
              <w:spacing w:line="276"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2.其他未尽事宜由供需双方在采购合同中详细约定。</w:t>
            </w:r>
          </w:p>
        </w:tc>
        <w:tc>
          <w:tcPr>
            <w:tcW w:w="2192"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2278"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c>
          <w:tcPr>
            <w:tcW w:w="1590"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kern w:val="0"/>
                <w:sz w:val="21"/>
                <w:szCs w:val="21"/>
              </w:rPr>
            </w:pPr>
          </w:p>
        </w:tc>
      </w:tr>
    </w:tbl>
    <w:p>
      <w:pPr>
        <w:keepNext w:val="0"/>
        <w:keepLines w:val="0"/>
        <w:pageBreakBefore w:val="0"/>
        <w:widowControl w:val="0"/>
        <w:kinsoku/>
        <w:wordWrap/>
        <w:overflowPunct/>
        <w:topLinePunct/>
        <w:autoSpaceDE/>
        <w:autoSpaceDN/>
        <w:bidi w:val="0"/>
        <w:adjustRightInd/>
        <w:snapToGrid/>
        <w:spacing w:before="157" w:beforeLines="50" w:line="360" w:lineRule="auto"/>
        <w:textAlignment w:val="auto"/>
        <w:rPr>
          <w:rFonts w:hint="eastAsia" w:ascii="宋体" w:hAnsi="宋体" w:eastAsia="宋体" w:cs="宋体"/>
          <w:szCs w:val="21"/>
        </w:rPr>
      </w:pPr>
      <w:r>
        <w:rPr>
          <w:rFonts w:hint="eastAsia" w:ascii="宋体" w:hAnsi="宋体" w:eastAsia="宋体" w:cs="宋体"/>
          <w:szCs w:val="21"/>
        </w:rPr>
        <w:t>注：1、投标文件与招标文件有差异之处，无论多么微小，均应按偏离表的要求汇总说明，并说明差异的原因，并标注出正偏离/负偏离。投标人未填入本表内的内容视为完全响应招标文件的要求。如果投标文件与招标文件的差异之处没有填入“偏离表”中，不管投标人是否在投标文件的其他任何地方有其他描述，均不能免除投标人已经承诺响应招标文件要求的责任。</w:t>
      </w:r>
    </w:p>
    <w:p>
      <w:pPr>
        <w:kinsoku/>
        <w:wordWrap/>
        <w:overflowPunct/>
        <w:topLinePunct/>
        <w:autoSpaceDE/>
        <w:autoSpaceDN/>
        <w:bidi w:val="0"/>
        <w:adjustRightIn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2、如果投标人在该项目中中标，在技术和商务的合同谈判中，投标人不得提出“偏离表”之外的任何实质性的偏差。否则属违约行为，采购人有权取消其中标的资格。</w:t>
      </w:r>
    </w:p>
    <w:p>
      <w:pPr>
        <w:kinsoku/>
        <w:wordWrap/>
        <w:overflowPunct/>
        <w:topLinePunct/>
        <w:autoSpaceDE/>
        <w:autoSpaceDN/>
        <w:bidi w:val="0"/>
        <w:spacing w:line="360" w:lineRule="exact"/>
        <w:ind w:firstLine="420" w:firstLineChars="200"/>
        <w:rPr>
          <w:rFonts w:hint="eastAsia" w:ascii="宋体" w:hAnsi="宋体" w:eastAsia="宋体" w:cs="宋体"/>
          <w:szCs w:val="21"/>
        </w:rPr>
      </w:pPr>
    </w:p>
    <w:p>
      <w:pPr>
        <w:kinsoku/>
        <w:wordWrap/>
        <w:overflowPunct/>
        <w:topLinePunct/>
        <w:autoSpaceDE/>
        <w:autoSpaceDN/>
        <w:bidi w:val="0"/>
        <w:spacing w:line="360" w:lineRule="exact"/>
        <w:ind w:firstLine="420" w:firstLineChars="200"/>
        <w:rPr>
          <w:rFonts w:hint="eastAsia" w:ascii="宋体" w:hAnsi="宋体" w:eastAsia="宋体" w:cs="宋体"/>
          <w:szCs w:val="21"/>
        </w:rPr>
      </w:pPr>
    </w:p>
    <w:p>
      <w:pPr>
        <w:kinsoku/>
        <w:wordWrap/>
        <w:overflowPunct/>
        <w:topLinePunct/>
        <w:autoSpaceDE/>
        <w:autoSpaceDN/>
        <w:bidi w:val="0"/>
        <w:spacing w:line="480" w:lineRule="auto"/>
        <w:ind w:firstLine="420" w:firstLineChars="200"/>
        <w:rPr>
          <w:rFonts w:hint="eastAsia" w:ascii="宋体" w:hAnsi="宋体" w:eastAsia="宋体" w:cs="宋体"/>
          <w:szCs w:val="21"/>
        </w:rPr>
      </w:pPr>
      <w:r>
        <w:rPr>
          <w:rFonts w:hint="eastAsia" w:ascii="宋体" w:hAnsi="宋体" w:eastAsia="宋体" w:cs="宋体"/>
          <w:szCs w:val="21"/>
        </w:rPr>
        <w:t>投标人名称：</w:t>
      </w:r>
      <w:r>
        <w:rPr>
          <w:rFonts w:hint="eastAsia" w:ascii="宋体" w:hAnsi="宋体" w:eastAsia="宋体" w:cs="宋体"/>
          <w:szCs w:val="21"/>
          <w:u w:val="single"/>
        </w:rPr>
        <w:t xml:space="preserve">                      （盖电子签章）    </w:t>
      </w:r>
      <w:r>
        <w:rPr>
          <w:rFonts w:hint="eastAsia" w:ascii="宋体" w:hAnsi="宋体" w:eastAsia="宋体" w:cs="宋体"/>
          <w:szCs w:val="21"/>
        </w:rPr>
        <w:t xml:space="preserve">                      </w:t>
      </w:r>
    </w:p>
    <w:p>
      <w:pPr>
        <w:kinsoku/>
        <w:wordWrap/>
        <w:overflowPunct/>
        <w:topLinePunct/>
        <w:autoSpaceDE/>
        <w:autoSpaceDN/>
        <w:bidi w:val="0"/>
        <w:spacing w:line="480" w:lineRule="auto"/>
        <w:rPr>
          <w:rFonts w:hint="eastAsia" w:ascii="宋体" w:hAnsi="宋体" w:eastAsia="宋体" w:cs="宋体"/>
          <w:szCs w:val="21"/>
        </w:rPr>
      </w:pPr>
    </w:p>
    <w:p>
      <w:pPr>
        <w:kinsoku/>
        <w:wordWrap/>
        <w:overflowPunct/>
        <w:topLinePunct/>
        <w:autoSpaceDE/>
        <w:autoSpaceDN/>
        <w:bidi w:val="0"/>
        <w:spacing w:line="480" w:lineRule="auto"/>
        <w:ind w:firstLine="420" w:firstLineChars="200"/>
        <w:rPr>
          <w:rFonts w:hint="eastAsia" w:ascii="宋体" w:hAnsi="宋体" w:eastAsia="宋体" w:cs="宋体"/>
          <w:szCs w:val="21"/>
        </w:rPr>
      </w:pPr>
      <w:r>
        <w:rPr>
          <w:rFonts w:hint="eastAsia" w:ascii="宋体" w:hAnsi="宋体" w:eastAsia="宋体" w:cs="宋体"/>
          <w:szCs w:val="21"/>
        </w:rPr>
        <w:t>法定代表人（单位负责人）或其委托代理人：</w:t>
      </w:r>
      <w:r>
        <w:rPr>
          <w:rFonts w:hint="eastAsia" w:ascii="宋体" w:hAnsi="宋体" w:eastAsia="宋体" w:cs="宋体"/>
          <w:szCs w:val="21"/>
          <w:u w:val="single"/>
        </w:rPr>
        <w:t xml:space="preserve">            （签字或签章）</w:t>
      </w:r>
    </w:p>
    <w:p>
      <w:pPr>
        <w:kinsoku/>
        <w:wordWrap/>
        <w:overflowPunct/>
        <w:topLinePunct/>
        <w:autoSpaceDE/>
        <w:autoSpaceDN/>
        <w:bidi w:val="0"/>
        <w:spacing w:line="480" w:lineRule="auto"/>
        <w:ind w:firstLine="420" w:firstLineChars="200"/>
        <w:rPr>
          <w:rFonts w:hint="eastAsia" w:ascii="宋体" w:hAnsi="宋体" w:eastAsia="宋体" w:cs="宋体"/>
          <w:szCs w:val="21"/>
        </w:rPr>
      </w:pPr>
    </w:p>
    <w:p>
      <w:pPr>
        <w:kinsoku/>
        <w:wordWrap/>
        <w:overflowPunct/>
        <w:topLinePunct/>
        <w:autoSpaceDE/>
        <w:autoSpaceDN/>
        <w:bidi w:val="0"/>
        <w:spacing w:line="480" w:lineRule="auto"/>
        <w:ind w:firstLine="420" w:firstLineChars="200"/>
        <w:rPr>
          <w:rFonts w:hint="eastAsia" w:ascii="宋体" w:hAnsi="宋体" w:eastAsia="宋体" w:cs="宋体"/>
          <w:szCs w:val="21"/>
        </w:rPr>
      </w:pPr>
      <w:r>
        <w:rPr>
          <w:rFonts w:hint="eastAsia" w:ascii="宋体" w:hAnsi="宋体" w:eastAsia="宋体" w:cs="宋体"/>
          <w:szCs w:val="21"/>
        </w:rPr>
        <w:t>日  期：    年     月     日</w:t>
      </w:r>
    </w:p>
    <w:p>
      <w:pPr>
        <w:pStyle w:val="3"/>
        <w:bidi w:val="0"/>
        <w:rPr>
          <w:rFonts w:hint="eastAsia" w:ascii="宋体" w:hAnsi="宋体" w:eastAsia="宋体" w:cs="宋体"/>
          <w:sz w:val="24"/>
          <w:szCs w:val="24"/>
        </w:rPr>
      </w:pPr>
      <w:r>
        <w:rPr>
          <w:rFonts w:hint="eastAsia" w:ascii="宋体" w:hAnsi="宋体" w:eastAsia="宋体" w:cs="宋体"/>
          <w:szCs w:val="32"/>
        </w:rPr>
        <w:br w:type="page"/>
      </w:r>
      <w:bookmarkStart w:id="73" w:name="_Toc31312"/>
      <w:r>
        <w:rPr>
          <w:rFonts w:hint="eastAsia" w:ascii="宋体" w:hAnsi="宋体" w:eastAsia="宋体" w:cs="宋体"/>
          <w:b/>
          <w:sz w:val="24"/>
          <w:szCs w:val="24"/>
        </w:rPr>
        <w:t>二、服务方案</w:t>
      </w:r>
      <w:bookmarkEnd w:id="73"/>
    </w:p>
    <w:p>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宋体" w:hAnsi="宋体" w:eastAsia="宋体" w:cs="宋体"/>
          <w:bCs/>
          <w:szCs w:val="21"/>
        </w:rPr>
      </w:pPr>
    </w:p>
    <w:p>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宋体" w:hAnsi="宋体" w:eastAsia="宋体" w:cs="宋体"/>
          <w:bCs/>
          <w:szCs w:val="21"/>
        </w:rPr>
      </w:pPr>
      <w:r>
        <w:rPr>
          <w:rFonts w:hint="eastAsia" w:ascii="宋体" w:hAnsi="宋体" w:eastAsia="宋体" w:cs="宋体"/>
          <w:bCs/>
          <w:szCs w:val="21"/>
        </w:rPr>
        <w:t>有关招标项目的技术描述及特点请根据本项目的特点及评标办法中的内容详细编写（格式自制），需提供响应招标文件技术参数条款的等相关文件。</w:t>
      </w:r>
    </w:p>
    <w:p>
      <w:pPr>
        <w:pStyle w:val="3"/>
        <w:bidi w:val="0"/>
        <w:rPr>
          <w:rFonts w:hint="eastAsia" w:ascii="宋体" w:hAnsi="宋体" w:eastAsia="宋体" w:cs="宋体"/>
          <w:b/>
          <w:kern w:val="2"/>
          <w:sz w:val="24"/>
          <w:szCs w:val="24"/>
          <w:lang w:val="en-US" w:eastAsia="zh-CN" w:bidi="ar-SA"/>
        </w:rPr>
      </w:pPr>
      <w:r>
        <w:rPr>
          <w:rFonts w:hint="eastAsia" w:ascii="宋体" w:hAnsi="宋体" w:eastAsia="宋体" w:cs="宋体"/>
          <w:szCs w:val="32"/>
        </w:rPr>
        <w:br w:type="page"/>
      </w:r>
      <w:bookmarkStart w:id="74" w:name="_Toc25446"/>
      <w:r>
        <w:rPr>
          <w:rFonts w:hint="eastAsia" w:ascii="宋体" w:hAnsi="宋体" w:eastAsia="宋体" w:cs="宋体"/>
          <w:b/>
          <w:kern w:val="2"/>
          <w:sz w:val="24"/>
          <w:szCs w:val="24"/>
          <w:lang w:val="en-US" w:eastAsia="zh-CN" w:bidi="ar-SA"/>
        </w:rPr>
        <w:t>三、优惠服务承诺</w:t>
      </w:r>
      <w:bookmarkEnd w:id="74"/>
    </w:p>
    <w:p>
      <w:pPr>
        <w:kinsoku/>
        <w:wordWrap/>
        <w:overflowPunct/>
        <w:topLinePunct/>
        <w:autoSpaceDE/>
        <w:autoSpaceDN/>
        <w:bidi w:val="0"/>
        <w:spacing w:line="480" w:lineRule="auto"/>
        <w:ind w:left="420" w:leftChars="200"/>
        <w:rPr>
          <w:rFonts w:hint="eastAsia" w:ascii="宋体" w:hAnsi="宋体" w:eastAsia="宋体" w:cs="宋体"/>
        </w:rPr>
      </w:pPr>
      <w:r>
        <w:rPr>
          <w:rFonts w:hint="eastAsia" w:ascii="宋体" w:hAnsi="宋体" w:eastAsia="宋体" w:cs="宋体"/>
        </w:rPr>
        <w:t>3.1服务承诺</w:t>
      </w:r>
    </w:p>
    <w:p>
      <w:pPr>
        <w:kinsoku/>
        <w:wordWrap/>
        <w:overflowPunct/>
        <w:topLinePunct/>
        <w:autoSpaceDE/>
        <w:autoSpaceDN/>
        <w:bidi w:val="0"/>
        <w:spacing w:line="480" w:lineRule="auto"/>
        <w:ind w:left="420" w:leftChars="200"/>
        <w:rPr>
          <w:rFonts w:hint="eastAsia" w:ascii="宋体" w:hAnsi="宋体" w:eastAsia="宋体" w:cs="宋体"/>
        </w:rPr>
      </w:pPr>
      <w:r>
        <w:rPr>
          <w:rFonts w:hint="eastAsia" w:ascii="宋体" w:hAnsi="宋体" w:eastAsia="宋体" w:cs="宋体"/>
        </w:rPr>
        <w:t>3.2其它优惠承诺</w:t>
      </w:r>
    </w:p>
    <w:p>
      <w:pPr>
        <w:kinsoku/>
        <w:wordWrap/>
        <w:overflowPunct/>
        <w:topLinePunct/>
        <w:autoSpaceDE/>
        <w:autoSpaceDN/>
        <w:bidi w:val="0"/>
        <w:spacing w:line="480" w:lineRule="auto"/>
        <w:ind w:left="420" w:leftChars="200"/>
        <w:rPr>
          <w:rFonts w:hint="eastAsia" w:ascii="宋体" w:hAnsi="宋体" w:eastAsia="宋体" w:cs="宋体"/>
        </w:rPr>
      </w:pPr>
      <w:r>
        <w:rPr>
          <w:rFonts w:hint="eastAsia" w:ascii="宋体" w:hAnsi="宋体" w:eastAsia="宋体" w:cs="宋体"/>
        </w:rPr>
        <w:t>3.3其他</w:t>
      </w:r>
    </w:p>
    <w:p>
      <w:pPr>
        <w:pStyle w:val="32"/>
        <w:kinsoku/>
        <w:wordWrap/>
        <w:overflowPunct/>
        <w:topLinePunct/>
        <w:autoSpaceDE/>
        <w:autoSpaceDN/>
        <w:bidi w:val="0"/>
        <w:rPr>
          <w:rFonts w:hint="eastAsia" w:ascii="宋体" w:hAnsi="宋体" w:eastAsia="宋体" w:cs="宋体"/>
        </w:rPr>
      </w:pPr>
      <w:bookmarkStart w:id="75" w:name="_Toc152045804"/>
      <w:bookmarkStart w:id="76" w:name="_Toc144974872"/>
      <w:bookmarkStart w:id="77" w:name="_Toc179632824"/>
      <w:bookmarkStart w:id="78" w:name="_Toc152042593"/>
    </w:p>
    <w:p>
      <w:pPr>
        <w:pStyle w:val="32"/>
        <w:kinsoku/>
        <w:wordWrap/>
        <w:overflowPunct/>
        <w:topLinePunct/>
        <w:autoSpaceDE/>
        <w:autoSpaceDN/>
        <w:bidi w:val="0"/>
        <w:rPr>
          <w:rFonts w:hint="eastAsia" w:ascii="宋体" w:hAnsi="宋体" w:eastAsia="宋体" w:cs="宋体"/>
        </w:rPr>
      </w:pPr>
    </w:p>
    <w:p>
      <w:pPr>
        <w:pStyle w:val="32"/>
        <w:kinsoku/>
        <w:wordWrap/>
        <w:overflowPunct/>
        <w:topLinePunct/>
        <w:autoSpaceDE/>
        <w:autoSpaceDN/>
        <w:bidi w:val="0"/>
        <w:rPr>
          <w:rFonts w:hint="eastAsia" w:ascii="宋体" w:hAnsi="宋体" w:eastAsia="宋体" w:cs="宋体"/>
        </w:rPr>
      </w:pPr>
    </w:p>
    <w:p>
      <w:pPr>
        <w:pStyle w:val="32"/>
        <w:kinsoku/>
        <w:wordWrap/>
        <w:overflowPunct/>
        <w:topLinePunct/>
        <w:autoSpaceDE/>
        <w:autoSpaceDN/>
        <w:bidi w:val="0"/>
        <w:rPr>
          <w:rFonts w:hint="eastAsia" w:ascii="宋体" w:hAnsi="宋体" w:eastAsia="宋体" w:cs="宋体"/>
        </w:rPr>
      </w:pPr>
    </w:p>
    <w:p>
      <w:pPr>
        <w:pStyle w:val="32"/>
        <w:kinsoku/>
        <w:wordWrap/>
        <w:overflowPunct/>
        <w:topLinePunct/>
        <w:autoSpaceDE/>
        <w:autoSpaceDN/>
        <w:bidi w:val="0"/>
        <w:rPr>
          <w:rFonts w:hint="eastAsia" w:ascii="宋体" w:hAnsi="宋体" w:eastAsia="宋体" w:cs="宋体"/>
        </w:rPr>
      </w:pPr>
    </w:p>
    <w:p>
      <w:pPr>
        <w:pStyle w:val="32"/>
        <w:kinsoku/>
        <w:wordWrap/>
        <w:overflowPunct/>
        <w:topLinePunct/>
        <w:autoSpaceDE/>
        <w:autoSpaceDN/>
        <w:bidi w:val="0"/>
        <w:rPr>
          <w:rFonts w:hint="eastAsia" w:ascii="宋体" w:hAnsi="宋体" w:eastAsia="宋体" w:cs="宋体"/>
        </w:rPr>
      </w:pPr>
    </w:p>
    <w:p>
      <w:pPr>
        <w:pStyle w:val="32"/>
        <w:kinsoku/>
        <w:wordWrap/>
        <w:overflowPunct/>
        <w:topLinePunct/>
        <w:autoSpaceDE/>
        <w:autoSpaceDN/>
        <w:bidi w:val="0"/>
        <w:rPr>
          <w:rFonts w:hint="eastAsia" w:ascii="宋体" w:hAnsi="宋体" w:eastAsia="宋体" w:cs="宋体"/>
        </w:rPr>
      </w:pPr>
    </w:p>
    <w:p>
      <w:pPr>
        <w:kinsoku/>
        <w:wordWrap/>
        <w:overflowPunct/>
        <w:topLinePunct/>
        <w:autoSpaceDE/>
        <w:autoSpaceDN/>
        <w:bidi w:val="0"/>
        <w:rPr>
          <w:rFonts w:hint="eastAsia" w:ascii="宋体" w:hAnsi="宋体" w:eastAsia="宋体" w:cs="宋体"/>
          <w:szCs w:val="21"/>
        </w:rPr>
      </w:pPr>
    </w:p>
    <w:p>
      <w:pPr>
        <w:pStyle w:val="85"/>
        <w:kinsoku/>
        <w:wordWrap/>
        <w:overflowPunct/>
        <w:topLinePunct/>
        <w:autoSpaceDE/>
        <w:autoSpaceDN/>
        <w:bidi w:val="0"/>
        <w:rPr>
          <w:rFonts w:hint="eastAsia" w:ascii="宋体" w:hAnsi="宋体" w:eastAsia="宋体" w:cs="宋体"/>
          <w:szCs w:val="21"/>
        </w:rPr>
      </w:pPr>
    </w:p>
    <w:p>
      <w:pPr>
        <w:pStyle w:val="85"/>
        <w:kinsoku/>
        <w:wordWrap/>
        <w:overflowPunct/>
        <w:topLinePunct/>
        <w:autoSpaceDE/>
        <w:autoSpaceDN/>
        <w:bidi w:val="0"/>
        <w:rPr>
          <w:rFonts w:hint="eastAsia" w:ascii="宋体" w:hAnsi="宋体" w:eastAsia="宋体" w:cs="宋体"/>
          <w:szCs w:val="21"/>
        </w:rPr>
      </w:pPr>
    </w:p>
    <w:p>
      <w:pPr>
        <w:pStyle w:val="85"/>
        <w:kinsoku/>
        <w:wordWrap/>
        <w:overflowPunct/>
        <w:topLinePunct/>
        <w:autoSpaceDE/>
        <w:autoSpaceDN/>
        <w:bidi w:val="0"/>
        <w:spacing w:line="360" w:lineRule="auto"/>
        <w:ind w:left="0" w:firstLine="0"/>
        <w:rPr>
          <w:rFonts w:hint="eastAsia" w:ascii="宋体" w:hAnsi="宋体" w:eastAsia="宋体" w:cs="宋体"/>
          <w:szCs w:val="21"/>
        </w:rPr>
      </w:pPr>
      <w:r>
        <w:rPr>
          <w:rFonts w:hint="eastAsia" w:ascii="宋体" w:hAnsi="宋体" w:eastAsia="宋体" w:cs="宋体"/>
          <w:sz w:val="24"/>
        </w:rPr>
        <w:br w:type="page"/>
      </w:r>
      <w:r>
        <w:rPr>
          <w:rFonts w:hint="eastAsia" w:ascii="宋体" w:hAnsi="宋体" w:eastAsia="宋体" w:cs="宋体"/>
          <w:szCs w:val="21"/>
        </w:rPr>
        <w:t>附件：</w:t>
      </w:r>
    </w:p>
    <w:bookmarkEnd w:id="75"/>
    <w:bookmarkEnd w:id="76"/>
    <w:bookmarkEnd w:id="77"/>
    <w:bookmarkEnd w:id="78"/>
    <w:p>
      <w:pPr>
        <w:kinsoku/>
        <w:wordWrap/>
        <w:overflowPunct/>
        <w:topLinePunct/>
        <w:autoSpaceDE/>
        <w:autoSpaceDN/>
        <w:bidi w:val="0"/>
        <w:spacing w:line="360" w:lineRule="auto"/>
        <w:ind w:firstLine="118"/>
        <w:jc w:val="center"/>
        <w:rPr>
          <w:rFonts w:hint="eastAsia" w:ascii="宋体" w:hAnsi="宋体" w:eastAsia="宋体" w:cs="宋体"/>
          <w:szCs w:val="21"/>
        </w:rPr>
      </w:pPr>
      <w:bookmarkStart w:id="79" w:name="_Toc22204"/>
      <w:bookmarkStart w:id="80" w:name="_Toc4461"/>
      <w:r>
        <w:rPr>
          <w:rFonts w:hint="eastAsia" w:ascii="宋体" w:hAnsi="宋体" w:eastAsia="宋体" w:cs="宋体"/>
          <w:szCs w:val="21"/>
        </w:rPr>
        <w:t>拟投入本项目的主要检测仪器设备表</w:t>
      </w:r>
      <w:bookmarkEnd w:id="79"/>
      <w:bookmarkEnd w:id="80"/>
    </w:p>
    <w:tbl>
      <w:tblPr>
        <w:tblStyle w:val="86"/>
        <w:tblW w:w="9354" w:type="dxa"/>
        <w:jc w:val="center"/>
        <w:tblLayout w:type="fixed"/>
        <w:tblCellMar>
          <w:top w:w="0" w:type="dxa"/>
          <w:left w:w="0" w:type="dxa"/>
          <w:bottom w:w="0" w:type="dxa"/>
          <w:right w:w="0" w:type="dxa"/>
        </w:tblCellMar>
      </w:tblPr>
      <w:tblGrid>
        <w:gridCol w:w="850"/>
        <w:gridCol w:w="1471"/>
        <w:gridCol w:w="1080"/>
        <w:gridCol w:w="851"/>
        <w:gridCol w:w="988"/>
        <w:gridCol w:w="1150"/>
        <w:gridCol w:w="1608"/>
        <w:gridCol w:w="1356"/>
      </w:tblGrid>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序号</w:t>
            </w: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仪器设</w:t>
            </w:r>
          </w:p>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备名称</w:t>
            </w: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型号</w:t>
            </w:r>
          </w:p>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规格</w:t>
            </w: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数量</w:t>
            </w: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国别</w:t>
            </w:r>
          </w:p>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产地</w:t>
            </w: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制造</w:t>
            </w:r>
          </w:p>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年份</w:t>
            </w: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用途</w:t>
            </w: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r>
              <w:rPr>
                <w:rFonts w:hint="eastAsia" w:ascii="宋体" w:hAnsi="宋体" w:eastAsia="宋体" w:cs="宋体"/>
                <w:szCs w:val="21"/>
              </w:rPr>
              <w:t>备注</w:t>
            </w: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r>
        <w:tblPrEx>
          <w:tblCellMar>
            <w:top w:w="0" w:type="dxa"/>
            <w:left w:w="0" w:type="dxa"/>
            <w:bottom w:w="0" w:type="dxa"/>
            <w:right w:w="0" w:type="dxa"/>
          </w:tblCellMar>
        </w:tblPrEx>
        <w:trPr>
          <w:trHeight w:val="567" w:hRule="atLeast"/>
          <w:jc w:val="center"/>
        </w:trPr>
        <w:tc>
          <w:tcPr>
            <w:tcW w:w="88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5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12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889"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032"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201"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680"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c>
          <w:tcPr>
            <w:tcW w:w="141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autoSpaceDE/>
              <w:autoSpaceDN/>
              <w:bidi w:val="0"/>
              <w:adjustRightInd/>
              <w:snapToGrid/>
              <w:spacing w:line="276" w:lineRule="auto"/>
              <w:jc w:val="center"/>
              <w:textAlignment w:val="auto"/>
              <w:rPr>
                <w:rFonts w:hint="eastAsia" w:ascii="宋体" w:hAnsi="宋体" w:eastAsia="宋体" w:cs="宋体"/>
                <w:szCs w:val="21"/>
              </w:rPr>
            </w:pPr>
          </w:p>
        </w:tc>
      </w:tr>
    </w:tbl>
    <w:p>
      <w:pPr>
        <w:pStyle w:val="3"/>
        <w:bidi w:val="0"/>
        <w:rPr>
          <w:rFonts w:hint="eastAsia" w:ascii="宋体" w:hAnsi="宋体" w:eastAsia="宋体" w:cs="宋体"/>
          <w:b/>
          <w:bCs/>
          <w:sz w:val="28"/>
          <w:szCs w:val="28"/>
        </w:rPr>
      </w:pPr>
      <w:r>
        <w:rPr>
          <w:rFonts w:hint="eastAsia" w:ascii="宋体" w:hAnsi="宋体" w:eastAsia="宋体" w:cs="宋体"/>
          <w:sz w:val="24"/>
          <w:szCs w:val="24"/>
        </w:rPr>
        <w:br w:type="page"/>
      </w:r>
      <w:bookmarkStart w:id="81" w:name="_Toc2510"/>
      <w:r>
        <w:rPr>
          <w:rFonts w:hint="eastAsia" w:ascii="宋体" w:hAnsi="宋体" w:eastAsia="宋体" w:cs="宋体"/>
          <w:b/>
          <w:bCs/>
          <w:sz w:val="24"/>
          <w:szCs w:val="24"/>
        </w:rPr>
        <w:t>四、投标人认为有利于本项目竞争的其他资料。</w:t>
      </w:r>
      <w:bookmarkEnd w:id="81"/>
    </w:p>
    <w:p>
      <w:pPr>
        <w:kinsoku/>
        <w:wordWrap/>
        <w:overflowPunct/>
        <w:topLinePunct/>
        <w:autoSpaceDE/>
        <w:autoSpaceDN/>
        <w:bidi w:val="0"/>
        <w:spacing w:line="480" w:lineRule="auto"/>
        <w:ind w:left="420" w:leftChars="200"/>
        <w:rPr>
          <w:rFonts w:hint="eastAsia" w:ascii="宋体" w:hAnsi="宋体" w:eastAsia="宋体" w:cs="宋体"/>
          <w:sz w:val="24"/>
          <w:szCs w:val="22"/>
        </w:rPr>
      </w:pPr>
    </w:p>
    <w:p>
      <w:pPr>
        <w:kinsoku/>
        <w:wordWrap/>
        <w:overflowPunct/>
        <w:topLinePunct/>
        <w:autoSpaceDE/>
        <w:autoSpaceDN/>
        <w:bidi w:val="0"/>
        <w:spacing w:line="360" w:lineRule="auto"/>
        <w:jc w:val="center"/>
        <w:rPr>
          <w:rFonts w:hint="eastAsia" w:ascii="宋体" w:hAnsi="宋体" w:eastAsia="宋体" w:cs="宋体"/>
          <w:szCs w:val="32"/>
        </w:rPr>
      </w:pPr>
      <w:r>
        <w:rPr>
          <w:rFonts w:hint="eastAsia" w:ascii="宋体" w:hAnsi="宋体" w:eastAsia="宋体" w:cs="宋体"/>
          <w:szCs w:val="32"/>
        </w:rPr>
        <w:br w:type="page"/>
      </w: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kinsoku/>
        <w:wordWrap/>
        <w:overflowPunct/>
        <w:topLinePunct/>
        <w:autoSpaceDE/>
        <w:autoSpaceDN/>
        <w:bidi w:val="0"/>
        <w:spacing w:line="360" w:lineRule="auto"/>
        <w:jc w:val="center"/>
        <w:rPr>
          <w:rFonts w:hint="eastAsia" w:ascii="宋体" w:hAnsi="宋体" w:eastAsia="宋体" w:cs="宋体"/>
          <w:szCs w:val="32"/>
        </w:rPr>
      </w:pPr>
    </w:p>
    <w:p>
      <w:pPr>
        <w:pStyle w:val="3"/>
        <w:bidi w:val="0"/>
        <w:rPr>
          <w:rFonts w:hint="eastAsia"/>
        </w:rPr>
      </w:pPr>
      <w:bookmarkStart w:id="82" w:name="_Toc11213"/>
      <w:r>
        <w:rPr>
          <w:rFonts w:hint="eastAsia"/>
        </w:rPr>
        <w:t>第三部分   综合部分</w:t>
      </w:r>
      <w:bookmarkEnd w:id="82"/>
    </w:p>
    <w:p>
      <w:pPr>
        <w:kinsoku/>
        <w:wordWrap/>
        <w:overflowPunct/>
        <w:topLinePunct/>
        <w:autoSpaceDE/>
        <w:autoSpaceDN/>
        <w:bidi w:val="0"/>
        <w:spacing w:line="360" w:lineRule="auto"/>
        <w:jc w:val="center"/>
        <w:rPr>
          <w:rFonts w:hint="eastAsia" w:ascii="宋体" w:hAnsi="宋体" w:eastAsia="宋体" w:cs="宋体"/>
          <w:szCs w:val="32"/>
        </w:rPr>
      </w:pPr>
      <w:r>
        <w:rPr>
          <w:rFonts w:hint="eastAsia" w:ascii="宋体" w:hAnsi="宋体" w:eastAsia="宋体" w:cs="宋体"/>
          <w:szCs w:val="32"/>
        </w:rPr>
        <w:br w:type="page"/>
      </w:r>
    </w:p>
    <w:p>
      <w:pPr>
        <w:pStyle w:val="3"/>
        <w:bidi w:val="0"/>
        <w:rPr>
          <w:rStyle w:val="276"/>
          <w:rFonts w:hint="eastAsia" w:ascii="宋体" w:hAnsi="宋体" w:eastAsia="宋体" w:cs="宋体"/>
          <w:b/>
          <w:bCs/>
          <w:sz w:val="24"/>
          <w:szCs w:val="24"/>
        </w:rPr>
      </w:pPr>
      <w:bookmarkStart w:id="83" w:name="_Toc6045"/>
      <w:r>
        <w:rPr>
          <w:rStyle w:val="276"/>
          <w:rFonts w:hint="eastAsia" w:ascii="宋体" w:hAnsi="宋体" w:eastAsia="宋体" w:cs="宋体"/>
          <w:b/>
          <w:bCs/>
          <w:sz w:val="24"/>
          <w:szCs w:val="24"/>
        </w:rPr>
        <w:t>一、法定代表人身份证明（本格式仅供参考）</w:t>
      </w:r>
      <w:bookmarkEnd w:id="83"/>
    </w:p>
    <w:p>
      <w:pPr>
        <w:kinsoku/>
        <w:wordWrap/>
        <w:overflowPunct/>
        <w:topLinePunct/>
        <w:autoSpaceDE/>
        <w:autoSpaceDN/>
        <w:bidi w:val="0"/>
        <w:spacing w:line="360" w:lineRule="auto"/>
        <w:ind w:firstLine="610"/>
        <w:rPr>
          <w:rFonts w:hint="eastAsia" w:ascii="宋体" w:hAnsi="宋体" w:eastAsia="宋体" w:cs="宋体"/>
          <w:szCs w:val="16"/>
          <w:u w:val="single"/>
        </w:rPr>
      </w:pPr>
      <w:r>
        <w:rPr>
          <w:rFonts w:hint="eastAsia" w:ascii="宋体" w:hAnsi="宋体" w:eastAsia="宋体" w:cs="宋体"/>
          <w:szCs w:val="16"/>
        </w:rPr>
        <w:t>单位名称：</w:t>
      </w:r>
      <w:r>
        <w:rPr>
          <w:rFonts w:hint="eastAsia" w:ascii="宋体" w:hAnsi="宋体" w:eastAsia="宋体" w:cs="宋体"/>
          <w:szCs w:val="16"/>
          <w:u w:val="single"/>
        </w:rPr>
        <w:t xml:space="preserve">                                                    </w:t>
      </w:r>
      <w:r>
        <w:rPr>
          <w:rFonts w:hint="eastAsia" w:ascii="宋体" w:hAnsi="宋体" w:eastAsia="宋体" w:cs="宋体"/>
          <w:szCs w:val="16"/>
          <w:u w:val="single"/>
        </w:rPr>
        <w:tab/>
      </w:r>
    </w:p>
    <w:p>
      <w:pPr>
        <w:kinsoku/>
        <w:wordWrap/>
        <w:overflowPunct/>
        <w:topLinePunct/>
        <w:autoSpaceDE/>
        <w:autoSpaceDN/>
        <w:bidi w:val="0"/>
        <w:spacing w:line="360" w:lineRule="auto"/>
        <w:ind w:firstLine="612"/>
        <w:rPr>
          <w:rFonts w:hint="eastAsia" w:ascii="宋体" w:hAnsi="宋体" w:eastAsia="宋体" w:cs="宋体"/>
          <w:szCs w:val="16"/>
        </w:rPr>
      </w:pPr>
    </w:p>
    <w:p>
      <w:pPr>
        <w:kinsoku/>
        <w:wordWrap/>
        <w:overflowPunct/>
        <w:topLinePunct/>
        <w:autoSpaceDE/>
        <w:autoSpaceDN/>
        <w:bidi w:val="0"/>
        <w:spacing w:line="360" w:lineRule="auto"/>
        <w:ind w:firstLine="610"/>
        <w:rPr>
          <w:rFonts w:hint="eastAsia" w:ascii="宋体" w:hAnsi="宋体" w:eastAsia="宋体" w:cs="宋体"/>
          <w:szCs w:val="16"/>
          <w:u w:val="single"/>
        </w:rPr>
      </w:pPr>
      <w:r>
        <w:rPr>
          <w:rFonts w:hint="eastAsia" w:ascii="宋体" w:hAnsi="宋体" w:eastAsia="宋体" w:cs="宋体"/>
          <w:szCs w:val="16"/>
        </w:rPr>
        <w:t>单位性质：</w:t>
      </w:r>
      <w:r>
        <w:rPr>
          <w:rFonts w:hint="eastAsia" w:ascii="宋体" w:hAnsi="宋体" w:eastAsia="宋体" w:cs="宋体"/>
          <w:szCs w:val="16"/>
          <w:u w:val="single"/>
        </w:rPr>
        <w:t xml:space="preserve">                                                    </w:t>
      </w:r>
      <w:r>
        <w:rPr>
          <w:rFonts w:hint="eastAsia" w:ascii="宋体" w:hAnsi="宋体" w:eastAsia="宋体" w:cs="宋体"/>
          <w:szCs w:val="16"/>
          <w:u w:val="single"/>
        </w:rPr>
        <w:tab/>
      </w:r>
    </w:p>
    <w:p>
      <w:pPr>
        <w:kinsoku/>
        <w:wordWrap/>
        <w:overflowPunct/>
        <w:topLinePunct/>
        <w:autoSpaceDE/>
        <w:autoSpaceDN/>
        <w:bidi w:val="0"/>
        <w:spacing w:line="360" w:lineRule="auto"/>
        <w:ind w:firstLine="610"/>
        <w:rPr>
          <w:rFonts w:hint="eastAsia" w:ascii="宋体" w:hAnsi="宋体" w:eastAsia="宋体" w:cs="宋体"/>
          <w:szCs w:val="16"/>
        </w:rPr>
      </w:pPr>
    </w:p>
    <w:p>
      <w:pPr>
        <w:kinsoku/>
        <w:wordWrap/>
        <w:overflowPunct/>
        <w:topLinePunct/>
        <w:autoSpaceDE/>
        <w:autoSpaceDN/>
        <w:bidi w:val="0"/>
        <w:spacing w:line="360" w:lineRule="auto"/>
        <w:ind w:firstLine="610"/>
        <w:rPr>
          <w:rFonts w:hint="eastAsia" w:ascii="宋体" w:hAnsi="宋体" w:eastAsia="宋体" w:cs="宋体"/>
          <w:szCs w:val="16"/>
          <w:u w:val="single"/>
        </w:rPr>
      </w:pPr>
      <w:r>
        <w:rPr>
          <w:rFonts w:hint="eastAsia" w:ascii="宋体" w:hAnsi="宋体" w:eastAsia="宋体" w:cs="宋体"/>
          <w:szCs w:val="16"/>
        </w:rPr>
        <w:t>地    址：</w:t>
      </w:r>
      <w:r>
        <w:rPr>
          <w:rFonts w:hint="eastAsia" w:ascii="宋体" w:hAnsi="宋体" w:eastAsia="宋体" w:cs="宋体"/>
          <w:szCs w:val="16"/>
          <w:u w:val="single"/>
        </w:rPr>
        <w:t xml:space="preserve">                                                    </w:t>
      </w:r>
      <w:r>
        <w:rPr>
          <w:rFonts w:hint="eastAsia" w:ascii="宋体" w:hAnsi="宋体" w:eastAsia="宋体" w:cs="宋体"/>
          <w:szCs w:val="16"/>
          <w:u w:val="single"/>
        </w:rPr>
        <w:tab/>
      </w:r>
    </w:p>
    <w:p>
      <w:pPr>
        <w:kinsoku/>
        <w:wordWrap/>
        <w:overflowPunct/>
        <w:topLinePunct/>
        <w:autoSpaceDE/>
        <w:autoSpaceDN/>
        <w:bidi w:val="0"/>
        <w:spacing w:line="360" w:lineRule="auto"/>
        <w:ind w:firstLine="610"/>
        <w:rPr>
          <w:rFonts w:hint="eastAsia" w:ascii="宋体" w:hAnsi="宋体" w:eastAsia="宋体" w:cs="宋体"/>
          <w:szCs w:val="16"/>
        </w:rPr>
      </w:pPr>
    </w:p>
    <w:p>
      <w:pPr>
        <w:kinsoku/>
        <w:wordWrap/>
        <w:overflowPunct/>
        <w:topLinePunct/>
        <w:autoSpaceDE/>
        <w:autoSpaceDN/>
        <w:bidi w:val="0"/>
        <w:spacing w:line="360" w:lineRule="auto"/>
        <w:ind w:firstLine="610"/>
        <w:rPr>
          <w:rFonts w:hint="eastAsia" w:ascii="宋体" w:hAnsi="宋体" w:eastAsia="宋体" w:cs="宋体"/>
          <w:szCs w:val="16"/>
        </w:rPr>
      </w:pPr>
      <w:r>
        <w:rPr>
          <w:rFonts w:hint="eastAsia" w:ascii="宋体" w:hAnsi="宋体" w:eastAsia="宋体" w:cs="宋体"/>
          <w:szCs w:val="16"/>
        </w:rPr>
        <w:t>成立时间：</w:t>
      </w:r>
      <w:r>
        <w:rPr>
          <w:rFonts w:hint="eastAsia" w:ascii="宋体" w:hAnsi="宋体" w:eastAsia="宋体" w:cs="宋体"/>
          <w:szCs w:val="16"/>
          <w:u w:val="single"/>
        </w:rPr>
        <w:t xml:space="preserve">                 </w:t>
      </w:r>
      <w:r>
        <w:rPr>
          <w:rFonts w:hint="eastAsia" w:ascii="宋体" w:hAnsi="宋体" w:eastAsia="宋体" w:cs="宋体"/>
          <w:szCs w:val="16"/>
        </w:rPr>
        <w:t>年</w:t>
      </w:r>
      <w:r>
        <w:rPr>
          <w:rFonts w:hint="eastAsia" w:ascii="宋体" w:hAnsi="宋体" w:eastAsia="宋体" w:cs="宋体"/>
          <w:szCs w:val="16"/>
          <w:u w:val="single"/>
        </w:rPr>
        <w:t xml:space="preserve">                </w:t>
      </w:r>
      <w:r>
        <w:rPr>
          <w:rFonts w:hint="eastAsia" w:ascii="宋体" w:hAnsi="宋体" w:eastAsia="宋体" w:cs="宋体"/>
          <w:szCs w:val="16"/>
        </w:rPr>
        <w:t>月</w:t>
      </w:r>
      <w:r>
        <w:rPr>
          <w:rFonts w:hint="eastAsia" w:ascii="宋体" w:hAnsi="宋体" w:eastAsia="宋体" w:cs="宋体"/>
          <w:szCs w:val="16"/>
          <w:u w:val="single"/>
        </w:rPr>
        <w:t xml:space="preserve">             </w:t>
      </w:r>
      <w:r>
        <w:rPr>
          <w:rFonts w:hint="eastAsia" w:ascii="宋体" w:hAnsi="宋体" w:eastAsia="宋体" w:cs="宋体"/>
          <w:szCs w:val="16"/>
        </w:rPr>
        <w:t>日</w:t>
      </w:r>
    </w:p>
    <w:p>
      <w:pPr>
        <w:kinsoku/>
        <w:wordWrap/>
        <w:overflowPunct/>
        <w:topLinePunct/>
        <w:autoSpaceDE/>
        <w:autoSpaceDN/>
        <w:bidi w:val="0"/>
        <w:spacing w:line="360" w:lineRule="auto"/>
        <w:ind w:firstLine="610"/>
        <w:rPr>
          <w:rFonts w:hint="eastAsia" w:ascii="宋体" w:hAnsi="宋体" w:eastAsia="宋体" w:cs="宋体"/>
          <w:szCs w:val="16"/>
        </w:rPr>
      </w:pPr>
    </w:p>
    <w:p>
      <w:pPr>
        <w:kinsoku/>
        <w:wordWrap/>
        <w:overflowPunct/>
        <w:topLinePunct/>
        <w:autoSpaceDE/>
        <w:autoSpaceDN/>
        <w:bidi w:val="0"/>
        <w:spacing w:line="360" w:lineRule="auto"/>
        <w:ind w:firstLine="610"/>
        <w:rPr>
          <w:rFonts w:hint="eastAsia" w:ascii="宋体" w:hAnsi="宋体" w:eastAsia="宋体" w:cs="宋体"/>
          <w:szCs w:val="16"/>
          <w:u w:val="single"/>
        </w:rPr>
      </w:pPr>
      <w:r>
        <w:rPr>
          <w:rFonts w:hint="eastAsia" w:ascii="宋体" w:hAnsi="宋体" w:eastAsia="宋体" w:cs="宋体"/>
          <w:szCs w:val="16"/>
        </w:rPr>
        <w:t>经营期限：</w:t>
      </w:r>
      <w:r>
        <w:rPr>
          <w:rFonts w:hint="eastAsia" w:ascii="宋体" w:hAnsi="宋体" w:eastAsia="宋体" w:cs="宋体"/>
          <w:szCs w:val="16"/>
          <w:u w:val="single"/>
        </w:rPr>
        <w:t xml:space="preserve">                                                    </w:t>
      </w:r>
      <w:r>
        <w:rPr>
          <w:rFonts w:hint="eastAsia" w:ascii="宋体" w:hAnsi="宋体" w:eastAsia="宋体" w:cs="宋体"/>
          <w:szCs w:val="16"/>
          <w:u w:val="single"/>
        </w:rPr>
        <w:tab/>
      </w:r>
    </w:p>
    <w:p>
      <w:pPr>
        <w:kinsoku/>
        <w:wordWrap/>
        <w:overflowPunct/>
        <w:topLinePunct/>
        <w:autoSpaceDE/>
        <w:autoSpaceDN/>
        <w:bidi w:val="0"/>
        <w:spacing w:line="360" w:lineRule="auto"/>
        <w:ind w:firstLine="610"/>
        <w:rPr>
          <w:rFonts w:hint="eastAsia" w:ascii="宋体" w:hAnsi="宋体" w:eastAsia="宋体" w:cs="宋体"/>
          <w:szCs w:val="16"/>
        </w:rPr>
      </w:pPr>
    </w:p>
    <w:p>
      <w:pPr>
        <w:kinsoku/>
        <w:wordWrap/>
        <w:overflowPunct/>
        <w:topLinePunct/>
        <w:autoSpaceDE/>
        <w:autoSpaceDN/>
        <w:bidi w:val="0"/>
        <w:spacing w:line="360" w:lineRule="auto"/>
        <w:ind w:firstLine="610"/>
        <w:rPr>
          <w:rFonts w:hint="eastAsia" w:ascii="宋体" w:hAnsi="宋体" w:eastAsia="宋体" w:cs="宋体"/>
          <w:szCs w:val="16"/>
          <w:u w:val="single"/>
        </w:rPr>
      </w:pPr>
      <w:r>
        <w:rPr>
          <w:rFonts w:hint="eastAsia" w:ascii="宋体" w:hAnsi="宋体" w:eastAsia="宋体" w:cs="宋体"/>
          <w:szCs w:val="16"/>
        </w:rPr>
        <w:t>姓    名：</w:t>
      </w:r>
      <w:r>
        <w:rPr>
          <w:rFonts w:hint="eastAsia" w:ascii="宋体" w:hAnsi="宋体" w:eastAsia="宋体" w:cs="宋体"/>
          <w:szCs w:val="16"/>
          <w:u w:val="single"/>
        </w:rPr>
        <w:t xml:space="preserve">          </w:t>
      </w:r>
      <w:r>
        <w:rPr>
          <w:rFonts w:hint="eastAsia" w:ascii="宋体" w:hAnsi="宋体" w:eastAsia="宋体" w:cs="宋体"/>
          <w:szCs w:val="16"/>
        </w:rPr>
        <w:t xml:space="preserve"> 性别：</w:t>
      </w:r>
      <w:r>
        <w:rPr>
          <w:rFonts w:hint="eastAsia" w:ascii="宋体" w:hAnsi="宋体" w:eastAsia="宋体" w:cs="宋体"/>
          <w:szCs w:val="16"/>
          <w:u w:val="single"/>
        </w:rPr>
        <w:t xml:space="preserve">       </w:t>
      </w:r>
      <w:r>
        <w:rPr>
          <w:rFonts w:hint="eastAsia" w:ascii="宋体" w:hAnsi="宋体" w:eastAsia="宋体" w:cs="宋体"/>
          <w:szCs w:val="16"/>
        </w:rPr>
        <w:t>年龄：</w:t>
      </w:r>
      <w:r>
        <w:rPr>
          <w:rFonts w:hint="eastAsia" w:ascii="宋体" w:hAnsi="宋体" w:eastAsia="宋体" w:cs="宋体"/>
          <w:szCs w:val="16"/>
          <w:u w:val="single"/>
        </w:rPr>
        <w:t xml:space="preserve">       </w:t>
      </w:r>
      <w:r>
        <w:rPr>
          <w:rFonts w:hint="eastAsia" w:ascii="宋体" w:hAnsi="宋体" w:eastAsia="宋体" w:cs="宋体"/>
          <w:szCs w:val="16"/>
        </w:rPr>
        <w:t xml:space="preserve"> 职务：</w:t>
      </w:r>
      <w:r>
        <w:rPr>
          <w:rFonts w:hint="eastAsia" w:ascii="宋体" w:hAnsi="宋体" w:eastAsia="宋体" w:cs="宋体"/>
          <w:szCs w:val="16"/>
          <w:u w:val="single"/>
        </w:rPr>
        <w:tab/>
      </w:r>
      <w:r>
        <w:rPr>
          <w:rFonts w:hint="eastAsia" w:ascii="宋体" w:hAnsi="宋体" w:eastAsia="宋体" w:cs="宋体"/>
          <w:szCs w:val="16"/>
          <w:u w:val="single"/>
        </w:rPr>
        <w:t xml:space="preserve">       </w:t>
      </w:r>
      <w:r>
        <w:rPr>
          <w:rFonts w:hint="eastAsia" w:ascii="宋体" w:hAnsi="宋体" w:eastAsia="宋体" w:cs="宋体"/>
          <w:szCs w:val="16"/>
          <w:u w:val="single"/>
        </w:rPr>
        <w:tab/>
      </w:r>
      <w:r>
        <w:rPr>
          <w:rFonts w:hint="eastAsia" w:ascii="宋体" w:hAnsi="宋体" w:eastAsia="宋体" w:cs="宋体"/>
          <w:szCs w:val="16"/>
          <w:u w:val="single"/>
        </w:rPr>
        <w:t xml:space="preserve"> </w:t>
      </w:r>
    </w:p>
    <w:p>
      <w:pPr>
        <w:kinsoku/>
        <w:wordWrap/>
        <w:overflowPunct/>
        <w:topLinePunct/>
        <w:autoSpaceDE/>
        <w:autoSpaceDN/>
        <w:bidi w:val="0"/>
        <w:spacing w:line="360" w:lineRule="auto"/>
        <w:ind w:firstLine="610"/>
        <w:rPr>
          <w:rFonts w:hint="eastAsia" w:ascii="宋体" w:hAnsi="宋体" w:eastAsia="宋体" w:cs="宋体"/>
          <w:szCs w:val="16"/>
        </w:rPr>
      </w:pPr>
    </w:p>
    <w:p>
      <w:pPr>
        <w:kinsoku/>
        <w:wordWrap/>
        <w:overflowPunct/>
        <w:topLinePunct/>
        <w:autoSpaceDE/>
        <w:autoSpaceDN/>
        <w:bidi w:val="0"/>
        <w:spacing w:line="360" w:lineRule="auto"/>
        <w:ind w:firstLine="610"/>
        <w:rPr>
          <w:rFonts w:hint="eastAsia" w:ascii="宋体" w:hAnsi="宋体" w:eastAsia="宋体" w:cs="宋体"/>
          <w:szCs w:val="16"/>
        </w:rPr>
      </w:pPr>
      <w:r>
        <w:rPr>
          <w:rFonts w:hint="eastAsia" w:ascii="宋体" w:hAnsi="宋体" w:eastAsia="宋体" w:cs="宋体"/>
          <w:szCs w:val="16"/>
        </w:rPr>
        <w:t>系</w:t>
      </w:r>
      <w:r>
        <w:rPr>
          <w:rFonts w:hint="eastAsia" w:ascii="宋体" w:hAnsi="宋体" w:eastAsia="宋体" w:cs="宋体"/>
          <w:szCs w:val="16"/>
          <w:u w:val="single"/>
        </w:rPr>
        <w:t xml:space="preserve">          （投标人单位名称）         </w:t>
      </w:r>
      <w:r>
        <w:rPr>
          <w:rFonts w:hint="eastAsia" w:ascii="宋体" w:hAnsi="宋体" w:eastAsia="宋体" w:cs="宋体"/>
          <w:szCs w:val="16"/>
        </w:rPr>
        <w:t>的法定代表人。</w:t>
      </w:r>
    </w:p>
    <w:p>
      <w:pPr>
        <w:kinsoku/>
        <w:wordWrap/>
        <w:overflowPunct/>
        <w:topLinePunct/>
        <w:autoSpaceDE/>
        <w:autoSpaceDN/>
        <w:bidi w:val="0"/>
        <w:spacing w:line="360" w:lineRule="auto"/>
        <w:ind w:firstLine="610"/>
        <w:rPr>
          <w:rFonts w:hint="eastAsia" w:ascii="宋体" w:hAnsi="宋体" w:eastAsia="宋体" w:cs="宋体"/>
          <w:szCs w:val="16"/>
        </w:rPr>
      </w:pPr>
    </w:p>
    <w:p>
      <w:pPr>
        <w:kinsoku/>
        <w:wordWrap/>
        <w:overflowPunct/>
        <w:topLinePunct/>
        <w:autoSpaceDE/>
        <w:autoSpaceDN/>
        <w:bidi w:val="0"/>
        <w:spacing w:line="360" w:lineRule="auto"/>
        <w:ind w:firstLine="610"/>
        <w:rPr>
          <w:rFonts w:hint="eastAsia" w:ascii="宋体" w:hAnsi="宋体" w:eastAsia="宋体" w:cs="宋体"/>
          <w:szCs w:val="16"/>
        </w:rPr>
      </w:pPr>
      <w:r>
        <w:rPr>
          <w:rFonts w:hint="eastAsia" w:ascii="宋体" w:hAnsi="宋体" w:eastAsia="宋体" w:cs="宋体"/>
          <w:szCs w:val="16"/>
        </w:rPr>
        <w:t>特此证明。</w:t>
      </w:r>
    </w:p>
    <w:p>
      <w:pPr>
        <w:tabs>
          <w:tab w:val="left" w:pos="720"/>
          <w:tab w:val="left" w:pos="900"/>
        </w:tabs>
        <w:kinsoku/>
        <w:wordWrap/>
        <w:overflowPunct/>
        <w:topLinePunct/>
        <w:autoSpaceDE/>
        <w:autoSpaceDN/>
        <w:bidi w:val="0"/>
        <w:spacing w:line="360" w:lineRule="auto"/>
        <w:ind w:firstLine="420" w:firstLineChars="200"/>
        <w:rPr>
          <w:rFonts w:hint="eastAsia" w:ascii="宋体" w:hAnsi="宋体" w:eastAsia="宋体" w:cs="宋体"/>
          <w:szCs w:val="16"/>
        </w:rPr>
      </w:pPr>
    </w:p>
    <w:p>
      <w:pPr>
        <w:tabs>
          <w:tab w:val="left" w:pos="720"/>
          <w:tab w:val="left" w:pos="900"/>
        </w:tabs>
        <w:kinsoku/>
        <w:wordWrap/>
        <w:overflowPunct/>
        <w:topLinePunct/>
        <w:autoSpaceDE/>
        <w:autoSpaceDN/>
        <w:bidi w:val="0"/>
        <w:spacing w:line="360" w:lineRule="auto"/>
        <w:ind w:firstLine="420" w:firstLineChars="200"/>
        <w:rPr>
          <w:rFonts w:hint="eastAsia" w:ascii="宋体" w:hAnsi="宋体" w:eastAsia="宋体" w:cs="宋体"/>
          <w:szCs w:val="16"/>
        </w:rPr>
      </w:pPr>
    </w:p>
    <w:p>
      <w:pPr>
        <w:tabs>
          <w:tab w:val="left" w:pos="720"/>
          <w:tab w:val="left" w:pos="900"/>
        </w:tabs>
        <w:kinsoku/>
        <w:wordWrap/>
        <w:overflowPunct/>
        <w:topLinePunct/>
        <w:autoSpaceDE/>
        <w:autoSpaceDN/>
        <w:bidi w:val="0"/>
        <w:spacing w:line="360" w:lineRule="auto"/>
        <w:ind w:firstLine="420" w:firstLineChars="200"/>
        <w:rPr>
          <w:rFonts w:hint="eastAsia" w:ascii="宋体" w:hAnsi="宋体" w:eastAsia="宋体" w:cs="宋体"/>
          <w:szCs w:val="16"/>
        </w:rPr>
      </w:pPr>
    </w:p>
    <w:p>
      <w:pPr>
        <w:tabs>
          <w:tab w:val="left" w:pos="720"/>
          <w:tab w:val="left" w:pos="900"/>
        </w:tabs>
        <w:kinsoku/>
        <w:wordWrap/>
        <w:overflowPunct/>
        <w:topLinePunct/>
        <w:autoSpaceDE/>
        <w:autoSpaceDN/>
        <w:bidi w:val="0"/>
        <w:spacing w:line="360" w:lineRule="auto"/>
        <w:ind w:firstLine="3990" w:firstLineChars="1900"/>
        <w:rPr>
          <w:rFonts w:hint="eastAsia" w:ascii="宋体" w:hAnsi="宋体" w:eastAsia="宋体" w:cs="宋体"/>
          <w:szCs w:val="16"/>
        </w:rPr>
      </w:pPr>
    </w:p>
    <w:p>
      <w:pPr>
        <w:tabs>
          <w:tab w:val="left" w:pos="720"/>
          <w:tab w:val="left" w:pos="900"/>
        </w:tabs>
        <w:kinsoku/>
        <w:wordWrap/>
        <w:overflowPunct/>
        <w:topLinePunct/>
        <w:autoSpaceDE/>
        <w:autoSpaceDN/>
        <w:bidi w:val="0"/>
        <w:spacing w:line="360" w:lineRule="auto"/>
        <w:ind w:firstLine="4410" w:firstLineChars="2100"/>
        <w:rPr>
          <w:rFonts w:hint="eastAsia" w:ascii="宋体" w:hAnsi="宋体" w:eastAsia="宋体" w:cs="宋体"/>
          <w:szCs w:val="16"/>
          <w:u w:val="single"/>
        </w:rPr>
      </w:pPr>
      <w:r>
        <w:rPr>
          <w:rFonts w:hint="eastAsia" w:ascii="宋体" w:hAnsi="宋体" w:eastAsia="宋体" w:cs="宋体"/>
          <w:szCs w:val="16"/>
        </w:rPr>
        <w:t>投标人：</w:t>
      </w:r>
      <w:r>
        <w:rPr>
          <w:rFonts w:hint="eastAsia" w:ascii="宋体" w:hAnsi="宋体" w:eastAsia="宋体" w:cs="宋体"/>
          <w:szCs w:val="16"/>
          <w:u w:val="single"/>
        </w:rPr>
        <w:t xml:space="preserve">             （盖电子签章）</w:t>
      </w:r>
    </w:p>
    <w:p>
      <w:pPr>
        <w:tabs>
          <w:tab w:val="left" w:pos="720"/>
          <w:tab w:val="left" w:pos="900"/>
        </w:tabs>
        <w:kinsoku/>
        <w:wordWrap/>
        <w:overflowPunct/>
        <w:topLinePunct/>
        <w:autoSpaceDE/>
        <w:autoSpaceDN/>
        <w:bidi w:val="0"/>
        <w:spacing w:line="360" w:lineRule="auto"/>
        <w:ind w:firstLine="3990" w:firstLineChars="1900"/>
        <w:rPr>
          <w:rFonts w:hint="eastAsia" w:ascii="宋体" w:hAnsi="宋体" w:eastAsia="宋体" w:cs="宋体"/>
          <w:szCs w:val="16"/>
        </w:rPr>
      </w:pPr>
    </w:p>
    <w:p>
      <w:pPr>
        <w:tabs>
          <w:tab w:val="left" w:pos="720"/>
          <w:tab w:val="left" w:pos="900"/>
        </w:tabs>
        <w:kinsoku/>
        <w:wordWrap/>
        <w:overflowPunct/>
        <w:topLinePunct/>
        <w:autoSpaceDE/>
        <w:autoSpaceDN/>
        <w:bidi w:val="0"/>
        <w:spacing w:line="360" w:lineRule="auto"/>
        <w:ind w:firstLine="4410" w:firstLineChars="2100"/>
        <w:rPr>
          <w:rFonts w:hint="eastAsia" w:ascii="宋体" w:hAnsi="宋体" w:eastAsia="宋体" w:cs="宋体"/>
          <w:szCs w:val="16"/>
        </w:rPr>
      </w:pPr>
      <w:r>
        <w:rPr>
          <w:rFonts w:hint="eastAsia" w:ascii="宋体" w:hAnsi="宋体" w:eastAsia="宋体" w:cs="宋体"/>
          <w:szCs w:val="16"/>
        </w:rPr>
        <w:t>日    期：</w:t>
      </w:r>
      <w:r>
        <w:rPr>
          <w:rFonts w:hint="eastAsia" w:ascii="宋体" w:hAnsi="宋体" w:eastAsia="宋体" w:cs="宋体"/>
          <w:szCs w:val="16"/>
          <w:u w:val="single"/>
        </w:rPr>
        <w:t xml:space="preserve">      </w:t>
      </w:r>
      <w:r>
        <w:rPr>
          <w:rFonts w:hint="eastAsia" w:ascii="宋体" w:hAnsi="宋体" w:eastAsia="宋体" w:cs="宋体"/>
          <w:szCs w:val="16"/>
        </w:rPr>
        <w:t>年</w:t>
      </w:r>
      <w:r>
        <w:rPr>
          <w:rFonts w:hint="eastAsia" w:ascii="宋体" w:hAnsi="宋体" w:eastAsia="宋体" w:cs="宋体"/>
          <w:szCs w:val="16"/>
          <w:u w:val="single"/>
        </w:rPr>
        <w:t xml:space="preserve">     </w:t>
      </w:r>
      <w:r>
        <w:rPr>
          <w:rFonts w:hint="eastAsia" w:ascii="宋体" w:hAnsi="宋体" w:eastAsia="宋体" w:cs="宋体"/>
          <w:szCs w:val="16"/>
        </w:rPr>
        <w:t>月</w:t>
      </w:r>
      <w:r>
        <w:rPr>
          <w:rFonts w:hint="eastAsia" w:ascii="宋体" w:hAnsi="宋体" w:eastAsia="宋体" w:cs="宋体"/>
          <w:szCs w:val="16"/>
          <w:u w:val="single"/>
        </w:rPr>
        <w:t xml:space="preserve">     </w:t>
      </w:r>
      <w:r>
        <w:rPr>
          <w:rFonts w:hint="eastAsia" w:ascii="宋体" w:hAnsi="宋体" w:eastAsia="宋体" w:cs="宋体"/>
          <w:szCs w:val="16"/>
        </w:rPr>
        <w:t>日</w:t>
      </w:r>
    </w:p>
    <w:p>
      <w:pPr>
        <w:tabs>
          <w:tab w:val="left" w:pos="720"/>
          <w:tab w:val="left" w:pos="900"/>
        </w:tabs>
        <w:kinsoku/>
        <w:wordWrap/>
        <w:overflowPunct/>
        <w:topLinePunct/>
        <w:autoSpaceDE/>
        <w:autoSpaceDN/>
        <w:bidi w:val="0"/>
        <w:spacing w:line="360" w:lineRule="auto"/>
        <w:jc w:val="left"/>
        <w:rPr>
          <w:rFonts w:hint="eastAsia" w:ascii="宋体" w:hAnsi="宋体" w:eastAsia="宋体" w:cs="宋体"/>
          <w:b/>
          <w:bCs/>
          <w:szCs w:val="16"/>
        </w:rPr>
      </w:pPr>
    </w:p>
    <w:p>
      <w:pPr>
        <w:tabs>
          <w:tab w:val="left" w:pos="720"/>
          <w:tab w:val="left" w:pos="900"/>
        </w:tabs>
        <w:kinsoku/>
        <w:wordWrap/>
        <w:overflowPunct/>
        <w:topLinePunct/>
        <w:autoSpaceDE/>
        <w:autoSpaceDN/>
        <w:bidi w:val="0"/>
        <w:spacing w:line="360" w:lineRule="auto"/>
        <w:jc w:val="left"/>
        <w:rPr>
          <w:rFonts w:hint="eastAsia" w:ascii="宋体" w:hAnsi="宋体" w:eastAsia="宋体" w:cs="宋体"/>
          <w:b/>
          <w:bCs/>
          <w:szCs w:val="16"/>
        </w:rPr>
      </w:pPr>
    </w:p>
    <w:p>
      <w:pPr>
        <w:tabs>
          <w:tab w:val="left" w:pos="720"/>
          <w:tab w:val="left" w:pos="900"/>
        </w:tabs>
        <w:kinsoku/>
        <w:wordWrap/>
        <w:overflowPunct/>
        <w:topLinePunct/>
        <w:autoSpaceDE/>
        <w:autoSpaceDN/>
        <w:bidi w:val="0"/>
        <w:spacing w:line="360" w:lineRule="auto"/>
        <w:jc w:val="center"/>
        <w:rPr>
          <w:rFonts w:hint="eastAsia" w:ascii="宋体" w:hAnsi="宋体" w:eastAsia="宋体" w:cs="宋体"/>
          <w:b/>
          <w:bCs/>
          <w:szCs w:val="16"/>
        </w:rPr>
      </w:pPr>
      <w:r>
        <w:rPr>
          <w:rFonts w:hint="eastAsia" w:ascii="宋体" w:hAnsi="宋体" w:eastAsia="宋体" w:cs="宋体"/>
          <w:b/>
          <w:bCs/>
          <w:szCs w:val="16"/>
        </w:rPr>
        <w:t>后附法定代表人身份证复印件（双面复印）</w:t>
      </w:r>
    </w:p>
    <w:p>
      <w:pPr>
        <w:tabs>
          <w:tab w:val="left" w:pos="720"/>
          <w:tab w:val="left" w:pos="900"/>
        </w:tabs>
        <w:kinsoku/>
        <w:wordWrap/>
        <w:overflowPunct/>
        <w:topLinePunct/>
        <w:autoSpaceDE/>
        <w:autoSpaceDN/>
        <w:bidi w:val="0"/>
        <w:spacing w:line="360" w:lineRule="auto"/>
        <w:jc w:val="left"/>
        <w:rPr>
          <w:rFonts w:hint="eastAsia" w:ascii="宋体" w:hAnsi="宋体" w:eastAsia="宋体" w:cs="宋体"/>
          <w:b/>
          <w:bCs/>
          <w:sz w:val="24"/>
        </w:rPr>
      </w:pPr>
    </w:p>
    <w:p>
      <w:pPr>
        <w:tabs>
          <w:tab w:val="left" w:pos="720"/>
          <w:tab w:val="left" w:pos="900"/>
        </w:tabs>
        <w:kinsoku/>
        <w:wordWrap/>
        <w:overflowPunct/>
        <w:topLinePunct/>
        <w:autoSpaceDE/>
        <w:autoSpaceDN/>
        <w:bidi w:val="0"/>
        <w:spacing w:line="360" w:lineRule="auto"/>
        <w:jc w:val="left"/>
        <w:rPr>
          <w:rFonts w:hint="eastAsia" w:ascii="宋体" w:hAnsi="宋体" w:eastAsia="宋体" w:cs="宋体"/>
          <w:sz w:val="28"/>
          <w:szCs w:val="28"/>
        </w:rPr>
      </w:pPr>
    </w:p>
    <w:p>
      <w:pPr>
        <w:rPr>
          <w:rFonts w:hint="eastAsia" w:ascii="宋体" w:hAnsi="宋体" w:eastAsia="宋体" w:cs="宋体"/>
          <w:bCs/>
          <w:sz w:val="24"/>
          <w:szCs w:val="24"/>
        </w:rPr>
      </w:pPr>
      <w:r>
        <w:rPr>
          <w:rFonts w:hint="eastAsia" w:ascii="宋体" w:hAnsi="宋体" w:eastAsia="宋体" w:cs="宋体"/>
          <w:bCs/>
          <w:sz w:val="24"/>
          <w:szCs w:val="24"/>
        </w:rPr>
        <w:br w:type="page"/>
      </w:r>
    </w:p>
    <w:p>
      <w:pPr>
        <w:pStyle w:val="3"/>
        <w:bidi w:val="0"/>
        <w:rPr>
          <w:rStyle w:val="276"/>
          <w:rFonts w:hint="eastAsia" w:ascii="宋体" w:hAnsi="宋体" w:eastAsia="宋体" w:cs="宋体"/>
          <w:b/>
          <w:bCs/>
          <w:sz w:val="24"/>
          <w:szCs w:val="24"/>
        </w:rPr>
      </w:pPr>
      <w:bookmarkStart w:id="84" w:name="_Toc27249"/>
      <w:r>
        <w:rPr>
          <w:rStyle w:val="276"/>
          <w:rFonts w:hint="eastAsia" w:ascii="宋体" w:hAnsi="宋体" w:eastAsia="宋体" w:cs="宋体"/>
          <w:b/>
          <w:bCs/>
          <w:sz w:val="24"/>
          <w:szCs w:val="24"/>
        </w:rPr>
        <w:t>二、法定代表人授权委托书（本格式仅供参考）</w:t>
      </w:r>
      <w:bookmarkEnd w:id="84"/>
    </w:p>
    <w:p>
      <w:pPr>
        <w:kinsoku/>
        <w:wordWrap/>
        <w:overflowPunct/>
        <w:topLinePunct/>
        <w:autoSpaceDE/>
        <w:autoSpaceDN/>
        <w:bidi w:val="0"/>
        <w:spacing w:line="276" w:lineRule="auto"/>
        <w:rPr>
          <w:rFonts w:hint="eastAsia" w:ascii="宋体" w:hAnsi="宋体" w:eastAsia="宋体" w:cs="宋体"/>
          <w:sz w:val="24"/>
          <w:szCs w:val="24"/>
        </w:rPr>
      </w:pP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本授权书声明：注册于</w:t>
      </w:r>
      <w:r>
        <w:rPr>
          <w:rFonts w:hint="eastAsia" w:ascii="宋体" w:hAnsi="宋体" w:eastAsia="宋体" w:cs="宋体"/>
          <w:szCs w:val="21"/>
          <w:u w:val="single"/>
        </w:rPr>
        <w:t xml:space="preserve">                </w:t>
      </w:r>
      <w:r>
        <w:rPr>
          <w:rFonts w:hint="eastAsia" w:ascii="宋体" w:hAnsi="宋体" w:eastAsia="宋体" w:cs="宋体"/>
          <w:szCs w:val="21"/>
        </w:rPr>
        <w:t>[投标人注册地]的</w:t>
      </w:r>
      <w:r>
        <w:rPr>
          <w:rFonts w:hint="eastAsia" w:ascii="宋体" w:hAnsi="宋体" w:eastAsia="宋体" w:cs="宋体"/>
          <w:szCs w:val="21"/>
          <w:u w:val="single"/>
        </w:rPr>
        <w:t xml:space="preserve">                    </w:t>
      </w:r>
      <w:r>
        <w:rPr>
          <w:rFonts w:hint="eastAsia" w:ascii="宋体" w:hAnsi="宋体" w:eastAsia="宋体" w:cs="宋体"/>
          <w:szCs w:val="21"/>
        </w:rPr>
        <w:t>[投标人名称]的法定代表人</w:t>
      </w:r>
      <w:r>
        <w:rPr>
          <w:rFonts w:hint="eastAsia" w:ascii="宋体" w:hAnsi="宋体" w:eastAsia="宋体" w:cs="宋体"/>
          <w:szCs w:val="21"/>
          <w:u w:val="single"/>
        </w:rPr>
        <w:t xml:space="preserve">                        </w:t>
      </w:r>
      <w:r>
        <w:rPr>
          <w:rFonts w:hint="eastAsia" w:ascii="宋体" w:hAnsi="宋体" w:eastAsia="宋体" w:cs="宋体"/>
          <w:szCs w:val="21"/>
        </w:rPr>
        <w:t>[法定代表人姓名、职务]代表本公司授权</w:t>
      </w:r>
      <w:r>
        <w:rPr>
          <w:rFonts w:hint="eastAsia" w:ascii="宋体" w:hAnsi="宋体" w:eastAsia="宋体" w:cs="宋体"/>
          <w:szCs w:val="21"/>
          <w:u w:val="single"/>
        </w:rPr>
        <w:t xml:space="preserve">                       </w:t>
      </w:r>
      <w:r>
        <w:rPr>
          <w:rFonts w:hint="eastAsia" w:ascii="宋体" w:hAnsi="宋体" w:eastAsia="宋体" w:cs="宋体"/>
          <w:szCs w:val="21"/>
        </w:rPr>
        <w:t>[投标人名称]的</w:t>
      </w:r>
      <w:r>
        <w:rPr>
          <w:rFonts w:hint="eastAsia" w:ascii="宋体" w:hAnsi="宋体" w:eastAsia="宋体" w:cs="宋体"/>
          <w:szCs w:val="21"/>
          <w:u w:val="single"/>
        </w:rPr>
        <w:t xml:space="preserve">                      </w:t>
      </w:r>
      <w:r>
        <w:rPr>
          <w:rFonts w:hint="eastAsia" w:ascii="宋体" w:hAnsi="宋体" w:eastAsia="宋体" w:cs="宋体"/>
          <w:szCs w:val="21"/>
        </w:rPr>
        <w:t>[被授权人的姓名、职务]为本公司的合法代理人，就</w:t>
      </w:r>
      <w:r>
        <w:rPr>
          <w:rFonts w:hint="eastAsia" w:ascii="宋体" w:hAnsi="宋体" w:eastAsia="宋体" w:cs="宋体"/>
          <w:szCs w:val="21"/>
          <w:u w:val="single"/>
        </w:rPr>
        <w:t xml:space="preserve">                                    </w:t>
      </w:r>
      <w:r>
        <w:rPr>
          <w:rFonts w:hint="eastAsia" w:ascii="宋体" w:hAnsi="宋体" w:eastAsia="宋体" w:cs="宋体"/>
          <w:szCs w:val="21"/>
        </w:rPr>
        <w:t>[项目名称]</w:t>
      </w:r>
      <w:r>
        <w:rPr>
          <w:rFonts w:hint="eastAsia" w:ascii="宋体" w:hAnsi="宋体" w:eastAsia="宋体" w:cs="宋体"/>
          <w:szCs w:val="21"/>
          <w:u w:val="single"/>
        </w:rPr>
        <w:t xml:space="preserve">               </w:t>
      </w:r>
      <w:r>
        <w:rPr>
          <w:rFonts w:hint="eastAsia" w:ascii="宋体" w:hAnsi="宋体" w:eastAsia="宋体" w:cs="宋体"/>
          <w:szCs w:val="21"/>
        </w:rPr>
        <w:t>投标，以本公司名义处理一切与之有关的事务，我本人及公司均给予认可。</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 xml:space="preserve">本授权书于 </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日生效。</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被授权人无转委托权，特此声明。</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法定代表人（单位负责人）（签字或签章）：__________________</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职      务：______________________________________________</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u w:val="single"/>
        </w:rPr>
      </w:pPr>
      <w:r>
        <w:rPr>
          <w:rFonts w:hint="eastAsia" w:ascii="宋体" w:hAnsi="宋体" w:eastAsia="宋体" w:cs="宋体"/>
          <w:szCs w:val="21"/>
        </w:rPr>
        <w:t>身份证号码：______________________________________________</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 xml:space="preserve">被授权人（签字或签章）：____________________                           </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 xml:space="preserve">职      务：________________________________  </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 xml:space="preserve">身份证号码：________________________________   </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 xml:space="preserve">联 系 电 话：________________________________  </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 xml:space="preserve">电 子 邮 箱：________________________________   </w:t>
      </w:r>
    </w:p>
    <w:p>
      <w:pPr>
        <w:pStyle w:val="85"/>
        <w:keepNext w:val="0"/>
        <w:keepLines w:val="0"/>
        <w:pageBreakBefore w:val="0"/>
        <w:widowControl w:val="0"/>
        <w:kinsoku/>
        <w:wordWrap w:val="0"/>
        <w:overflowPunct/>
        <w:topLinePunct/>
        <w:autoSpaceDE/>
        <w:autoSpaceDN/>
        <w:bidi w:val="0"/>
        <w:adjustRightInd/>
        <w:snapToGrid/>
        <w:spacing w:after="0" w:line="360" w:lineRule="auto"/>
        <w:ind w:left="0" w:firstLine="0"/>
        <w:textAlignment w:val="auto"/>
        <w:rPr>
          <w:rFonts w:hint="eastAsia" w:ascii="宋体" w:hAnsi="宋体" w:eastAsia="宋体" w:cs="宋体"/>
          <w:szCs w:val="21"/>
        </w:rPr>
      </w:pPr>
    </w:p>
    <w:p>
      <w:pPr>
        <w:keepNext w:val="0"/>
        <w:keepLines w:val="0"/>
        <w:pageBreakBefore w:val="0"/>
        <w:widowControl w:val="0"/>
        <w:kinsoku/>
        <w:wordWrap w:val="0"/>
        <w:overflowPunct/>
        <w:topLinePunct/>
        <w:autoSpaceDE/>
        <w:autoSpaceDN/>
        <w:bidi w:val="0"/>
        <w:adjustRightInd/>
        <w:snapToGrid/>
        <w:spacing w:line="360" w:lineRule="auto"/>
        <w:ind w:firstLine="422" w:firstLineChars="200"/>
        <w:textAlignment w:val="auto"/>
        <w:rPr>
          <w:rFonts w:hint="eastAsia" w:ascii="宋体" w:hAnsi="宋体" w:eastAsia="宋体" w:cs="宋体"/>
          <w:b/>
          <w:szCs w:val="21"/>
        </w:rPr>
      </w:pPr>
      <w:r>
        <w:rPr>
          <w:rFonts w:hint="eastAsia" w:ascii="宋体" w:hAnsi="宋体" w:eastAsia="宋体" w:cs="宋体"/>
          <w:b/>
          <w:szCs w:val="21"/>
        </w:rPr>
        <w:t>附：授权人和被授权人身份证复印件</w:t>
      </w:r>
    </w:p>
    <w:p>
      <w:pPr>
        <w:keepNext w:val="0"/>
        <w:keepLines w:val="0"/>
        <w:pageBreakBefore w:val="0"/>
        <w:widowControl w:val="0"/>
        <w:kinsoku/>
        <w:wordWrap w:val="0"/>
        <w:overflowPunct/>
        <w:topLinePunct/>
        <w:autoSpaceDE/>
        <w:autoSpaceDN/>
        <w:bidi w:val="0"/>
        <w:adjustRightInd/>
        <w:snapToGrid/>
        <w:spacing w:line="360" w:lineRule="auto"/>
        <w:ind w:firstLine="422" w:firstLineChars="200"/>
        <w:textAlignment w:val="auto"/>
        <w:rPr>
          <w:rFonts w:hint="eastAsia" w:ascii="宋体" w:hAnsi="宋体" w:eastAsia="宋体" w:cs="宋体"/>
          <w:b/>
          <w:szCs w:val="21"/>
        </w:rPr>
      </w:pP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u w:val="single"/>
        </w:rPr>
      </w:pPr>
      <w:r>
        <w:rPr>
          <w:rFonts w:hint="eastAsia" w:ascii="宋体" w:hAnsi="宋体" w:eastAsia="宋体" w:cs="宋体"/>
          <w:szCs w:val="21"/>
        </w:rPr>
        <w:t>投标人名称：</w:t>
      </w:r>
      <w:r>
        <w:rPr>
          <w:rFonts w:hint="eastAsia" w:ascii="宋体" w:hAnsi="宋体" w:eastAsia="宋体" w:cs="宋体"/>
          <w:szCs w:val="21"/>
          <w:u w:val="single"/>
        </w:rPr>
        <w:t xml:space="preserve">                      （盖电子签章）</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日  期：    年     月     日</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注：如无被授权人，此页可不填或不附此页。</w:t>
      </w:r>
    </w:p>
    <w:p>
      <w:pPr>
        <w:pStyle w:val="3"/>
        <w:bidi w:val="0"/>
        <w:rPr>
          <w:rFonts w:hint="eastAsia" w:ascii="宋体" w:hAnsi="宋体" w:eastAsia="宋体" w:cs="宋体"/>
          <w:b/>
          <w:sz w:val="24"/>
          <w:szCs w:val="24"/>
        </w:rPr>
      </w:pPr>
      <w:r>
        <w:rPr>
          <w:rFonts w:hint="eastAsia" w:ascii="宋体" w:hAnsi="宋体" w:eastAsia="宋体" w:cs="宋体"/>
          <w:szCs w:val="32"/>
        </w:rPr>
        <w:br w:type="page"/>
      </w:r>
      <w:bookmarkStart w:id="85" w:name="_Toc19484"/>
      <w:r>
        <w:rPr>
          <w:rFonts w:hint="eastAsia" w:ascii="宋体" w:hAnsi="宋体" w:eastAsia="宋体" w:cs="宋体"/>
          <w:b/>
          <w:sz w:val="24"/>
          <w:szCs w:val="24"/>
        </w:rPr>
        <w:t>三、商务条款偏离表</w:t>
      </w:r>
      <w:bookmarkEnd w:id="85"/>
    </w:p>
    <w:p>
      <w:pPr>
        <w:kinsoku/>
        <w:wordWrap/>
        <w:overflowPunct/>
        <w:topLinePunct/>
        <w:autoSpaceDE/>
        <w:autoSpaceDN/>
        <w:bidi w:val="0"/>
        <w:spacing w:line="276" w:lineRule="auto"/>
        <w:rPr>
          <w:rFonts w:hint="eastAsia" w:ascii="宋体" w:hAnsi="宋体" w:eastAsia="宋体" w:cs="宋体"/>
          <w:sz w:val="24"/>
          <w:szCs w:val="24"/>
        </w:rPr>
      </w:pPr>
    </w:p>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项目名称：</w:t>
      </w:r>
      <w:r>
        <w:rPr>
          <w:rFonts w:hint="eastAsia" w:ascii="宋体" w:hAnsi="宋体" w:eastAsia="宋体" w:cs="宋体"/>
          <w:szCs w:val="21"/>
          <w:u w:val="single"/>
        </w:rPr>
        <w:t xml:space="preserve">           </w:t>
      </w:r>
      <w:r>
        <w:rPr>
          <w:rFonts w:hint="eastAsia" w:ascii="宋体" w:hAnsi="宋体" w:eastAsia="宋体" w:cs="宋体"/>
          <w:szCs w:val="21"/>
        </w:rPr>
        <w:t xml:space="preserve">   招标编号：____________    </w:t>
      </w: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482"/>
        <w:gridCol w:w="2509"/>
        <w:gridCol w:w="224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r>
              <w:rPr>
                <w:rFonts w:hint="eastAsia" w:ascii="宋体" w:hAnsi="宋体" w:eastAsia="宋体" w:cs="宋体"/>
                <w:szCs w:val="21"/>
              </w:rPr>
              <w:t>序号</w:t>
            </w:r>
          </w:p>
        </w:tc>
        <w:tc>
          <w:tcPr>
            <w:tcW w:w="267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r>
              <w:rPr>
                <w:rFonts w:hint="eastAsia" w:ascii="宋体" w:hAnsi="宋体" w:eastAsia="宋体" w:cs="宋体"/>
                <w:szCs w:val="21"/>
              </w:rPr>
              <w:t>招标文件条款</w:t>
            </w:r>
          </w:p>
        </w:tc>
        <w:tc>
          <w:tcPr>
            <w:tcW w:w="270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r>
              <w:rPr>
                <w:rFonts w:hint="eastAsia" w:ascii="宋体" w:hAnsi="宋体" w:eastAsia="宋体" w:cs="宋体"/>
                <w:szCs w:val="21"/>
              </w:rPr>
              <w:t>投标文件条款</w:t>
            </w:r>
          </w:p>
        </w:tc>
        <w:tc>
          <w:tcPr>
            <w:tcW w:w="2420" w:type="dxa"/>
            <w:vAlign w:val="center"/>
          </w:tcPr>
          <w:p>
            <w:pPr>
              <w:kinsoku/>
              <w:wordWrap/>
              <w:overflowPunct/>
              <w:topLinePunct/>
              <w:autoSpaceDE/>
              <w:autoSpaceDN/>
              <w:bidi w:val="0"/>
              <w:spacing w:line="276" w:lineRule="auto"/>
              <w:jc w:val="center"/>
              <w:rPr>
                <w:rFonts w:hint="eastAsia" w:ascii="宋体" w:hAnsi="宋体" w:eastAsia="宋体" w:cs="宋体"/>
                <w:szCs w:val="21"/>
              </w:rPr>
            </w:pPr>
            <w:r>
              <w:rPr>
                <w:rFonts w:hint="eastAsia" w:ascii="宋体" w:hAnsi="宋体" w:eastAsia="宋体" w:cs="宋体"/>
                <w:szCs w:val="21"/>
              </w:rPr>
              <w:t>响应/正偏离/负偏离</w:t>
            </w:r>
          </w:p>
        </w:tc>
        <w:tc>
          <w:tcPr>
            <w:tcW w:w="151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r>
              <w:rPr>
                <w:rFonts w:hint="eastAsia" w:ascii="宋体" w:hAnsi="宋体" w:eastAsia="宋体" w:cs="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r>
              <w:rPr>
                <w:rFonts w:hint="eastAsia" w:ascii="宋体" w:hAnsi="宋体" w:eastAsia="宋体" w:cs="宋体"/>
                <w:szCs w:val="21"/>
              </w:rPr>
              <w:t>1、</w:t>
            </w:r>
          </w:p>
        </w:tc>
        <w:tc>
          <w:tcPr>
            <w:tcW w:w="267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70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420"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151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r>
              <w:rPr>
                <w:rFonts w:hint="eastAsia" w:ascii="宋体" w:hAnsi="宋体" w:eastAsia="宋体" w:cs="宋体"/>
                <w:szCs w:val="21"/>
              </w:rPr>
              <w:t>…</w:t>
            </w:r>
          </w:p>
        </w:tc>
        <w:tc>
          <w:tcPr>
            <w:tcW w:w="267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70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420"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151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67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70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420"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151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67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70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420"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151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67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70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420"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151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67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70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420"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151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67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70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420"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151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67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703"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2420"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c>
          <w:tcPr>
            <w:tcW w:w="1518" w:type="dxa"/>
            <w:vAlign w:val="center"/>
          </w:tcPr>
          <w:p>
            <w:pPr>
              <w:kinsoku/>
              <w:wordWrap/>
              <w:overflowPunct/>
              <w:topLinePunct/>
              <w:autoSpaceDE/>
              <w:autoSpaceDN/>
              <w:bidi w:val="0"/>
              <w:spacing w:line="276" w:lineRule="auto"/>
              <w:jc w:val="center"/>
              <w:rPr>
                <w:rFonts w:hint="eastAsia" w:ascii="宋体" w:hAnsi="宋体" w:eastAsia="宋体" w:cs="宋体"/>
                <w:szCs w:val="21"/>
              </w:rPr>
            </w:pPr>
          </w:p>
        </w:tc>
      </w:tr>
    </w:tbl>
    <w:p>
      <w:pPr>
        <w:kinsoku/>
        <w:wordWrap/>
        <w:overflowPunct/>
        <w:topLinePunct/>
        <w:autoSpaceDE/>
        <w:autoSpaceDN/>
        <w:bidi w:val="0"/>
        <w:spacing w:line="360" w:lineRule="auto"/>
        <w:rPr>
          <w:rFonts w:hint="eastAsia" w:ascii="宋体" w:hAnsi="宋体" w:eastAsia="宋体" w:cs="宋体"/>
          <w:szCs w:val="21"/>
        </w:rPr>
      </w:pPr>
    </w:p>
    <w:p>
      <w:pPr>
        <w:kinsoku/>
        <w:wordWrap/>
        <w:overflowPunct/>
        <w:topLinePunct/>
        <w:autoSpaceDE/>
        <w:autoSpaceDN/>
        <w:bidi w:val="0"/>
        <w:adjustRightInd w:val="0"/>
        <w:spacing w:line="360" w:lineRule="auto"/>
        <w:rPr>
          <w:rFonts w:hint="eastAsia" w:ascii="宋体" w:hAnsi="宋体" w:eastAsia="宋体" w:cs="宋体"/>
          <w:szCs w:val="21"/>
        </w:rPr>
      </w:pPr>
      <w:r>
        <w:rPr>
          <w:rFonts w:hint="eastAsia" w:ascii="宋体" w:hAnsi="宋体" w:eastAsia="宋体" w:cs="宋体"/>
          <w:szCs w:val="21"/>
        </w:rPr>
        <w:t>注：1．投标文件与招标文件有差异之处，无论多么微小，均应按偏离表的要求汇总说明，并说明差异的原因，并标注出正偏离/负偏离。投标人未填入本表内的内容视为完全响应招标文件的要求。如果投标文件与招标文件的差异之处没有填入“偏离表”中，不管投标人是否在投标文件的其他任何地方有其他描述，均不能免除投标人已经承诺响应招标文件要求的责任。</w:t>
      </w:r>
    </w:p>
    <w:p>
      <w:pPr>
        <w:kinsoku/>
        <w:wordWrap/>
        <w:overflowPunct/>
        <w:topLinePunct/>
        <w:autoSpaceDE/>
        <w:autoSpaceDN/>
        <w:bidi w:val="0"/>
        <w:adjustRightIn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2．如果投标人在该项目中中标，在技术和商务的合同谈判中，投标人不得提出“偏离表”之外的任何实质性的偏差。否则属违约行为，采购人有权取消其中标的资格。</w:t>
      </w:r>
    </w:p>
    <w:p>
      <w:pPr>
        <w:kinsoku/>
        <w:wordWrap/>
        <w:overflowPunct/>
        <w:topLinePunct/>
        <w:autoSpaceDE/>
        <w:autoSpaceDN/>
        <w:bidi w:val="0"/>
        <w:spacing w:line="360" w:lineRule="auto"/>
        <w:rPr>
          <w:rFonts w:hint="eastAsia" w:ascii="宋体" w:hAnsi="宋体" w:eastAsia="宋体" w:cs="宋体"/>
          <w:szCs w:val="21"/>
        </w:rPr>
      </w:pP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投标人名称：</w:t>
      </w:r>
      <w:r>
        <w:rPr>
          <w:rFonts w:hint="eastAsia" w:ascii="宋体" w:hAnsi="宋体" w:eastAsia="宋体" w:cs="宋体"/>
          <w:szCs w:val="21"/>
          <w:u w:val="single"/>
        </w:rPr>
        <w:t xml:space="preserve">                    （盖电子签章）</w:t>
      </w:r>
      <w:r>
        <w:rPr>
          <w:rFonts w:hint="eastAsia" w:ascii="宋体" w:hAnsi="宋体" w:eastAsia="宋体" w:cs="宋体"/>
          <w:szCs w:val="21"/>
        </w:rPr>
        <w:t xml:space="preserve">                       </w:t>
      </w:r>
    </w:p>
    <w:p>
      <w:pPr>
        <w:kinsoku/>
        <w:wordWrap/>
        <w:overflowPunct/>
        <w:topLinePunct/>
        <w:autoSpaceDE/>
        <w:autoSpaceDN/>
        <w:bidi w:val="0"/>
        <w:spacing w:line="360" w:lineRule="auto"/>
        <w:rPr>
          <w:rFonts w:hint="eastAsia" w:ascii="宋体" w:hAnsi="宋体" w:eastAsia="宋体" w:cs="宋体"/>
          <w:szCs w:val="21"/>
        </w:rPr>
      </w:pPr>
    </w:p>
    <w:p>
      <w:pPr>
        <w:kinsoku/>
        <w:wordWrap/>
        <w:overflowPunct/>
        <w:topLinePunct/>
        <w:autoSpaceDE/>
        <w:autoSpaceDN/>
        <w:bidi w:val="0"/>
        <w:spacing w:line="360" w:lineRule="auto"/>
        <w:ind w:firstLine="420" w:firstLineChars="200"/>
        <w:rPr>
          <w:rFonts w:hint="eastAsia" w:ascii="宋体" w:hAnsi="宋体" w:eastAsia="宋体" w:cs="宋体"/>
          <w:szCs w:val="21"/>
          <w:u w:val="single"/>
        </w:rPr>
      </w:pPr>
      <w:r>
        <w:rPr>
          <w:rFonts w:hint="eastAsia" w:ascii="宋体" w:hAnsi="宋体" w:eastAsia="宋体" w:cs="宋体"/>
          <w:szCs w:val="21"/>
        </w:rPr>
        <w:t>法定代表人（单位负责人）或其委托代理人：</w:t>
      </w:r>
      <w:r>
        <w:rPr>
          <w:rFonts w:hint="eastAsia" w:ascii="宋体" w:hAnsi="宋体" w:eastAsia="宋体" w:cs="宋体"/>
          <w:szCs w:val="21"/>
          <w:u w:val="single"/>
        </w:rPr>
        <w:t xml:space="preserve">          （签字或签章）</w:t>
      </w:r>
    </w:p>
    <w:p>
      <w:pPr>
        <w:kinsoku/>
        <w:wordWrap/>
        <w:overflowPunct/>
        <w:topLinePunct/>
        <w:autoSpaceDE/>
        <w:autoSpaceDN/>
        <w:bidi w:val="0"/>
        <w:spacing w:line="360" w:lineRule="auto"/>
        <w:rPr>
          <w:rFonts w:hint="eastAsia" w:ascii="宋体" w:hAnsi="宋体" w:eastAsia="宋体" w:cs="宋体"/>
          <w:szCs w:val="21"/>
        </w:rPr>
      </w:pP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日  期：    年     月     日</w:t>
      </w:r>
    </w:p>
    <w:p>
      <w:pPr>
        <w:kinsoku/>
        <w:wordWrap/>
        <w:overflowPunct/>
        <w:topLinePunct/>
        <w:autoSpaceDE/>
        <w:autoSpaceDN/>
        <w:bidi w:val="0"/>
        <w:spacing w:line="360" w:lineRule="auto"/>
        <w:jc w:val="center"/>
        <w:rPr>
          <w:rFonts w:hint="eastAsia" w:ascii="宋体" w:hAnsi="宋体" w:eastAsia="宋体" w:cs="宋体"/>
          <w:szCs w:val="32"/>
        </w:rPr>
      </w:pPr>
      <w:r>
        <w:rPr>
          <w:rFonts w:hint="eastAsia" w:ascii="宋体" w:hAnsi="宋体" w:eastAsia="宋体" w:cs="宋体"/>
          <w:szCs w:val="32"/>
        </w:rPr>
        <w:br w:type="page"/>
      </w:r>
    </w:p>
    <w:p>
      <w:pPr>
        <w:pStyle w:val="3"/>
        <w:bidi w:val="0"/>
        <w:rPr>
          <w:rFonts w:hint="eastAsia" w:ascii="宋体" w:hAnsi="宋体" w:eastAsia="宋体" w:cs="宋体"/>
          <w:b/>
          <w:sz w:val="24"/>
          <w:szCs w:val="24"/>
        </w:rPr>
      </w:pPr>
      <w:bookmarkStart w:id="86" w:name="_Toc465"/>
      <w:r>
        <w:rPr>
          <w:rFonts w:hint="eastAsia" w:ascii="宋体" w:hAnsi="宋体" w:eastAsia="宋体" w:cs="宋体"/>
          <w:b/>
          <w:bCs/>
          <w:sz w:val="24"/>
          <w:szCs w:val="24"/>
        </w:rPr>
        <w:t>四、基本账户开户</w:t>
      </w:r>
      <w:r>
        <w:rPr>
          <w:rFonts w:hint="eastAsia" w:ascii="宋体" w:hAnsi="宋体" w:eastAsia="宋体" w:cs="宋体"/>
          <w:b/>
          <w:sz w:val="24"/>
          <w:szCs w:val="24"/>
        </w:rPr>
        <w:t>许可证</w:t>
      </w:r>
      <w:r>
        <w:rPr>
          <w:rFonts w:hint="eastAsia" w:ascii="宋体" w:hAnsi="宋体" w:eastAsia="宋体" w:cs="宋体"/>
          <w:b/>
          <w:bCs/>
          <w:sz w:val="24"/>
          <w:szCs w:val="24"/>
        </w:rPr>
        <w:t>（或基本存款账户信息）</w:t>
      </w:r>
      <w:bookmarkEnd w:id="86"/>
    </w:p>
    <w:p>
      <w:pPr>
        <w:pStyle w:val="3"/>
        <w:bidi w:val="0"/>
        <w:rPr>
          <w:rFonts w:hint="eastAsia" w:ascii="宋体" w:hAnsi="宋体" w:eastAsia="宋体" w:cs="宋体"/>
          <w:sz w:val="24"/>
          <w:szCs w:val="24"/>
        </w:rPr>
      </w:pPr>
      <w:r>
        <w:rPr>
          <w:rFonts w:hint="eastAsia" w:ascii="宋体" w:hAnsi="宋体" w:eastAsia="宋体" w:cs="宋体"/>
          <w:sz w:val="24"/>
          <w:szCs w:val="24"/>
        </w:rPr>
        <w:br w:type="page"/>
      </w:r>
      <w:bookmarkStart w:id="87" w:name="_Toc21759"/>
      <w:r>
        <w:rPr>
          <w:rFonts w:hint="eastAsia" w:ascii="宋体" w:hAnsi="宋体" w:eastAsia="宋体" w:cs="宋体"/>
          <w:b/>
          <w:bCs/>
          <w:sz w:val="24"/>
          <w:szCs w:val="24"/>
        </w:rPr>
        <w:t>五、资格</w:t>
      </w:r>
      <w:r>
        <w:rPr>
          <w:rFonts w:hint="eastAsia" w:ascii="宋体" w:hAnsi="宋体" w:eastAsia="宋体" w:cs="宋体"/>
          <w:b/>
          <w:sz w:val="24"/>
          <w:szCs w:val="24"/>
        </w:rPr>
        <w:t>审查</w:t>
      </w:r>
      <w:r>
        <w:rPr>
          <w:rFonts w:hint="eastAsia" w:ascii="宋体" w:hAnsi="宋体" w:eastAsia="宋体" w:cs="宋体"/>
          <w:b/>
          <w:bCs/>
          <w:sz w:val="24"/>
          <w:szCs w:val="24"/>
        </w:rPr>
        <w:t>资料</w:t>
      </w:r>
      <w:bookmarkEnd w:id="87"/>
    </w:p>
    <w:p>
      <w:pPr>
        <w:tabs>
          <w:tab w:val="left" w:pos="2160"/>
          <w:tab w:val="center" w:pos="4819"/>
        </w:tabs>
        <w:kinsoku/>
        <w:wordWrap/>
        <w:overflowPunct/>
        <w:topLinePunct/>
        <w:autoSpaceDE/>
        <w:autoSpaceDN/>
        <w:bidi w:val="0"/>
        <w:spacing w:line="360" w:lineRule="auto"/>
        <w:jc w:val="center"/>
        <w:outlineLvl w:val="4"/>
        <w:rPr>
          <w:rFonts w:hint="eastAsia" w:ascii="宋体" w:hAnsi="宋体" w:eastAsia="宋体" w:cs="宋体"/>
          <w:sz w:val="24"/>
          <w:szCs w:val="24"/>
        </w:rPr>
      </w:pPr>
      <w:r>
        <w:rPr>
          <w:rFonts w:hint="eastAsia" w:ascii="宋体" w:hAnsi="宋体" w:eastAsia="宋体" w:cs="宋体"/>
          <w:b/>
          <w:bCs/>
          <w:kern w:val="0"/>
          <w:sz w:val="24"/>
          <w:szCs w:val="24"/>
        </w:rPr>
        <w:t>5.1</w:t>
      </w:r>
      <w:r>
        <w:rPr>
          <w:rFonts w:hint="eastAsia" w:ascii="宋体" w:hAnsi="宋体" w:eastAsia="宋体" w:cs="宋体"/>
          <w:b/>
          <w:bCs/>
          <w:kern w:val="0"/>
          <w:sz w:val="24"/>
          <w:szCs w:val="24"/>
          <w:lang w:val="zh-CN"/>
        </w:rPr>
        <w:t>投标人一般情况表</w:t>
      </w: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045"/>
        <w:gridCol w:w="2215"/>
        <w:gridCol w:w="783"/>
        <w:gridCol w:w="442"/>
        <w:gridCol w:w="1006"/>
        <w:gridCol w:w="907"/>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959" w:type="dxa"/>
            <w:tcBorders>
              <w:left w:val="single" w:color="auto" w:sz="4" w:space="0"/>
            </w:tcBorders>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单位名称</w:t>
            </w:r>
          </w:p>
        </w:tc>
        <w:tc>
          <w:tcPr>
            <w:tcW w:w="4387"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16"/>
              </w:rPr>
            </w:pPr>
          </w:p>
        </w:tc>
        <w:tc>
          <w:tcPr>
            <w:tcW w:w="1559" w:type="dxa"/>
            <w:gridSpan w:val="2"/>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总部地址</w:t>
            </w:r>
          </w:p>
        </w:tc>
        <w:tc>
          <w:tcPr>
            <w:tcW w:w="2234" w:type="dxa"/>
            <w:gridSpan w:val="2"/>
            <w:vAlign w:val="center"/>
          </w:tcPr>
          <w:p>
            <w:pPr>
              <w:kinsoku/>
              <w:wordWrap/>
              <w:overflowPunct/>
              <w:topLinePunct/>
              <w:autoSpaceDE/>
              <w:autoSpaceDN/>
              <w:bidi w:val="0"/>
              <w:spacing w:line="360" w:lineRule="auto"/>
              <w:rPr>
                <w:rFonts w:hint="eastAsia" w:ascii="宋体" w:hAnsi="宋体" w:eastAsia="宋体" w:cs="宋体"/>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959" w:type="dxa"/>
            <w:tcBorders>
              <w:left w:val="single" w:color="auto" w:sz="4" w:space="0"/>
            </w:tcBorders>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企业资质</w:t>
            </w:r>
          </w:p>
        </w:tc>
        <w:tc>
          <w:tcPr>
            <w:tcW w:w="8180" w:type="dxa"/>
            <w:gridSpan w:val="7"/>
            <w:vAlign w:val="center"/>
          </w:tcPr>
          <w:p>
            <w:pPr>
              <w:kinsoku/>
              <w:wordWrap/>
              <w:overflowPunct/>
              <w:topLinePunct/>
              <w:autoSpaceDE/>
              <w:autoSpaceDN/>
              <w:bidi w:val="0"/>
              <w:spacing w:line="360" w:lineRule="auto"/>
              <w:rPr>
                <w:rFonts w:hint="eastAsia" w:ascii="宋体" w:hAnsi="宋体" w:eastAsia="宋体" w:cs="宋体"/>
                <w:szCs w:val="16"/>
              </w:rPr>
            </w:pPr>
            <w:r>
              <w:rPr>
                <w:rFonts w:hint="eastAsia" w:ascii="宋体" w:hAnsi="宋体" w:eastAsia="宋体" w:cs="宋体"/>
                <w:szCs w:val="16"/>
              </w:rPr>
              <w:t>1、等级           2、证书号                   3、发证单位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959" w:type="dxa"/>
            <w:tcBorders>
              <w:left w:val="single" w:color="auto" w:sz="4" w:space="0"/>
            </w:tcBorders>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营业执照</w:t>
            </w:r>
          </w:p>
        </w:tc>
        <w:tc>
          <w:tcPr>
            <w:tcW w:w="8180" w:type="dxa"/>
            <w:gridSpan w:val="7"/>
            <w:vAlign w:val="center"/>
          </w:tcPr>
          <w:p>
            <w:pPr>
              <w:kinsoku/>
              <w:wordWrap/>
              <w:overflowPunct/>
              <w:topLinePunct/>
              <w:autoSpaceDE/>
              <w:autoSpaceDN/>
              <w:bidi w:val="0"/>
              <w:spacing w:line="360" w:lineRule="auto"/>
              <w:rPr>
                <w:rFonts w:hint="eastAsia" w:ascii="宋体" w:hAnsi="宋体" w:eastAsia="宋体" w:cs="宋体"/>
                <w:szCs w:val="16"/>
              </w:rPr>
            </w:pPr>
            <w:r>
              <w:rPr>
                <w:rFonts w:hint="eastAsia" w:ascii="宋体" w:hAnsi="宋体" w:eastAsia="宋体" w:cs="宋体"/>
                <w:szCs w:val="16"/>
              </w:rPr>
              <w:t>1、编号           2、营业范围（主项、增项）   3、发照单位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959" w:type="dxa"/>
            <w:tcBorders>
              <w:left w:val="single" w:color="auto" w:sz="4" w:space="0"/>
            </w:tcBorders>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建立日期</w:t>
            </w:r>
          </w:p>
        </w:tc>
        <w:tc>
          <w:tcPr>
            <w:tcW w:w="1126" w:type="dxa"/>
            <w:vAlign w:val="center"/>
          </w:tcPr>
          <w:p>
            <w:pPr>
              <w:kinsoku/>
              <w:wordWrap/>
              <w:overflowPunct/>
              <w:topLinePunct/>
              <w:autoSpaceDE/>
              <w:autoSpaceDN/>
              <w:bidi w:val="0"/>
              <w:spacing w:line="360" w:lineRule="auto"/>
              <w:rPr>
                <w:rFonts w:hint="eastAsia" w:ascii="宋体" w:hAnsi="宋体" w:eastAsia="宋体" w:cs="宋体"/>
                <w:szCs w:val="16"/>
              </w:rPr>
            </w:pPr>
          </w:p>
        </w:tc>
        <w:tc>
          <w:tcPr>
            <w:tcW w:w="2410" w:type="dxa"/>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现有职工总人数（人）</w:t>
            </w:r>
          </w:p>
        </w:tc>
        <w:tc>
          <w:tcPr>
            <w:tcW w:w="1324" w:type="dxa"/>
            <w:gridSpan w:val="2"/>
            <w:vAlign w:val="center"/>
          </w:tcPr>
          <w:p>
            <w:pPr>
              <w:kinsoku/>
              <w:wordWrap/>
              <w:overflowPunct/>
              <w:topLinePunct/>
              <w:autoSpaceDE/>
              <w:autoSpaceDN/>
              <w:bidi w:val="0"/>
              <w:spacing w:line="360" w:lineRule="auto"/>
              <w:jc w:val="center"/>
              <w:rPr>
                <w:rFonts w:hint="eastAsia" w:ascii="宋体" w:hAnsi="宋体" w:eastAsia="宋体" w:cs="宋体"/>
                <w:szCs w:val="16"/>
              </w:rPr>
            </w:pPr>
          </w:p>
        </w:tc>
        <w:tc>
          <w:tcPr>
            <w:tcW w:w="2078" w:type="dxa"/>
            <w:gridSpan w:val="2"/>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注册资本/固定资产净值（万元）</w:t>
            </w:r>
          </w:p>
        </w:tc>
        <w:tc>
          <w:tcPr>
            <w:tcW w:w="1242" w:type="dxa"/>
            <w:vAlign w:val="center"/>
          </w:tcPr>
          <w:p>
            <w:pPr>
              <w:kinsoku/>
              <w:wordWrap/>
              <w:overflowPunct/>
              <w:topLinePunct/>
              <w:autoSpaceDE/>
              <w:autoSpaceDN/>
              <w:bidi w:val="0"/>
              <w:spacing w:line="360" w:lineRule="auto"/>
              <w:rPr>
                <w:rFonts w:hint="eastAsia" w:ascii="宋体" w:hAnsi="宋体" w:eastAsia="宋体" w:cs="宋体"/>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959" w:type="dxa"/>
            <w:tcBorders>
              <w:left w:val="single" w:color="auto" w:sz="4" w:space="0"/>
            </w:tcBorders>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行政负责人</w:t>
            </w:r>
          </w:p>
        </w:tc>
        <w:tc>
          <w:tcPr>
            <w:tcW w:w="8180" w:type="dxa"/>
            <w:gridSpan w:val="7"/>
            <w:vAlign w:val="center"/>
          </w:tcPr>
          <w:p>
            <w:pPr>
              <w:kinsoku/>
              <w:wordWrap/>
              <w:overflowPunct/>
              <w:topLinePunct/>
              <w:autoSpaceDE/>
              <w:autoSpaceDN/>
              <w:bidi w:val="0"/>
              <w:spacing w:line="360" w:lineRule="auto"/>
              <w:rPr>
                <w:rFonts w:hint="eastAsia" w:ascii="宋体" w:hAnsi="宋体" w:eastAsia="宋体" w:cs="宋体"/>
                <w:szCs w:val="16"/>
              </w:rPr>
            </w:pPr>
            <w:r>
              <w:rPr>
                <w:rFonts w:hint="eastAsia" w:ascii="宋体" w:hAnsi="宋体" w:eastAsia="宋体" w:cs="宋体"/>
                <w:szCs w:val="16"/>
              </w:rPr>
              <w:t>1、姓名              2、职务                 3、职称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959" w:type="dxa"/>
            <w:tcBorders>
              <w:left w:val="single" w:color="auto" w:sz="4" w:space="0"/>
            </w:tcBorders>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技术负责人</w:t>
            </w:r>
          </w:p>
        </w:tc>
        <w:tc>
          <w:tcPr>
            <w:tcW w:w="8180" w:type="dxa"/>
            <w:gridSpan w:val="7"/>
            <w:vAlign w:val="center"/>
          </w:tcPr>
          <w:p>
            <w:pPr>
              <w:kinsoku/>
              <w:wordWrap/>
              <w:overflowPunct/>
              <w:topLinePunct/>
              <w:autoSpaceDE/>
              <w:autoSpaceDN/>
              <w:bidi w:val="0"/>
              <w:spacing w:line="360" w:lineRule="auto"/>
              <w:rPr>
                <w:rFonts w:hint="eastAsia" w:ascii="宋体" w:hAnsi="宋体" w:eastAsia="宋体" w:cs="宋体"/>
                <w:szCs w:val="16"/>
              </w:rPr>
            </w:pPr>
            <w:r>
              <w:rPr>
                <w:rFonts w:hint="eastAsia" w:ascii="宋体" w:hAnsi="宋体" w:eastAsia="宋体" w:cs="宋体"/>
                <w:szCs w:val="16"/>
              </w:rPr>
              <w:t>1、姓名              2、职务                 3、职称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959" w:type="dxa"/>
            <w:tcBorders>
              <w:left w:val="single" w:color="auto" w:sz="4" w:space="0"/>
            </w:tcBorders>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联系方式</w:t>
            </w:r>
          </w:p>
        </w:tc>
        <w:tc>
          <w:tcPr>
            <w:tcW w:w="8180" w:type="dxa"/>
            <w:gridSpan w:val="7"/>
            <w:vAlign w:val="center"/>
          </w:tcPr>
          <w:p>
            <w:pPr>
              <w:kinsoku/>
              <w:wordWrap/>
              <w:overflowPunct/>
              <w:topLinePunct/>
              <w:autoSpaceDE/>
              <w:autoSpaceDN/>
              <w:bidi w:val="0"/>
              <w:spacing w:line="360" w:lineRule="auto"/>
              <w:rPr>
                <w:rFonts w:hint="eastAsia" w:ascii="宋体" w:hAnsi="宋体" w:eastAsia="宋体" w:cs="宋体"/>
                <w:szCs w:val="16"/>
              </w:rPr>
            </w:pPr>
            <w:r>
              <w:rPr>
                <w:rFonts w:hint="eastAsia" w:ascii="宋体" w:hAnsi="宋体" w:eastAsia="宋体" w:cs="宋体"/>
                <w:szCs w:val="16"/>
              </w:rPr>
              <w:t>1、地址              2、邮编                 3、电挂</w:t>
            </w:r>
          </w:p>
          <w:p>
            <w:pPr>
              <w:kinsoku/>
              <w:wordWrap/>
              <w:overflowPunct/>
              <w:topLinePunct/>
              <w:autoSpaceDE/>
              <w:autoSpaceDN/>
              <w:bidi w:val="0"/>
              <w:spacing w:line="360" w:lineRule="auto"/>
              <w:rPr>
                <w:rFonts w:hint="eastAsia" w:ascii="宋体" w:hAnsi="宋体" w:eastAsia="宋体" w:cs="宋体"/>
                <w:szCs w:val="16"/>
              </w:rPr>
            </w:pPr>
            <w:r>
              <w:rPr>
                <w:rFonts w:hint="eastAsia" w:ascii="宋体" w:hAnsi="宋体" w:eastAsia="宋体" w:cs="宋体"/>
                <w:szCs w:val="16"/>
              </w:rPr>
              <w:t>4、电话              5、电传                 6、传真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959" w:type="dxa"/>
            <w:tcBorders>
              <w:left w:val="single" w:color="auto" w:sz="4" w:space="0"/>
            </w:tcBorders>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下属单位简况</w:t>
            </w:r>
          </w:p>
        </w:tc>
        <w:tc>
          <w:tcPr>
            <w:tcW w:w="8180" w:type="dxa"/>
            <w:gridSpan w:val="7"/>
            <w:vAlign w:val="center"/>
          </w:tcPr>
          <w:p>
            <w:pPr>
              <w:kinsoku/>
              <w:wordWrap/>
              <w:overflowPunct/>
              <w:topLinePunct/>
              <w:autoSpaceDE/>
              <w:autoSpaceDN/>
              <w:bidi w:val="0"/>
              <w:spacing w:line="360" w:lineRule="auto"/>
              <w:rPr>
                <w:rFonts w:hint="eastAsia" w:ascii="宋体" w:hAnsi="宋体" w:eastAsia="宋体" w:cs="宋体"/>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959" w:type="dxa"/>
            <w:tcBorders>
              <w:left w:val="single" w:color="auto" w:sz="4" w:space="0"/>
            </w:tcBorders>
            <w:vAlign w:val="center"/>
          </w:tcPr>
          <w:p>
            <w:pPr>
              <w:kinsoku/>
              <w:wordWrap/>
              <w:overflowPunct/>
              <w:topLinePunct/>
              <w:autoSpaceDE/>
              <w:autoSpaceDN/>
              <w:bidi w:val="0"/>
              <w:spacing w:line="360" w:lineRule="auto"/>
              <w:rPr>
                <w:rFonts w:hint="eastAsia" w:ascii="宋体" w:hAnsi="宋体" w:eastAsia="宋体" w:cs="宋体"/>
                <w:szCs w:val="16"/>
              </w:rPr>
            </w:pPr>
            <w:r>
              <w:rPr>
                <w:rFonts w:hint="eastAsia" w:ascii="宋体" w:hAnsi="宋体" w:eastAsia="宋体" w:cs="宋体"/>
                <w:szCs w:val="16"/>
              </w:rPr>
              <w:t>组织机构框图</w:t>
            </w:r>
          </w:p>
        </w:tc>
        <w:tc>
          <w:tcPr>
            <w:tcW w:w="8180" w:type="dxa"/>
            <w:gridSpan w:val="7"/>
            <w:vAlign w:val="center"/>
          </w:tcPr>
          <w:p>
            <w:pPr>
              <w:kinsoku/>
              <w:wordWrap/>
              <w:overflowPunct/>
              <w:topLinePunct/>
              <w:autoSpaceDE/>
              <w:autoSpaceDN/>
              <w:bidi w:val="0"/>
              <w:spacing w:line="360" w:lineRule="auto"/>
              <w:rPr>
                <w:rFonts w:hint="eastAsia" w:ascii="宋体" w:hAnsi="宋体" w:eastAsia="宋体" w:cs="宋体"/>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959" w:type="dxa"/>
            <w:tcBorders>
              <w:left w:val="single" w:color="auto" w:sz="4" w:space="0"/>
            </w:tcBorders>
            <w:vAlign w:val="center"/>
          </w:tcPr>
          <w:p>
            <w:pPr>
              <w:kinsoku/>
              <w:wordWrap/>
              <w:overflowPunct/>
              <w:topLinePunct/>
              <w:autoSpaceDE/>
              <w:autoSpaceDN/>
              <w:bidi w:val="0"/>
              <w:spacing w:line="360" w:lineRule="auto"/>
              <w:jc w:val="center"/>
              <w:rPr>
                <w:rFonts w:hint="eastAsia" w:ascii="宋体" w:hAnsi="宋体" w:eastAsia="宋体" w:cs="宋体"/>
                <w:szCs w:val="16"/>
              </w:rPr>
            </w:pPr>
            <w:r>
              <w:rPr>
                <w:rFonts w:hint="eastAsia" w:ascii="宋体" w:hAnsi="宋体" w:eastAsia="宋体" w:cs="宋体"/>
                <w:szCs w:val="16"/>
              </w:rPr>
              <w:t>备注</w:t>
            </w:r>
          </w:p>
        </w:tc>
        <w:tc>
          <w:tcPr>
            <w:tcW w:w="8180" w:type="dxa"/>
            <w:gridSpan w:val="7"/>
            <w:vAlign w:val="center"/>
          </w:tcPr>
          <w:p>
            <w:pPr>
              <w:kinsoku/>
              <w:wordWrap/>
              <w:overflowPunct/>
              <w:topLinePunct/>
              <w:autoSpaceDE/>
              <w:autoSpaceDN/>
              <w:bidi w:val="0"/>
              <w:spacing w:line="360" w:lineRule="auto"/>
              <w:rPr>
                <w:rFonts w:hint="eastAsia" w:ascii="宋体" w:hAnsi="宋体" w:eastAsia="宋体" w:cs="宋体"/>
                <w:szCs w:val="16"/>
              </w:rPr>
            </w:pPr>
          </w:p>
        </w:tc>
      </w:tr>
    </w:tbl>
    <w:p>
      <w:pPr>
        <w:keepNext w:val="0"/>
        <w:keepLines w:val="0"/>
        <w:pageBreakBefore w:val="0"/>
        <w:widowControl w:val="0"/>
        <w:tabs>
          <w:tab w:val="left" w:pos="2160"/>
          <w:tab w:val="center" w:pos="4819"/>
        </w:tabs>
        <w:kinsoku/>
        <w:wordWrap/>
        <w:overflowPunct/>
        <w:topLinePunct/>
        <w:autoSpaceDE/>
        <w:autoSpaceDN/>
        <w:bidi w:val="0"/>
        <w:adjustRightInd/>
        <w:snapToGrid/>
        <w:spacing w:before="157" w:beforeLines="50" w:line="360" w:lineRule="auto"/>
        <w:textAlignment w:val="auto"/>
        <w:rPr>
          <w:rFonts w:hint="eastAsia" w:ascii="宋体" w:hAnsi="宋体" w:eastAsia="宋体" w:cs="宋体"/>
          <w:szCs w:val="16"/>
        </w:rPr>
      </w:pPr>
      <w:r>
        <w:rPr>
          <w:rFonts w:hint="eastAsia" w:ascii="宋体" w:hAnsi="宋体" w:eastAsia="宋体" w:cs="宋体"/>
          <w:szCs w:val="16"/>
        </w:rPr>
        <w:t>注：后附投标人简介及组织机构图。</w:t>
      </w:r>
    </w:p>
    <w:p>
      <w:pPr>
        <w:kinsoku/>
        <w:wordWrap/>
        <w:overflowPunct/>
        <w:topLinePunct/>
        <w:autoSpaceDE/>
        <w:autoSpaceDN/>
        <w:bidi w:val="0"/>
        <w:spacing w:line="360" w:lineRule="auto"/>
        <w:jc w:val="center"/>
        <w:outlineLvl w:val="4"/>
        <w:rPr>
          <w:rFonts w:hint="eastAsia" w:ascii="宋体" w:hAnsi="宋体" w:eastAsia="宋体" w:cs="宋体"/>
          <w:b/>
          <w:bCs/>
          <w:kern w:val="0"/>
          <w:sz w:val="24"/>
          <w:szCs w:val="24"/>
          <w:lang w:val="zh-CN"/>
        </w:rPr>
      </w:pPr>
      <w:r>
        <w:rPr>
          <w:rFonts w:hint="eastAsia" w:ascii="宋体" w:hAnsi="宋体" w:eastAsia="宋体" w:cs="宋体"/>
          <w:b/>
          <w:sz w:val="24"/>
        </w:rPr>
        <w:br w:type="page"/>
      </w:r>
      <w:r>
        <w:rPr>
          <w:rFonts w:hint="eastAsia" w:ascii="宋体" w:hAnsi="宋体" w:eastAsia="宋体" w:cs="宋体"/>
          <w:b/>
          <w:bCs/>
          <w:kern w:val="0"/>
          <w:sz w:val="24"/>
          <w:szCs w:val="24"/>
          <w:lang w:val="zh-CN"/>
        </w:rPr>
        <w:t>5.2投标人须按资格审查表提供相关证明材料。</w:t>
      </w:r>
    </w:p>
    <w:p>
      <w:pPr>
        <w:tabs>
          <w:tab w:val="left" w:pos="2160"/>
          <w:tab w:val="center" w:pos="4819"/>
        </w:tabs>
        <w:kinsoku/>
        <w:wordWrap/>
        <w:overflowPunct/>
        <w:topLinePunct/>
        <w:autoSpaceDE/>
        <w:autoSpaceDN/>
        <w:bidi w:val="0"/>
        <w:spacing w:line="360" w:lineRule="auto"/>
        <w:outlineLvl w:val="4"/>
        <w:rPr>
          <w:rFonts w:hint="eastAsia" w:ascii="宋体" w:hAnsi="宋体" w:eastAsia="宋体" w:cs="宋体"/>
          <w:b/>
          <w:szCs w:val="21"/>
        </w:rPr>
      </w:pPr>
      <w:r>
        <w:rPr>
          <w:rFonts w:hint="eastAsia" w:ascii="宋体" w:hAnsi="宋体" w:eastAsia="宋体" w:cs="宋体"/>
          <w:sz w:val="22"/>
          <w:szCs w:val="22"/>
        </w:rPr>
        <w:br w:type="page"/>
      </w:r>
      <w:r>
        <w:rPr>
          <w:rFonts w:hint="eastAsia" w:ascii="宋体" w:hAnsi="宋体" w:eastAsia="宋体" w:cs="宋体"/>
          <w:b/>
          <w:bCs/>
          <w:szCs w:val="21"/>
        </w:rPr>
        <w:t>5.2.1</w:t>
      </w:r>
      <w:r>
        <w:rPr>
          <w:rFonts w:hint="eastAsia" w:ascii="宋体" w:hAnsi="宋体" w:eastAsia="宋体" w:cs="宋体"/>
          <w:b/>
          <w:bCs/>
          <w:szCs w:val="21"/>
          <w:lang w:val="zh-CN"/>
        </w:rPr>
        <w:t>财务状况表</w:t>
      </w: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4"/>
        <w:gridCol w:w="1855"/>
        <w:gridCol w:w="2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项目或指标</w:t>
            </w:r>
          </w:p>
        </w:tc>
        <w:tc>
          <w:tcPr>
            <w:tcW w:w="1949"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单位</w:t>
            </w:r>
          </w:p>
        </w:tc>
        <w:tc>
          <w:tcPr>
            <w:tcW w:w="2690"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202</w:t>
            </w:r>
            <w:r>
              <w:rPr>
                <w:rFonts w:hint="eastAsia" w:ascii="宋体" w:hAnsi="宋体" w:cs="宋体"/>
                <w:szCs w:val="21"/>
                <w:lang w:val="en-US" w:eastAsia="zh-CN"/>
              </w:rPr>
              <w:t>2</w:t>
            </w:r>
            <w:r>
              <w:rPr>
                <w:rFonts w:hint="eastAsia" w:ascii="宋体" w:hAnsi="宋体" w:eastAsia="宋体" w:cs="宋体"/>
                <w:szCs w:val="21"/>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一、流动资产</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二、固定资产（原值/净值）</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三、经营资金</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1、固定资金</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2、流动资金</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四、货币资金</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五、应收及预付款</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六、预收及应付款</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七、实际完成设计产值</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八、实现利润总额</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九、反映企业管理水平的指标</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1、资金负债率</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2、流动比率</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3、速动比率</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4、净资产利润率</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 …</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216"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备注</w:t>
            </w:r>
          </w:p>
        </w:tc>
        <w:tc>
          <w:tcPr>
            <w:tcW w:w="1949" w:type="dxa"/>
          </w:tcPr>
          <w:p>
            <w:pPr>
              <w:kinsoku/>
              <w:wordWrap/>
              <w:overflowPunct/>
              <w:topLinePunct/>
              <w:autoSpaceDE/>
              <w:autoSpaceDN/>
              <w:bidi w:val="0"/>
              <w:spacing w:line="360" w:lineRule="auto"/>
              <w:rPr>
                <w:rFonts w:hint="eastAsia" w:ascii="宋体" w:hAnsi="宋体" w:eastAsia="宋体" w:cs="宋体"/>
                <w:szCs w:val="21"/>
              </w:rPr>
            </w:pPr>
          </w:p>
        </w:tc>
        <w:tc>
          <w:tcPr>
            <w:tcW w:w="2690" w:type="dxa"/>
          </w:tcPr>
          <w:p>
            <w:pPr>
              <w:kinsoku/>
              <w:wordWrap/>
              <w:overflowPunct/>
              <w:topLinePunct/>
              <w:autoSpaceDE/>
              <w:autoSpaceDN/>
              <w:bidi w:val="0"/>
              <w:spacing w:line="360" w:lineRule="auto"/>
              <w:rPr>
                <w:rFonts w:hint="eastAsia" w:ascii="宋体" w:hAnsi="宋体" w:eastAsia="宋体" w:cs="宋体"/>
                <w:szCs w:val="21"/>
              </w:rPr>
            </w:pPr>
          </w:p>
        </w:tc>
      </w:tr>
    </w:tbl>
    <w:p>
      <w:pPr>
        <w:keepNext w:val="0"/>
        <w:keepLines w:val="0"/>
        <w:pageBreakBefore w:val="0"/>
        <w:widowControl w:val="0"/>
        <w:tabs>
          <w:tab w:val="left" w:pos="2160"/>
          <w:tab w:val="center" w:pos="4819"/>
        </w:tabs>
        <w:kinsoku/>
        <w:wordWrap/>
        <w:overflowPunct/>
        <w:topLinePunct/>
        <w:autoSpaceDE/>
        <w:autoSpaceDN/>
        <w:bidi w:val="0"/>
        <w:adjustRightInd/>
        <w:snapToGrid/>
        <w:spacing w:before="157" w:beforeLines="50" w:line="360" w:lineRule="auto"/>
        <w:textAlignment w:val="auto"/>
        <w:rPr>
          <w:rFonts w:hint="eastAsia" w:ascii="宋体" w:hAnsi="宋体" w:eastAsia="宋体" w:cs="宋体"/>
          <w:bCs/>
          <w:kern w:val="0"/>
          <w:szCs w:val="21"/>
          <w:lang w:val="zh-CN"/>
        </w:rPr>
      </w:pPr>
      <w:r>
        <w:rPr>
          <w:rFonts w:hint="eastAsia" w:ascii="宋体" w:hAnsi="宋体" w:eastAsia="宋体" w:cs="宋体"/>
          <w:spacing w:val="10"/>
          <w:kern w:val="0"/>
          <w:szCs w:val="21"/>
        </w:rPr>
        <w:t>注：提供2022年财务审计报告或银行出具的资信证明，如有供应商成立时限不足要求时限的，由供应商提供其基本开户银行出具的资信证明。</w:t>
      </w:r>
    </w:p>
    <w:p>
      <w:pPr>
        <w:tabs>
          <w:tab w:val="left" w:pos="2160"/>
          <w:tab w:val="center" w:pos="4819"/>
        </w:tabs>
        <w:kinsoku/>
        <w:wordWrap/>
        <w:overflowPunct/>
        <w:topLinePunct/>
        <w:autoSpaceDE/>
        <w:autoSpaceDN/>
        <w:bidi w:val="0"/>
        <w:spacing w:line="360" w:lineRule="auto"/>
        <w:outlineLvl w:val="4"/>
        <w:rPr>
          <w:rFonts w:hint="eastAsia" w:ascii="宋体" w:hAnsi="宋体" w:eastAsia="宋体" w:cs="宋体"/>
          <w:b/>
          <w:bCs/>
          <w:kern w:val="0"/>
          <w:szCs w:val="21"/>
        </w:rPr>
      </w:pPr>
      <w:r>
        <w:rPr>
          <w:rFonts w:hint="eastAsia" w:ascii="宋体" w:hAnsi="宋体" w:eastAsia="宋体" w:cs="宋体"/>
          <w:szCs w:val="21"/>
        </w:rPr>
        <w:br w:type="page"/>
      </w:r>
      <w:r>
        <w:rPr>
          <w:rFonts w:hint="eastAsia" w:ascii="宋体" w:hAnsi="宋体" w:eastAsia="宋体" w:cs="宋体"/>
          <w:b/>
          <w:bCs/>
          <w:szCs w:val="21"/>
        </w:rPr>
        <w:t>5.2.2</w:t>
      </w:r>
      <w:r>
        <w:rPr>
          <w:rFonts w:hint="eastAsia" w:ascii="宋体" w:hAnsi="宋体" w:eastAsia="宋体" w:cs="宋体"/>
          <w:b/>
          <w:bCs/>
          <w:szCs w:val="21"/>
          <w:lang w:val="zh-CN"/>
        </w:rPr>
        <w:t>投标人类似项目业绩</w:t>
      </w: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170"/>
        <w:gridCol w:w="1640"/>
        <w:gridCol w:w="1357"/>
        <w:gridCol w:w="1498"/>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r>
              <w:rPr>
                <w:rFonts w:hint="eastAsia" w:ascii="宋体" w:hAnsi="宋体" w:eastAsia="宋体" w:cs="宋体"/>
                <w:b/>
                <w:bCs/>
                <w:kern w:val="0"/>
                <w:szCs w:val="21"/>
                <w:lang w:val="zh-CN"/>
              </w:rPr>
              <w:t>序号</w:t>
            </w: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r>
              <w:rPr>
                <w:rFonts w:hint="eastAsia" w:ascii="宋体" w:hAnsi="宋体" w:eastAsia="宋体" w:cs="宋体"/>
                <w:b/>
                <w:bCs/>
                <w:kern w:val="0"/>
                <w:szCs w:val="21"/>
                <w:lang w:val="zh-CN"/>
              </w:rPr>
              <w:t>项目名称</w:t>
            </w: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r>
              <w:rPr>
                <w:rFonts w:hint="eastAsia" w:ascii="宋体" w:hAnsi="宋体" w:eastAsia="宋体" w:cs="宋体"/>
                <w:b/>
                <w:bCs/>
                <w:kern w:val="0"/>
                <w:szCs w:val="21"/>
                <w:lang w:val="zh-CN"/>
              </w:rPr>
              <w:t>发包单位</w:t>
            </w: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r>
              <w:rPr>
                <w:rFonts w:hint="eastAsia" w:ascii="宋体" w:hAnsi="宋体" w:eastAsia="宋体" w:cs="宋体"/>
                <w:b/>
                <w:bCs/>
                <w:kern w:val="0"/>
                <w:szCs w:val="21"/>
                <w:lang w:val="zh-CN"/>
              </w:rPr>
              <w:t>合同签订时间</w:t>
            </w: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r>
              <w:rPr>
                <w:rFonts w:hint="eastAsia" w:ascii="宋体" w:hAnsi="宋体" w:eastAsia="宋体" w:cs="宋体"/>
                <w:b/>
                <w:bCs/>
                <w:kern w:val="0"/>
                <w:szCs w:val="21"/>
                <w:lang w:val="zh-CN"/>
              </w:rPr>
              <w:t>合同金额（万元）</w:t>
            </w: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r>
              <w:rPr>
                <w:rFonts w:hint="eastAsia" w:ascii="宋体" w:hAnsi="宋体" w:eastAsia="宋体" w:cs="宋体"/>
                <w:b/>
                <w:bCs/>
                <w:kern w:val="0"/>
                <w:szCs w:val="21"/>
                <w:lang w:val="zh-CN"/>
              </w:rPr>
              <w:t>联系人及联系方式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5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2265"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70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412"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560"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c>
          <w:tcPr>
            <w:tcW w:w="1839" w:type="dxa"/>
            <w:vAlign w:val="center"/>
          </w:tcPr>
          <w:p>
            <w:pPr>
              <w:tabs>
                <w:tab w:val="left" w:pos="2160"/>
                <w:tab w:val="center" w:pos="4819"/>
              </w:tabs>
              <w:kinsoku/>
              <w:wordWrap/>
              <w:overflowPunct/>
              <w:topLinePunct/>
              <w:autoSpaceDE/>
              <w:autoSpaceDN/>
              <w:bidi w:val="0"/>
              <w:spacing w:line="240" w:lineRule="exact"/>
              <w:ind w:left="-105" w:leftChars="-50" w:right="-105" w:rightChars="-50"/>
              <w:jc w:val="center"/>
              <w:rPr>
                <w:rFonts w:hint="eastAsia" w:ascii="宋体" w:hAnsi="宋体" w:eastAsia="宋体" w:cs="宋体"/>
                <w:b/>
                <w:bCs/>
                <w:kern w:val="0"/>
                <w:szCs w:val="21"/>
                <w:lang w:val="zh-CN"/>
              </w:rPr>
            </w:pPr>
          </w:p>
        </w:tc>
      </w:tr>
    </w:tbl>
    <w:p>
      <w:pPr>
        <w:tabs>
          <w:tab w:val="left" w:pos="1638"/>
        </w:tabs>
        <w:kinsoku/>
        <w:wordWrap/>
        <w:overflowPunct/>
        <w:topLinePunct/>
        <w:autoSpaceDE/>
        <w:autoSpaceDN/>
        <w:bidi w:val="0"/>
        <w:spacing w:line="360" w:lineRule="auto"/>
        <w:rPr>
          <w:rFonts w:hint="eastAsia" w:ascii="宋体" w:hAnsi="宋体" w:eastAsia="宋体" w:cs="宋体"/>
          <w:szCs w:val="21"/>
        </w:rPr>
      </w:pPr>
    </w:p>
    <w:p>
      <w:pPr>
        <w:tabs>
          <w:tab w:val="left" w:pos="1638"/>
        </w:tabs>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注：1.业绩证明文件【合同、中标通知书、中标公告】复印件附表后。</w:t>
      </w:r>
    </w:p>
    <w:p>
      <w:pPr>
        <w:kinsoku/>
        <w:wordWrap/>
        <w:overflowPunct/>
        <w:topLinePunct/>
        <w:autoSpaceDE/>
        <w:autoSpaceDN/>
        <w:bidi w:val="0"/>
        <w:spacing w:line="500" w:lineRule="exact"/>
        <w:ind w:firstLine="210" w:firstLineChars="100"/>
        <w:outlineLvl w:val="4"/>
        <w:rPr>
          <w:rFonts w:hint="eastAsia" w:ascii="宋体" w:hAnsi="宋体" w:eastAsia="宋体" w:cs="宋体"/>
          <w:b/>
          <w:bCs/>
          <w:szCs w:val="21"/>
        </w:rPr>
      </w:pPr>
      <w:r>
        <w:rPr>
          <w:rFonts w:hint="eastAsia" w:ascii="宋体" w:hAnsi="宋体" w:eastAsia="宋体" w:cs="宋体"/>
          <w:szCs w:val="21"/>
        </w:rPr>
        <w:br w:type="page"/>
      </w:r>
      <w:r>
        <w:rPr>
          <w:rFonts w:hint="eastAsia" w:ascii="宋体" w:hAnsi="宋体" w:eastAsia="宋体" w:cs="宋体"/>
          <w:b/>
          <w:bCs/>
          <w:szCs w:val="21"/>
        </w:rPr>
        <w:t>5.2.3技术队伍</w:t>
      </w:r>
    </w:p>
    <w:p>
      <w:pPr>
        <w:pStyle w:val="85"/>
        <w:kinsoku/>
        <w:wordWrap/>
        <w:overflowPunct/>
        <w:topLinePunct/>
        <w:autoSpaceDE/>
        <w:autoSpaceDN/>
        <w:bidi w:val="0"/>
        <w:spacing w:line="500" w:lineRule="exact"/>
        <w:ind w:left="0" w:firstLine="0"/>
        <w:rPr>
          <w:rFonts w:hint="eastAsia" w:ascii="宋体" w:hAnsi="宋体" w:eastAsia="宋体" w:cs="宋体"/>
          <w:sz w:val="24"/>
        </w:rPr>
      </w:pPr>
      <w:r>
        <w:rPr>
          <w:rFonts w:hint="eastAsia" w:ascii="宋体" w:hAnsi="宋体" w:eastAsia="宋体" w:cs="宋体"/>
          <w:szCs w:val="21"/>
        </w:rPr>
        <w:t>1）、投标人具有完善的系统服务保障体系，郑州市设有分公司或者售后服务机构，须出示相关证书、协议。如无此项内容，请在写“无”。</w:t>
      </w:r>
    </w:p>
    <w:p>
      <w:pPr>
        <w:pStyle w:val="85"/>
        <w:kinsoku/>
        <w:wordWrap/>
        <w:overflowPunct/>
        <w:topLinePunct/>
        <w:autoSpaceDE/>
        <w:autoSpaceDN/>
        <w:bidi w:val="0"/>
        <w:spacing w:line="500" w:lineRule="exact"/>
        <w:ind w:left="0" w:firstLine="0"/>
        <w:rPr>
          <w:rFonts w:hint="eastAsia" w:ascii="宋体" w:hAnsi="宋体" w:eastAsia="宋体" w:cs="宋体"/>
          <w:szCs w:val="21"/>
        </w:rPr>
      </w:pPr>
      <w:r>
        <w:rPr>
          <w:rFonts w:hint="eastAsia" w:ascii="宋体" w:hAnsi="宋体" w:eastAsia="宋体" w:cs="宋体"/>
          <w:sz w:val="24"/>
        </w:rPr>
        <w:br w:type="page"/>
      </w:r>
      <w:r>
        <w:rPr>
          <w:rFonts w:hint="eastAsia" w:ascii="宋体" w:hAnsi="宋体" w:eastAsia="宋体" w:cs="宋体"/>
          <w:szCs w:val="21"/>
        </w:rPr>
        <w:t>2）、投标人所配备的技术团队</w:t>
      </w: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292"/>
        <w:gridCol w:w="2728"/>
        <w:gridCol w:w="1872"/>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619"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序号</w:t>
            </w:r>
          </w:p>
        </w:tc>
        <w:tc>
          <w:tcPr>
            <w:tcW w:w="2434"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在团队中的职务</w:t>
            </w:r>
          </w:p>
        </w:tc>
        <w:tc>
          <w:tcPr>
            <w:tcW w:w="2900"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姓名</w:t>
            </w:r>
          </w:p>
        </w:tc>
        <w:tc>
          <w:tcPr>
            <w:tcW w:w="1985"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联系方式</w:t>
            </w:r>
          </w:p>
        </w:tc>
        <w:tc>
          <w:tcPr>
            <w:tcW w:w="1982"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相关资质证书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619"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1</w:t>
            </w:r>
          </w:p>
        </w:tc>
        <w:tc>
          <w:tcPr>
            <w:tcW w:w="2434"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项目经理</w:t>
            </w:r>
          </w:p>
        </w:tc>
        <w:tc>
          <w:tcPr>
            <w:tcW w:w="2900" w:type="dxa"/>
            <w:vAlign w:val="center"/>
          </w:tcPr>
          <w:p>
            <w:pPr>
              <w:kinsoku/>
              <w:wordWrap/>
              <w:overflowPunct/>
              <w:topLinePunct/>
              <w:autoSpaceDE/>
              <w:autoSpaceDN/>
              <w:bidi w:val="0"/>
              <w:jc w:val="center"/>
              <w:rPr>
                <w:rFonts w:hint="eastAsia" w:ascii="宋体" w:hAnsi="宋体" w:eastAsia="宋体" w:cs="宋体"/>
                <w:szCs w:val="21"/>
              </w:rPr>
            </w:pPr>
          </w:p>
        </w:tc>
        <w:tc>
          <w:tcPr>
            <w:tcW w:w="1985" w:type="dxa"/>
            <w:vAlign w:val="center"/>
          </w:tcPr>
          <w:p>
            <w:pPr>
              <w:kinsoku/>
              <w:wordWrap/>
              <w:overflowPunct/>
              <w:topLinePunct/>
              <w:autoSpaceDE/>
              <w:autoSpaceDN/>
              <w:bidi w:val="0"/>
              <w:jc w:val="center"/>
              <w:rPr>
                <w:rFonts w:hint="eastAsia" w:ascii="宋体" w:hAnsi="宋体" w:eastAsia="宋体" w:cs="宋体"/>
                <w:szCs w:val="21"/>
              </w:rPr>
            </w:pPr>
          </w:p>
        </w:tc>
        <w:tc>
          <w:tcPr>
            <w:tcW w:w="1982" w:type="dxa"/>
            <w:vAlign w:val="center"/>
          </w:tcPr>
          <w:p>
            <w:pPr>
              <w:kinsoku/>
              <w:wordWrap/>
              <w:overflowPunct/>
              <w:topLinePunct/>
              <w:autoSpaceDE/>
              <w:autoSpaceDN/>
              <w:bidi w:val="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619"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2</w:t>
            </w:r>
          </w:p>
        </w:tc>
        <w:tc>
          <w:tcPr>
            <w:tcW w:w="2434"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项目实施人员</w:t>
            </w:r>
          </w:p>
        </w:tc>
        <w:tc>
          <w:tcPr>
            <w:tcW w:w="2900" w:type="dxa"/>
            <w:vAlign w:val="center"/>
          </w:tcPr>
          <w:p>
            <w:pPr>
              <w:kinsoku/>
              <w:wordWrap/>
              <w:overflowPunct/>
              <w:topLinePunct/>
              <w:autoSpaceDE/>
              <w:autoSpaceDN/>
              <w:bidi w:val="0"/>
              <w:jc w:val="center"/>
              <w:rPr>
                <w:rFonts w:hint="eastAsia" w:ascii="宋体" w:hAnsi="宋体" w:eastAsia="宋体" w:cs="宋体"/>
                <w:szCs w:val="21"/>
              </w:rPr>
            </w:pPr>
          </w:p>
        </w:tc>
        <w:tc>
          <w:tcPr>
            <w:tcW w:w="1985" w:type="dxa"/>
            <w:vAlign w:val="center"/>
          </w:tcPr>
          <w:p>
            <w:pPr>
              <w:kinsoku/>
              <w:wordWrap/>
              <w:overflowPunct/>
              <w:topLinePunct/>
              <w:autoSpaceDE/>
              <w:autoSpaceDN/>
              <w:bidi w:val="0"/>
              <w:jc w:val="center"/>
              <w:rPr>
                <w:rFonts w:hint="eastAsia" w:ascii="宋体" w:hAnsi="宋体" w:eastAsia="宋体" w:cs="宋体"/>
                <w:szCs w:val="21"/>
              </w:rPr>
            </w:pPr>
          </w:p>
        </w:tc>
        <w:tc>
          <w:tcPr>
            <w:tcW w:w="1982" w:type="dxa"/>
            <w:vAlign w:val="center"/>
          </w:tcPr>
          <w:p>
            <w:pPr>
              <w:kinsoku/>
              <w:wordWrap/>
              <w:overflowPunct/>
              <w:topLinePunct/>
              <w:autoSpaceDE/>
              <w:autoSpaceDN/>
              <w:bidi w:val="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619"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3</w:t>
            </w:r>
          </w:p>
        </w:tc>
        <w:tc>
          <w:tcPr>
            <w:tcW w:w="2434"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项目管理与上线支持人员</w:t>
            </w:r>
          </w:p>
        </w:tc>
        <w:tc>
          <w:tcPr>
            <w:tcW w:w="2900" w:type="dxa"/>
            <w:vAlign w:val="center"/>
          </w:tcPr>
          <w:p>
            <w:pPr>
              <w:kinsoku/>
              <w:wordWrap/>
              <w:overflowPunct/>
              <w:topLinePunct/>
              <w:autoSpaceDE/>
              <w:autoSpaceDN/>
              <w:bidi w:val="0"/>
              <w:jc w:val="center"/>
              <w:rPr>
                <w:rFonts w:hint="eastAsia" w:ascii="宋体" w:hAnsi="宋体" w:eastAsia="宋体" w:cs="宋体"/>
                <w:szCs w:val="21"/>
              </w:rPr>
            </w:pPr>
          </w:p>
        </w:tc>
        <w:tc>
          <w:tcPr>
            <w:tcW w:w="1985" w:type="dxa"/>
            <w:vAlign w:val="center"/>
          </w:tcPr>
          <w:p>
            <w:pPr>
              <w:kinsoku/>
              <w:wordWrap/>
              <w:overflowPunct/>
              <w:topLinePunct/>
              <w:autoSpaceDE/>
              <w:autoSpaceDN/>
              <w:bidi w:val="0"/>
              <w:jc w:val="center"/>
              <w:rPr>
                <w:rFonts w:hint="eastAsia" w:ascii="宋体" w:hAnsi="宋体" w:eastAsia="宋体" w:cs="宋体"/>
                <w:szCs w:val="21"/>
              </w:rPr>
            </w:pPr>
          </w:p>
        </w:tc>
        <w:tc>
          <w:tcPr>
            <w:tcW w:w="1982" w:type="dxa"/>
            <w:vAlign w:val="center"/>
          </w:tcPr>
          <w:p>
            <w:pPr>
              <w:kinsoku/>
              <w:wordWrap/>
              <w:overflowPunct/>
              <w:topLinePunct/>
              <w:autoSpaceDE/>
              <w:autoSpaceDN/>
              <w:bidi w:val="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19"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4</w:t>
            </w:r>
          </w:p>
        </w:tc>
        <w:tc>
          <w:tcPr>
            <w:tcW w:w="2434"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系统运维人员</w:t>
            </w:r>
          </w:p>
        </w:tc>
        <w:tc>
          <w:tcPr>
            <w:tcW w:w="2900" w:type="dxa"/>
            <w:vAlign w:val="center"/>
          </w:tcPr>
          <w:p>
            <w:pPr>
              <w:kinsoku/>
              <w:wordWrap/>
              <w:overflowPunct/>
              <w:topLinePunct/>
              <w:autoSpaceDE/>
              <w:autoSpaceDN/>
              <w:bidi w:val="0"/>
              <w:jc w:val="center"/>
              <w:rPr>
                <w:rFonts w:hint="eastAsia" w:ascii="宋体" w:hAnsi="宋体" w:eastAsia="宋体" w:cs="宋体"/>
                <w:szCs w:val="21"/>
              </w:rPr>
            </w:pPr>
          </w:p>
        </w:tc>
        <w:tc>
          <w:tcPr>
            <w:tcW w:w="1985" w:type="dxa"/>
            <w:vAlign w:val="center"/>
          </w:tcPr>
          <w:p>
            <w:pPr>
              <w:kinsoku/>
              <w:wordWrap/>
              <w:overflowPunct/>
              <w:topLinePunct/>
              <w:autoSpaceDE/>
              <w:autoSpaceDN/>
              <w:bidi w:val="0"/>
              <w:jc w:val="center"/>
              <w:rPr>
                <w:rFonts w:hint="eastAsia" w:ascii="宋体" w:hAnsi="宋体" w:eastAsia="宋体" w:cs="宋体"/>
                <w:szCs w:val="21"/>
              </w:rPr>
            </w:pPr>
          </w:p>
        </w:tc>
        <w:tc>
          <w:tcPr>
            <w:tcW w:w="1982" w:type="dxa"/>
            <w:vAlign w:val="center"/>
          </w:tcPr>
          <w:p>
            <w:pPr>
              <w:kinsoku/>
              <w:wordWrap/>
              <w:overflowPunct/>
              <w:topLinePunct/>
              <w:autoSpaceDE/>
              <w:autoSpaceDN/>
              <w:bidi w:val="0"/>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19"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w:t>
            </w:r>
          </w:p>
        </w:tc>
        <w:tc>
          <w:tcPr>
            <w:tcW w:w="2434" w:type="dxa"/>
            <w:vAlign w:val="center"/>
          </w:tcPr>
          <w:p>
            <w:pPr>
              <w:kinsoku/>
              <w:wordWrap/>
              <w:overflowPunct/>
              <w:topLinePunct/>
              <w:autoSpaceDE/>
              <w:autoSpaceDN/>
              <w:bidi w:val="0"/>
              <w:jc w:val="center"/>
              <w:rPr>
                <w:rFonts w:hint="eastAsia" w:ascii="宋体" w:hAnsi="宋体" w:eastAsia="宋体" w:cs="宋体"/>
                <w:szCs w:val="21"/>
              </w:rPr>
            </w:pPr>
            <w:r>
              <w:rPr>
                <w:rFonts w:hint="eastAsia" w:ascii="宋体" w:hAnsi="宋体" w:eastAsia="宋体" w:cs="宋体"/>
                <w:szCs w:val="21"/>
              </w:rPr>
              <w:t>...</w:t>
            </w:r>
          </w:p>
        </w:tc>
        <w:tc>
          <w:tcPr>
            <w:tcW w:w="2900" w:type="dxa"/>
            <w:vAlign w:val="center"/>
          </w:tcPr>
          <w:p>
            <w:pPr>
              <w:kinsoku/>
              <w:wordWrap/>
              <w:overflowPunct/>
              <w:topLinePunct/>
              <w:autoSpaceDE/>
              <w:autoSpaceDN/>
              <w:bidi w:val="0"/>
              <w:jc w:val="center"/>
              <w:rPr>
                <w:rFonts w:hint="eastAsia" w:ascii="宋体" w:hAnsi="宋体" w:eastAsia="宋体" w:cs="宋体"/>
                <w:szCs w:val="21"/>
              </w:rPr>
            </w:pPr>
          </w:p>
        </w:tc>
        <w:tc>
          <w:tcPr>
            <w:tcW w:w="1985" w:type="dxa"/>
            <w:vAlign w:val="center"/>
          </w:tcPr>
          <w:p>
            <w:pPr>
              <w:kinsoku/>
              <w:wordWrap/>
              <w:overflowPunct/>
              <w:topLinePunct/>
              <w:autoSpaceDE/>
              <w:autoSpaceDN/>
              <w:bidi w:val="0"/>
              <w:jc w:val="center"/>
              <w:rPr>
                <w:rFonts w:hint="eastAsia" w:ascii="宋体" w:hAnsi="宋体" w:eastAsia="宋体" w:cs="宋体"/>
                <w:szCs w:val="21"/>
              </w:rPr>
            </w:pPr>
          </w:p>
        </w:tc>
        <w:tc>
          <w:tcPr>
            <w:tcW w:w="1982" w:type="dxa"/>
            <w:vAlign w:val="center"/>
          </w:tcPr>
          <w:p>
            <w:pPr>
              <w:kinsoku/>
              <w:wordWrap/>
              <w:overflowPunct/>
              <w:topLinePunct/>
              <w:autoSpaceDE/>
              <w:autoSpaceDN/>
              <w:bidi w:val="0"/>
              <w:jc w:val="center"/>
              <w:rPr>
                <w:rFonts w:hint="eastAsia" w:ascii="宋体" w:hAnsi="宋体" w:eastAsia="宋体" w:cs="宋体"/>
                <w:szCs w:val="21"/>
              </w:rPr>
            </w:pPr>
          </w:p>
        </w:tc>
      </w:tr>
    </w:tbl>
    <w:p>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宋体" w:hAnsi="宋体" w:eastAsia="宋体" w:cs="宋体"/>
          <w:szCs w:val="21"/>
        </w:rPr>
      </w:pPr>
    </w:p>
    <w:p>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宋体" w:hAnsi="宋体" w:eastAsia="宋体" w:cs="宋体"/>
          <w:szCs w:val="21"/>
        </w:rPr>
      </w:pPr>
      <w:r>
        <w:rPr>
          <w:rFonts w:hint="eastAsia" w:ascii="宋体" w:hAnsi="宋体" w:eastAsia="宋体" w:cs="宋体"/>
          <w:kern w:val="0"/>
          <w:szCs w:val="21"/>
        </w:rPr>
        <w:t>2.1投标人需提供承诺书，承诺</w:t>
      </w:r>
      <w:r>
        <w:rPr>
          <w:rFonts w:hint="eastAsia" w:ascii="宋体" w:hAnsi="宋体" w:eastAsia="宋体" w:cs="宋体"/>
          <w:szCs w:val="21"/>
        </w:rPr>
        <w:t>为河南省人民医院</w:t>
      </w:r>
      <w:r>
        <w:rPr>
          <w:rFonts w:hint="eastAsia" w:ascii="宋体" w:hAnsi="宋体" w:cs="宋体"/>
          <w:szCs w:val="21"/>
          <w:lang w:eastAsia="zh-CN"/>
        </w:rPr>
        <w:t>2024-2027年度全院服务器及存储设备维保服务项目</w:t>
      </w:r>
      <w:r>
        <w:rPr>
          <w:rFonts w:hint="eastAsia" w:ascii="宋体" w:hAnsi="宋体" w:eastAsia="宋体" w:cs="宋体"/>
          <w:szCs w:val="21"/>
        </w:rPr>
        <w:t>提供5*8小时驻场服务及7*24小时应急响应服务。（格式自拟）</w:t>
      </w:r>
    </w:p>
    <w:p>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宋体" w:hAnsi="宋体" w:eastAsia="宋体" w:cs="宋体"/>
          <w:kern w:val="0"/>
          <w:szCs w:val="21"/>
        </w:rPr>
      </w:pPr>
      <w:r>
        <w:rPr>
          <w:rFonts w:hint="eastAsia" w:ascii="宋体" w:hAnsi="宋体" w:eastAsia="宋体" w:cs="宋体"/>
          <w:kern w:val="0"/>
          <w:szCs w:val="21"/>
        </w:rPr>
        <w:br w:type="page"/>
      </w:r>
      <w:r>
        <w:rPr>
          <w:rFonts w:hint="eastAsia" w:ascii="宋体" w:hAnsi="宋体" w:eastAsia="宋体" w:cs="宋体"/>
          <w:kern w:val="0"/>
          <w:szCs w:val="21"/>
        </w:rPr>
        <w:t>拟派项目经理</w:t>
      </w: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055"/>
        <w:gridCol w:w="1157"/>
        <w:gridCol w:w="1300"/>
        <w:gridCol w:w="1877"/>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姓  名</w:t>
            </w:r>
          </w:p>
        </w:tc>
        <w:tc>
          <w:tcPr>
            <w:tcW w:w="1055"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15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年  龄</w:t>
            </w:r>
          </w:p>
        </w:tc>
        <w:tc>
          <w:tcPr>
            <w:tcW w:w="1300"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学历</w:t>
            </w: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职  称</w:t>
            </w:r>
          </w:p>
        </w:tc>
        <w:tc>
          <w:tcPr>
            <w:tcW w:w="1055"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15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职  务</w:t>
            </w:r>
          </w:p>
        </w:tc>
        <w:tc>
          <w:tcPr>
            <w:tcW w:w="1300"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拟在本项目任职</w:t>
            </w: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毕业学校</w:t>
            </w:r>
          </w:p>
        </w:tc>
        <w:tc>
          <w:tcPr>
            <w:tcW w:w="8241" w:type="dxa"/>
            <w:gridSpan w:val="5"/>
            <w:vAlign w:val="center"/>
          </w:tcPr>
          <w:p>
            <w:pPr>
              <w:kinsoku/>
              <w:wordWrap/>
              <w:overflowPunct/>
              <w:topLinePunct/>
              <w:autoSpaceDE/>
              <w:autoSpaceDN/>
              <w:bidi w:val="0"/>
              <w:spacing w:line="360" w:lineRule="auto"/>
              <w:ind w:firstLine="840" w:firstLineChars="400"/>
              <w:rPr>
                <w:rFonts w:hint="eastAsia" w:ascii="宋体" w:hAnsi="宋体" w:eastAsia="宋体" w:cs="宋体"/>
                <w:szCs w:val="21"/>
              </w:rPr>
            </w:pPr>
            <w:r>
              <w:rPr>
                <w:rFonts w:hint="eastAsia" w:ascii="宋体" w:hAnsi="宋体" w:eastAsia="宋体" w:cs="宋体"/>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354" w:type="dxa"/>
            <w:gridSpan w:val="6"/>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时  间</w:t>
            </w:r>
          </w:p>
        </w:tc>
        <w:tc>
          <w:tcPr>
            <w:tcW w:w="3512"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参加过的类似项目名称</w:t>
            </w: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工程概况说明</w:t>
            </w: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r>
              <w:rPr>
                <w:rFonts w:hint="eastAsia" w:ascii="宋体" w:hAnsi="宋体" w:eastAsia="宋体" w:cs="宋体"/>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3512"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3512"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3512"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3512"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3512"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3512"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3512"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3512"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3512"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13"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3512" w:type="dxa"/>
            <w:gridSpan w:val="3"/>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1877"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c>
          <w:tcPr>
            <w:tcW w:w="2852" w:type="dxa"/>
            <w:vAlign w:val="center"/>
          </w:tcPr>
          <w:p>
            <w:pPr>
              <w:kinsoku/>
              <w:wordWrap/>
              <w:overflowPunct/>
              <w:topLinePunct/>
              <w:autoSpaceDE/>
              <w:autoSpaceDN/>
              <w:bidi w:val="0"/>
              <w:spacing w:line="360" w:lineRule="auto"/>
              <w:jc w:val="center"/>
              <w:rPr>
                <w:rFonts w:hint="eastAsia" w:ascii="宋体" w:hAnsi="宋体" w:eastAsia="宋体" w:cs="宋体"/>
                <w:szCs w:val="21"/>
              </w:rPr>
            </w:pPr>
          </w:p>
        </w:tc>
      </w:tr>
    </w:tbl>
    <w:p>
      <w:pPr>
        <w:pStyle w:val="84"/>
        <w:kinsoku/>
        <w:wordWrap/>
        <w:overflowPunct/>
        <w:topLinePunct/>
        <w:autoSpaceDE/>
        <w:autoSpaceDN/>
        <w:bidi w:val="0"/>
        <w:ind w:firstLine="240"/>
        <w:rPr>
          <w:rFonts w:hint="eastAsia" w:ascii="宋体" w:hAnsi="宋体" w:eastAsia="宋体" w:cs="宋体"/>
          <w:sz w:val="21"/>
          <w:szCs w:val="21"/>
        </w:rPr>
      </w:pPr>
    </w:p>
    <w:p>
      <w:pPr>
        <w:kinsoku/>
        <w:wordWrap/>
        <w:overflowPunct/>
        <w:topLinePunct/>
        <w:autoSpaceDE/>
        <w:autoSpaceDN/>
        <w:bidi w:val="0"/>
        <w:spacing w:line="360" w:lineRule="auto"/>
        <w:rPr>
          <w:rFonts w:hint="eastAsia" w:ascii="宋体" w:hAnsi="宋体" w:eastAsia="宋体" w:cs="宋体"/>
          <w:b/>
          <w:szCs w:val="21"/>
        </w:rPr>
      </w:pPr>
      <w:r>
        <w:rPr>
          <w:rFonts w:hint="eastAsia" w:ascii="宋体" w:hAnsi="宋体" w:eastAsia="宋体" w:cs="宋体"/>
          <w:b/>
          <w:szCs w:val="21"/>
        </w:rPr>
        <w:t>注：需在投标文件中附项目经理身份证复印件、资质证书复印件、社保证明、近3年来类似项目工作经历（如有）等证明材料。</w:t>
      </w:r>
    </w:p>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b/>
          <w:szCs w:val="21"/>
        </w:rPr>
        <w:br w:type="page"/>
      </w:r>
      <w:r>
        <w:rPr>
          <w:rFonts w:hint="eastAsia" w:ascii="宋体" w:hAnsi="宋体" w:eastAsia="宋体" w:cs="宋体"/>
          <w:bCs/>
          <w:szCs w:val="21"/>
        </w:rPr>
        <w:t>其他拟派人员</w:t>
      </w:r>
    </w:p>
    <w:tbl>
      <w:tblPr>
        <w:tblStyle w:val="8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3694"/>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5" w:type="dxa"/>
            <w:gridSpan w:val="3"/>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57" w:type="dxa"/>
            <w:gridSpan w:val="2"/>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 xml:space="preserve">姓    名  </w:t>
            </w:r>
          </w:p>
        </w:tc>
        <w:tc>
          <w:tcPr>
            <w:tcW w:w="4758"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年    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57" w:type="dxa"/>
            <w:gridSpan w:val="2"/>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性    别</w:t>
            </w:r>
          </w:p>
        </w:tc>
        <w:tc>
          <w:tcPr>
            <w:tcW w:w="4758"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毕业学校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57" w:type="dxa"/>
            <w:gridSpan w:val="2"/>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 xml:space="preserve">学历和专业   </w:t>
            </w:r>
          </w:p>
        </w:tc>
        <w:tc>
          <w:tcPr>
            <w:tcW w:w="4758"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毕业时间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57" w:type="dxa"/>
            <w:gridSpan w:val="2"/>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专业职称</w:t>
            </w:r>
          </w:p>
        </w:tc>
        <w:tc>
          <w:tcPr>
            <w:tcW w:w="4758" w:type="dxa"/>
            <w:vAlign w:val="center"/>
          </w:tcPr>
          <w:p>
            <w:pPr>
              <w:kinsoku/>
              <w:wordWrap/>
              <w:overflowPunct/>
              <w:topLinePunct/>
              <w:autoSpaceDE/>
              <w:autoSpaceDN/>
              <w:bidi w:val="0"/>
              <w:spacing w:line="360" w:lineRule="auto"/>
              <w:rPr>
                <w:rFonts w:hint="eastAsia" w:ascii="宋体" w:hAnsi="宋体" w:eastAsia="宋体" w:cs="宋体"/>
                <w:szCs w:val="21"/>
              </w:rPr>
            </w:pPr>
            <w:r>
              <w:rPr>
                <w:rFonts w:hint="eastAsia" w:ascii="宋体" w:hAnsi="宋体" w:eastAsia="宋体" w:cs="宋体"/>
                <w:szCs w:val="21"/>
              </w:rPr>
              <w:t>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2" w:hRule="atLeast"/>
          <w:jc w:val="center"/>
        </w:trPr>
        <w:tc>
          <w:tcPr>
            <w:tcW w:w="996" w:type="dxa"/>
            <w:vAlign w:val="center"/>
          </w:tcPr>
          <w:p>
            <w:pPr>
              <w:kinsoku/>
              <w:wordWrap/>
              <w:overflowPunct/>
              <w:topLinePunct/>
              <w:autoSpaceDE/>
              <w:autoSpaceDN/>
              <w:bidi w:val="0"/>
              <w:spacing w:line="360" w:lineRule="auto"/>
              <w:ind w:firstLine="420" w:firstLineChars="200"/>
              <w:rPr>
                <w:rFonts w:hint="eastAsia" w:ascii="宋体" w:hAnsi="宋体" w:eastAsia="宋体" w:cs="宋体"/>
                <w:szCs w:val="21"/>
              </w:rPr>
            </w:pP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主</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要</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工</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作</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业</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绩</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及</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担</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任</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的</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主</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要</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工</w:t>
            </w:r>
          </w:p>
          <w:p>
            <w:pPr>
              <w:kinsoku/>
              <w:wordWrap/>
              <w:overflowPunct/>
              <w:topLinePunct/>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作</w:t>
            </w:r>
          </w:p>
          <w:p>
            <w:pPr>
              <w:kinsoku/>
              <w:wordWrap/>
              <w:overflowPunct/>
              <w:topLinePunct/>
              <w:autoSpaceDE/>
              <w:autoSpaceDN/>
              <w:bidi w:val="0"/>
              <w:spacing w:line="360" w:lineRule="auto"/>
              <w:jc w:val="center"/>
              <w:rPr>
                <w:rFonts w:hint="eastAsia" w:ascii="宋体" w:hAnsi="宋体" w:eastAsia="宋体" w:cs="宋体"/>
                <w:szCs w:val="21"/>
              </w:rPr>
            </w:pPr>
          </w:p>
        </w:tc>
        <w:tc>
          <w:tcPr>
            <w:tcW w:w="8519" w:type="dxa"/>
            <w:gridSpan w:val="2"/>
            <w:vAlign w:val="center"/>
          </w:tcPr>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widowControl/>
              <w:kinsoku/>
              <w:wordWrap/>
              <w:overflowPunct/>
              <w:topLinePunct/>
              <w:autoSpaceDE/>
              <w:autoSpaceDN/>
              <w:bidi w:val="0"/>
              <w:jc w:val="left"/>
              <w:rPr>
                <w:rFonts w:hint="eastAsia" w:ascii="宋体" w:hAnsi="宋体" w:eastAsia="宋体" w:cs="宋体"/>
                <w:szCs w:val="21"/>
              </w:rPr>
            </w:pPr>
          </w:p>
          <w:p>
            <w:pPr>
              <w:kinsoku/>
              <w:wordWrap/>
              <w:overflowPunct/>
              <w:topLinePunct/>
              <w:autoSpaceDE/>
              <w:autoSpaceDN/>
              <w:bidi w:val="0"/>
              <w:spacing w:line="360" w:lineRule="auto"/>
              <w:jc w:val="center"/>
              <w:rPr>
                <w:rFonts w:hint="eastAsia" w:ascii="宋体" w:hAnsi="宋体" w:eastAsia="宋体" w:cs="宋体"/>
                <w:szCs w:val="21"/>
              </w:rPr>
            </w:pPr>
          </w:p>
        </w:tc>
      </w:tr>
    </w:tbl>
    <w:p>
      <w:pPr>
        <w:keepNext w:val="0"/>
        <w:keepLines w:val="0"/>
        <w:pageBreakBefore w:val="0"/>
        <w:widowControl w:val="0"/>
        <w:kinsoku/>
        <w:wordWrap/>
        <w:overflowPunct/>
        <w:topLinePunct/>
        <w:autoSpaceDE/>
        <w:autoSpaceDN/>
        <w:bidi w:val="0"/>
        <w:adjustRightInd/>
        <w:snapToGrid/>
        <w:spacing w:before="157" w:beforeLines="50" w:line="360" w:lineRule="auto"/>
        <w:textAlignment w:val="auto"/>
        <w:rPr>
          <w:rFonts w:hint="eastAsia" w:ascii="宋体" w:hAnsi="宋体" w:eastAsia="宋体" w:cs="宋体"/>
          <w:b/>
          <w:bCs/>
          <w:szCs w:val="21"/>
        </w:rPr>
      </w:pPr>
      <w:r>
        <w:rPr>
          <w:rFonts w:hint="eastAsia" w:ascii="宋体" w:hAnsi="宋体" w:eastAsia="宋体" w:cs="宋体"/>
          <w:b/>
          <w:bCs/>
          <w:kern w:val="0"/>
          <w:szCs w:val="21"/>
        </w:rPr>
        <w:t>注：需在投标文件中附拟派其他人员身份证复印件、资质证书复印件、社保证明、近3年来类似项目工作经历（如有）等证明材料。</w:t>
      </w:r>
    </w:p>
    <w:p>
      <w:pPr>
        <w:kinsoku/>
        <w:wordWrap/>
        <w:overflowPunct/>
        <w:topLinePunct/>
        <w:autoSpaceDE/>
        <w:autoSpaceDN/>
        <w:bidi w:val="0"/>
        <w:spacing w:line="360" w:lineRule="auto"/>
        <w:rPr>
          <w:rFonts w:hint="eastAsia" w:ascii="宋体" w:hAnsi="宋体" w:eastAsia="宋体" w:cs="宋体"/>
          <w:b/>
          <w:szCs w:val="21"/>
        </w:rPr>
      </w:pPr>
    </w:p>
    <w:p>
      <w:pPr>
        <w:kinsoku/>
        <w:wordWrap/>
        <w:overflowPunct/>
        <w:topLinePunct/>
        <w:autoSpaceDE/>
        <w:autoSpaceDN/>
        <w:bidi w:val="0"/>
        <w:spacing w:line="360" w:lineRule="auto"/>
        <w:rPr>
          <w:rFonts w:hint="eastAsia" w:ascii="宋体" w:hAnsi="宋体" w:eastAsia="宋体" w:cs="宋体"/>
          <w:b/>
          <w:bCs/>
          <w:szCs w:val="21"/>
        </w:rPr>
      </w:pPr>
    </w:p>
    <w:p>
      <w:pPr>
        <w:pStyle w:val="32"/>
        <w:kinsoku/>
        <w:wordWrap/>
        <w:overflowPunct/>
        <w:topLinePunct/>
        <w:autoSpaceDE/>
        <w:autoSpaceDN/>
        <w:bidi w:val="0"/>
        <w:rPr>
          <w:rFonts w:hint="eastAsia" w:ascii="宋体" w:hAnsi="宋体" w:eastAsia="宋体" w:cs="宋体"/>
        </w:rPr>
      </w:pPr>
    </w:p>
    <w:p>
      <w:pPr>
        <w:kinsoku/>
        <w:wordWrap/>
        <w:overflowPunct/>
        <w:topLinePunct/>
        <w:autoSpaceDE/>
        <w:autoSpaceDN/>
        <w:bidi w:val="0"/>
        <w:spacing w:line="500" w:lineRule="exact"/>
        <w:ind w:firstLine="220" w:firstLineChars="100"/>
        <w:outlineLvl w:val="4"/>
        <w:rPr>
          <w:rFonts w:hint="eastAsia" w:ascii="宋体" w:hAnsi="宋体" w:eastAsia="宋体" w:cs="宋体"/>
          <w:szCs w:val="21"/>
        </w:rPr>
      </w:pPr>
      <w:r>
        <w:rPr>
          <w:rFonts w:hint="eastAsia" w:ascii="宋体" w:hAnsi="宋体" w:eastAsia="宋体" w:cs="宋体"/>
          <w:sz w:val="22"/>
          <w:szCs w:val="22"/>
        </w:rPr>
        <w:br w:type="page"/>
      </w:r>
      <w:r>
        <w:rPr>
          <w:rFonts w:hint="eastAsia" w:ascii="宋体" w:hAnsi="宋体" w:eastAsia="宋体" w:cs="宋体"/>
          <w:b/>
          <w:bCs/>
          <w:szCs w:val="21"/>
        </w:rPr>
        <w:t>5.2.4信誉情况</w:t>
      </w:r>
    </w:p>
    <w:p>
      <w:pPr>
        <w:kinsoku/>
        <w:wordWrap/>
        <w:overflowPunct/>
        <w:topLinePunct/>
        <w:autoSpaceDE/>
        <w:autoSpaceDN/>
        <w:bidi w:val="0"/>
        <w:spacing w:line="500" w:lineRule="exact"/>
        <w:ind w:firstLine="630" w:firstLineChars="300"/>
        <w:rPr>
          <w:rFonts w:hint="eastAsia" w:ascii="宋体" w:hAnsi="宋体" w:eastAsia="宋体" w:cs="宋体"/>
          <w:szCs w:val="21"/>
        </w:rPr>
      </w:pPr>
      <w:r>
        <w:rPr>
          <w:rFonts w:hint="eastAsia" w:ascii="宋体" w:hAnsi="宋体" w:eastAsia="宋体" w:cs="宋体"/>
          <w:szCs w:val="21"/>
        </w:rPr>
        <w:t>对列入“信用中国”网站(www.creditchina.gov.cn）的“失信被执行人”、“重大 税收违法案件当事人名单”或“中国政府采购”网站(www.ccgp.gov.cn)的“政府采购严重违法失信行为记录名单”的投标人，将拒绝其参加政府采购活动</w:t>
      </w:r>
    </w:p>
    <w:p>
      <w:pPr>
        <w:pStyle w:val="84"/>
        <w:tabs>
          <w:tab w:val="center" w:pos="4819"/>
          <w:tab w:val="clear" w:pos="560"/>
          <w:tab w:val="clear" w:pos="3920"/>
          <w:tab w:val="clear" w:pos="5600"/>
          <w:tab w:val="clear" w:pos="7700"/>
        </w:tabs>
        <w:kinsoku/>
        <w:wordWrap/>
        <w:overflowPunct/>
        <w:topLinePunct/>
        <w:autoSpaceDE/>
        <w:autoSpaceDN/>
        <w:bidi w:val="0"/>
        <w:ind w:firstLine="0"/>
        <w:rPr>
          <w:rFonts w:hint="eastAsia" w:ascii="宋体" w:hAnsi="宋体" w:eastAsia="宋体" w:cs="宋体"/>
          <w:sz w:val="21"/>
          <w:szCs w:val="21"/>
        </w:rPr>
      </w:pPr>
      <w:r>
        <w:rPr>
          <w:rFonts w:hint="eastAsia" w:ascii="宋体" w:hAnsi="宋体" w:eastAsia="宋体" w:cs="宋体"/>
          <w:sz w:val="21"/>
          <w:szCs w:val="21"/>
          <w:shd w:val="clear" w:color="auto" w:fill="FFFFFF"/>
        </w:rPr>
        <w:t>信用中国查询方式：1）打开浏览器搜索“信用中国”，点击“信用服务”</w:t>
      </w:r>
    </w:p>
    <w:p>
      <w:pPr>
        <w:kinsoku/>
        <w:wordWrap/>
        <w:overflowPunct/>
        <w:topLinePunct/>
        <w:autoSpaceDE/>
        <w:autoSpaceDN/>
        <w:bidi w:val="0"/>
        <w:jc w:val="center"/>
        <w:rPr>
          <w:rFonts w:hint="eastAsia" w:ascii="宋体" w:hAnsi="宋体" w:eastAsia="宋体" w:cs="宋体"/>
        </w:rPr>
      </w:pPr>
      <w:r>
        <w:rPr>
          <w:rFonts w:hint="eastAsia" w:ascii="宋体" w:hAnsi="宋体" w:eastAsia="宋体" w:cs="宋体"/>
        </w:rPr>
        <w:drawing>
          <wp:inline distT="0" distB="0" distL="0" distR="0">
            <wp:extent cx="5591810" cy="1437005"/>
            <wp:effectExtent l="0" t="0" r="8890" b="1079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91810" cy="1437005"/>
                    </a:xfrm>
                    <a:prstGeom prst="rect">
                      <a:avLst/>
                    </a:prstGeom>
                    <a:noFill/>
                    <a:ln>
                      <a:noFill/>
                    </a:ln>
                    <a:effectLst/>
                  </pic:spPr>
                </pic:pic>
              </a:graphicData>
            </a:graphic>
          </wp:inline>
        </w:drawing>
      </w:r>
    </w:p>
    <w:p>
      <w:pPr>
        <w:pStyle w:val="84"/>
        <w:kinsoku/>
        <w:wordWrap/>
        <w:overflowPunct/>
        <w:topLinePunct/>
        <w:autoSpaceDE/>
        <w:autoSpaceDN/>
        <w:bidi w:val="0"/>
        <w:ind w:firstLine="240"/>
        <w:rPr>
          <w:rFonts w:hint="eastAsia" w:ascii="宋体" w:hAnsi="宋体" w:eastAsia="宋体" w:cs="宋体"/>
          <w:sz w:val="22"/>
          <w:szCs w:val="16"/>
        </w:rPr>
      </w:pPr>
      <w:r>
        <w:rPr>
          <w:rFonts w:hint="eastAsia" w:ascii="宋体" w:hAnsi="宋体" w:eastAsia="宋体" w:cs="宋体"/>
          <w:sz w:val="22"/>
          <w:szCs w:val="16"/>
          <w:shd w:val="clear" w:color="auto" w:fill="FFFFFF"/>
        </w:rPr>
        <w:t>2）点击“失信被执行人”</w:t>
      </w:r>
    </w:p>
    <w:p>
      <w:pPr>
        <w:pStyle w:val="84"/>
        <w:kinsoku/>
        <w:wordWrap/>
        <w:overflowPunct/>
        <w:topLinePunct/>
        <w:autoSpaceDE/>
        <w:autoSpaceDN/>
        <w:bidi w:val="0"/>
        <w:ind w:firstLine="240"/>
        <w:rPr>
          <w:rFonts w:hint="eastAsia" w:ascii="宋体" w:hAnsi="宋体" w:eastAsia="宋体" w:cs="宋体"/>
        </w:rPr>
      </w:pPr>
      <w:r>
        <w:rPr>
          <w:rFonts w:hint="eastAsia" w:ascii="宋体" w:hAnsi="宋体" w:eastAsia="宋体" w:cs="宋体"/>
        </w:rPr>
        <w:drawing>
          <wp:anchor distT="0" distB="0" distL="114300" distR="114300" simplePos="0" relativeHeight="251660288" behindDoc="1" locked="0" layoutInCell="1" allowOverlap="1">
            <wp:simplePos x="0" y="0"/>
            <wp:positionH relativeFrom="column">
              <wp:posOffset>29210</wp:posOffset>
            </wp:positionH>
            <wp:positionV relativeFrom="paragraph">
              <wp:posOffset>147320</wp:posOffset>
            </wp:positionV>
            <wp:extent cx="5540375" cy="2524760"/>
            <wp:effectExtent l="0" t="0" r="3175" b="8890"/>
            <wp:wrapNone/>
            <wp:docPr id="20012848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84892"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40375" cy="2524760"/>
                    </a:xfrm>
                    <a:prstGeom prst="rect">
                      <a:avLst/>
                    </a:prstGeom>
                    <a:noFill/>
                    <a:ln>
                      <a:noFill/>
                    </a:ln>
                    <a:effectLst/>
                  </pic:spPr>
                </pic:pic>
              </a:graphicData>
            </a:graphic>
          </wp:anchor>
        </w:drawing>
      </w:r>
    </w:p>
    <w:p>
      <w:pPr>
        <w:pStyle w:val="84"/>
        <w:numPr>
          <w:ilvl w:val="0"/>
          <w:numId w:val="12"/>
        </w:numPr>
        <w:kinsoku/>
        <w:wordWrap/>
        <w:overflowPunct/>
        <w:topLinePunct/>
        <w:autoSpaceDE/>
        <w:autoSpaceDN/>
        <w:bidi w:val="0"/>
        <w:ind w:firstLine="440" w:firstLineChars="200"/>
        <w:rPr>
          <w:rFonts w:hint="eastAsia" w:ascii="宋体" w:hAnsi="宋体" w:eastAsia="宋体" w:cs="宋体"/>
          <w:sz w:val="22"/>
          <w:szCs w:val="16"/>
        </w:rPr>
      </w:pPr>
      <w:r>
        <w:rPr>
          <w:rFonts w:hint="eastAsia" w:ascii="宋体" w:hAnsi="宋体" w:eastAsia="宋体" w:cs="宋体"/>
          <w:sz w:val="22"/>
          <w:szCs w:val="16"/>
        </w:rPr>
        <w:br w:type="page"/>
      </w:r>
      <w:r>
        <w:rPr>
          <w:rFonts w:hint="eastAsia" w:ascii="宋体" w:hAnsi="宋体" w:eastAsia="宋体" w:cs="宋体"/>
          <w:sz w:val="21"/>
          <w:szCs w:val="15"/>
        </w:rPr>
        <w:t>点击确定，跳转</w:t>
      </w:r>
    </w:p>
    <w:p>
      <w:pPr>
        <w:pStyle w:val="85"/>
        <w:kinsoku/>
        <w:wordWrap/>
        <w:overflowPunct/>
        <w:topLinePunct/>
        <w:autoSpaceDE/>
        <w:autoSpaceDN/>
        <w:bidi w:val="0"/>
        <w:ind w:left="0" w:leftChars="0" w:firstLine="0" w:firstLineChars="0"/>
        <w:rPr>
          <w:rFonts w:hint="eastAsia" w:ascii="宋体" w:hAnsi="宋体" w:eastAsia="宋体" w:cs="宋体"/>
        </w:rPr>
      </w:pPr>
      <w:r>
        <w:rPr>
          <w:rFonts w:hint="eastAsia" w:ascii="宋体" w:hAnsi="宋体" w:eastAsia="宋体" w:cs="宋体"/>
        </w:rPr>
        <w:drawing>
          <wp:inline distT="0" distB="0" distL="0" distR="0">
            <wp:extent cx="5538470" cy="3200400"/>
            <wp:effectExtent l="0" t="0" r="508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38470" cy="3200400"/>
                    </a:xfrm>
                    <a:prstGeom prst="rect">
                      <a:avLst/>
                    </a:prstGeom>
                    <a:noFill/>
                    <a:ln>
                      <a:noFill/>
                    </a:ln>
                  </pic:spPr>
                </pic:pic>
              </a:graphicData>
            </a:graphic>
          </wp:inline>
        </w:drawing>
      </w:r>
    </w:p>
    <w:p>
      <w:pPr>
        <w:pStyle w:val="84"/>
        <w:kinsoku/>
        <w:wordWrap/>
        <w:overflowPunct/>
        <w:topLinePunct/>
        <w:autoSpaceDE/>
        <w:autoSpaceDN/>
        <w:bidi w:val="0"/>
        <w:ind w:firstLine="240"/>
        <w:rPr>
          <w:rFonts w:hint="eastAsia" w:ascii="宋体" w:hAnsi="宋体" w:eastAsia="宋体" w:cs="宋体"/>
          <w:sz w:val="21"/>
          <w:szCs w:val="15"/>
        </w:rPr>
      </w:pPr>
      <w:r>
        <w:rPr>
          <w:rFonts w:hint="eastAsia" w:ascii="宋体" w:hAnsi="宋体" w:eastAsia="宋体" w:cs="宋体"/>
          <w:sz w:val="21"/>
          <w:szCs w:val="15"/>
          <w:shd w:val="clear" w:color="auto" w:fill="FFFFFF"/>
        </w:rPr>
        <w:t>4）输入单位名称并点击查询，截图即可。</w:t>
      </w:r>
    </w:p>
    <w:p>
      <w:pPr>
        <w:pStyle w:val="84"/>
        <w:kinsoku/>
        <w:wordWrap/>
        <w:overflowPunct/>
        <w:topLinePunct/>
        <w:autoSpaceDE/>
        <w:autoSpaceDN/>
        <w:bidi w:val="0"/>
        <w:spacing w:line="480" w:lineRule="auto"/>
        <w:ind w:left="0" w:leftChars="0" w:firstLine="0" w:firstLineChars="0"/>
        <w:rPr>
          <w:rFonts w:hint="eastAsia" w:ascii="宋体" w:hAnsi="宋体" w:eastAsia="宋体" w:cs="宋体"/>
          <w:sz w:val="22"/>
          <w:szCs w:val="16"/>
        </w:rPr>
      </w:pPr>
      <w:r>
        <w:rPr>
          <w:rFonts w:hint="eastAsia" w:ascii="宋体" w:hAnsi="宋体" w:eastAsia="宋体" w:cs="宋体"/>
        </w:rPr>
        <w:drawing>
          <wp:inline distT="0" distB="0" distL="0" distR="0">
            <wp:extent cx="5532120" cy="3981450"/>
            <wp:effectExtent l="0" t="0" r="1143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32120" cy="3981450"/>
                    </a:xfrm>
                    <a:prstGeom prst="rect">
                      <a:avLst/>
                    </a:prstGeom>
                    <a:noFill/>
                    <a:ln>
                      <a:noFill/>
                    </a:ln>
                  </pic:spPr>
                </pic:pic>
              </a:graphicData>
            </a:graphic>
          </wp:inline>
        </w:drawing>
      </w:r>
    </w:p>
    <w:p>
      <w:pPr>
        <w:kinsoku/>
        <w:wordWrap/>
        <w:overflowPunct/>
        <w:topLinePunct/>
        <w:autoSpaceDE/>
        <w:autoSpaceDN/>
        <w:bidi w:val="0"/>
        <w:rPr>
          <w:rFonts w:hint="eastAsia" w:ascii="宋体" w:hAnsi="宋体" w:eastAsia="宋体" w:cs="宋体"/>
        </w:rPr>
      </w:pPr>
      <w:r>
        <w:rPr>
          <w:rFonts w:hint="eastAsia" w:ascii="宋体" w:hAnsi="宋体" w:eastAsia="宋体" w:cs="宋体"/>
          <w:sz w:val="22"/>
          <w:szCs w:val="22"/>
        </w:rPr>
        <w:br w:type="page"/>
      </w:r>
      <w:r>
        <w:rPr>
          <w:rFonts w:hint="eastAsia" w:ascii="宋体" w:hAnsi="宋体" w:eastAsia="宋体" w:cs="宋体"/>
        </w:rPr>
        <w:t>5）点击重大税收违法案件当事人</w:t>
      </w:r>
    </w:p>
    <w:p>
      <w:pPr>
        <w:kinsoku/>
        <w:wordWrap/>
        <w:overflowPunct/>
        <w:topLinePunct/>
        <w:autoSpaceDE/>
        <w:autoSpaceDN/>
        <w:bidi w:val="0"/>
        <w:rPr>
          <w:rFonts w:hint="eastAsia" w:ascii="宋体" w:hAnsi="宋体" w:eastAsia="宋体" w:cs="宋体"/>
        </w:rPr>
      </w:pPr>
      <w:r>
        <w:rPr>
          <w:rFonts w:hint="eastAsia" w:ascii="宋体" w:hAnsi="宋体" w:eastAsia="宋体" w:cs="宋体"/>
        </w:rPr>
        <w:drawing>
          <wp:inline distT="0" distB="0" distL="0" distR="0">
            <wp:extent cx="5572125" cy="3214370"/>
            <wp:effectExtent l="0" t="0" r="9525" b="508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72125" cy="3214370"/>
                    </a:xfrm>
                    <a:prstGeom prst="rect">
                      <a:avLst/>
                    </a:prstGeom>
                    <a:noFill/>
                    <a:ln>
                      <a:noFill/>
                    </a:ln>
                  </pic:spPr>
                </pic:pic>
              </a:graphicData>
            </a:graphic>
          </wp:inline>
        </w:drawing>
      </w:r>
    </w:p>
    <w:p>
      <w:pPr>
        <w:kinsoku/>
        <w:wordWrap/>
        <w:overflowPunct/>
        <w:topLinePunct/>
        <w:autoSpaceDE/>
        <w:autoSpaceDN/>
        <w:bidi w:val="0"/>
        <w:rPr>
          <w:rFonts w:hint="eastAsia" w:ascii="宋体" w:hAnsi="宋体" w:eastAsia="宋体" w:cs="宋体"/>
        </w:rPr>
      </w:pPr>
      <w:r>
        <w:rPr>
          <w:rFonts w:hint="eastAsia" w:ascii="宋体" w:hAnsi="宋体" w:eastAsia="宋体" w:cs="宋体"/>
        </w:rPr>
        <w:t>输入单位名称点击查询截图即可</w:t>
      </w:r>
    </w:p>
    <w:p>
      <w:pPr>
        <w:kinsoku/>
        <w:wordWrap/>
        <w:overflowPunct/>
        <w:topLinePunct/>
        <w:autoSpaceDE/>
        <w:autoSpaceDN/>
        <w:bidi w:val="0"/>
        <w:rPr>
          <w:rFonts w:hint="eastAsia" w:ascii="宋体" w:hAnsi="宋体" w:eastAsia="宋体" w:cs="宋体"/>
        </w:rPr>
      </w:pPr>
      <w:r>
        <w:rPr>
          <w:rFonts w:hint="eastAsia" w:ascii="宋体" w:hAnsi="宋体" w:eastAsia="宋体" w:cs="宋体"/>
        </w:rPr>
        <w:drawing>
          <wp:inline distT="0" distB="0" distL="0" distR="0">
            <wp:extent cx="5610225" cy="3397250"/>
            <wp:effectExtent l="0" t="0" r="9525" b="1270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10225" cy="3397250"/>
                    </a:xfrm>
                    <a:prstGeom prst="rect">
                      <a:avLst/>
                    </a:prstGeom>
                    <a:noFill/>
                    <a:ln>
                      <a:noFill/>
                    </a:ln>
                  </pic:spPr>
                </pic:pic>
              </a:graphicData>
            </a:graphic>
          </wp:inline>
        </w:drawing>
      </w:r>
    </w:p>
    <w:p>
      <w:pPr>
        <w:kinsoku/>
        <w:wordWrap/>
        <w:overflowPunct/>
        <w:topLinePunct/>
        <w:autoSpaceDE/>
        <w:autoSpaceDN/>
        <w:bidi w:val="0"/>
        <w:rPr>
          <w:rFonts w:hint="eastAsia" w:ascii="宋体" w:hAnsi="宋体" w:eastAsia="宋体" w:cs="宋体"/>
        </w:rPr>
      </w:pPr>
      <w:r>
        <w:rPr>
          <w:rFonts w:hint="eastAsia" w:ascii="宋体" w:hAnsi="宋体" w:eastAsia="宋体" w:cs="宋体"/>
        </w:rPr>
        <w:t>中国政府采购网查询方式：</w:t>
      </w:r>
    </w:p>
    <w:p>
      <w:pPr>
        <w:pStyle w:val="84"/>
        <w:numPr>
          <w:ilvl w:val="0"/>
          <w:numId w:val="40"/>
        </w:numPr>
        <w:tabs>
          <w:tab w:val="center" w:pos="4819"/>
          <w:tab w:val="clear" w:pos="560"/>
          <w:tab w:val="clear" w:pos="3920"/>
          <w:tab w:val="clear" w:pos="5600"/>
          <w:tab w:val="clear" w:pos="7700"/>
        </w:tabs>
        <w:kinsoku/>
        <w:wordWrap/>
        <w:overflowPunct/>
        <w:topLinePunct/>
        <w:autoSpaceDE/>
        <w:autoSpaceDN/>
        <w:bidi w:val="0"/>
        <w:ind w:firstLine="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打开浏览器搜索“中国政府采购网”，点击左侧“政府采购严重违法失信行为记录名单”</w:t>
      </w:r>
    </w:p>
    <w:p>
      <w:pPr>
        <w:pStyle w:val="85"/>
        <w:kinsoku/>
        <w:wordWrap/>
        <w:overflowPunct/>
        <w:topLinePunct/>
        <w:autoSpaceDE/>
        <w:autoSpaceDN/>
        <w:bidi w:val="0"/>
        <w:ind w:left="0" w:firstLine="0"/>
        <w:rPr>
          <w:rFonts w:hint="eastAsia" w:ascii="宋体" w:hAnsi="宋体" w:eastAsia="宋体" w:cs="宋体"/>
        </w:rPr>
      </w:pPr>
      <w:r>
        <w:rPr>
          <w:rFonts w:hint="eastAsia" w:ascii="宋体" w:hAnsi="宋体" w:eastAsia="宋体" w:cs="宋体"/>
        </w:rPr>
        <w:drawing>
          <wp:inline distT="0" distB="0" distL="0" distR="0">
            <wp:extent cx="5581650" cy="3787140"/>
            <wp:effectExtent l="0" t="0" r="0" b="381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81650" cy="3787140"/>
                    </a:xfrm>
                    <a:prstGeom prst="rect">
                      <a:avLst/>
                    </a:prstGeom>
                    <a:noFill/>
                    <a:ln>
                      <a:noFill/>
                    </a:ln>
                  </pic:spPr>
                </pic:pic>
              </a:graphicData>
            </a:graphic>
          </wp:inline>
        </w:drawing>
      </w:r>
    </w:p>
    <w:p>
      <w:pPr>
        <w:kinsoku/>
        <w:wordWrap/>
        <w:overflowPunct/>
        <w:topLinePunct/>
        <w:autoSpaceDE/>
        <w:autoSpaceDN/>
        <w:bidi w:val="0"/>
        <w:rPr>
          <w:rFonts w:hint="eastAsia" w:ascii="宋体" w:hAnsi="宋体" w:eastAsia="宋体" w:cs="宋体"/>
        </w:rPr>
      </w:pPr>
      <w:r>
        <w:rPr>
          <w:rFonts w:hint="eastAsia" w:ascii="宋体" w:hAnsi="宋体" w:eastAsia="宋体" w:cs="宋体"/>
        </w:rPr>
        <w:t>输入单位名称，点击查找截图即可</w:t>
      </w:r>
    </w:p>
    <w:p>
      <w:pPr>
        <w:kinsoku/>
        <w:wordWrap/>
        <w:overflowPunct/>
        <w:topLinePunct/>
        <w:autoSpaceDE/>
        <w:autoSpaceDN/>
        <w:bidi w:val="0"/>
        <w:spacing w:line="360" w:lineRule="auto"/>
        <w:outlineLvl w:val="4"/>
        <w:rPr>
          <w:rFonts w:hint="eastAsia" w:ascii="宋体" w:hAnsi="宋体" w:eastAsia="宋体" w:cs="宋体"/>
          <w:szCs w:val="21"/>
        </w:rPr>
      </w:pPr>
      <w:r>
        <w:rPr>
          <w:rFonts w:hint="eastAsia" w:ascii="宋体" w:hAnsi="宋体" w:eastAsia="宋体" w:cs="宋体"/>
        </w:rPr>
        <w:drawing>
          <wp:inline distT="0" distB="0" distL="0" distR="0">
            <wp:extent cx="5600700" cy="2752725"/>
            <wp:effectExtent l="0" t="0" r="0" b="952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00700" cy="2752725"/>
                    </a:xfrm>
                    <a:prstGeom prst="rect">
                      <a:avLst/>
                    </a:prstGeom>
                    <a:noFill/>
                    <a:ln>
                      <a:noFill/>
                    </a:ln>
                  </pic:spPr>
                </pic:pic>
              </a:graphicData>
            </a:graphic>
          </wp:inline>
        </w:drawing>
      </w:r>
      <w:r>
        <w:rPr>
          <w:rFonts w:hint="eastAsia" w:ascii="宋体" w:hAnsi="宋体" w:eastAsia="宋体" w:cs="宋体"/>
          <w:sz w:val="22"/>
          <w:szCs w:val="22"/>
        </w:rPr>
        <w:br w:type="page"/>
      </w:r>
      <w:r>
        <w:rPr>
          <w:rFonts w:hint="eastAsia" w:ascii="宋体" w:hAnsi="宋体" w:eastAsia="宋体" w:cs="宋体"/>
          <w:b/>
          <w:bCs/>
          <w:szCs w:val="21"/>
        </w:rPr>
        <w:t>5.2.5控股、管理关系</w:t>
      </w:r>
    </w:p>
    <w:p>
      <w:pPr>
        <w:pStyle w:val="84"/>
        <w:kinsoku/>
        <w:wordWrap/>
        <w:overflowPunct/>
        <w:topLinePunct/>
        <w:autoSpaceDE/>
        <w:autoSpaceDN/>
        <w:bidi w:val="0"/>
        <w:ind w:firstLine="0"/>
        <w:rPr>
          <w:rFonts w:hint="eastAsia" w:ascii="宋体" w:hAnsi="宋体" w:eastAsia="宋体" w:cs="宋体"/>
          <w:sz w:val="21"/>
          <w:szCs w:val="21"/>
        </w:rPr>
      </w:pPr>
      <w:r>
        <w:rPr>
          <w:rFonts w:hint="eastAsia" w:ascii="宋体" w:hAnsi="宋体" w:eastAsia="宋体" w:cs="宋体"/>
          <w:sz w:val="21"/>
          <w:szCs w:val="21"/>
        </w:rPr>
        <w:t>查询方式：1）打开浏览器搜索“国家企业信用信息公示系统”，输入单位名称，点击查询</w:t>
      </w:r>
    </w:p>
    <w:p>
      <w:pPr>
        <w:pStyle w:val="84"/>
        <w:kinsoku/>
        <w:wordWrap/>
        <w:overflowPunct/>
        <w:topLinePunct/>
        <w:autoSpaceDE/>
        <w:autoSpaceDN/>
        <w:bidi w:val="0"/>
        <w:ind w:firstLine="0"/>
        <w:rPr>
          <w:rFonts w:hint="eastAsia" w:ascii="宋体" w:hAnsi="宋体" w:eastAsia="宋体" w:cs="宋体"/>
        </w:rPr>
      </w:pPr>
    </w:p>
    <w:p>
      <w:pPr>
        <w:pStyle w:val="85"/>
        <w:kinsoku/>
        <w:wordWrap/>
        <w:overflowPunct/>
        <w:topLinePunct/>
        <w:autoSpaceDE/>
        <w:autoSpaceDN/>
        <w:bidi w:val="0"/>
        <w:ind w:left="0" w:firstLine="0"/>
        <w:rPr>
          <w:rFonts w:hint="eastAsia" w:ascii="宋体" w:hAnsi="宋体" w:eastAsia="宋体" w:cs="宋体"/>
          <w:sz w:val="24"/>
          <w:szCs w:val="20"/>
          <w:lang w:bidi="en-US"/>
        </w:rPr>
      </w:pPr>
      <w:r>
        <w:rPr>
          <w:rFonts w:hint="eastAsia" w:ascii="宋体" w:hAnsi="宋体" w:eastAsia="宋体" w:cs="宋体"/>
          <w:szCs w:val="16"/>
          <w:lang w:bidi="en-US"/>
        </w:rPr>
        <w:t>2）找到单位名称处并点击</w:t>
      </w:r>
    </w:p>
    <w:p>
      <w:pPr>
        <w:pStyle w:val="85"/>
        <w:kinsoku/>
        <w:wordWrap/>
        <w:overflowPunct/>
        <w:topLinePunct/>
        <w:autoSpaceDE/>
        <w:autoSpaceDN/>
        <w:bidi w:val="0"/>
        <w:ind w:left="0" w:firstLine="0"/>
        <w:rPr>
          <w:rFonts w:hint="eastAsia" w:ascii="宋体" w:hAnsi="宋体" w:eastAsia="宋体" w:cs="宋体"/>
          <w:sz w:val="24"/>
          <w:szCs w:val="20"/>
          <w:lang w:bidi="en-US"/>
        </w:rPr>
      </w:pPr>
    </w:p>
    <w:p>
      <w:pPr>
        <w:pStyle w:val="85"/>
        <w:kinsoku/>
        <w:wordWrap/>
        <w:overflowPunct/>
        <w:topLinePunct/>
        <w:autoSpaceDE/>
        <w:autoSpaceDN/>
        <w:bidi w:val="0"/>
        <w:ind w:left="0" w:firstLine="0"/>
        <w:rPr>
          <w:rFonts w:hint="eastAsia" w:ascii="宋体" w:hAnsi="宋体" w:eastAsia="宋体" w:cs="宋体"/>
          <w:sz w:val="24"/>
          <w:szCs w:val="20"/>
          <w:lang w:bidi="en-US"/>
        </w:rPr>
      </w:pPr>
      <w:r>
        <w:rPr>
          <w:rFonts w:hint="eastAsia" w:ascii="宋体" w:hAnsi="宋体" w:eastAsia="宋体" w:cs="宋体"/>
          <w:szCs w:val="16"/>
          <w:lang w:bidi="en-US"/>
        </w:rPr>
        <w:t>3）截图即可</w:t>
      </w:r>
    </w:p>
    <w:p>
      <w:pPr>
        <w:pStyle w:val="74"/>
        <w:kinsoku/>
        <w:wordWrap/>
        <w:overflowPunct/>
        <w:topLinePunct/>
        <w:autoSpaceDE/>
        <w:autoSpaceDN/>
        <w:bidi w:val="0"/>
        <w:rPr>
          <w:rFonts w:hint="eastAsia" w:ascii="宋体" w:hAnsi="宋体" w:eastAsia="宋体" w:cs="宋体"/>
          <w:sz w:val="24"/>
          <w:szCs w:val="24"/>
        </w:rPr>
      </w:pPr>
    </w:p>
    <w:p>
      <w:pPr>
        <w:kinsoku/>
        <w:wordWrap/>
        <w:overflowPunct/>
        <w:topLinePunct/>
        <w:autoSpaceDE/>
        <w:autoSpaceDN/>
        <w:bidi w:val="0"/>
        <w:spacing w:line="580" w:lineRule="exact"/>
        <w:outlineLvl w:val="4"/>
        <w:rPr>
          <w:rFonts w:hint="eastAsia" w:ascii="宋体" w:hAnsi="宋体" w:eastAsia="宋体" w:cs="宋体"/>
          <w:b/>
          <w:bCs/>
          <w:szCs w:val="21"/>
        </w:rPr>
      </w:pPr>
      <w:r>
        <w:rPr>
          <w:rFonts w:hint="eastAsia" w:ascii="宋体" w:hAnsi="宋体" w:eastAsia="宋体" w:cs="宋体"/>
          <w:sz w:val="24"/>
          <w:szCs w:val="24"/>
        </w:rPr>
        <w:br w:type="page"/>
      </w:r>
      <w:r>
        <w:rPr>
          <w:rFonts w:hint="eastAsia" w:ascii="宋体" w:hAnsi="宋体" w:eastAsia="宋体" w:cs="宋体"/>
          <w:b/>
          <w:bCs/>
          <w:szCs w:val="21"/>
        </w:rPr>
        <w:t>5.2.6非联合体承诺（格式自拟）。</w:t>
      </w:r>
    </w:p>
    <w:p>
      <w:pPr>
        <w:kinsoku/>
        <w:wordWrap/>
        <w:overflowPunct/>
        <w:topLinePunct/>
        <w:autoSpaceDE/>
        <w:autoSpaceDN/>
        <w:bidi w:val="0"/>
        <w:spacing w:line="580" w:lineRule="exact"/>
        <w:outlineLvl w:val="4"/>
        <w:rPr>
          <w:rFonts w:hint="eastAsia" w:ascii="宋体" w:hAnsi="宋体" w:eastAsia="宋体" w:cs="宋体"/>
          <w:sz w:val="24"/>
          <w:szCs w:val="24"/>
        </w:rPr>
      </w:pPr>
      <w:r>
        <w:rPr>
          <w:rFonts w:hint="eastAsia" w:ascii="宋体" w:hAnsi="宋体" w:eastAsia="宋体" w:cs="宋体"/>
          <w:b/>
          <w:bCs/>
          <w:szCs w:val="21"/>
        </w:rPr>
        <w:br w:type="page"/>
      </w:r>
      <w:r>
        <w:rPr>
          <w:rFonts w:hint="eastAsia" w:ascii="宋体" w:hAnsi="宋体" w:eastAsia="宋体" w:cs="宋体"/>
          <w:b/>
          <w:bCs/>
          <w:szCs w:val="21"/>
        </w:rPr>
        <w:t>5.2.7其他有关说明企业和投标内容竞争优势的证明资料。</w:t>
      </w:r>
    </w:p>
    <w:p>
      <w:pPr>
        <w:pStyle w:val="3"/>
        <w:bidi w:val="0"/>
        <w:rPr>
          <w:rFonts w:hint="eastAsia" w:ascii="宋体" w:hAnsi="宋体" w:eastAsia="宋体" w:cs="宋体"/>
          <w:b/>
          <w:bCs/>
        </w:rPr>
      </w:pPr>
      <w:r>
        <w:rPr>
          <w:rFonts w:hint="eastAsia" w:ascii="宋体" w:hAnsi="宋体" w:eastAsia="宋体" w:cs="宋体"/>
          <w:szCs w:val="24"/>
        </w:rPr>
        <w:br w:type="page"/>
      </w:r>
      <w:bookmarkStart w:id="88" w:name="_Toc12607"/>
      <w:r>
        <w:rPr>
          <w:rFonts w:hint="eastAsia" w:ascii="宋体" w:hAnsi="宋体" w:eastAsia="宋体" w:cs="宋体"/>
          <w:b/>
          <w:bCs/>
          <w:szCs w:val="22"/>
        </w:rPr>
        <w:t>六、反商业贿赂承诺书</w:t>
      </w:r>
      <w:bookmarkEnd w:id="88"/>
    </w:p>
    <w:p>
      <w:pPr>
        <w:kinsoku/>
        <w:wordWrap/>
        <w:overflowPunct/>
        <w:topLinePunct/>
        <w:autoSpaceDE/>
        <w:autoSpaceDN/>
        <w:bidi w:val="0"/>
        <w:spacing w:line="360" w:lineRule="auto"/>
        <w:rPr>
          <w:rFonts w:hint="eastAsia" w:ascii="宋体" w:hAnsi="宋体" w:eastAsia="宋体" w:cs="宋体"/>
          <w:sz w:val="24"/>
        </w:rPr>
      </w:pPr>
    </w:p>
    <w:p>
      <w:pPr>
        <w:kinsoku/>
        <w:wordWrap/>
        <w:overflowPunct/>
        <w:topLinePunct/>
        <w:autoSpaceDE/>
        <w:autoSpaceDN/>
        <w:bidi w:val="0"/>
        <w:spacing w:line="360" w:lineRule="auto"/>
        <w:rPr>
          <w:rFonts w:hint="eastAsia" w:ascii="宋体" w:hAnsi="宋体" w:eastAsia="宋体" w:cs="宋体"/>
        </w:rPr>
      </w:pPr>
      <w:r>
        <w:rPr>
          <w:rFonts w:hint="eastAsia" w:ascii="宋体" w:hAnsi="宋体" w:eastAsia="宋体" w:cs="宋体"/>
        </w:rPr>
        <w:t>我公司承诺：</w:t>
      </w:r>
    </w:p>
    <w:p>
      <w:pPr>
        <w:kinsoku/>
        <w:wordWrap/>
        <w:overflowPunct/>
        <w:topLinePunct/>
        <w:autoSpaceDE/>
        <w:autoSpaceDN/>
        <w:bidi w:val="0"/>
        <w:spacing w:line="360" w:lineRule="auto"/>
        <w:ind w:firstLine="420" w:firstLineChars="200"/>
        <w:rPr>
          <w:rFonts w:hint="eastAsia" w:ascii="宋体" w:hAnsi="宋体" w:eastAsia="宋体" w:cs="宋体"/>
        </w:rPr>
      </w:pPr>
      <w:r>
        <w:rPr>
          <w:rFonts w:hint="eastAsia" w:ascii="宋体" w:hAnsi="宋体" w:eastAsia="宋体" w:cs="宋体"/>
        </w:rPr>
        <w:t>在（采购编号、项目名称）招标活动中，我公司保证做到：</w:t>
      </w:r>
    </w:p>
    <w:p>
      <w:pPr>
        <w:kinsoku/>
        <w:wordWrap/>
        <w:overflowPunct/>
        <w:topLinePunct/>
        <w:autoSpaceDE/>
        <w:autoSpaceDN/>
        <w:bidi w:val="0"/>
        <w:spacing w:line="360" w:lineRule="auto"/>
        <w:ind w:firstLine="420" w:firstLineChars="200"/>
        <w:rPr>
          <w:rFonts w:hint="eastAsia" w:ascii="宋体" w:hAnsi="宋体" w:eastAsia="宋体" w:cs="宋体"/>
        </w:rPr>
      </w:pPr>
      <w:r>
        <w:rPr>
          <w:rFonts w:hint="eastAsia" w:ascii="宋体" w:hAnsi="宋体" w:eastAsia="宋体" w:cs="宋体"/>
        </w:rPr>
        <w:t>一、公平竞争参加本次招标活动。</w:t>
      </w:r>
    </w:p>
    <w:p>
      <w:pPr>
        <w:kinsoku/>
        <w:wordWrap/>
        <w:overflowPunct/>
        <w:topLinePunct/>
        <w:autoSpaceDE/>
        <w:autoSpaceDN/>
        <w:bidi w:val="0"/>
        <w:spacing w:line="360" w:lineRule="auto"/>
        <w:ind w:firstLine="420" w:firstLineChars="200"/>
        <w:rPr>
          <w:rFonts w:hint="eastAsia" w:ascii="宋体" w:hAnsi="宋体" w:eastAsia="宋体" w:cs="宋体"/>
        </w:rPr>
      </w:pPr>
      <w:r>
        <w:rPr>
          <w:rFonts w:hint="eastAsia" w:ascii="宋体" w:hAnsi="宋体" w:eastAsia="宋体" w:cs="宋体"/>
        </w:rPr>
        <w:t>二、杜绝任何形式的商业贿赂行为。不向国家工作人员、政府招标代理机构工作人员、评审专家及其亲属提供礼品礼金、有价证券、购物券、回扣、佣金、咨询费、劳务费、赞助费、宣传费、宴请；不为其报销各种消费凭证，不支付其旅游、娱乐等费用。</w:t>
      </w:r>
    </w:p>
    <w:p>
      <w:pPr>
        <w:kinsoku/>
        <w:wordWrap/>
        <w:overflowPunct/>
        <w:topLinePunct/>
        <w:autoSpaceDE/>
        <w:autoSpaceDN/>
        <w:bidi w:val="0"/>
        <w:spacing w:line="360" w:lineRule="auto"/>
        <w:ind w:firstLine="420" w:firstLineChars="200"/>
        <w:rPr>
          <w:rFonts w:hint="eastAsia" w:ascii="宋体" w:hAnsi="宋体" w:eastAsia="宋体" w:cs="宋体"/>
        </w:rPr>
      </w:pPr>
      <w:r>
        <w:rPr>
          <w:rFonts w:hint="eastAsia" w:ascii="宋体" w:hAnsi="宋体" w:eastAsia="宋体" w:cs="宋体"/>
        </w:rPr>
        <w:t>三、若出现上述行为，我公司及参与投标的工作人员愿意接受按照国家法律法规等有关规定给予的处罚。</w:t>
      </w:r>
    </w:p>
    <w:p>
      <w:pPr>
        <w:kinsoku/>
        <w:wordWrap/>
        <w:overflowPunct/>
        <w:topLinePunct/>
        <w:autoSpaceDE/>
        <w:autoSpaceDN/>
        <w:bidi w:val="0"/>
        <w:spacing w:line="360" w:lineRule="auto"/>
        <w:jc w:val="right"/>
        <w:rPr>
          <w:rFonts w:hint="eastAsia" w:ascii="宋体" w:hAnsi="宋体" w:eastAsia="宋体" w:cs="宋体"/>
        </w:rPr>
      </w:pPr>
    </w:p>
    <w:p>
      <w:pPr>
        <w:kinsoku/>
        <w:wordWrap/>
        <w:overflowPunct/>
        <w:topLinePunct/>
        <w:autoSpaceDE/>
        <w:autoSpaceDN/>
        <w:bidi w:val="0"/>
        <w:spacing w:line="360" w:lineRule="auto"/>
        <w:jc w:val="right"/>
        <w:rPr>
          <w:rFonts w:hint="eastAsia" w:ascii="宋体" w:hAnsi="宋体" w:eastAsia="宋体" w:cs="宋体"/>
        </w:rPr>
      </w:pPr>
    </w:p>
    <w:p>
      <w:pPr>
        <w:kinsoku/>
        <w:wordWrap/>
        <w:overflowPunct/>
        <w:topLinePunct/>
        <w:autoSpaceDE/>
        <w:autoSpaceDN/>
        <w:bidi w:val="0"/>
        <w:spacing w:line="360" w:lineRule="auto"/>
        <w:jc w:val="right"/>
        <w:rPr>
          <w:rFonts w:hint="eastAsia" w:ascii="宋体" w:hAnsi="宋体" w:eastAsia="宋体" w:cs="宋体"/>
        </w:rPr>
      </w:pPr>
      <w:r>
        <w:rPr>
          <w:rFonts w:hint="eastAsia" w:ascii="宋体" w:hAnsi="宋体" w:eastAsia="宋体" w:cs="宋体"/>
        </w:rPr>
        <w:t>投标人：</w:t>
      </w:r>
      <w:r>
        <w:rPr>
          <w:rFonts w:hint="eastAsia" w:ascii="宋体" w:hAnsi="宋体" w:eastAsia="宋体" w:cs="宋体"/>
          <w:u w:val="single"/>
        </w:rPr>
        <w:t xml:space="preserve">                                </w:t>
      </w:r>
      <w:r>
        <w:rPr>
          <w:rFonts w:hint="eastAsia" w:ascii="宋体" w:hAnsi="宋体" w:eastAsia="宋体" w:cs="宋体"/>
        </w:rPr>
        <w:t>（</w:t>
      </w:r>
      <w:r>
        <w:rPr>
          <w:rFonts w:hint="eastAsia" w:ascii="宋体" w:hAnsi="宋体" w:eastAsia="宋体" w:cs="宋体"/>
          <w:kern w:val="0"/>
        </w:rPr>
        <w:t>电子签章</w:t>
      </w:r>
      <w:r>
        <w:rPr>
          <w:rFonts w:hint="eastAsia" w:ascii="宋体" w:hAnsi="宋体" w:eastAsia="宋体" w:cs="宋体"/>
        </w:rPr>
        <w:t>）</w:t>
      </w:r>
    </w:p>
    <w:p>
      <w:pPr>
        <w:pStyle w:val="409"/>
        <w:kinsoku/>
        <w:wordWrap/>
        <w:overflowPunct/>
        <w:topLinePunct/>
        <w:autoSpaceDE/>
        <w:autoSpaceDN/>
        <w:bidi w:val="0"/>
        <w:spacing w:line="360" w:lineRule="auto"/>
        <w:jc w:val="right"/>
        <w:rPr>
          <w:rFonts w:hint="eastAsia" w:ascii="宋体" w:hAnsi="宋体" w:eastAsia="宋体" w:cs="宋体"/>
          <w:sz w:val="21"/>
        </w:rPr>
      </w:pPr>
      <w:r>
        <w:rPr>
          <w:rFonts w:hint="eastAsia" w:ascii="宋体" w:hAnsi="宋体" w:eastAsia="宋体" w:cs="宋体"/>
          <w:sz w:val="21"/>
        </w:rPr>
        <w:t xml:space="preserve">法定代表人（单位负责人）或其委托代理人： </w:t>
      </w:r>
      <w:r>
        <w:rPr>
          <w:rFonts w:hint="eastAsia" w:ascii="宋体" w:hAnsi="宋体" w:eastAsia="宋体" w:cs="宋体"/>
          <w:sz w:val="21"/>
          <w:u w:val="single"/>
        </w:rPr>
        <w:t xml:space="preserve">             </w:t>
      </w:r>
      <w:r>
        <w:rPr>
          <w:rFonts w:hint="eastAsia" w:ascii="宋体" w:hAnsi="宋体" w:eastAsia="宋体" w:cs="宋体"/>
          <w:sz w:val="21"/>
        </w:rPr>
        <w:t>（电子签名）</w:t>
      </w:r>
    </w:p>
    <w:p>
      <w:pPr>
        <w:pStyle w:val="382"/>
        <w:kinsoku/>
        <w:wordWrap/>
        <w:overflowPunct/>
        <w:topLinePunct/>
        <w:autoSpaceDE/>
        <w:autoSpaceDN/>
        <w:bidi w:val="0"/>
        <w:spacing w:line="360" w:lineRule="auto"/>
        <w:jc w:val="right"/>
        <w:rPr>
          <w:rFonts w:hint="eastAsia" w:ascii="宋体" w:hAnsi="宋体" w:eastAsia="宋体" w:cs="宋体"/>
          <w:sz w:val="21"/>
        </w:rPr>
      </w:pPr>
      <w:r>
        <w:rPr>
          <w:rFonts w:hint="eastAsia" w:ascii="宋体" w:hAnsi="宋体" w:eastAsia="宋体" w:cs="宋体"/>
          <w:sz w:val="21"/>
          <w:u w:val="single"/>
        </w:rPr>
        <w:t xml:space="preserve">     </w:t>
      </w:r>
      <w:r>
        <w:rPr>
          <w:rFonts w:hint="eastAsia" w:ascii="宋体" w:hAnsi="宋体" w:eastAsia="宋体" w:cs="宋体"/>
          <w:sz w:val="21"/>
        </w:rPr>
        <w:t xml:space="preserve"> 年</w:t>
      </w:r>
      <w:r>
        <w:rPr>
          <w:rFonts w:hint="eastAsia" w:ascii="宋体" w:hAnsi="宋体" w:eastAsia="宋体" w:cs="宋体"/>
          <w:sz w:val="21"/>
          <w:u w:val="single"/>
        </w:rPr>
        <w:t xml:space="preserve">       </w:t>
      </w:r>
      <w:r>
        <w:rPr>
          <w:rFonts w:hint="eastAsia" w:ascii="宋体" w:hAnsi="宋体" w:eastAsia="宋体" w:cs="宋体"/>
          <w:sz w:val="21"/>
        </w:rPr>
        <w:t>月</w:t>
      </w:r>
      <w:r>
        <w:rPr>
          <w:rFonts w:hint="eastAsia" w:ascii="宋体" w:hAnsi="宋体" w:eastAsia="宋体" w:cs="宋体"/>
          <w:sz w:val="21"/>
          <w:u w:val="single"/>
        </w:rPr>
        <w:t xml:space="preserve">      </w:t>
      </w:r>
      <w:r>
        <w:rPr>
          <w:rFonts w:hint="eastAsia" w:ascii="宋体" w:hAnsi="宋体" w:eastAsia="宋体" w:cs="宋体"/>
          <w:sz w:val="21"/>
        </w:rPr>
        <w:t>日</w:t>
      </w:r>
    </w:p>
    <w:p>
      <w:pPr>
        <w:pStyle w:val="3"/>
        <w:bidi w:val="0"/>
        <w:rPr>
          <w:rFonts w:hint="eastAsia" w:ascii="宋体" w:hAnsi="宋体" w:eastAsia="宋体" w:cs="宋体"/>
        </w:rPr>
      </w:pPr>
      <w:r>
        <w:rPr>
          <w:rFonts w:hint="eastAsia" w:ascii="宋体" w:hAnsi="宋体" w:eastAsia="宋体" w:cs="宋体"/>
          <w:sz w:val="24"/>
          <w:szCs w:val="24"/>
        </w:rPr>
        <w:br w:type="page"/>
      </w:r>
      <w:bookmarkStart w:id="89" w:name="_Toc17173"/>
      <w:r>
        <w:rPr>
          <w:rFonts w:hint="eastAsia" w:ascii="宋体" w:hAnsi="宋体" w:eastAsia="宋体" w:cs="宋体"/>
          <w:b/>
          <w:bCs/>
          <w:sz w:val="24"/>
          <w:szCs w:val="24"/>
        </w:rPr>
        <w:t>七、中小微企业证明</w:t>
      </w:r>
      <w:bookmarkEnd w:id="89"/>
    </w:p>
    <w:p>
      <w:pPr>
        <w:kinsoku/>
        <w:wordWrap/>
        <w:overflowPunct/>
        <w:topLinePunct/>
        <w:autoSpaceDE/>
        <w:autoSpaceDN/>
        <w:bidi w:val="0"/>
        <w:jc w:val="center"/>
        <w:rPr>
          <w:rFonts w:hint="eastAsia" w:ascii="宋体" w:hAnsi="宋体" w:eastAsia="宋体" w:cs="宋体"/>
          <w:b/>
          <w:kern w:val="0"/>
          <w:sz w:val="24"/>
          <w:szCs w:val="24"/>
        </w:rPr>
      </w:pPr>
      <w:r>
        <w:rPr>
          <w:rFonts w:hint="eastAsia" w:ascii="宋体" w:hAnsi="宋体" w:eastAsia="宋体" w:cs="宋体"/>
          <w:b/>
          <w:kern w:val="0"/>
          <w:sz w:val="24"/>
          <w:szCs w:val="24"/>
        </w:rPr>
        <w:t>（包含：中小微企业认定证书、中小微企业声明函、监狱企业证明函、</w:t>
      </w:r>
      <w:r>
        <w:rPr>
          <w:rFonts w:hint="eastAsia" w:ascii="宋体" w:hAnsi="宋体" w:eastAsia="宋体" w:cs="宋体"/>
        </w:rPr>
        <w:fldChar w:fldCharType="begin"/>
      </w:r>
      <w:r>
        <w:rPr>
          <w:rFonts w:hint="eastAsia" w:ascii="宋体" w:hAnsi="宋体" w:eastAsia="宋体" w:cs="宋体"/>
        </w:rPr>
        <w:instrText xml:space="preserve"> HYPERLINK "http://www.gov.cn/xinwen/2017-09/02/5222181/files/f1ba446ff1d041aab7b557a51912d058.docx" \t "_blank" </w:instrText>
      </w:r>
      <w:r>
        <w:rPr>
          <w:rFonts w:hint="eastAsia" w:ascii="宋体" w:hAnsi="宋体" w:eastAsia="宋体" w:cs="宋体"/>
        </w:rPr>
        <w:fldChar w:fldCharType="separate"/>
      </w:r>
      <w:r>
        <w:rPr>
          <w:rFonts w:hint="eastAsia" w:ascii="宋体" w:hAnsi="宋体" w:eastAsia="宋体" w:cs="宋体"/>
          <w:b/>
          <w:kern w:val="0"/>
          <w:sz w:val="24"/>
          <w:szCs w:val="24"/>
        </w:rPr>
        <w:t>残疾人福利性单位声明函</w:t>
      </w:r>
      <w:r>
        <w:rPr>
          <w:rFonts w:hint="eastAsia" w:ascii="宋体" w:hAnsi="宋体" w:eastAsia="宋体" w:cs="宋体"/>
          <w:b/>
          <w:kern w:val="0"/>
          <w:sz w:val="24"/>
          <w:szCs w:val="24"/>
        </w:rPr>
        <w:fldChar w:fldCharType="end"/>
      </w:r>
      <w:r>
        <w:rPr>
          <w:rFonts w:hint="eastAsia" w:ascii="宋体" w:hAnsi="宋体" w:eastAsia="宋体" w:cs="宋体"/>
          <w:b/>
          <w:kern w:val="0"/>
          <w:sz w:val="24"/>
          <w:szCs w:val="24"/>
        </w:rPr>
        <w:t>）</w:t>
      </w:r>
    </w:p>
    <w:p>
      <w:pPr>
        <w:kinsoku/>
        <w:wordWrap/>
        <w:overflowPunct/>
        <w:topLinePunct/>
        <w:autoSpaceDE/>
        <w:autoSpaceDN/>
        <w:bidi w:val="0"/>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中小企业声明函（投标人）</w:t>
      </w:r>
    </w:p>
    <w:p>
      <w:pPr>
        <w:kinsoku/>
        <w:wordWrap/>
        <w:overflowPunct/>
        <w:topLinePunct/>
        <w:autoSpaceDE/>
        <w:autoSpaceDN/>
        <w:bidi w:val="0"/>
        <w:spacing w:line="360" w:lineRule="auto"/>
        <w:jc w:val="center"/>
        <w:rPr>
          <w:rFonts w:hint="eastAsia" w:ascii="宋体" w:hAnsi="宋体" w:eastAsia="宋体" w:cs="宋体"/>
        </w:rPr>
      </w:pPr>
      <w:r>
        <w:rPr>
          <w:rFonts w:hint="eastAsia" w:ascii="宋体" w:hAnsi="宋体" w:eastAsia="宋体" w:cs="宋体"/>
        </w:rPr>
        <w:t>（投标人属于中小企业的填写，不属于的无需填写此项内容）</w:t>
      </w:r>
    </w:p>
    <w:p>
      <w:pPr>
        <w:pStyle w:val="408"/>
        <w:kinsoku/>
        <w:wordWrap/>
        <w:overflowPunct/>
        <w:topLinePunct/>
        <w:autoSpaceDE/>
        <w:autoSpaceDN/>
        <w:bidi w:val="0"/>
        <w:spacing w:line="360" w:lineRule="auto"/>
        <w:ind w:firstLine="420" w:firstLineChars="200"/>
        <w:rPr>
          <w:rFonts w:hint="eastAsia" w:ascii="宋体" w:hAnsi="宋体" w:eastAsia="宋体" w:cs="宋体"/>
          <w:kern w:val="0"/>
        </w:rPr>
      </w:pPr>
      <w:r>
        <w:rPr>
          <w:rFonts w:hint="eastAsia" w:ascii="宋体" w:hAnsi="宋体" w:eastAsia="宋体" w:cs="宋体"/>
          <w:kern w:val="0"/>
        </w:rPr>
        <w:t>本公司郑重声明，根据《政府采购促进中小企业发展管理办法》（财库﹝2020﹞46 号）的规定，本公司参加</w:t>
      </w:r>
      <w:r>
        <w:rPr>
          <w:rFonts w:hint="eastAsia" w:ascii="宋体" w:hAnsi="宋体" w:eastAsia="宋体" w:cs="宋体"/>
          <w:kern w:val="0"/>
          <w:u w:val="single"/>
        </w:rPr>
        <w:t xml:space="preserve">（单位名称）            </w:t>
      </w:r>
      <w:r>
        <w:rPr>
          <w:rFonts w:hint="eastAsia" w:ascii="宋体" w:hAnsi="宋体" w:eastAsia="宋体" w:cs="宋体"/>
          <w:kern w:val="0"/>
        </w:rPr>
        <w:t>的</w:t>
      </w:r>
      <w:r>
        <w:rPr>
          <w:rFonts w:hint="eastAsia" w:ascii="宋体" w:hAnsi="宋体" w:eastAsia="宋体" w:cs="宋体"/>
          <w:kern w:val="0"/>
          <w:u w:val="single"/>
        </w:rPr>
        <w:t xml:space="preserve">（项目名称）         </w:t>
      </w:r>
      <w:r>
        <w:rPr>
          <w:rFonts w:hint="eastAsia" w:ascii="宋体" w:hAnsi="宋体" w:eastAsia="宋体" w:cs="宋体"/>
          <w:kern w:val="0"/>
        </w:rPr>
        <w:t>采购活动，服务全部由符合政策要求的中小企业承接。相关企业（含联合体中的中小企业、签订分包意向协议的中小企业）的具体情况如下：</w:t>
      </w:r>
    </w:p>
    <w:p>
      <w:pPr>
        <w:widowControl/>
        <w:numPr>
          <w:ilvl w:val="0"/>
          <w:numId w:val="41"/>
        </w:numPr>
        <w:kinsoku/>
        <w:wordWrap/>
        <w:overflowPunct/>
        <w:topLinePunct/>
        <w:autoSpaceDE/>
        <w:autoSpaceDN/>
        <w:bidi w:val="0"/>
        <w:spacing w:after="240" w:line="360" w:lineRule="auto"/>
        <w:ind w:firstLine="480"/>
        <w:jc w:val="left"/>
        <w:textAlignment w:val="baseline"/>
        <w:rPr>
          <w:rFonts w:hint="eastAsia" w:ascii="宋体" w:hAnsi="宋体" w:eastAsia="宋体" w:cs="宋体"/>
          <w:kern w:val="0"/>
        </w:rPr>
      </w:pPr>
      <w:r>
        <w:rPr>
          <w:rFonts w:hint="eastAsia" w:ascii="宋体" w:hAnsi="宋体" w:eastAsia="宋体" w:cs="宋体"/>
          <w:kern w:val="0"/>
          <w:u w:val="single"/>
        </w:rPr>
        <w:t xml:space="preserve">（标的名称）         </w:t>
      </w:r>
      <w:r>
        <w:rPr>
          <w:rFonts w:hint="eastAsia" w:ascii="宋体" w:hAnsi="宋体" w:eastAsia="宋体" w:cs="宋体"/>
          <w:kern w:val="0"/>
        </w:rPr>
        <w:t>，属于</w:t>
      </w:r>
      <w:r>
        <w:rPr>
          <w:rFonts w:hint="eastAsia" w:ascii="宋体" w:hAnsi="宋体" w:eastAsia="宋体" w:cs="宋体"/>
          <w:kern w:val="0"/>
          <w:u w:val="single"/>
        </w:rPr>
        <w:t xml:space="preserve">（采购文件中明确的所属行业）              </w:t>
      </w:r>
      <w:r>
        <w:rPr>
          <w:rFonts w:hint="eastAsia" w:ascii="宋体" w:hAnsi="宋体" w:eastAsia="宋体" w:cs="宋体"/>
          <w:kern w:val="0"/>
        </w:rPr>
        <w:t>行业；承接为</w:t>
      </w:r>
      <w:r>
        <w:rPr>
          <w:rFonts w:hint="eastAsia" w:ascii="宋体" w:hAnsi="宋体" w:eastAsia="宋体" w:cs="宋体"/>
          <w:kern w:val="0"/>
          <w:u w:val="single"/>
        </w:rPr>
        <w:t xml:space="preserve">（企业名称）           </w:t>
      </w:r>
      <w:r>
        <w:rPr>
          <w:rFonts w:hint="eastAsia" w:ascii="宋体" w:hAnsi="宋体" w:eastAsia="宋体" w:cs="宋体"/>
          <w:kern w:val="0"/>
        </w:rPr>
        <w:t>，从业人员</w:t>
      </w:r>
      <w:r>
        <w:rPr>
          <w:rFonts w:hint="eastAsia" w:ascii="宋体" w:hAnsi="宋体" w:eastAsia="宋体" w:cs="宋体"/>
          <w:kern w:val="0"/>
          <w:u w:val="single"/>
        </w:rPr>
        <w:t xml:space="preserve">      </w:t>
      </w:r>
      <w:r>
        <w:rPr>
          <w:rFonts w:hint="eastAsia" w:ascii="宋体" w:hAnsi="宋体" w:eastAsia="宋体" w:cs="宋体"/>
          <w:kern w:val="0"/>
        </w:rPr>
        <w:t>人，营业收入为</w:t>
      </w:r>
      <w:r>
        <w:rPr>
          <w:rFonts w:hint="eastAsia" w:ascii="宋体" w:hAnsi="宋体" w:eastAsia="宋体" w:cs="宋体"/>
          <w:kern w:val="0"/>
          <w:u w:val="single"/>
        </w:rPr>
        <w:t xml:space="preserve">     </w:t>
      </w:r>
      <w:r>
        <w:rPr>
          <w:rFonts w:hint="eastAsia" w:ascii="宋体" w:hAnsi="宋体" w:eastAsia="宋体" w:cs="宋体"/>
          <w:kern w:val="0"/>
        </w:rPr>
        <w:t>万元，资产总额为</w:t>
      </w:r>
      <w:r>
        <w:rPr>
          <w:rFonts w:hint="eastAsia" w:ascii="宋体" w:hAnsi="宋体" w:eastAsia="宋体" w:cs="宋体"/>
          <w:kern w:val="0"/>
          <w:u w:val="single"/>
        </w:rPr>
        <w:t xml:space="preserve">     </w:t>
      </w:r>
      <w:r>
        <w:rPr>
          <w:rFonts w:hint="eastAsia" w:ascii="宋体" w:hAnsi="宋体" w:eastAsia="宋体" w:cs="宋体"/>
          <w:kern w:val="0"/>
        </w:rPr>
        <w:t>万元，属于</w:t>
      </w:r>
      <w:r>
        <w:rPr>
          <w:rFonts w:hint="eastAsia" w:ascii="宋体" w:hAnsi="宋体" w:eastAsia="宋体" w:cs="宋体"/>
          <w:kern w:val="0"/>
          <w:u w:val="single"/>
        </w:rPr>
        <w:t>（中型企业、小型企业、微型企业）</w:t>
      </w:r>
      <w:r>
        <w:rPr>
          <w:rFonts w:hint="eastAsia" w:ascii="宋体" w:hAnsi="宋体" w:eastAsia="宋体" w:cs="宋体"/>
          <w:kern w:val="0"/>
        </w:rPr>
        <w:t>；</w:t>
      </w:r>
    </w:p>
    <w:p>
      <w:pPr>
        <w:widowControl/>
        <w:numPr>
          <w:ilvl w:val="0"/>
          <w:numId w:val="41"/>
        </w:numPr>
        <w:kinsoku/>
        <w:wordWrap/>
        <w:overflowPunct/>
        <w:topLinePunct/>
        <w:autoSpaceDE/>
        <w:autoSpaceDN/>
        <w:bidi w:val="0"/>
        <w:spacing w:after="240" w:line="360" w:lineRule="auto"/>
        <w:ind w:firstLine="480"/>
        <w:jc w:val="left"/>
        <w:textAlignment w:val="baseline"/>
        <w:rPr>
          <w:rFonts w:hint="eastAsia" w:ascii="宋体" w:hAnsi="宋体" w:eastAsia="宋体" w:cs="宋体"/>
          <w:kern w:val="0"/>
        </w:rPr>
      </w:pPr>
      <w:r>
        <w:rPr>
          <w:rFonts w:hint="eastAsia" w:ascii="宋体" w:hAnsi="宋体" w:eastAsia="宋体" w:cs="宋体"/>
          <w:kern w:val="0"/>
          <w:u w:val="single"/>
        </w:rPr>
        <w:t xml:space="preserve">（标的名称）                   </w:t>
      </w:r>
      <w:r>
        <w:rPr>
          <w:rFonts w:hint="eastAsia" w:ascii="宋体" w:hAnsi="宋体" w:eastAsia="宋体" w:cs="宋体"/>
          <w:kern w:val="0"/>
        </w:rPr>
        <w:t xml:space="preserve"> ，属于</w:t>
      </w:r>
      <w:r>
        <w:rPr>
          <w:rFonts w:hint="eastAsia" w:ascii="宋体" w:hAnsi="宋体" w:eastAsia="宋体" w:cs="宋体"/>
          <w:kern w:val="0"/>
          <w:u w:val="single"/>
        </w:rPr>
        <w:t xml:space="preserve">（采购文件中明确的所属行业）      </w:t>
      </w:r>
      <w:r>
        <w:rPr>
          <w:rFonts w:hint="eastAsia" w:ascii="宋体" w:hAnsi="宋体" w:eastAsia="宋体" w:cs="宋体"/>
          <w:kern w:val="0"/>
        </w:rPr>
        <w:t>行业；承接为</w:t>
      </w:r>
      <w:r>
        <w:rPr>
          <w:rFonts w:hint="eastAsia" w:ascii="宋体" w:hAnsi="宋体" w:eastAsia="宋体" w:cs="宋体"/>
          <w:kern w:val="0"/>
          <w:u w:val="single"/>
        </w:rPr>
        <w:t xml:space="preserve">（企业名称）            </w:t>
      </w:r>
      <w:r>
        <w:rPr>
          <w:rFonts w:hint="eastAsia" w:ascii="宋体" w:hAnsi="宋体" w:eastAsia="宋体" w:cs="宋体"/>
          <w:kern w:val="0"/>
        </w:rPr>
        <w:t>，从业人员</w:t>
      </w:r>
      <w:r>
        <w:rPr>
          <w:rFonts w:hint="eastAsia" w:ascii="宋体" w:hAnsi="宋体" w:eastAsia="宋体" w:cs="宋体"/>
          <w:kern w:val="0"/>
          <w:u w:val="single"/>
        </w:rPr>
        <w:t xml:space="preserve">      </w:t>
      </w:r>
      <w:r>
        <w:rPr>
          <w:rFonts w:hint="eastAsia" w:ascii="宋体" w:hAnsi="宋体" w:eastAsia="宋体" w:cs="宋体"/>
          <w:kern w:val="0"/>
        </w:rPr>
        <w:t>人，营业收入为</w:t>
      </w:r>
      <w:r>
        <w:rPr>
          <w:rFonts w:hint="eastAsia" w:ascii="宋体" w:hAnsi="宋体" w:eastAsia="宋体" w:cs="宋体"/>
          <w:kern w:val="0"/>
          <w:u w:val="single"/>
        </w:rPr>
        <w:t xml:space="preserve">      </w:t>
      </w:r>
      <w:r>
        <w:rPr>
          <w:rFonts w:hint="eastAsia" w:ascii="宋体" w:hAnsi="宋体" w:eastAsia="宋体" w:cs="宋体"/>
          <w:kern w:val="0"/>
        </w:rPr>
        <w:t>万元，资产总额为</w:t>
      </w:r>
      <w:r>
        <w:rPr>
          <w:rFonts w:hint="eastAsia" w:ascii="宋体" w:hAnsi="宋体" w:eastAsia="宋体" w:cs="宋体"/>
          <w:kern w:val="0"/>
          <w:u w:val="single"/>
        </w:rPr>
        <w:t xml:space="preserve">      </w:t>
      </w:r>
      <w:r>
        <w:rPr>
          <w:rFonts w:hint="eastAsia" w:ascii="宋体" w:hAnsi="宋体" w:eastAsia="宋体" w:cs="宋体"/>
          <w:kern w:val="0"/>
        </w:rPr>
        <w:t>万元，属于</w:t>
      </w:r>
      <w:r>
        <w:rPr>
          <w:rFonts w:hint="eastAsia" w:ascii="宋体" w:hAnsi="宋体" w:eastAsia="宋体" w:cs="宋体"/>
          <w:kern w:val="0"/>
          <w:u w:val="single"/>
        </w:rPr>
        <w:t>（中型企业、小型企业、微型企业）</w:t>
      </w:r>
      <w:r>
        <w:rPr>
          <w:rFonts w:hint="eastAsia" w:ascii="宋体" w:hAnsi="宋体" w:eastAsia="宋体" w:cs="宋体"/>
          <w:kern w:val="0"/>
        </w:rPr>
        <w:t>；</w:t>
      </w:r>
    </w:p>
    <w:p>
      <w:pPr>
        <w:widowControl/>
        <w:kinsoku/>
        <w:wordWrap/>
        <w:overflowPunct/>
        <w:topLinePunct/>
        <w:autoSpaceDE/>
        <w:autoSpaceDN/>
        <w:bidi w:val="0"/>
        <w:spacing w:after="240" w:line="360" w:lineRule="auto"/>
        <w:ind w:firstLine="480"/>
        <w:jc w:val="left"/>
        <w:textAlignment w:val="baseline"/>
        <w:rPr>
          <w:rFonts w:hint="eastAsia" w:ascii="宋体" w:hAnsi="宋体" w:eastAsia="宋体" w:cs="宋体"/>
        </w:rPr>
      </w:pPr>
      <w:r>
        <w:rPr>
          <w:rFonts w:hint="eastAsia" w:ascii="宋体" w:hAnsi="宋体" w:eastAsia="宋体" w:cs="宋体"/>
          <w:kern w:val="0"/>
        </w:rPr>
        <w:t>……</w:t>
      </w:r>
    </w:p>
    <w:p>
      <w:pPr>
        <w:kinsoku/>
        <w:wordWrap/>
        <w:overflowPunct/>
        <w:topLinePunct/>
        <w:autoSpaceDE/>
        <w:autoSpaceDN/>
        <w:bidi w:val="0"/>
        <w:spacing w:line="360" w:lineRule="auto"/>
        <w:ind w:firstLine="420" w:firstLineChars="200"/>
        <w:rPr>
          <w:rFonts w:hint="eastAsia" w:ascii="宋体" w:hAnsi="宋体" w:eastAsia="宋体" w:cs="宋体"/>
        </w:rPr>
      </w:pPr>
      <w:r>
        <w:rPr>
          <w:rFonts w:hint="eastAsia" w:ascii="宋体" w:hAnsi="宋体" w:eastAsia="宋体" w:cs="宋体"/>
        </w:rPr>
        <w:t>以上企业，不属于大企业的分支机构，不存在控股股东为大企业的情形，也不存在与大企业的负责人为同一人的情形。</w:t>
      </w:r>
    </w:p>
    <w:p>
      <w:pPr>
        <w:kinsoku/>
        <w:wordWrap/>
        <w:overflowPunct/>
        <w:topLinePunct/>
        <w:autoSpaceDE/>
        <w:autoSpaceDN/>
        <w:bidi w:val="0"/>
        <w:spacing w:line="360" w:lineRule="auto"/>
        <w:ind w:firstLine="420" w:firstLineChars="200"/>
        <w:rPr>
          <w:rFonts w:hint="eastAsia" w:ascii="宋体" w:hAnsi="宋体" w:eastAsia="宋体" w:cs="宋体"/>
        </w:rPr>
      </w:pPr>
      <w:r>
        <w:rPr>
          <w:rFonts w:hint="eastAsia" w:ascii="宋体" w:hAnsi="宋体" w:eastAsia="宋体" w:cs="宋体"/>
        </w:rPr>
        <w:t>本企业对上述声明内容的真实性负责。如有虚假，将依法承担相应责任。</w:t>
      </w:r>
    </w:p>
    <w:p>
      <w:pPr>
        <w:widowControl/>
        <w:kinsoku/>
        <w:wordWrap/>
        <w:overflowPunct/>
        <w:topLinePunct/>
        <w:autoSpaceDE/>
        <w:autoSpaceDN/>
        <w:bidi w:val="0"/>
        <w:spacing w:after="240" w:line="360" w:lineRule="auto"/>
        <w:ind w:firstLine="480"/>
        <w:jc w:val="left"/>
        <w:textAlignment w:val="baseline"/>
        <w:rPr>
          <w:rFonts w:hint="eastAsia" w:ascii="宋体" w:hAnsi="宋体" w:eastAsia="宋体" w:cs="宋体"/>
          <w:kern w:val="0"/>
        </w:rPr>
      </w:pPr>
      <w:r>
        <w:rPr>
          <w:rFonts w:hint="eastAsia" w:ascii="宋体" w:hAnsi="宋体" w:eastAsia="宋体" w:cs="宋体"/>
          <w:kern w:val="0"/>
        </w:rPr>
        <w:t>企业名称：</w:t>
      </w:r>
      <w:r>
        <w:rPr>
          <w:rFonts w:hint="eastAsia" w:ascii="宋体" w:hAnsi="宋体" w:eastAsia="宋体" w:cs="宋体"/>
          <w:kern w:val="0"/>
          <w:u w:val="single"/>
        </w:rPr>
        <w:t xml:space="preserve">                      </w:t>
      </w:r>
      <w:r>
        <w:rPr>
          <w:rFonts w:hint="eastAsia" w:ascii="宋体" w:hAnsi="宋体" w:eastAsia="宋体" w:cs="宋体"/>
          <w:kern w:val="0"/>
        </w:rPr>
        <w:t>（电子签章）</w:t>
      </w:r>
    </w:p>
    <w:p>
      <w:pPr>
        <w:widowControl/>
        <w:kinsoku/>
        <w:wordWrap/>
        <w:overflowPunct/>
        <w:topLinePunct/>
        <w:autoSpaceDE/>
        <w:autoSpaceDN/>
        <w:bidi w:val="0"/>
        <w:spacing w:after="240" w:line="360" w:lineRule="auto"/>
        <w:ind w:firstLine="1890" w:firstLineChars="900"/>
        <w:jc w:val="left"/>
        <w:textAlignment w:val="baseline"/>
        <w:rPr>
          <w:rFonts w:hint="eastAsia" w:ascii="宋体" w:hAnsi="宋体" w:eastAsia="宋体" w:cs="宋体"/>
          <w:kern w:val="0"/>
        </w:rPr>
      </w:pPr>
      <w:r>
        <w:rPr>
          <w:rFonts w:hint="eastAsia" w:ascii="宋体" w:hAnsi="宋体" w:eastAsia="宋体" w:cs="宋体"/>
          <w:u w:val="single"/>
        </w:rPr>
        <w:t xml:space="preserve">     </w:t>
      </w:r>
      <w:r>
        <w:rPr>
          <w:rFonts w:hint="eastAsia" w:ascii="宋体" w:hAnsi="宋体" w:eastAsia="宋体" w:cs="宋体"/>
        </w:rPr>
        <w:t xml:space="preserve"> 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kinsoku/>
        <w:wordWrap/>
        <w:overflowPunct/>
        <w:topLinePunct/>
        <w:autoSpaceDE/>
        <w:autoSpaceDN/>
        <w:bidi w:val="0"/>
        <w:spacing w:line="360" w:lineRule="auto"/>
        <w:rPr>
          <w:rFonts w:hint="eastAsia" w:ascii="宋体" w:hAnsi="宋体" w:eastAsia="宋体" w:cs="宋体"/>
        </w:rPr>
      </w:pPr>
      <w:r>
        <w:rPr>
          <w:rFonts w:hint="eastAsia" w:ascii="宋体" w:hAnsi="宋体" w:eastAsia="宋体" w:cs="宋体"/>
        </w:rPr>
        <w:t>说明：</w:t>
      </w:r>
    </w:p>
    <w:p>
      <w:pPr>
        <w:kinsoku/>
        <w:wordWrap/>
        <w:overflowPunct/>
        <w:topLinePunct/>
        <w:autoSpaceDE/>
        <w:autoSpaceDN/>
        <w:bidi w:val="0"/>
        <w:spacing w:line="360" w:lineRule="auto"/>
        <w:rPr>
          <w:rFonts w:hint="eastAsia" w:ascii="宋体" w:hAnsi="宋体" w:eastAsia="宋体" w:cs="宋体"/>
        </w:rPr>
      </w:pPr>
      <w:r>
        <w:rPr>
          <w:rFonts w:hint="eastAsia" w:ascii="宋体" w:hAnsi="宋体" w:eastAsia="宋体" w:cs="宋体"/>
        </w:rPr>
        <w:t>（1）该声明函是针对小微型企业的，非小型、微型企业不用提供该声明。</w:t>
      </w:r>
    </w:p>
    <w:p>
      <w:pPr>
        <w:kinsoku/>
        <w:wordWrap/>
        <w:overflowPunct/>
        <w:topLinePunct/>
        <w:autoSpaceDE/>
        <w:autoSpaceDN/>
        <w:bidi w:val="0"/>
        <w:spacing w:line="360" w:lineRule="auto"/>
        <w:rPr>
          <w:rFonts w:hint="eastAsia" w:ascii="宋体" w:hAnsi="宋体" w:eastAsia="宋体" w:cs="宋体"/>
          <w:highlight w:val="none"/>
        </w:rPr>
      </w:pPr>
      <w:r>
        <w:rPr>
          <w:rFonts w:hint="eastAsia" w:ascii="宋体" w:hAnsi="宋体" w:eastAsia="宋体" w:cs="宋体"/>
        </w:rPr>
        <w:t>（2）根据《政府采购促</w:t>
      </w:r>
      <w:r>
        <w:rPr>
          <w:rFonts w:hint="eastAsia" w:ascii="宋体" w:hAnsi="宋体" w:eastAsia="宋体" w:cs="宋体"/>
          <w:highlight w:val="none"/>
        </w:rPr>
        <w:t>进中小企业发展暂行办法》(财库</w:t>
      </w:r>
      <w:r>
        <w:rPr>
          <w:rFonts w:hint="eastAsia" w:ascii="宋体" w:hAnsi="宋体" w:eastAsia="宋体" w:cs="宋体"/>
          <w:kern w:val="0"/>
          <w:highlight w:val="none"/>
        </w:rPr>
        <w:t>﹝2020﹞46 号</w:t>
      </w:r>
      <w:r>
        <w:rPr>
          <w:rFonts w:hint="eastAsia" w:ascii="宋体" w:hAnsi="宋体" w:eastAsia="宋体" w:cs="宋体"/>
          <w:highlight w:val="none"/>
        </w:rPr>
        <w:t xml:space="preserve">)的规定，对于非专门面向中小企业的项目，对小型和微型企业产品的价格给予 </w:t>
      </w:r>
      <w:r>
        <w:rPr>
          <w:rFonts w:hint="eastAsia" w:ascii="宋体" w:hAnsi="宋体" w:cs="宋体"/>
          <w:highlight w:val="none"/>
          <w:lang w:eastAsia="zh-CN"/>
        </w:rPr>
        <w:t>10%</w:t>
      </w:r>
      <w:r>
        <w:rPr>
          <w:rFonts w:hint="eastAsia" w:ascii="宋体" w:hAnsi="宋体" w:eastAsia="宋体" w:cs="宋体"/>
          <w:highlight w:val="none"/>
        </w:rPr>
        <w:t>的扣除，用扣除后的价格参与评审。</w:t>
      </w:r>
    </w:p>
    <w:p>
      <w:pPr>
        <w:pStyle w:val="44"/>
        <w:kinsoku/>
        <w:wordWrap/>
        <w:overflowPunct/>
        <w:topLinePunct/>
        <w:autoSpaceDE/>
        <w:autoSpaceDN/>
        <w:bidi w:val="0"/>
        <w:spacing w:line="360" w:lineRule="auto"/>
        <w:rPr>
          <w:rFonts w:hint="eastAsia" w:ascii="宋体" w:hAnsi="宋体" w:eastAsia="宋体" w:cs="宋体"/>
          <w:highlight w:val="none"/>
        </w:rPr>
      </w:pPr>
      <w:r>
        <w:rPr>
          <w:rFonts w:hint="eastAsia" w:ascii="宋体" w:hAnsi="宋体" w:eastAsia="宋体" w:cs="宋体"/>
          <w:szCs w:val="21"/>
          <w:highlight w:val="none"/>
        </w:rPr>
        <w:t>（4）必须提供中小企业声明函。</w:t>
      </w:r>
    </w:p>
    <w:p>
      <w:pPr>
        <w:pStyle w:val="3"/>
        <w:bidi w:val="0"/>
        <w:rPr>
          <w:rFonts w:hint="eastAsia" w:ascii="宋体" w:hAnsi="宋体" w:eastAsia="宋体" w:cs="宋体"/>
          <w:b/>
          <w:sz w:val="24"/>
          <w:szCs w:val="24"/>
        </w:rPr>
      </w:pPr>
      <w:bookmarkStart w:id="90" w:name="OLE_LINK13"/>
      <w:bookmarkStart w:id="91" w:name="OLE_LINK14"/>
      <w:r>
        <w:rPr>
          <w:rFonts w:hint="eastAsia" w:ascii="宋体" w:hAnsi="宋体" w:eastAsia="宋体" w:cs="宋体"/>
          <w:b/>
          <w:sz w:val="24"/>
          <w:szCs w:val="24"/>
        </w:rPr>
        <w:br w:type="page"/>
      </w:r>
      <w:bookmarkStart w:id="92" w:name="_Toc25092"/>
      <w:r>
        <w:rPr>
          <w:rFonts w:hint="eastAsia" w:ascii="宋体" w:hAnsi="宋体" w:eastAsia="宋体" w:cs="宋体"/>
          <w:b/>
          <w:sz w:val="24"/>
          <w:szCs w:val="24"/>
        </w:rPr>
        <w:t>残疾人福利性单位声明函</w:t>
      </w:r>
      <w:bookmarkEnd w:id="92"/>
    </w:p>
    <w:bookmarkEnd w:id="90"/>
    <w:bookmarkEnd w:id="91"/>
    <w:p>
      <w:pPr>
        <w:kinsoku/>
        <w:wordWrap/>
        <w:overflowPunct/>
        <w:topLinePunct/>
        <w:autoSpaceDE/>
        <w:autoSpaceDN/>
        <w:bidi w:val="0"/>
        <w:spacing w:line="588" w:lineRule="exact"/>
        <w:rPr>
          <w:rFonts w:hint="eastAsia" w:ascii="宋体" w:hAnsi="宋体" w:eastAsia="宋体" w:cs="宋体"/>
          <w:b/>
          <w:spacing w:val="6"/>
          <w:sz w:val="30"/>
          <w:szCs w:val="30"/>
        </w:rPr>
      </w:pPr>
    </w:p>
    <w:p>
      <w:pPr>
        <w:kinsoku/>
        <w:wordWrap/>
        <w:overflowPunct/>
        <w:topLinePunct/>
        <w:autoSpaceDE/>
        <w:autoSpaceDN/>
        <w:bidi w:val="0"/>
        <w:spacing w:line="360" w:lineRule="auto"/>
        <w:ind w:firstLine="630" w:firstLineChars="300"/>
        <w:rPr>
          <w:rFonts w:hint="eastAsia" w:ascii="宋体" w:hAnsi="宋体" w:eastAsia="宋体" w:cs="宋体"/>
        </w:rPr>
      </w:pPr>
      <w:r>
        <w:rPr>
          <w:rFonts w:hint="eastAsia" w:ascii="宋体" w:hAnsi="宋体" w:eastAsia="宋体" w:cs="宋体"/>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insoku/>
        <w:wordWrap/>
        <w:overflowPunct/>
        <w:topLinePunct/>
        <w:autoSpaceDE/>
        <w:autoSpaceDN/>
        <w:bidi w:val="0"/>
        <w:spacing w:line="360" w:lineRule="auto"/>
        <w:rPr>
          <w:rFonts w:hint="eastAsia" w:ascii="宋体" w:hAnsi="宋体" w:eastAsia="宋体" w:cs="宋体"/>
        </w:rPr>
      </w:pPr>
      <w:r>
        <w:rPr>
          <w:rFonts w:hint="eastAsia" w:ascii="宋体" w:hAnsi="宋体" w:eastAsia="宋体" w:cs="宋体"/>
        </w:rPr>
        <w:t>本单位对上述声明的真实性负责。如有虚假，将依法承担相应责任。</w:t>
      </w:r>
    </w:p>
    <w:p>
      <w:pPr>
        <w:kinsoku/>
        <w:wordWrap/>
        <w:overflowPunct/>
        <w:topLinePunct/>
        <w:autoSpaceDE/>
        <w:autoSpaceDN/>
        <w:bidi w:val="0"/>
        <w:spacing w:line="360" w:lineRule="auto"/>
        <w:rPr>
          <w:rFonts w:hint="eastAsia" w:ascii="宋体" w:hAnsi="宋体" w:eastAsia="宋体" w:cs="宋体"/>
        </w:rPr>
      </w:pPr>
    </w:p>
    <w:p>
      <w:pPr>
        <w:kinsoku/>
        <w:wordWrap/>
        <w:overflowPunct/>
        <w:topLinePunct/>
        <w:autoSpaceDE/>
        <w:autoSpaceDN/>
        <w:bidi w:val="0"/>
        <w:spacing w:line="360" w:lineRule="auto"/>
        <w:jc w:val="right"/>
        <w:rPr>
          <w:rFonts w:hint="eastAsia" w:ascii="宋体" w:hAnsi="宋体" w:eastAsia="宋体" w:cs="宋体"/>
        </w:rPr>
      </w:pPr>
    </w:p>
    <w:p>
      <w:pPr>
        <w:kinsoku/>
        <w:wordWrap/>
        <w:overflowPunct/>
        <w:topLinePunct/>
        <w:autoSpaceDE/>
        <w:autoSpaceDN/>
        <w:bidi w:val="0"/>
        <w:spacing w:line="360" w:lineRule="auto"/>
        <w:ind w:firstLine="4620" w:firstLineChars="2200"/>
        <w:rPr>
          <w:rFonts w:hint="eastAsia" w:ascii="宋体" w:hAnsi="宋体" w:eastAsia="宋体" w:cs="宋体"/>
        </w:rPr>
      </w:pPr>
      <w:r>
        <w:rPr>
          <w:rFonts w:hint="eastAsia" w:ascii="宋体" w:hAnsi="宋体" w:eastAsia="宋体" w:cs="宋体"/>
        </w:rPr>
        <w:t xml:space="preserve">  单位名称：</w:t>
      </w:r>
      <w:r>
        <w:rPr>
          <w:rFonts w:hint="eastAsia" w:ascii="宋体" w:hAnsi="宋体" w:eastAsia="宋体" w:cs="宋体"/>
          <w:u w:val="single"/>
        </w:rPr>
        <w:t xml:space="preserve">                </w:t>
      </w:r>
      <w:r>
        <w:rPr>
          <w:rFonts w:hint="eastAsia" w:ascii="宋体" w:hAnsi="宋体" w:eastAsia="宋体" w:cs="宋体"/>
        </w:rPr>
        <w:t>（</w:t>
      </w:r>
      <w:r>
        <w:rPr>
          <w:rFonts w:hint="eastAsia" w:ascii="宋体" w:hAnsi="宋体" w:eastAsia="宋体" w:cs="宋体"/>
          <w:kern w:val="0"/>
        </w:rPr>
        <w:t>电子签章</w:t>
      </w:r>
      <w:r>
        <w:rPr>
          <w:rFonts w:hint="eastAsia" w:ascii="宋体" w:hAnsi="宋体" w:eastAsia="宋体" w:cs="宋体"/>
        </w:rPr>
        <w:t xml:space="preserve">） </w:t>
      </w:r>
    </w:p>
    <w:p>
      <w:pPr>
        <w:pStyle w:val="382"/>
        <w:kinsoku/>
        <w:wordWrap/>
        <w:overflowPunct/>
        <w:topLinePunct/>
        <w:autoSpaceDE/>
        <w:autoSpaceDN/>
        <w:bidi w:val="0"/>
        <w:spacing w:line="360" w:lineRule="auto"/>
        <w:ind w:right="444"/>
        <w:jc w:val="right"/>
        <w:rPr>
          <w:rFonts w:hint="eastAsia" w:ascii="宋体" w:hAnsi="宋体" w:eastAsia="宋体" w:cs="宋体"/>
          <w:sz w:val="21"/>
        </w:rPr>
      </w:pPr>
      <w:r>
        <w:rPr>
          <w:rFonts w:hint="eastAsia" w:ascii="宋体" w:hAnsi="宋体" w:eastAsia="宋体" w:cs="宋体"/>
          <w:sz w:val="21"/>
          <w:u w:val="single"/>
        </w:rPr>
        <w:t xml:space="preserve">     </w:t>
      </w:r>
      <w:r>
        <w:rPr>
          <w:rFonts w:hint="eastAsia" w:ascii="宋体" w:hAnsi="宋体" w:eastAsia="宋体" w:cs="宋体"/>
          <w:sz w:val="21"/>
        </w:rPr>
        <w:t xml:space="preserve"> 年</w:t>
      </w:r>
      <w:r>
        <w:rPr>
          <w:rFonts w:hint="eastAsia" w:ascii="宋体" w:hAnsi="宋体" w:eastAsia="宋体" w:cs="宋体"/>
          <w:sz w:val="21"/>
          <w:u w:val="single"/>
        </w:rPr>
        <w:t xml:space="preserve">       </w:t>
      </w:r>
      <w:r>
        <w:rPr>
          <w:rFonts w:hint="eastAsia" w:ascii="宋体" w:hAnsi="宋体" w:eastAsia="宋体" w:cs="宋体"/>
          <w:sz w:val="21"/>
        </w:rPr>
        <w:t>月</w:t>
      </w:r>
      <w:r>
        <w:rPr>
          <w:rFonts w:hint="eastAsia" w:ascii="宋体" w:hAnsi="宋体" w:eastAsia="宋体" w:cs="宋体"/>
          <w:sz w:val="21"/>
          <w:u w:val="single"/>
        </w:rPr>
        <w:t xml:space="preserve">      </w:t>
      </w:r>
      <w:r>
        <w:rPr>
          <w:rFonts w:hint="eastAsia" w:ascii="宋体" w:hAnsi="宋体" w:eastAsia="宋体" w:cs="宋体"/>
          <w:sz w:val="21"/>
        </w:rPr>
        <w:t>日</w:t>
      </w:r>
    </w:p>
    <w:p>
      <w:pPr>
        <w:kinsoku/>
        <w:wordWrap/>
        <w:overflowPunct/>
        <w:topLinePunct/>
        <w:autoSpaceDE/>
        <w:autoSpaceDN/>
        <w:bidi w:val="0"/>
        <w:rPr>
          <w:rFonts w:hint="eastAsia" w:ascii="宋体" w:hAnsi="宋体" w:eastAsia="宋体" w:cs="宋体"/>
          <w:b/>
          <w:bCs/>
          <w:sz w:val="24"/>
        </w:rPr>
      </w:pPr>
      <w:bookmarkStart w:id="93" w:name="_Toc6550"/>
      <w:bookmarkStart w:id="94" w:name="_Toc25756"/>
      <w:bookmarkStart w:id="95" w:name="_Toc10019"/>
      <w:bookmarkStart w:id="96" w:name="_Toc16058"/>
      <w:r>
        <w:rPr>
          <w:rFonts w:hint="eastAsia" w:ascii="宋体" w:hAnsi="宋体" w:eastAsia="宋体" w:cs="宋体"/>
          <w:b/>
          <w:bCs/>
          <w:sz w:val="24"/>
        </w:rPr>
        <w:br w:type="page"/>
      </w:r>
      <w:r>
        <w:rPr>
          <w:rFonts w:hint="eastAsia" w:ascii="宋体" w:hAnsi="宋体" w:eastAsia="宋体" w:cs="宋体"/>
          <w:b/>
          <w:bCs/>
          <w:sz w:val="24"/>
        </w:rPr>
        <w:t>附表一：中小企业价格增加办法</w:t>
      </w:r>
      <w:bookmarkEnd w:id="93"/>
      <w:bookmarkEnd w:id="94"/>
      <w:bookmarkEnd w:id="95"/>
      <w:bookmarkEnd w:id="96"/>
    </w:p>
    <w:tbl>
      <w:tblPr>
        <w:tblStyle w:val="8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726"/>
        <w:gridCol w:w="7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15"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726"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项目</w:t>
            </w:r>
          </w:p>
        </w:tc>
        <w:tc>
          <w:tcPr>
            <w:tcW w:w="7013"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15"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1</w:t>
            </w:r>
          </w:p>
        </w:tc>
        <w:tc>
          <w:tcPr>
            <w:tcW w:w="1726"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本项目是否属于专门面向中小企业和监狱企业的政府采购活动</w:t>
            </w:r>
          </w:p>
        </w:tc>
        <w:tc>
          <w:tcPr>
            <w:tcW w:w="7013" w:type="dxa"/>
            <w:vAlign w:val="center"/>
          </w:tcPr>
          <w:p>
            <w:pPr>
              <w:keepNext w:val="0"/>
              <w:keepLines w:val="0"/>
              <w:pageBreakBefore w:val="0"/>
              <w:kinsoku/>
              <w:wordWrap/>
              <w:overflowPunct/>
              <w:topLinePunct/>
              <w:autoSpaceDE/>
              <w:autoSpaceDN/>
              <w:bidi w:val="0"/>
              <w:adjustRightInd/>
              <w:snapToGrid/>
              <w:spacing w:line="276" w:lineRule="auto"/>
              <w:ind w:firstLine="2520" w:firstLineChars="1200"/>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15"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2</w:t>
            </w:r>
          </w:p>
        </w:tc>
        <w:tc>
          <w:tcPr>
            <w:tcW w:w="1726"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sz w:val="21"/>
                <w:szCs w:val="21"/>
              </w:rPr>
            </w:pPr>
            <w:r>
              <w:rPr>
                <w:rFonts w:hint="eastAsia" w:ascii="宋体" w:hAnsi="宋体" w:eastAsia="宋体" w:cs="宋体"/>
                <w:b/>
                <w:sz w:val="21"/>
                <w:szCs w:val="21"/>
              </w:rPr>
              <w:t>中小企业的认定标准</w:t>
            </w:r>
          </w:p>
        </w:tc>
        <w:tc>
          <w:tcPr>
            <w:tcW w:w="7013" w:type="dxa"/>
          </w:tcPr>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投标人须同时满足以下两个条件，才能认定为中小企业（含中型、小型、微型企业，下同）：</w:t>
            </w:r>
          </w:p>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一、符合《工业和信息化部、国家统计局、国家发展和改革委员会、财政部关于印发中小企业划型标准规定的通知》（工信部联企业〔2011〕300号）规定的中小企业划分标准；</w:t>
            </w:r>
          </w:p>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注：联合体参与报价的，以联合体中划型标准较高的一方，作为该联合体的企业划型标准。</w:t>
            </w:r>
          </w:p>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二、提供本企业制造的货物，或者提供其他中小企业制造的货物。本项所称货物不包括使用大型企业注册商标的货物；</w:t>
            </w:r>
          </w:p>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sz w:val="21"/>
                <w:szCs w:val="21"/>
              </w:rPr>
            </w:pPr>
            <w:r>
              <w:rPr>
                <w:rFonts w:hint="eastAsia" w:ascii="宋体" w:hAnsi="宋体" w:eastAsia="宋体" w:cs="宋体"/>
                <w:kern w:val="0"/>
                <w:sz w:val="21"/>
                <w:szCs w:val="21"/>
              </w:rPr>
              <w:t>注：小型、微型企业提供中型企业制造的货物的，视同为中型企业；中型企业提供小型、微型企业制造的货物的，视同为中型企业；中小企业提供大型企业制造的货物的，视同为大型企业。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15"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3</w:t>
            </w:r>
          </w:p>
        </w:tc>
        <w:tc>
          <w:tcPr>
            <w:tcW w:w="1726"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监狱企业的认定标准</w:t>
            </w:r>
          </w:p>
        </w:tc>
        <w:tc>
          <w:tcPr>
            <w:tcW w:w="7013" w:type="dxa"/>
          </w:tcPr>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省级及以上监狱管理局、戒毒管理局（含新疆生产建设兵团）出具的属于监狱企业的证明文件。监狱企业视同小型、微型企业。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815"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4</w:t>
            </w:r>
          </w:p>
        </w:tc>
        <w:tc>
          <w:tcPr>
            <w:tcW w:w="1726"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残疾人福利性单位的认定标准</w:t>
            </w:r>
          </w:p>
        </w:tc>
        <w:tc>
          <w:tcPr>
            <w:tcW w:w="7013" w:type="dxa"/>
          </w:tcPr>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投标人需提供残疾人福利性单位声明函。残疾人福利性单位视同小型、微型企业。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815"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5</w:t>
            </w:r>
          </w:p>
        </w:tc>
        <w:tc>
          <w:tcPr>
            <w:tcW w:w="1726" w:type="dxa"/>
            <w:vAlign w:val="center"/>
          </w:tcPr>
          <w:p>
            <w:pPr>
              <w:keepNext w:val="0"/>
              <w:keepLines w:val="0"/>
              <w:pageBreakBefore w:val="0"/>
              <w:kinsoku/>
              <w:wordWrap/>
              <w:overflowPunct/>
              <w:topLinePunct/>
              <w:autoSpaceDE/>
              <w:autoSpaceDN/>
              <w:bidi w:val="0"/>
              <w:adjustRightInd/>
              <w:snapToGrid/>
              <w:spacing w:line="276"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价格扣除办法</w:t>
            </w:r>
          </w:p>
        </w:tc>
        <w:tc>
          <w:tcPr>
            <w:tcW w:w="7013" w:type="dxa"/>
            <w:tcBorders>
              <w:bottom w:val="single" w:color="auto" w:sz="4" w:space="0"/>
            </w:tcBorders>
          </w:tcPr>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小型企业或微型企业：</w:t>
            </w:r>
          </w:p>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价格增加：对于非专门面向中小企业的项目，对小型和微型企业的价格给予</w:t>
            </w:r>
            <w:r>
              <w:rPr>
                <w:rFonts w:hint="eastAsia" w:ascii="宋体" w:hAnsi="宋体" w:eastAsia="宋体" w:cs="宋体"/>
                <w:kern w:val="0"/>
                <w:sz w:val="21"/>
                <w:szCs w:val="21"/>
                <w:lang w:eastAsia="zh-CN"/>
              </w:rPr>
              <w:t>10%</w:t>
            </w:r>
            <w:r>
              <w:rPr>
                <w:rFonts w:hint="eastAsia" w:ascii="宋体" w:hAnsi="宋体" w:eastAsia="宋体" w:cs="宋体"/>
                <w:kern w:val="0"/>
                <w:sz w:val="21"/>
                <w:szCs w:val="21"/>
              </w:rPr>
              <w:t>的</w:t>
            </w:r>
            <w:r>
              <w:rPr>
                <w:rFonts w:hint="eastAsia" w:ascii="宋体" w:hAnsi="宋体" w:eastAsia="宋体" w:cs="宋体"/>
                <w:kern w:val="0"/>
                <w:sz w:val="21"/>
                <w:szCs w:val="21"/>
                <w:lang w:val="en-US" w:eastAsia="zh-CN"/>
              </w:rPr>
              <w:t>扣除</w:t>
            </w:r>
            <w:r>
              <w:rPr>
                <w:rFonts w:hint="eastAsia" w:ascii="宋体" w:hAnsi="宋体" w:eastAsia="宋体" w:cs="宋体"/>
                <w:kern w:val="0"/>
                <w:sz w:val="21"/>
                <w:szCs w:val="21"/>
              </w:rPr>
              <w:t>，用</w:t>
            </w:r>
            <w:r>
              <w:rPr>
                <w:rFonts w:hint="eastAsia" w:ascii="宋体" w:hAnsi="宋体" w:eastAsia="宋体" w:cs="宋体"/>
                <w:kern w:val="0"/>
                <w:sz w:val="21"/>
                <w:szCs w:val="21"/>
                <w:lang w:val="en-US" w:eastAsia="zh-CN"/>
              </w:rPr>
              <w:t>扣除</w:t>
            </w:r>
            <w:r>
              <w:rPr>
                <w:rFonts w:hint="eastAsia" w:ascii="宋体" w:hAnsi="宋体" w:eastAsia="宋体" w:cs="宋体"/>
                <w:kern w:val="0"/>
                <w:sz w:val="21"/>
                <w:szCs w:val="21"/>
              </w:rPr>
              <w:t>的价格参与评审。</w:t>
            </w:r>
          </w:p>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注：大、中型企业与小型、微型企业组成联合体共同参加非专门面向中小企业的政府采购活动的，不视为中小企业。但联合协议中若约定，小型、微型企业的协议合同金额占到联合体协议合同总金额30％以上的，可给予联合体2％的价格</w:t>
            </w:r>
            <w:r>
              <w:rPr>
                <w:rFonts w:hint="eastAsia" w:ascii="宋体" w:hAnsi="宋体" w:eastAsia="宋体" w:cs="宋体"/>
                <w:kern w:val="0"/>
                <w:sz w:val="21"/>
                <w:szCs w:val="21"/>
                <w:lang w:val="en-US" w:eastAsia="zh-CN"/>
              </w:rPr>
              <w:t>扣除</w:t>
            </w:r>
            <w:r>
              <w:rPr>
                <w:rFonts w:hint="eastAsia" w:ascii="宋体" w:hAnsi="宋体" w:eastAsia="宋体" w:cs="宋体"/>
                <w:kern w:val="0"/>
                <w:sz w:val="21"/>
                <w:szCs w:val="21"/>
              </w:rPr>
              <w:t>，用</w:t>
            </w:r>
            <w:r>
              <w:rPr>
                <w:rFonts w:hint="eastAsia" w:ascii="宋体" w:hAnsi="宋体" w:eastAsia="宋体" w:cs="宋体"/>
                <w:kern w:val="0"/>
                <w:sz w:val="21"/>
                <w:szCs w:val="21"/>
                <w:lang w:val="en-US" w:eastAsia="zh-CN"/>
              </w:rPr>
              <w:t>扣除</w:t>
            </w:r>
            <w:r>
              <w:rPr>
                <w:rFonts w:hint="eastAsia" w:ascii="宋体" w:hAnsi="宋体" w:eastAsia="宋体" w:cs="宋体"/>
                <w:kern w:val="0"/>
                <w:sz w:val="21"/>
                <w:szCs w:val="21"/>
              </w:rPr>
              <w:t>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815"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6</w:t>
            </w:r>
          </w:p>
        </w:tc>
        <w:tc>
          <w:tcPr>
            <w:tcW w:w="1726" w:type="dxa"/>
            <w:vAlign w:val="center"/>
          </w:tcPr>
          <w:p>
            <w:pPr>
              <w:keepNext w:val="0"/>
              <w:keepLines w:val="0"/>
              <w:pageBreakBefore w:val="0"/>
              <w:widowControl/>
              <w:kinsoku/>
              <w:wordWrap/>
              <w:overflowPunct/>
              <w:topLinePunct/>
              <w:autoSpaceDE/>
              <w:autoSpaceDN/>
              <w:bidi w:val="0"/>
              <w:adjustRightInd/>
              <w:snapToGrid/>
              <w:spacing w:line="276"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相关风险</w:t>
            </w:r>
          </w:p>
        </w:tc>
        <w:tc>
          <w:tcPr>
            <w:tcW w:w="7013" w:type="dxa"/>
            <w:tcBorders>
              <w:bottom w:val="single" w:color="auto" w:sz="4" w:space="0"/>
            </w:tcBorders>
          </w:tcPr>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提供虚假证明材料后果：</w:t>
            </w:r>
          </w:p>
          <w:p>
            <w:pPr>
              <w:keepNext w:val="0"/>
              <w:keepLines w:val="0"/>
              <w:pageBreakBefore w:val="0"/>
              <w:kinsoku/>
              <w:wordWrap/>
              <w:overflowPunct/>
              <w:topLinePunct/>
              <w:autoSpaceDE/>
              <w:autoSpaceDN/>
              <w:bidi w:val="0"/>
              <w:adjustRightInd/>
              <w:snapToGrid/>
              <w:spacing w:line="276"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投标人为取得中小企业身份而提供虚假证明材料，在评审过程中发现的，按无效投标处理；已取得中标资格的，无论该行为是否影响中标，均取消其中标资格；该投标人还应承担由此引起的其他经济、法律责任。出现此种情形时，采购人、招标代理机构将有关情况上报政府采购监管部门，由监管部门按有关规定对其进行相应处罚。</w:t>
            </w:r>
          </w:p>
        </w:tc>
      </w:tr>
    </w:tbl>
    <w:p>
      <w:pPr>
        <w:kinsoku/>
        <w:wordWrap/>
        <w:overflowPunct/>
        <w:topLinePunct/>
        <w:autoSpaceDE/>
        <w:autoSpaceDN/>
        <w:bidi w:val="0"/>
        <w:rPr>
          <w:rFonts w:hint="eastAsia" w:ascii="宋体" w:hAnsi="宋体" w:eastAsia="宋体" w:cs="宋体"/>
        </w:rPr>
      </w:pPr>
    </w:p>
    <w:p>
      <w:pPr>
        <w:pStyle w:val="3"/>
        <w:bidi w:val="0"/>
        <w:rPr>
          <w:rFonts w:hint="eastAsia" w:ascii="宋体" w:hAnsi="宋体" w:eastAsia="宋体" w:cs="宋体"/>
        </w:rPr>
      </w:pPr>
      <w:bookmarkStart w:id="97" w:name="_Toc16370"/>
      <w:bookmarkStart w:id="98" w:name="_Toc18291"/>
      <w:r>
        <w:rPr>
          <w:rStyle w:val="296"/>
          <w:rFonts w:hint="eastAsia" w:ascii="宋体" w:hAnsi="宋体" w:eastAsia="宋体" w:cs="宋体"/>
          <w:b/>
          <w:bCs/>
          <w:sz w:val="24"/>
          <w:szCs w:val="36"/>
        </w:rPr>
        <w:br w:type="page"/>
      </w:r>
      <w:bookmarkEnd w:id="97"/>
      <w:bookmarkEnd w:id="98"/>
      <w:bookmarkStart w:id="99" w:name="_Toc21102"/>
      <w:bookmarkStart w:id="100" w:name="_Toc26857"/>
      <w:bookmarkStart w:id="101" w:name="_Toc12465"/>
      <w:bookmarkStart w:id="102" w:name="_Toc18148"/>
      <w:bookmarkStart w:id="103" w:name="_Toc30118"/>
      <w:r>
        <w:rPr>
          <w:rFonts w:hint="eastAsia" w:ascii="宋体" w:hAnsi="宋体" w:cs="宋体"/>
          <w:b/>
          <w:bCs/>
          <w:sz w:val="24"/>
          <w:szCs w:val="22"/>
          <w:lang w:val="en-US" w:eastAsia="zh-CN"/>
        </w:rPr>
        <w:t>八</w:t>
      </w:r>
      <w:r>
        <w:rPr>
          <w:rFonts w:hint="eastAsia" w:ascii="宋体" w:hAnsi="宋体" w:eastAsia="宋体" w:cs="宋体"/>
          <w:b/>
          <w:bCs/>
          <w:sz w:val="24"/>
          <w:szCs w:val="22"/>
        </w:rPr>
        <w:t>、河南省政府采购合同融资政策告知函</w:t>
      </w:r>
      <w:bookmarkEnd w:id="99"/>
      <w:bookmarkEnd w:id="100"/>
      <w:bookmarkEnd w:id="101"/>
      <w:bookmarkEnd w:id="102"/>
      <w:bookmarkEnd w:id="103"/>
    </w:p>
    <w:p>
      <w:pPr>
        <w:kinsoku/>
        <w:wordWrap/>
        <w:overflowPunct/>
        <w:topLinePunct/>
        <w:autoSpaceDE/>
        <w:autoSpaceDN/>
        <w:bidi w:val="0"/>
        <w:spacing w:line="360" w:lineRule="auto"/>
        <w:ind w:firstLine="630" w:firstLineChars="300"/>
        <w:rPr>
          <w:rFonts w:hint="eastAsia" w:ascii="宋体" w:hAnsi="宋体" w:eastAsia="宋体" w:cs="宋体"/>
        </w:rPr>
      </w:pPr>
    </w:p>
    <w:p>
      <w:pPr>
        <w:kinsoku/>
        <w:wordWrap/>
        <w:overflowPunct/>
        <w:topLinePunct/>
        <w:autoSpaceDE/>
        <w:autoSpaceDN/>
        <w:bidi w:val="0"/>
        <w:spacing w:line="480" w:lineRule="auto"/>
        <w:ind w:firstLine="630" w:firstLineChars="300"/>
        <w:rPr>
          <w:rFonts w:hint="eastAsia" w:ascii="宋体" w:hAnsi="宋体" w:eastAsia="宋体" w:cs="宋体"/>
        </w:rPr>
      </w:pPr>
      <w:r>
        <w:rPr>
          <w:rFonts w:hint="eastAsia" w:ascii="宋体" w:hAnsi="宋体" w:eastAsia="宋体" w:cs="宋体"/>
        </w:rPr>
        <w:t>各投标人：</w:t>
      </w:r>
    </w:p>
    <w:p>
      <w:pPr>
        <w:kinsoku/>
        <w:wordWrap/>
        <w:overflowPunct/>
        <w:topLinePunct/>
        <w:autoSpaceDE/>
        <w:autoSpaceDN/>
        <w:bidi w:val="0"/>
        <w:spacing w:line="480" w:lineRule="auto"/>
        <w:ind w:firstLine="630" w:firstLineChars="300"/>
        <w:rPr>
          <w:rFonts w:hint="eastAsia" w:ascii="宋体" w:hAnsi="宋体" w:eastAsia="宋体" w:cs="宋体"/>
        </w:rPr>
      </w:pPr>
      <w:r>
        <w:rPr>
          <w:rFonts w:hint="eastAsia" w:ascii="宋体" w:hAnsi="宋体" w:eastAsia="宋体" w:cs="宋体"/>
        </w:rPr>
        <w:t>欢迎贵公司参与河南省政府采购活动!</w:t>
      </w:r>
    </w:p>
    <w:p>
      <w:pPr>
        <w:kinsoku/>
        <w:wordWrap/>
        <w:overflowPunct/>
        <w:topLinePunct/>
        <w:autoSpaceDE/>
        <w:autoSpaceDN/>
        <w:bidi w:val="0"/>
        <w:spacing w:line="480" w:lineRule="auto"/>
        <w:ind w:firstLine="630" w:firstLineChars="300"/>
        <w:rPr>
          <w:rFonts w:hint="eastAsia" w:ascii="宋体" w:hAnsi="宋体" w:eastAsia="宋体" w:cs="宋体"/>
        </w:rPr>
      </w:pPr>
      <w:r>
        <w:rPr>
          <w:rFonts w:hint="eastAsia" w:ascii="宋体" w:hAnsi="宋体" w:eastAsia="宋体" w:cs="宋体"/>
        </w:rPr>
        <w:t>政府采购合同融资是河南省财政厅支持中小微企业发展，针对参与政府采购活动的投标人融资难、融资贵问题推出的一项融资政策。贵公司若成为本次政府采购项目的中标成交投标人，可持政府采购合同向金融机构申请贷款，无需抵押、担保，融资机构将根据《河南省政府采购合同融资工作实施方案》(豫财购[2017]10号)，按照双方自愿的原则提供便捷、优惠的贷款服务。</w:t>
      </w:r>
    </w:p>
    <w:p>
      <w:pPr>
        <w:kinsoku/>
        <w:wordWrap/>
        <w:overflowPunct/>
        <w:topLinePunct/>
        <w:autoSpaceDE/>
        <w:autoSpaceDN/>
        <w:bidi w:val="0"/>
        <w:spacing w:line="480" w:lineRule="auto"/>
        <w:ind w:firstLine="630" w:firstLineChars="300"/>
        <w:rPr>
          <w:rFonts w:hint="eastAsia" w:ascii="宋体" w:hAnsi="宋体" w:eastAsia="宋体" w:cs="宋体"/>
        </w:rPr>
      </w:pPr>
      <w:r>
        <w:rPr>
          <w:rFonts w:hint="eastAsia" w:ascii="宋体" w:hAnsi="宋体" w:eastAsia="宋体" w:cs="宋体"/>
        </w:rPr>
        <w:t>贷款渠道和提供贷款的金融机构，可在河南省政府采购网“河南省政府采购合同融资平台”查询联系。</w:t>
      </w:r>
    </w:p>
    <w:p>
      <w:pPr>
        <w:kinsoku/>
        <w:wordWrap/>
        <w:overflowPunct/>
        <w:topLinePunct/>
        <w:autoSpaceDE/>
        <w:autoSpaceDN/>
        <w:bidi w:val="0"/>
        <w:spacing w:line="360" w:lineRule="auto"/>
        <w:jc w:val="left"/>
        <w:rPr>
          <w:rFonts w:hint="eastAsia" w:ascii="宋体" w:hAnsi="宋体" w:eastAsia="宋体" w:cs="宋体"/>
          <w:sz w:val="24"/>
          <w:szCs w:val="24"/>
        </w:rPr>
      </w:pPr>
    </w:p>
    <w:sectPr>
      <w:pgSz w:w="11906" w:h="16838"/>
      <w:pgMar w:top="1417" w:right="1587" w:bottom="1417" w:left="1587" w:header="850" w:footer="992"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EU-F1">
    <w:altName w:val="宋体"/>
    <w:panose1 w:val="00000000000000000000"/>
    <w:charset w:val="86"/>
    <w:family w:val="script"/>
    <w:pitch w:val="default"/>
    <w:sig w:usb0="00000000" w:usb1="00000000" w:usb2="00000010" w:usb3="00000000" w:csb0="00040000" w:csb1="00000000"/>
  </w:font>
  <w:font w:name="昆仑仿宋">
    <w:altName w:val="宋体"/>
    <w:panose1 w:val="00000000000000000000"/>
    <w:charset w:val="86"/>
    <w:family w:val="roman"/>
    <w:pitch w:val="default"/>
    <w:sig w:usb0="00000000" w:usb1="00000000" w:usb2="00000000" w:usb3="00000000" w:csb0="00000000" w:csb1="00000000"/>
  </w:font>
  <w:font w:name="ˎ̥">
    <w:altName w:val="Times New Roman"/>
    <w:panose1 w:val="00000000000000000000"/>
    <w:charset w:val="00"/>
    <w:family w:val="roman"/>
    <w:pitch w:val="default"/>
    <w:sig w:usb0="00000000" w:usb1="00000000" w:usb2="00000000" w:usb3="00000000" w:csb0="00000000" w:csb1="00000000"/>
  </w:font>
  <w:font w:name="汉仪大宋简">
    <w:altName w:val="宋体"/>
    <w:panose1 w:val="00000000000000000000"/>
    <w:charset w:val="86"/>
    <w:family w:val="modern"/>
    <w:pitch w:val="default"/>
    <w:sig w:usb0="00000000" w:usb1="00000000" w:usb2="00000012" w:usb3="00000000" w:csb0="00040000" w:csb1="00000000"/>
  </w:font>
  <w:font w:name="Monotype Corsiva">
    <w:panose1 w:val="03010101010201010101"/>
    <w:charset w:val="00"/>
    <w:family w:val="script"/>
    <w:pitch w:val="default"/>
    <w:sig w:usb0="00000287" w:usb1="00000000" w:usb2="00000000" w:usb3="00000000" w:csb0="2000009F" w:csb1="DFD70000"/>
  </w:font>
  <w:font w:name="长城仿宋">
    <w:altName w:val="仿宋"/>
    <w:panose1 w:val="00000000000000000000"/>
    <w:charset w:val="86"/>
    <w:family w:val="modern"/>
    <w:pitch w:val="default"/>
    <w:sig w:usb0="00000000" w:usb1="00000000" w:usb2="0000001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方正黑体简体">
    <w:altName w:val="宋体"/>
    <w:panose1 w:val="00000000000000000000"/>
    <w:charset w:val="00"/>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Plotter">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rPr>
        <w:sz w:val="18"/>
      </w:rPr>
      <mc:AlternateContent>
        <mc:Choice Requires="wps">
          <w:drawing>
            <wp:anchor distT="0" distB="0" distL="114300" distR="114300" simplePos="0" relativeHeight="251659264" behindDoc="0" locked="0" layoutInCell="1" allowOverlap="1">
              <wp:simplePos x="0" y="0"/>
              <wp:positionH relativeFrom="margin">
                <wp:posOffset>2254885</wp:posOffset>
              </wp:positionH>
              <wp:positionV relativeFrom="paragraph">
                <wp:posOffset>-85725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4"/>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0</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99</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7.55pt;margin-top:-6.75pt;height:144pt;width:144pt;mso-position-horizontal-relative:margin;mso-wrap-style:none;z-index:251659264;mso-width-relative:page;mso-height-relative:page;" filled="f" stroked="f" coordsize="21600,21600" o:gfxdata="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7dGL3ZAAAACwEAAA8AAAAAAAAAAQAgAAAAIgAAAGRycy9kb3ducmV2Lnht&#10;bFBLAQIUABQAAAAIAIdO4kDHl7XOMQIAAGEEAAAOAAAAAAAAAAEAIAAAACgBAABkcnMvZTJvRG9j&#10;LnhtbFBLBQYAAAAABgAGAFkBAADLBQAAAAA=&#10;">
              <v:fill on="f" focussize="0,0"/>
              <v:stroke on="f" weight="0.5pt"/>
              <v:imagedata o:title=""/>
              <o:lock v:ext="edit" aspectratio="f"/>
              <v:textbox inset="0mm,0mm,0mm,0mm" style="mso-fit-shape-to-text:t;">
                <w:txbxContent>
                  <w:p>
                    <w:pPr>
                      <w:pStyle w:val="54"/>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0</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99</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rPr>
        <w:rFonts w:ascii="宋体" w:hAnsi="宋体"/>
        <w:spacing w:val="0"/>
        <w:kern w:val="0"/>
        <w:sz w:val="17"/>
        <w:szCs w:val="17"/>
      </w:rPr>
    </w:pPr>
    <w:r>
      <w:rPr>
        <w:rFonts w:hint="eastAsia" w:ascii="宋体" w:hAnsi="宋体"/>
        <w:spacing w:val="0"/>
        <w:kern w:val="0"/>
        <w:sz w:val="17"/>
        <w:szCs w:val="17"/>
      </w:rPr>
      <w:t>河南省人民医院</w:t>
    </w:r>
    <w:r>
      <w:rPr>
        <w:rFonts w:hint="eastAsia" w:ascii="宋体" w:hAnsi="宋体"/>
        <w:spacing w:val="0"/>
        <w:kern w:val="0"/>
        <w:sz w:val="17"/>
        <w:szCs w:val="17"/>
        <w:lang w:eastAsia="zh-CN"/>
      </w:rPr>
      <w:t>2024-2027年度全院服务器及存储设备维保服务项目</w:t>
    </w:r>
    <w:r>
      <w:rPr>
        <w:rFonts w:hint="eastAsia" w:ascii="宋体" w:hAnsi="宋体"/>
        <w:spacing w:val="0"/>
        <w:kern w:val="0"/>
        <w:sz w:val="17"/>
        <w:szCs w:val="17"/>
        <w:lang w:val="en-US" w:eastAsia="zh-CN"/>
      </w:rPr>
      <w:t xml:space="preserve">                                 </w:t>
    </w:r>
    <w:r>
      <w:rPr>
        <w:rFonts w:hint="eastAsia" w:ascii="宋体" w:hAnsi="宋体"/>
        <w:spacing w:val="0"/>
        <w:kern w:val="0"/>
        <w:sz w:val="17"/>
        <w:szCs w:val="17"/>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E1E5AE"/>
    <w:multiLevelType w:val="singleLevel"/>
    <w:tmpl w:val="9CE1E5AE"/>
    <w:lvl w:ilvl="0" w:tentative="0">
      <w:start w:val="1"/>
      <w:numFmt w:val="chineseCounting"/>
      <w:suff w:val="nothing"/>
      <w:lvlText w:val="（%1）"/>
      <w:lvlJc w:val="left"/>
      <w:rPr>
        <w:rFonts w:hint="eastAsia"/>
      </w:rPr>
    </w:lvl>
  </w:abstractNum>
  <w:abstractNum w:abstractNumId="1">
    <w:nsid w:val="D1AD23DB"/>
    <w:multiLevelType w:val="singleLevel"/>
    <w:tmpl w:val="D1AD23DB"/>
    <w:lvl w:ilvl="0" w:tentative="0">
      <w:start w:val="1"/>
      <w:numFmt w:val="decimal"/>
      <w:lvlText w:val="%1."/>
      <w:lvlJc w:val="left"/>
      <w:pPr>
        <w:tabs>
          <w:tab w:val="left" w:pos="312"/>
        </w:tabs>
      </w:pPr>
    </w:lvl>
  </w:abstractNum>
  <w:abstractNum w:abstractNumId="2">
    <w:nsid w:val="F0AAC921"/>
    <w:multiLevelType w:val="multilevel"/>
    <w:tmpl w:val="F0AAC921"/>
    <w:lvl w:ilvl="0" w:tentative="0">
      <w:start w:val="2"/>
      <w:numFmt w:val="decimal"/>
      <w:pStyle w:val="13"/>
      <w:lvlText w:val="%1"/>
      <w:lvlJc w:val="left"/>
      <w:pPr>
        <w:ind w:left="360" w:hanging="360"/>
      </w:pPr>
      <w:rPr>
        <w:rFonts w:hint="default"/>
      </w:rPr>
    </w:lvl>
    <w:lvl w:ilvl="1" w:tentative="0">
      <w:start w:val="4"/>
      <w:numFmt w:val="decimal"/>
      <w:lvlText w:val="%1.%2"/>
      <w:lvlJc w:val="left"/>
      <w:pPr>
        <w:tabs>
          <w:tab w:val="left" w:pos="420"/>
        </w:tabs>
        <w:ind w:left="839" w:hanging="360"/>
      </w:pPr>
      <w:rPr>
        <w:rFonts w:hint="default"/>
      </w:rPr>
    </w:lvl>
    <w:lvl w:ilvl="2" w:tentative="0">
      <w:start w:val="1"/>
      <w:numFmt w:val="decimal"/>
      <w:lvlText w:val="%1.%2.%3"/>
      <w:lvlJc w:val="left"/>
      <w:pPr>
        <w:ind w:left="1678" w:hanging="720"/>
      </w:pPr>
      <w:rPr>
        <w:rFonts w:hint="default"/>
      </w:rPr>
    </w:lvl>
    <w:lvl w:ilvl="3" w:tentative="0">
      <w:start w:val="1"/>
      <w:numFmt w:val="decimal"/>
      <w:lvlText w:val="%1.%2.%3.%4"/>
      <w:lvlJc w:val="left"/>
      <w:pPr>
        <w:ind w:left="2157" w:hanging="720"/>
      </w:pPr>
      <w:rPr>
        <w:rFonts w:hint="default"/>
      </w:rPr>
    </w:lvl>
    <w:lvl w:ilvl="4" w:tentative="0">
      <w:start w:val="1"/>
      <w:numFmt w:val="decimal"/>
      <w:lvlText w:val="%1.%2.%3.%4.%5"/>
      <w:lvlJc w:val="left"/>
      <w:pPr>
        <w:ind w:left="2996" w:hanging="1080"/>
      </w:pPr>
      <w:rPr>
        <w:rFonts w:hint="default"/>
      </w:rPr>
    </w:lvl>
    <w:lvl w:ilvl="5" w:tentative="0">
      <w:start w:val="1"/>
      <w:numFmt w:val="decimal"/>
      <w:lvlText w:val="%1.%2.%3.%4.%5.%6"/>
      <w:lvlJc w:val="left"/>
      <w:pPr>
        <w:ind w:left="3475" w:hanging="1080"/>
      </w:pPr>
      <w:rPr>
        <w:rFonts w:hint="default"/>
      </w:rPr>
    </w:lvl>
    <w:lvl w:ilvl="6" w:tentative="0">
      <w:start w:val="1"/>
      <w:numFmt w:val="decimal"/>
      <w:lvlText w:val="%1.%2.%3.%4.%5.%6.%7"/>
      <w:lvlJc w:val="left"/>
      <w:pPr>
        <w:ind w:left="4314" w:hanging="1440"/>
      </w:pPr>
      <w:rPr>
        <w:rFonts w:hint="default"/>
      </w:rPr>
    </w:lvl>
    <w:lvl w:ilvl="7" w:tentative="0">
      <w:start w:val="1"/>
      <w:numFmt w:val="decimal"/>
      <w:lvlText w:val="%1.%2.%3.%4.%5.%6.%7.%8"/>
      <w:lvlJc w:val="left"/>
      <w:pPr>
        <w:ind w:left="4793" w:hanging="1440"/>
      </w:pPr>
      <w:rPr>
        <w:rFonts w:hint="default"/>
      </w:rPr>
    </w:lvl>
    <w:lvl w:ilvl="8" w:tentative="0">
      <w:start w:val="1"/>
      <w:numFmt w:val="decimal"/>
      <w:lvlText w:val="%1.%2.%3.%4.%5.%6.%7.%8.%9"/>
      <w:lvlJc w:val="left"/>
      <w:pPr>
        <w:ind w:left="5632" w:hanging="1800"/>
      </w:pPr>
      <w:rPr>
        <w:rFonts w:hint="default"/>
      </w:rPr>
    </w:lvl>
  </w:abstractNum>
  <w:abstractNum w:abstractNumId="3">
    <w:nsid w:val="F12A8B3A"/>
    <w:multiLevelType w:val="singleLevel"/>
    <w:tmpl w:val="F12A8B3A"/>
    <w:lvl w:ilvl="0" w:tentative="0">
      <w:start w:val="1"/>
      <w:numFmt w:val="decimal"/>
      <w:suff w:val="space"/>
      <w:lvlText w:val="%1."/>
      <w:lvlJc w:val="left"/>
    </w:lvl>
  </w:abstractNum>
  <w:abstractNum w:abstractNumId="4">
    <w:nsid w:val="00000007"/>
    <w:multiLevelType w:val="multilevel"/>
    <w:tmpl w:val="00000007"/>
    <w:lvl w:ilvl="0" w:tentative="0">
      <w:start w:val="2"/>
      <w:numFmt w:val="decimal"/>
      <w:pStyle w:val="22"/>
      <w:isLgl/>
      <w:lvlText w:val="%1.1"/>
      <w:lvlJc w:val="left"/>
      <w:pPr>
        <w:tabs>
          <w:tab w:val="left" w:pos="2702"/>
        </w:tabs>
        <w:ind w:left="2702" w:hanging="432"/>
      </w:pPr>
      <w:rPr>
        <w:rFonts w:hint="eastAsia"/>
      </w:rPr>
    </w:lvl>
    <w:lvl w:ilvl="1" w:tentative="0">
      <w:start w:val="1"/>
      <w:numFmt w:val="decimal"/>
      <w:lvlText w:val="%1.%2"/>
      <w:lvlJc w:val="left"/>
      <w:pPr>
        <w:tabs>
          <w:tab w:val="left" w:pos="2846"/>
        </w:tabs>
        <w:ind w:left="2846" w:hanging="576"/>
      </w:pPr>
      <w:rPr>
        <w:rFonts w:hint="eastAsia"/>
      </w:rPr>
    </w:lvl>
    <w:lvl w:ilvl="2" w:tentative="0">
      <w:start w:val="1"/>
      <w:numFmt w:val="decimal"/>
      <w:pStyle w:val="477"/>
      <w:lvlText w:val="%1.%2.%3"/>
      <w:lvlJc w:val="left"/>
      <w:pPr>
        <w:tabs>
          <w:tab w:val="left" w:pos="2990"/>
        </w:tabs>
        <w:ind w:left="2990" w:hanging="720"/>
      </w:pPr>
      <w:rPr>
        <w:rFonts w:hint="eastAsia"/>
      </w:rPr>
    </w:lvl>
    <w:lvl w:ilvl="3" w:tentative="0">
      <w:start w:val="1"/>
      <w:numFmt w:val="decimal"/>
      <w:lvlText w:val="%1.%2.%3.%4"/>
      <w:lvlJc w:val="left"/>
      <w:pPr>
        <w:tabs>
          <w:tab w:val="left" w:pos="3134"/>
        </w:tabs>
        <w:ind w:left="3134" w:hanging="864"/>
      </w:pPr>
      <w:rPr>
        <w:rFonts w:hint="eastAsia"/>
      </w:rPr>
    </w:lvl>
    <w:lvl w:ilvl="4" w:tentative="0">
      <w:start w:val="1"/>
      <w:numFmt w:val="decimal"/>
      <w:lvlText w:val="%1.%2.%3.%4.%5"/>
      <w:lvlJc w:val="left"/>
      <w:pPr>
        <w:tabs>
          <w:tab w:val="left" w:pos="3278"/>
        </w:tabs>
        <w:ind w:left="3278" w:hanging="1008"/>
      </w:pPr>
      <w:rPr>
        <w:rFonts w:hint="eastAsia"/>
      </w:rPr>
    </w:lvl>
    <w:lvl w:ilvl="5" w:tentative="0">
      <w:start w:val="1"/>
      <w:numFmt w:val="decimal"/>
      <w:lvlText w:val="%1.%2.%3.%4.%5.%6"/>
      <w:lvlJc w:val="left"/>
      <w:pPr>
        <w:tabs>
          <w:tab w:val="left" w:pos="3422"/>
        </w:tabs>
        <w:ind w:left="3422" w:hanging="1152"/>
      </w:pPr>
      <w:rPr>
        <w:rFonts w:hint="eastAsia"/>
      </w:rPr>
    </w:lvl>
    <w:lvl w:ilvl="6" w:tentative="0">
      <w:start w:val="1"/>
      <w:numFmt w:val="decimal"/>
      <w:lvlText w:val="%1.%2.%3.%4.%5.%6.%7"/>
      <w:lvlJc w:val="left"/>
      <w:pPr>
        <w:tabs>
          <w:tab w:val="left" w:pos="3566"/>
        </w:tabs>
        <w:ind w:left="3566" w:hanging="1296"/>
      </w:pPr>
      <w:rPr>
        <w:rFonts w:hint="eastAsia"/>
      </w:rPr>
    </w:lvl>
    <w:lvl w:ilvl="7" w:tentative="0">
      <w:start w:val="1"/>
      <w:numFmt w:val="decimal"/>
      <w:lvlText w:val="%1.%2.%3.%4.%5.%6.%7.%8"/>
      <w:lvlJc w:val="left"/>
      <w:pPr>
        <w:tabs>
          <w:tab w:val="left" w:pos="3710"/>
        </w:tabs>
        <w:ind w:left="3710" w:hanging="1440"/>
      </w:pPr>
      <w:rPr>
        <w:rFonts w:hint="eastAsia"/>
      </w:rPr>
    </w:lvl>
    <w:lvl w:ilvl="8" w:tentative="0">
      <w:start w:val="1"/>
      <w:numFmt w:val="decimal"/>
      <w:lvlText w:val="%1.%2.%3.%4.%5.%6.%7.%8.%9"/>
      <w:lvlJc w:val="left"/>
      <w:pPr>
        <w:tabs>
          <w:tab w:val="left" w:pos="3854"/>
        </w:tabs>
        <w:ind w:left="3854" w:hanging="1584"/>
      </w:pPr>
      <w:rPr>
        <w:rFonts w:hint="eastAsia"/>
      </w:rPr>
    </w:lvl>
  </w:abstractNum>
  <w:abstractNum w:abstractNumId="5">
    <w:nsid w:val="0000000B"/>
    <w:multiLevelType w:val="multilevel"/>
    <w:tmpl w:val="0000000B"/>
    <w:lvl w:ilvl="0" w:tentative="0">
      <w:start w:val="1"/>
      <w:numFmt w:val="decimal"/>
      <w:pStyle w:val="39"/>
      <w:lvlText w:val="%1."/>
      <w:lvlJc w:val="left"/>
      <w:pPr>
        <w:tabs>
          <w:tab w:val="left" w:pos="360"/>
        </w:tabs>
        <w:ind w:left="360" w:hanging="360"/>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
      <w:lvlText w:val="3.%3"/>
      <w:lvlJc w:val="left"/>
      <w:pPr>
        <w:tabs>
          <w:tab w:val="left" w:pos="0"/>
        </w:tabs>
        <w:ind w:left="454" w:hanging="454"/>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decimal"/>
      <w:lvlText w:val="%5）"/>
      <w:lvlJc w:val="left"/>
      <w:pPr>
        <w:tabs>
          <w:tab w:val="left" w:pos="2400"/>
        </w:tabs>
        <w:ind w:left="2400" w:hanging="720"/>
      </w:pPr>
      <w:rPr>
        <w:rFonts w:hint="default"/>
      </w:rPr>
    </w:lvl>
    <w:lvl w:ilvl="5" w:tentative="0">
      <w:start w:val="1"/>
      <w:numFmt w:val="decimal"/>
      <w:lvlText w:val="%6"/>
      <w:lvlJc w:val="left"/>
      <w:pPr>
        <w:ind w:left="2460" w:hanging="360"/>
      </w:pPr>
      <w:rPr>
        <w:rFonts w:hint="default"/>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2077C8D"/>
    <w:multiLevelType w:val="multilevel"/>
    <w:tmpl w:val="02077C8D"/>
    <w:lvl w:ilvl="0" w:tentative="0">
      <w:start w:val="1"/>
      <w:numFmt w:val="chineseCountingThousand"/>
      <w:lvlText w:val="(%1)"/>
      <w:lvlJc w:val="left"/>
      <w:pPr>
        <w:ind w:left="2100" w:hanging="420"/>
      </w:pPr>
    </w:lvl>
    <w:lvl w:ilvl="1" w:tentative="0">
      <w:start w:val="1"/>
      <w:numFmt w:val="lowerLetter"/>
      <w:lvlText w:val="%2)"/>
      <w:lvlJc w:val="left"/>
      <w:pPr>
        <w:ind w:left="2520" w:hanging="420"/>
      </w:pPr>
    </w:lvl>
    <w:lvl w:ilvl="2" w:tentative="0">
      <w:start w:val="1"/>
      <w:numFmt w:val="lowerRoman"/>
      <w:lvlText w:val="%3."/>
      <w:lvlJc w:val="right"/>
      <w:pPr>
        <w:ind w:left="2940" w:hanging="420"/>
      </w:pPr>
    </w:lvl>
    <w:lvl w:ilvl="3" w:tentative="0">
      <w:start w:val="1"/>
      <w:numFmt w:val="decimal"/>
      <w:lvlText w:val="%4."/>
      <w:lvlJc w:val="left"/>
      <w:pPr>
        <w:ind w:left="3360" w:hanging="420"/>
      </w:pPr>
    </w:lvl>
    <w:lvl w:ilvl="4" w:tentative="0">
      <w:start w:val="1"/>
      <w:numFmt w:val="lowerLetter"/>
      <w:lvlText w:val="%5)"/>
      <w:lvlJc w:val="left"/>
      <w:pPr>
        <w:ind w:left="3780" w:hanging="420"/>
      </w:pPr>
    </w:lvl>
    <w:lvl w:ilvl="5" w:tentative="0">
      <w:start w:val="1"/>
      <w:numFmt w:val="lowerRoman"/>
      <w:lvlText w:val="%6."/>
      <w:lvlJc w:val="right"/>
      <w:pPr>
        <w:ind w:left="4200" w:hanging="420"/>
      </w:pPr>
    </w:lvl>
    <w:lvl w:ilvl="6" w:tentative="0">
      <w:start w:val="1"/>
      <w:numFmt w:val="decimal"/>
      <w:lvlText w:val="%7."/>
      <w:lvlJc w:val="left"/>
      <w:pPr>
        <w:ind w:left="4620" w:hanging="420"/>
      </w:pPr>
    </w:lvl>
    <w:lvl w:ilvl="7" w:tentative="0">
      <w:start w:val="1"/>
      <w:numFmt w:val="lowerLetter"/>
      <w:lvlText w:val="%8)"/>
      <w:lvlJc w:val="left"/>
      <w:pPr>
        <w:ind w:left="5040" w:hanging="420"/>
      </w:pPr>
    </w:lvl>
    <w:lvl w:ilvl="8" w:tentative="0">
      <w:start w:val="1"/>
      <w:numFmt w:val="lowerRoman"/>
      <w:lvlText w:val="%9."/>
      <w:lvlJc w:val="right"/>
      <w:pPr>
        <w:ind w:left="5460" w:hanging="420"/>
      </w:pPr>
    </w:lvl>
  </w:abstractNum>
  <w:abstractNum w:abstractNumId="7">
    <w:nsid w:val="0C084522"/>
    <w:multiLevelType w:val="multilevel"/>
    <w:tmpl w:val="0C084522"/>
    <w:lvl w:ilvl="0" w:tentative="0">
      <w:start w:val="1"/>
      <w:numFmt w:val="chineseCountingThousand"/>
      <w:lvlText w:val="(%1)"/>
      <w:lvlJc w:val="left"/>
      <w:pPr>
        <w:ind w:left="2100" w:hanging="420"/>
      </w:pPr>
    </w:lvl>
    <w:lvl w:ilvl="1" w:tentative="0">
      <w:start w:val="1"/>
      <w:numFmt w:val="lowerLetter"/>
      <w:lvlText w:val="%2)"/>
      <w:lvlJc w:val="left"/>
      <w:pPr>
        <w:ind w:left="2520" w:hanging="420"/>
      </w:pPr>
    </w:lvl>
    <w:lvl w:ilvl="2" w:tentative="0">
      <w:start w:val="1"/>
      <w:numFmt w:val="lowerRoman"/>
      <w:lvlText w:val="%3."/>
      <w:lvlJc w:val="right"/>
      <w:pPr>
        <w:ind w:left="2940" w:hanging="420"/>
      </w:pPr>
    </w:lvl>
    <w:lvl w:ilvl="3" w:tentative="0">
      <w:start w:val="1"/>
      <w:numFmt w:val="decimal"/>
      <w:lvlText w:val="%4."/>
      <w:lvlJc w:val="left"/>
      <w:pPr>
        <w:ind w:left="3360" w:hanging="420"/>
      </w:pPr>
    </w:lvl>
    <w:lvl w:ilvl="4" w:tentative="0">
      <w:start w:val="1"/>
      <w:numFmt w:val="lowerLetter"/>
      <w:lvlText w:val="%5)"/>
      <w:lvlJc w:val="left"/>
      <w:pPr>
        <w:ind w:left="3780" w:hanging="420"/>
      </w:pPr>
    </w:lvl>
    <w:lvl w:ilvl="5" w:tentative="0">
      <w:start w:val="1"/>
      <w:numFmt w:val="lowerRoman"/>
      <w:lvlText w:val="%6."/>
      <w:lvlJc w:val="right"/>
      <w:pPr>
        <w:ind w:left="4200" w:hanging="420"/>
      </w:pPr>
    </w:lvl>
    <w:lvl w:ilvl="6" w:tentative="0">
      <w:start w:val="1"/>
      <w:numFmt w:val="decimal"/>
      <w:lvlText w:val="%7."/>
      <w:lvlJc w:val="left"/>
      <w:pPr>
        <w:ind w:left="4620" w:hanging="420"/>
      </w:pPr>
    </w:lvl>
    <w:lvl w:ilvl="7" w:tentative="0">
      <w:start w:val="1"/>
      <w:numFmt w:val="lowerLetter"/>
      <w:lvlText w:val="%8)"/>
      <w:lvlJc w:val="left"/>
      <w:pPr>
        <w:ind w:left="5040" w:hanging="420"/>
      </w:pPr>
    </w:lvl>
    <w:lvl w:ilvl="8" w:tentative="0">
      <w:start w:val="1"/>
      <w:numFmt w:val="lowerRoman"/>
      <w:lvlText w:val="%9."/>
      <w:lvlJc w:val="right"/>
      <w:pPr>
        <w:ind w:left="5460" w:hanging="420"/>
      </w:pPr>
    </w:lvl>
  </w:abstractNum>
  <w:abstractNum w:abstractNumId="8">
    <w:nsid w:val="0DA40291"/>
    <w:multiLevelType w:val="multilevel"/>
    <w:tmpl w:val="0DA40291"/>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9">
    <w:nsid w:val="11187A20"/>
    <w:multiLevelType w:val="multilevel"/>
    <w:tmpl w:val="11187A20"/>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10">
    <w:nsid w:val="123A019D"/>
    <w:multiLevelType w:val="multilevel"/>
    <w:tmpl w:val="123A019D"/>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11">
    <w:nsid w:val="126B39D1"/>
    <w:multiLevelType w:val="multilevel"/>
    <w:tmpl w:val="126B39D1"/>
    <w:lvl w:ilvl="0" w:tentative="0">
      <w:start w:val="1"/>
      <w:numFmt w:val="bullet"/>
      <w:pStyle w:val="31"/>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135206E7"/>
    <w:multiLevelType w:val="singleLevel"/>
    <w:tmpl w:val="135206E7"/>
    <w:lvl w:ilvl="0" w:tentative="0">
      <w:start w:val="1"/>
      <w:numFmt w:val="chineseCounting"/>
      <w:suff w:val="nothing"/>
      <w:lvlText w:val="%1、"/>
      <w:lvlJc w:val="left"/>
      <w:rPr>
        <w:rFonts w:hint="eastAsia"/>
      </w:rPr>
    </w:lvl>
  </w:abstractNum>
  <w:abstractNum w:abstractNumId="13">
    <w:nsid w:val="13956A4D"/>
    <w:multiLevelType w:val="multilevel"/>
    <w:tmpl w:val="13956A4D"/>
    <w:lvl w:ilvl="0" w:tentative="0">
      <w:start w:val="1"/>
      <w:numFmt w:val="bullet"/>
      <w:pStyle w:val="63"/>
      <w:lvlText w:val=""/>
      <w:lvlJc w:val="left"/>
      <w:pPr>
        <w:ind w:left="988" w:hanging="420"/>
      </w:pPr>
      <w:rPr>
        <w:rFonts w:hint="default" w:ascii="Wingdings" w:hAnsi="Wingdings"/>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14">
    <w:nsid w:val="140D58E7"/>
    <w:multiLevelType w:val="multilevel"/>
    <w:tmpl w:val="140D58E7"/>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840"/>
        </w:tabs>
        <w:ind w:left="840" w:hanging="420"/>
      </w:pPr>
      <w:rPr>
        <w:rFonts w:hint="default"/>
      </w:rPr>
    </w:lvl>
    <w:lvl w:ilvl="2" w:tentative="0">
      <w:start w:val="1"/>
      <w:numFmt w:val="decimal"/>
      <w:lvlText w:val="3.%3"/>
      <w:lvlJc w:val="left"/>
      <w:pPr>
        <w:tabs>
          <w:tab w:val="left" w:pos="0"/>
        </w:tabs>
        <w:ind w:left="454" w:hanging="454"/>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decimal"/>
      <w:lvlText w:val="%5）"/>
      <w:lvlJc w:val="left"/>
      <w:pPr>
        <w:tabs>
          <w:tab w:val="left" w:pos="2400"/>
        </w:tabs>
        <w:ind w:left="2400" w:hanging="720"/>
      </w:pPr>
      <w:rPr>
        <w:rFonts w:hint="default"/>
      </w:rPr>
    </w:lvl>
    <w:lvl w:ilvl="5" w:tentative="0">
      <w:start w:val="1"/>
      <w:numFmt w:val="decimal"/>
      <w:lvlText w:val="%6"/>
      <w:lvlJc w:val="left"/>
      <w:pPr>
        <w:ind w:left="2460" w:hanging="360"/>
      </w:pPr>
      <w:rPr>
        <w:rFonts w:hint="default"/>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14C86026"/>
    <w:multiLevelType w:val="multilevel"/>
    <w:tmpl w:val="14C86026"/>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16">
    <w:nsid w:val="15742E74"/>
    <w:multiLevelType w:val="multilevel"/>
    <w:tmpl w:val="15742E74"/>
    <w:lvl w:ilvl="0" w:tentative="0">
      <w:start w:val="1"/>
      <w:numFmt w:val="bullet"/>
      <w:pStyle w:val="35"/>
      <w:lvlText w:val=""/>
      <w:lvlJc w:val="left"/>
      <w:pPr>
        <w:ind w:left="988" w:hanging="420"/>
      </w:pPr>
      <w:rPr>
        <w:rFonts w:hint="default" w:ascii="Wingdings" w:hAnsi="Wingdings"/>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17">
    <w:nsid w:val="16B84AA2"/>
    <w:multiLevelType w:val="multilevel"/>
    <w:tmpl w:val="16B84AA2"/>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18">
    <w:nsid w:val="17C2315E"/>
    <w:multiLevelType w:val="multilevel"/>
    <w:tmpl w:val="17C2315E"/>
    <w:lvl w:ilvl="0" w:tentative="0">
      <w:start w:val="1"/>
      <w:numFmt w:val="decimal"/>
      <w:pStyle w:val="46"/>
      <w:lvlText w:val="%1、"/>
      <w:lvlJc w:val="left"/>
      <w:pPr>
        <w:ind w:left="360" w:hanging="360"/>
      </w:pPr>
      <w:rPr>
        <w:rFonts w:ascii="Times New Roman" w:hAnsi="Times New Roman"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99BC574"/>
    <w:multiLevelType w:val="singleLevel"/>
    <w:tmpl w:val="199BC574"/>
    <w:lvl w:ilvl="0" w:tentative="0">
      <w:start w:val="1"/>
      <w:numFmt w:val="decimal"/>
      <w:suff w:val="nothing"/>
      <w:lvlText w:val="%1）"/>
      <w:lvlJc w:val="left"/>
    </w:lvl>
  </w:abstractNum>
  <w:abstractNum w:abstractNumId="20">
    <w:nsid w:val="1AA13E4B"/>
    <w:multiLevelType w:val="multilevel"/>
    <w:tmpl w:val="1AA13E4B"/>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1418" w:hanging="567"/>
      </w:pPr>
      <w:rPr>
        <w:rFonts w:ascii="宋体" w:hAnsi="宋体" w:eastAsia="宋体" w:cs="Times New Roman"/>
      </w:rPr>
    </w:lvl>
    <w:lvl w:ilvl="3" w:tentative="0">
      <w:start w:val="1"/>
      <w:numFmt w:val="decimal"/>
      <w:lvlText w:val="%4."/>
      <w:lvlJc w:val="left"/>
      <w:pPr>
        <w:ind w:left="1984" w:hanging="708"/>
      </w:pPr>
      <w:rPr>
        <w:rFonts w:ascii="宋体" w:hAnsi="宋体" w:eastAsia="宋体" w:cs="Times New Roman"/>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24335F79"/>
    <w:multiLevelType w:val="multilevel"/>
    <w:tmpl w:val="24335F79"/>
    <w:lvl w:ilvl="0" w:tentative="0">
      <w:start w:val="1"/>
      <w:numFmt w:val="decimal"/>
      <w:lvlText w:val="%1."/>
      <w:lvlJc w:val="left"/>
      <w:pPr>
        <w:ind w:left="1272" w:hanging="420"/>
      </w:pPr>
    </w:lvl>
    <w:lvl w:ilvl="1" w:tentative="0">
      <w:start w:val="1"/>
      <w:numFmt w:val="lowerLetter"/>
      <w:lvlText w:val="%2)"/>
      <w:lvlJc w:val="left"/>
      <w:pPr>
        <w:ind w:left="-2088" w:hanging="420"/>
      </w:pPr>
    </w:lvl>
    <w:lvl w:ilvl="2" w:tentative="0">
      <w:start w:val="1"/>
      <w:numFmt w:val="lowerRoman"/>
      <w:lvlText w:val="%3."/>
      <w:lvlJc w:val="right"/>
      <w:pPr>
        <w:ind w:left="-1668" w:hanging="420"/>
      </w:pPr>
    </w:lvl>
    <w:lvl w:ilvl="3" w:tentative="0">
      <w:start w:val="1"/>
      <w:numFmt w:val="decimal"/>
      <w:lvlText w:val="%4."/>
      <w:lvlJc w:val="left"/>
      <w:pPr>
        <w:ind w:left="-1248" w:hanging="420"/>
      </w:pPr>
    </w:lvl>
    <w:lvl w:ilvl="4" w:tentative="0">
      <w:start w:val="1"/>
      <w:numFmt w:val="lowerLetter"/>
      <w:lvlText w:val="%5)"/>
      <w:lvlJc w:val="left"/>
      <w:pPr>
        <w:ind w:left="-828" w:hanging="420"/>
      </w:pPr>
    </w:lvl>
    <w:lvl w:ilvl="5" w:tentative="0">
      <w:start w:val="1"/>
      <w:numFmt w:val="lowerRoman"/>
      <w:lvlText w:val="%6."/>
      <w:lvlJc w:val="right"/>
      <w:pPr>
        <w:ind w:left="-408" w:hanging="420"/>
      </w:pPr>
    </w:lvl>
    <w:lvl w:ilvl="6" w:tentative="0">
      <w:start w:val="1"/>
      <w:numFmt w:val="decimal"/>
      <w:lvlText w:val="%7."/>
      <w:lvlJc w:val="left"/>
      <w:pPr>
        <w:ind w:left="12" w:hanging="420"/>
      </w:pPr>
    </w:lvl>
    <w:lvl w:ilvl="7" w:tentative="0">
      <w:start w:val="1"/>
      <w:numFmt w:val="lowerLetter"/>
      <w:lvlText w:val="%8)"/>
      <w:lvlJc w:val="left"/>
      <w:pPr>
        <w:ind w:left="432" w:hanging="420"/>
      </w:pPr>
    </w:lvl>
    <w:lvl w:ilvl="8" w:tentative="0">
      <w:start w:val="1"/>
      <w:numFmt w:val="lowerRoman"/>
      <w:lvlText w:val="%9."/>
      <w:lvlJc w:val="right"/>
      <w:pPr>
        <w:ind w:left="852" w:hanging="420"/>
      </w:pPr>
    </w:lvl>
  </w:abstractNum>
  <w:abstractNum w:abstractNumId="22">
    <w:nsid w:val="24DA051A"/>
    <w:multiLevelType w:val="multilevel"/>
    <w:tmpl w:val="24DA051A"/>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23">
    <w:nsid w:val="290CE3EA"/>
    <w:multiLevelType w:val="singleLevel"/>
    <w:tmpl w:val="290CE3EA"/>
    <w:lvl w:ilvl="0" w:tentative="0">
      <w:start w:val="2"/>
      <w:numFmt w:val="chineseCounting"/>
      <w:suff w:val="nothing"/>
      <w:lvlText w:val="（%1）"/>
      <w:lvlJc w:val="left"/>
      <w:rPr>
        <w:rFonts w:hint="eastAsia"/>
      </w:rPr>
    </w:lvl>
  </w:abstractNum>
  <w:abstractNum w:abstractNumId="24">
    <w:nsid w:val="2B260AC4"/>
    <w:multiLevelType w:val="multilevel"/>
    <w:tmpl w:val="2B260AC4"/>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25">
    <w:nsid w:val="2EDE28F3"/>
    <w:multiLevelType w:val="multilevel"/>
    <w:tmpl w:val="2EDE28F3"/>
    <w:lvl w:ilvl="0" w:tentative="0">
      <w:start w:val="1"/>
      <w:numFmt w:val="decimal"/>
      <w:lvlText w:val="%1"/>
      <w:lvlJc w:val="left"/>
      <w:pPr>
        <w:ind w:left="405" w:hanging="405"/>
      </w:pPr>
      <w:rPr>
        <w:rFonts w:hint="default"/>
      </w:rPr>
    </w:lvl>
    <w:lvl w:ilvl="1" w:tentative="0">
      <w:start w:val="1"/>
      <w:numFmt w:val="decimal"/>
      <w:lvlText w:val="%1.%2"/>
      <w:lvlJc w:val="left"/>
      <w:pPr>
        <w:tabs>
          <w:tab w:val="left" w:pos="0"/>
        </w:tabs>
        <w:ind w:left="830" w:hanging="405"/>
      </w:pPr>
      <w:rPr>
        <w:rFonts w:hint="default"/>
      </w:rPr>
    </w:lvl>
    <w:lvl w:ilvl="2" w:tentative="0">
      <w:start w:val="1"/>
      <w:numFmt w:val="decimal"/>
      <w:lvlText w:val="%1.%2.%3"/>
      <w:lvlJc w:val="left"/>
      <w:pPr>
        <w:ind w:left="1570" w:hanging="720"/>
      </w:pPr>
      <w:rPr>
        <w:rFonts w:hint="default"/>
      </w:rPr>
    </w:lvl>
    <w:lvl w:ilvl="3" w:tentative="0">
      <w:start w:val="1"/>
      <w:numFmt w:val="decimal"/>
      <w:lvlText w:val="%4."/>
      <w:lvlJc w:val="left"/>
      <w:pPr>
        <w:ind w:left="1635" w:hanging="360"/>
      </w:pPr>
      <w:rPr>
        <w:rFonts w:hint="default"/>
      </w:rPr>
    </w:lvl>
    <w:lvl w:ilvl="4" w:tentative="0">
      <w:start w:val="1"/>
      <w:numFmt w:val="decimal"/>
      <w:lvlText w:val="%1.%2.%3.%4.%5"/>
      <w:lvlJc w:val="left"/>
      <w:pPr>
        <w:ind w:left="2780" w:hanging="1080"/>
      </w:pPr>
      <w:rPr>
        <w:rFonts w:hint="default"/>
      </w:rPr>
    </w:lvl>
    <w:lvl w:ilvl="5" w:tentative="0">
      <w:start w:val="1"/>
      <w:numFmt w:val="decimal"/>
      <w:lvlText w:val="%1.%2.%3.%4.%5.%6"/>
      <w:lvlJc w:val="left"/>
      <w:pPr>
        <w:ind w:left="3565" w:hanging="1440"/>
      </w:pPr>
      <w:rPr>
        <w:rFonts w:hint="default"/>
      </w:rPr>
    </w:lvl>
    <w:lvl w:ilvl="6" w:tentative="0">
      <w:start w:val="1"/>
      <w:numFmt w:val="decimal"/>
      <w:lvlText w:val="%1.%2.%3.%4.%5.%6.%7"/>
      <w:lvlJc w:val="left"/>
      <w:pPr>
        <w:ind w:left="3990" w:hanging="1440"/>
      </w:pPr>
      <w:rPr>
        <w:rFonts w:hint="default"/>
      </w:rPr>
    </w:lvl>
    <w:lvl w:ilvl="7" w:tentative="0">
      <w:start w:val="1"/>
      <w:numFmt w:val="decimal"/>
      <w:lvlText w:val="%1.%2.%3.%4.%5.%6.%7.%8"/>
      <w:lvlJc w:val="left"/>
      <w:pPr>
        <w:ind w:left="4775" w:hanging="1800"/>
      </w:pPr>
      <w:rPr>
        <w:rFonts w:hint="default"/>
      </w:rPr>
    </w:lvl>
    <w:lvl w:ilvl="8" w:tentative="0">
      <w:start w:val="1"/>
      <w:numFmt w:val="decimal"/>
      <w:lvlText w:val="%1.%2.%3.%4.%5.%6.%7.%8.%9"/>
      <w:lvlJc w:val="left"/>
      <w:pPr>
        <w:ind w:left="5200" w:hanging="1800"/>
      </w:pPr>
      <w:rPr>
        <w:rFonts w:hint="default"/>
      </w:rPr>
    </w:lvl>
  </w:abstractNum>
  <w:abstractNum w:abstractNumId="26">
    <w:nsid w:val="36A93C6D"/>
    <w:multiLevelType w:val="multilevel"/>
    <w:tmpl w:val="36A93C6D"/>
    <w:lvl w:ilvl="0" w:tentative="0">
      <w:start w:val="1"/>
      <w:numFmt w:val="bullet"/>
      <w:pStyle w:val="1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385E1BC1"/>
    <w:multiLevelType w:val="multilevel"/>
    <w:tmpl w:val="385E1BC1"/>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28">
    <w:nsid w:val="3D885DF9"/>
    <w:multiLevelType w:val="multilevel"/>
    <w:tmpl w:val="3D885DF9"/>
    <w:lvl w:ilvl="0" w:tentative="0">
      <w:start w:val="1"/>
      <w:numFmt w:val="decimal"/>
      <w:lvlText w:val="%1、"/>
      <w:lvlJc w:val="left"/>
      <w:pPr>
        <w:ind w:left="440" w:hanging="440"/>
      </w:pPr>
      <w:rPr>
        <w:rFonts w:hint="default" w:ascii="宋体" w:hAnsi="宋体" w:eastAsia="宋体" w:cs="宋体"/>
        <w:sz w:val="21"/>
        <w:szCs w:val="21"/>
        <w:highlight w:val="none"/>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408F6E0E"/>
    <w:multiLevelType w:val="multilevel"/>
    <w:tmpl w:val="408F6E0E"/>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30">
    <w:nsid w:val="475249F4"/>
    <w:multiLevelType w:val="multilevel"/>
    <w:tmpl w:val="475249F4"/>
    <w:lvl w:ilvl="0" w:tentative="0">
      <w:start w:val="1"/>
      <w:numFmt w:val="decimal"/>
      <w:lvlText w:val="%1."/>
      <w:lvlJc w:val="left"/>
      <w:pPr>
        <w:ind w:left="1272" w:hanging="420"/>
      </w:pPr>
    </w:lvl>
    <w:lvl w:ilvl="1" w:tentative="0">
      <w:start w:val="1"/>
      <w:numFmt w:val="lowerLetter"/>
      <w:lvlText w:val="%2)"/>
      <w:lvlJc w:val="left"/>
      <w:pPr>
        <w:ind w:left="-2088" w:hanging="420"/>
      </w:pPr>
    </w:lvl>
    <w:lvl w:ilvl="2" w:tentative="0">
      <w:start w:val="1"/>
      <w:numFmt w:val="lowerRoman"/>
      <w:lvlText w:val="%3."/>
      <w:lvlJc w:val="right"/>
      <w:pPr>
        <w:ind w:left="-1668" w:hanging="420"/>
      </w:pPr>
    </w:lvl>
    <w:lvl w:ilvl="3" w:tentative="0">
      <w:start w:val="1"/>
      <w:numFmt w:val="decimal"/>
      <w:lvlText w:val="%4."/>
      <w:lvlJc w:val="left"/>
      <w:pPr>
        <w:ind w:left="-1248" w:hanging="420"/>
      </w:pPr>
    </w:lvl>
    <w:lvl w:ilvl="4" w:tentative="0">
      <w:start w:val="1"/>
      <w:numFmt w:val="lowerLetter"/>
      <w:lvlText w:val="%5)"/>
      <w:lvlJc w:val="left"/>
      <w:pPr>
        <w:ind w:left="-828" w:hanging="420"/>
      </w:pPr>
    </w:lvl>
    <w:lvl w:ilvl="5" w:tentative="0">
      <w:start w:val="1"/>
      <w:numFmt w:val="lowerRoman"/>
      <w:lvlText w:val="%6."/>
      <w:lvlJc w:val="right"/>
      <w:pPr>
        <w:ind w:left="-408" w:hanging="420"/>
      </w:pPr>
    </w:lvl>
    <w:lvl w:ilvl="6" w:tentative="0">
      <w:start w:val="1"/>
      <w:numFmt w:val="decimal"/>
      <w:lvlText w:val="%7."/>
      <w:lvlJc w:val="left"/>
      <w:pPr>
        <w:ind w:left="12" w:hanging="420"/>
      </w:pPr>
    </w:lvl>
    <w:lvl w:ilvl="7" w:tentative="0">
      <w:start w:val="1"/>
      <w:numFmt w:val="lowerLetter"/>
      <w:lvlText w:val="%8)"/>
      <w:lvlJc w:val="left"/>
      <w:pPr>
        <w:ind w:left="432" w:hanging="420"/>
      </w:pPr>
    </w:lvl>
    <w:lvl w:ilvl="8" w:tentative="0">
      <w:start w:val="1"/>
      <w:numFmt w:val="lowerRoman"/>
      <w:lvlText w:val="%9."/>
      <w:lvlJc w:val="right"/>
      <w:pPr>
        <w:ind w:left="852" w:hanging="420"/>
      </w:pPr>
    </w:lvl>
  </w:abstractNum>
  <w:abstractNum w:abstractNumId="31">
    <w:nsid w:val="488B45BA"/>
    <w:multiLevelType w:val="multilevel"/>
    <w:tmpl w:val="488B45BA"/>
    <w:lvl w:ilvl="0" w:tentative="0">
      <w:start w:val="1"/>
      <w:numFmt w:val="bullet"/>
      <w:pStyle w:val="45"/>
      <w:lvlText w:val=""/>
      <w:lvlJc w:val="left"/>
      <w:pPr>
        <w:ind w:left="988" w:hanging="420"/>
      </w:pPr>
      <w:rPr>
        <w:rFonts w:hint="default" w:ascii="Wingdings" w:hAnsi="Wingdings"/>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32">
    <w:nsid w:val="490D7BA1"/>
    <w:multiLevelType w:val="singleLevel"/>
    <w:tmpl w:val="490D7BA1"/>
    <w:lvl w:ilvl="0" w:tentative="0">
      <w:start w:val="1"/>
      <w:numFmt w:val="decimal"/>
      <w:suff w:val="nothing"/>
      <w:lvlText w:val="%1）"/>
      <w:lvlJc w:val="left"/>
    </w:lvl>
  </w:abstractNum>
  <w:abstractNum w:abstractNumId="33">
    <w:nsid w:val="515E3838"/>
    <w:multiLevelType w:val="multilevel"/>
    <w:tmpl w:val="515E3838"/>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34">
    <w:nsid w:val="55671E3C"/>
    <w:multiLevelType w:val="multilevel"/>
    <w:tmpl w:val="55671E3C"/>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35">
    <w:nsid w:val="591C17B6"/>
    <w:multiLevelType w:val="singleLevel"/>
    <w:tmpl w:val="591C17B6"/>
    <w:lvl w:ilvl="0" w:tentative="0">
      <w:start w:val="1"/>
      <w:numFmt w:val="decimal"/>
      <w:suff w:val="nothing"/>
      <w:lvlText w:val="%1）"/>
      <w:lvlJc w:val="left"/>
    </w:lvl>
  </w:abstractNum>
  <w:abstractNum w:abstractNumId="36">
    <w:nsid w:val="59254F86"/>
    <w:multiLevelType w:val="singleLevel"/>
    <w:tmpl w:val="59254F86"/>
    <w:lvl w:ilvl="0" w:tentative="0">
      <w:start w:val="1"/>
      <w:numFmt w:val="decimal"/>
      <w:suff w:val="nothing"/>
      <w:lvlText w:val="%1）"/>
      <w:lvlJc w:val="left"/>
    </w:lvl>
  </w:abstractNum>
  <w:abstractNum w:abstractNumId="37">
    <w:nsid w:val="67AC6F38"/>
    <w:multiLevelType w:val="multilevel"/>
    <w:tmpl w:val="67AC6F38"/>
    <w:lvl w:ilvl="0" w:tentative="0">
      <w:start w:val="1"/>
      <w:numFmt w:val="chineseCountingThousand"/>
      <w:lvlText w:val="(%1)"/>
      <w:lvlJc w:val="left"/>
      <w:pPr>
        <w:ind w:left="1442" w:hanging="720"/>
      </w:pPr>
      <w:rPr>
        <w:rFonts w:hint="default"/>
      </w:rPr>
    </w:lvl>
    <w:lvl w:ilvl="1" w:tentative="0">
      <w:start w:val="1"/>
      <w:numFmt w:val="lowerLetter"/>
      <w:lvlText w:val="%2)"/>
      <w:lvlJc w:val="left"/>
      <w:pPr>
        <w:ind w:left="1562" w:hanging="420"/>
      </w:pPr>
    </w:lvl>
    <w:lvl w:ilvl="2" w:tentative="0">
      <w:start w:val="1"/>
      <w:numFmt w:val="lowerRoman"/>
      <w:lvlText w:val="%3."/>
      <w:lvlJc w:val="right"/>
      <w:pPr>
        <w:ind w:left="1982" w:hanging="420"/>
      </w:pPr>
    </w:lvl>
    <w:lvl w:ilvl="3" w:tentative="0">
      <w:start w:val="1"/>
      <w:numFmt w:val="decimal"/>
      <w:lvlText w:val="%4."/>
      <w:lvlJc w:val="left"/>
      <w:pPr>
        <w:ind w:left="2402" w:hanging="420"/>
      </w:pPr>
    </w:lvl>
    <w:lvl w:ilvl="4" w:tentative="0">
      <w:start w:val="1"/>
      <w:numFmt w:val="lowerLetter"/>
      <w:lvlText w:val="%5)"/>
      <w:lvlJc w:val="left"/>
      <w:pPr>
        <w:ind w:left="2822" w:hanging="420"/>
      </w:pPr>
    </w:lvl>
    <w:lvl w:ilvl="5" w:tentative="0">
      <w:start w:val="1"/>
      <w:numFmt w:val="lowerRoman"/>
      <w:lvlText w:val="%6."/>
      <w:lvlJc w:val="right"/>
      <w:pPr>
        <w:ind w:left="3242" w:hanging="420"/>
      </w:pPr>
    </w:lvl>
    <w:lvl w:ilvl="6" w:tentative="0">
      <w:start w:val="1"/>
      <w:numFmt w:val="decimal"/>
      <w:lvlText w:val="%7."/>
      <w:lvlJc w:val="left"/>
      <w:pPr>
        <w:ind w:left="3662" w:hanging="420"/>
      </w:pPr>
    </w:lvl>
    <w:lvl w:ilvl="7" w:tentative="0">
      <w:start w:val="1"/>
      <w:numFmt w:val="lowerLetter"/>
      <w:lvlText w:val="%8)"/>
      <w:lvlJc w:val="left"/>
      <w:pPr>
        <w:ind w:left="4082" w:hanging="420"/>
      </w:pPr>
    </w:lvl>
    <w:lvl w:ilvl="8" w:tentative="0">
      <w:start w:val="1"/>
      <w:numFmt w:val="lowerRoman"/>
      <w:lvlText w:val="%9."/>
      <w:lvlJc w:val="right"/>
      <w:pPr>
        <w:ind w:left="4502" w:hanging="420"/>
      </w:pPr>
    </w:lvl>
  </w:abstractNum>
  <w:abstractNum w:abstractNumId="38">
    <w:nsid w:val="6B463158"/>
    <w:multiLevelType w:val="multilevel"/>
    <w:tmpl w:val="6B463158"/>
    <w:lvl w:ilvl="0" w:tentative="0">
      <w:start w:val="1"/>
      <w:numFmt w:val="japaneseCounting"/>
      <w:lvlText w:val="第%1条"/>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703318A2"/>
    <w:multiLevelType w:val="multilevel"/>
    <w:tmpl w:val="703318A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0">
    <w:nsid w:val="7BD61CBF"/>
    <w:multiLevelType w:val="multilevel"/>
    <w:tmpl w:val="7BD61CBF"/>
    <w:lvl w:ilvl="0" w:tentative="0">
      <w:start w:val="1"/>
      <w:numFmt w:val="chineseCountingThousand"/>
      <w:lvlText w:val="%1."/>
      <w:lvlJc w:val="right"/>
      <w:pPr>
        <w:ind w:left="420" w:hanging="420"/>
      </w:pPr>
      <w:rPr>
        <w:rFonts w:hint="default"/>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japaneseCounting"/>
      <w:lvlText w:val="%4．"/>
      <w:lvlJc w:val="left"/>
      <w:pPr>
        <w:ind w:left="1680" w:hanging="420"/>
      </w:pPr>
      <w:rPr>
        <w:rFonts w:hint="default"/>
      </w:rPr>
    </w:lvl>
    <w:lvl w:ilvl="4" w:tentative="0">
      <w:start w:val="2"/>
      <w:numFmt w:val="decimal"/>
      <w:lvlText w:val="%5、"/>
      <w:lvlJc w:val="left"/>
      <w:pPr>
        <w:tabs>
          <w:tab w:val="left" w:pos="2040"/>
        </w:tabs>
        <w:ind w:left="2040" w:hanging="360"/>
      </w:pPr>
      <w:rPr>
        <w:rFonts w:hint="default"/>
      </w:r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26"/>
  </w:num>
  <w:num w:numId="3">
    <w:abstractNumId w:val="4"/>
  </w:num>
  <w:num w:numId="4">
    <w:abstractNumId w:val="11"/>
  </w:num>
  <w:num w:numId="5">
    <w:abstractNumId w:val="16"/>
  </w:num>
  <w:num w:numId="6">
    <w:abstractNumId w:val="5"/>
  </w:num>
  <w:num w:numId="7">
    <w:abstractNumId w:val="31"/>
  </w:num>
  <w:num w:numId="8">
    <w:abstractNumId w:val="18"/>
  </w:num>
  <w:num w:numId="9">
    <w:abstractNumId w:val="13"/>
  </w:num>
  <w:num w:numId="10">
    <w:abstractNumId w:val="12"/>
  </w:num>
  <w:num w:numId="11">
    <w:abstractNumId w:val="35"/>
  </w:num>
  <w:num w:numId="12">
    <w:abstractNumId w:val="36"/>
  </w:num>
  <w:num w:numId="13">
    <w:abstractNumId w:val="14"/>
  </w:num>
  <w:num w:numId="14">
    <w:abstractNumId w:val="28"/>
  </w:num>
  <w:num w:numId="15">
    <w:abstractNumId w:val="32"/>
  </w:num>
  <w:num w:numId="16">
    <w:abstractNumId w:val="40"/>
  </w:num>
  <w:num w:numId="17">
    <w:abstractNumId w:val="0"/>
  </w:num>
  <w:num w:numId="18">
    <w:abstractNumId w:val="23"/>
  </w:num>
  <w:num w:numId="19">
    <w:abstractNumId w:val="39"/>
  </w:num>
  <w:num w:numId="20">
    <w:abstractNumId w:val="7"/>
  </w:num>
  <w:num w:numId="21">
    <w:abstractNumId w:val="30"/>
  </w:num>
  <w:num w:numId="22">
    <w:abstractNumId w:val="6"/>
  </w:num>
  <w:num w:numId="23">
    <w:abstractNumId w:val="21"/>
  </w:num>
  <w:num w:numId="24">
    <w:abstractNumId w:val="38"/>
  </w:num>
  <w:num w:numId="25">
    <w:abstractNumId w:val="8"/>
  </w:num>
  <w:num w:numId="26">
    <w:abstractNumId w:val="33"/>
  </w:num>
  <w:num w:numId="27">
    <w:abstractNumId w:val="20"/>
  </w:num>
  <w:num w:numId="28">
    <w:abstractNumId w:val="29"/>
  </w:num>
  <w:num w:numId="29">
    <w:abstractNumId w:val="37"/>
  </w:num>
  <w:num w:numId="30">
    <w:abstractNumId w:val="17"/>
  </w:num>
  <w:num w:numId="31">
    <w:abstractNumId w:val="22"/>
  </w:num>
  <w:num w:numId="32">
    <w:abstractNumId w:val="25"/>
  </w:num>
  <w:num w:numId="33">
    <w:abstractNumId w:val="34"/>
  </w:num>
  <w:num w:numId="34">
    <w:abstractNumId w:val="24"/>
  </w:num>
  <w:num w:numId="35">
    <w:abstractNumId w:val="10"/>
  </w:num>
  <w:num w:numId="36">
    <w:abstractNumId w:val="15"/>
  </w:num>
  <w:num w:numId="37">
    <w:abstractNumId w:val="9"/>
  </w:num>
  <w:num w:numId="38">
    <w:abstractNumId w:val="27"/>
  </w:num>
  <w:num w:numId="39">
    <w:abstractNumId w:val="3"/>
  </w:num>
  <w:num w:numId="40">
    <w:abstractNumId w:val="19"/>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czZGViYWMwNGFjOWFkZjE5ZWI2MTlkMmFjNTc0OGQifQ=="/>
  </w:docVars>
  <w:rsids>
    <w:rsidRoot w:val="00172A27"/>
    <w:rsid w:val="0000065A"/>
    <w:rsid w:val="000009ED"/>
    <w:rsid w:val="00000B49"/>
    <w:rsid w:val="000018E3"/>
    <w:rsid w:val="00001A37"/>
    <w:rsid w:val="000023CA"/>
    <w:rsid w:val="00003319"/>
    <w:rsid w:val="00003B9E"/>
    <w:rsid w:val="000046DD"/>
    <w:rsid w:val="000064C7"/>
    <w:rsid w:val="00006D69"/>
    <w:rsid w:val="000078B9"/>
    <w:rsid w:val="00007A7C"/>
    <w:rsid w:val="00010E03"/>
    <w:rsid w:val="00012E23"/>
    <w:rsid w:val="00014585"/>
    <w:rsid w:val="00014C87"/>
    <w:rsid w:val="00014CE1"/>
    <w:rsid w:val="00022439"/>
    <w:rsid w:val="00023C32"/>
    <w:rsid w:val="00027475"/>
    <w:rsid w:val="00031A33"/>
    <w:rsid w:val="00036486"/>
    <w:rsid w:val="00037D11"/>
    <w:rsid w:val="00037FCF"/>
    <w:rsid w:val="000404D1"/>
    <w:rsid w:val="00045A4D"/>
    <w:rsid w:val="00046213"/>
    <w:rsid w:val="00047E06"/>
    <w:rsid w:val="00047E97"/>
    <w:rsid w:val="00052D3E"/>
    <w:rsid w:val="000557D9"/>
    <w:rsid w:val="00055966"/>
    <w:rsid w:val="00055C04"/>
    <w:rsid w:val="000574B5"/>
    <w:rsid w:val="0006292A"/>
    <w:rsid w:val="00077078"/>
    <w:rsid w:val="00077388"/>
    <w:rsid w:val="0007740E"/>
    <w:rsid w:val="00080A3A"/>
    <w:rsid w:val="00081D70"/>
    <w:rsid w:val="00082CAA"/>
    <w:rsid w:val="000845E2"/>
    <w:rsid w:val="00084C1E"/>
    <w:rsid w:val="00085196"/>
    <w:rsid w:val="00087616"/>
    <w:rsid w:val="000932FF"/>
    <w:rsid w:val="000942AE"/>
    <w:rsid w:val="00095852"/>
    <w:rsid w:val="000958A4"/>
    <w:rsid w:val="000A383A"/>
    <w:rsid w:val="000A7B8E"/>
    <w:rsid w:val="000B1F1D"/>
    <w:rsid w:val="000B2914"/>
    <w:rsid w:val="000B3BBB"/>
    <w:rsid w:val="000B6E91"/>
    <w:rsid w:val="000B7204"/>
    <w:rsid w:val="000C3287"/>
    <w:rsid w:val="000C32BA"/>
    <w:rsid w:val="000C3A1E"/>
    <w:rsid w:val="000D2D9E"/>
    <w:rsid w:val="000E1A90"/>
    <w:rsid w:val="000E3832"/>
    <w:rsid w:val="000E45E6"/>
    <w:rsid w:val="000E54B9"/>
    <w:rsid w:val="000E5C4A"/>
    <w:rsid w:val="000F3B56"/>
    <w:rsid w:val="000F444F"/>
    <w:rsid w:val="00100E80"/>
    <w:rsid w:val="0010394B"/>
    <w:rsid w:val="00103AEE"/>
    <w:rsid w:val="001055AF"/>
    <w:rsid w:val="00105B31"/>
    <w:rsid w:val="00105D26"/>
    <w:rsid w:val="001073D3"/>
    <w:rsid w:val="001119DC"/>
    <w:rsid w:val="00114AE8"/>
    <w:rsid w:val="0012156D"/>
    <w:rsid w:val="00122E1C"/>
    <w:rsid w:val="00124600"/>
    <w:rsid w:val="0013082F"/>
    <w:rsid w:val="0013200C"/>
    <w:rsid w:val="00133793"/>
    <w:rsid w:val="0013393D"/>
    <w:rsid w:val="00133AFA"/>
    <w:rsid w:val="00134642"/>
    <w:rsid w:val="001359DE"/>
    <w:rsid w:val="00136AEF"/>
    <w:rsid w:val="001378EA"/>
    <w:rsid w:val="00137992"/>
    <w:rsid w:val="00143B54"/>
    <w:rsid w:val="0014401E"/>
    <w:rsid w:val="00144370"/>
    <w:rsid w:val="00145551"/>
    <w:rsid w:val="001476C7"/>
    <w:rsid w:val="001479DB"/>
    <w:rsid w:val="00150B23"/>
    <w:rsid w:val="00150E59"/>
    <w:rsid w:val="00152B9E"/>
    <w:rsid w:val="00155769"/>
    <w:rsid w:val="00155B0D"/>
    <w:rsid w:val="00161191"/>
    <w:rsid w:val="00161C30"/>
    <w:rsid w:val="00161CF6"/>
    <w:rsid w:val="001641B5"/>
    <w:rsid w:val="001642D4"/>
    <w:rsid w:val="001658CE"/>
    <w:rsid w:val="001667ED"/>
    <w:rsid w:val="0017081D"/>
    <w:rsid w:val="001713F7"/>
    <w:rsid w:val="001716D3"/>
    <w:rsid w:val="0017234E"/>
    <w:rsid w:val="00172A27"/>
    <w:rsid w:val="00173EC6"/>
    <w:rsid w:val="00174336"/>
    <w:rsid w:val="0017598F"/>
    <w:rsid w:val="0017686D"/>
    <w:rsid w:val="001812CA"/>
    <w:rsid w:val="00183C33"/>
    <w:rsid w:val="0018507C"/>
    <w:rsid w:val="0018646E"/>
    <w:rsid w:val="00186DD0"/>
    <w:rsid w:val="00191C0C"/>
    <w:rsid w:val="00192990"/>
    <w:rsid w:val="00194260"/>
    <w:rsid w:val="001951D0"/>
    <w:rsid w:val="00195484"/>
    <w:rsid w:val="00197E9D"/>
    <w:rsid w:val="001A0B6D"/>
    <w:rsid w:val="001A3292"/>
    <w:rsid w:val="001A36C0"/>
    <w:rsid w:val="001B0170"/>
    <w:rsid w:val="001B0BF3"/>
    <w:rsid w:val="001B2226"/>
    <w:rsid w:val="001B3D9A"/>
    <w:rsid w:val="001B4957"/>
    <w:rsid w:val="001B5AC3"/>
    <w:rsid w:val="001B5BB5"/>
    <w:rsid w:val="001B637F"/>
    <w:rsid w:val="001B6737"/>
    <w:rsid w:val="001B76FE"/>
    <w:rsid w:val="001C5A3D"/>
    <w:rsid w:val="001C7FBF"/>
    <w:rsid w:val="001D3604"/>
    <w:rsid w:val="001D41B9"/>
    <w:rsid w:val="001D57D6"/>
    <w:rsid w:val="001D5F79"/>
    <w:rsid w:val="001D7057"/>
    <w:rsid w:val="001D7229"/>
    <w:rsid w:val="001E5267"/>
    <w:rsid w:val="001E7517"/>
    <w:rsid w:val="001F05B1"/>
    <w:rsid w:val="001F5FC9"/>
    <w:rsid w:val="001F669F"/>
    <w:rsid w:val="001F6D3E"/>
    <w:rsid w:val="0020055E"/>
    <w:rsid w:val="002013BE"/>
    <w:rsid w:val="002017FB"/>
    <w:rsid w:val="0020260E"/>
    <w:rsid w:val="00203A11"/>
    <w:rsid w:val="00207615"/>
    <w:rsid w:val="00207B4D"/>
    <w:rsid w:val="00207E2A"/>
    <w:rsid w:val="002143F7"/>
    <w:rsid w:val="00220080"/>
    <w:rsid w:val="002201F4"/>
    <w:rsid w:val="00222141"/>
    <w:rsid w:val="0023070E"/>
    <w:rsid w:val="00231702"/>
    <w:rsid w:val="002376E4"/>
    <w:rsid w:val="002415B6"/>
    <w:rsid w:val="00243CD9"/>
    <w:rsid w:val="002445AF"/>
    <w:rsid w:val="002466A6"/>
    <w:rsid w:val="0025170B"/>
    <w:rsid w:val="0025244F"/>
    <w:rsid w:val="00252ACC"/>
    <w:rsid w:val="0025411A"/>
    <w:rsid w:val="0025411E"/>
    <w:rsid w:val="002553EE"/>
    <w:rsid w:val="00255425"/>
    <w:rsid w:val="00256A7F"/>
    <w:rsid w:val="00256E6B"/>
    <w:rsid w:val="00257511"/>
    <w:rsid w:val="00260F3E"/>
    <w:rsid w:val="002632D6"/>
    <w:rsid w:val="002634AE"/>
    <w:rsid w:val="00265CCC"/>
    <w:rsid w:val="00271BD9"/>
    <w:rsid w:val="00273C47"/>
    <w:rsid w:val="0028253A"/>
    <w:rsid w:val="00282EB3"/>
    <w:rsid w:val="00283013"/>
    <w:rsid w:val="00284536"/>
    <w:rsid w:val="00284F0E"/>
    <w:rsid w:val="00284F7F"/>
    <w:rsid w:val="002865AB"/>
    <w:rsid w:val="00286F3A"/>
    <w:rsid w:val="00287021"/>
    <w:rsid w:val="002917AF"/>
    <w:rsid w:val="00291D1F"/>
    <w:rsid w:val="00293DA6"/>
    <w:rsid w:val="002960AF"/>
    <w:rsid w:val="00296258"/>
    <w:rsid w:val="002A29B1"/>
    <w:rsid w:val="002A3BEF"/>
    <w:rsid w:val="002A3DF0"/>
    <w:rsid w:val="002A3ED6"/>
    <w:rsid w:val="002A47E0"/>
    <w:rsid w:val="002A4D18"/>
    <w:rsid w:val="002A6E65"/>
    <w:rsid w:val="002B124C"/>
    <w:rsid w:val="002B5782"/>
    <w:rsid w:val="002C2ECC"/>
    <w:rsid w:val="002C3675"/>
    <w:rsid w:val="002C4546"/>
    <w:rsid w:val="002C507E"/>
    <w:rsid w:val="002C5EB1"/>
    <w:rsid w:val="002D17E5"/>
    <w:rsid w:val="002D2EDB"/>
    <w:rsid w:val="002D316E"/>
    <w:rsid w:val="002D49B0"/>
    <w:rsid w:val="002D63B4"/>
    <w:rsid w:val="002E121C"/>
    <w:rsid w:val="002E18B7"/>
    <w:rsid w:val="002E35A5"/>
    <w:rsid w:val="002E4332"/>
    <w:rsid w:val="002E7DBD"/>
    <w:rsid w:val="002E7E6C"/>
    <w:rsid w:val="002F0852"/>
    <w:rsid w:val="002F19C2"/>
    <w:rsid w:val="002F1BE6"/>
    <w:rsid w:val="002F3B51"/>
    <w:rsid w:val="00301055"/>
    <w:rsid w:val="00301607"/>
    <w:rsid w:val="00302AEB"/>
    <w:rsid w:val="0030731E"/>
    <w:rsid w:val="0031131E"/>
    <w:rsid w:val="003119CD"/>
    <w:rsid w:val="00311F1C"/>
    <w:rsid w:val="00313754"/>
    <w:rsid w:val="00313856"/>
    <w:rsid w:val="00315073"/>
    <w:rsid w:val="00315175"/>
    <w:rsid w:val="003158B5"/>
    <w:rsid w:val="00320BD6"/>
    <w:rsid w:val="00324A3B"/>
    <w:rsid w:val="003259F9"/>
    <w:rsid w:val="00326526"/>
    <w:rsid w:val="00326CB7"/>
    <w:rsid w:val="003305CE"/>
    <w:rsid w:val="0033101C"/>
    <w:rsid w:val="00333B15"/>
    <w:rsid w:val="00333DC2"/>
    <w:rsid w:val="00337896"/>
    <w:rsid w:val="003410D9"/>
    <w:rsid w:val="00341322"/>
    <w:rsid w:val="00342CBB"/>
    <w:rsid w:val="003431FC"/>
    <w:rsid w:val="0034480F"/>
    <w:rsid w:val="00346E95"/>
    <w:rsid w:val="003472B6"/>
    <w:rsid w:val="00347456"/>
    <w:rsid w:val="003522D8"/>
    <w:rsid w:val="00365DF4"/>
    <w:rsid w:val="00367FC3"/>
    <w:rsid w:val="00372DAE"/>
    <w:rsid w:val="003752F2"/>
    <w:rsid w:val="003765DE"/>
    <w:rsid w:val="0038095C"/>
    <w:rsid w:val="00380A52"/>
    <w:rsid w:val="00381D94"/>
    <w:rsid w:val="0038465A"/>
    <w:rsid w:val="00384BFF"/>
    <w:rsid w:val="0038697B"/>
    <w:rsid w:val="00386ED3"/>
    <w:rsid w:val="00390374"/>
    <w:rsid w:val="003935C6"/>
    <w:rsid w:val="003936D3"/>
    <w:rsid w:val="0039541B"/>
    <w:rsid w:val="00397F2D"/>
    <w:rsid w:val="003A1268"/>
    <w:rsid w:val="003A1C84"/>
    <w:rsid w:val="003A5A48"/>
    <w:rsid w:val="003A6194"/>
    <w:rsid w:val="003A6FE2"/>
    <w:rsid w:val="003B355E"/>
    <w:rsid w:val="003B6686"/>
    <w:rsid w:val="003B7B32"/>
    <w:rsid w:val="003C120C"/>
    <w:rsid w:val="003C4647"/>
    <w:rsid w:val="003C49ED"/>
    <w:rsid w:val="003C4A02"/>
    <w:rsid w:val="003C5188"/>
    <w:rsid w:val="003C5DCA"/>
    <w:rsid w:val="003C7A45"/>
    <w:rsid w:val="003D1099"/>
    <w:rsid w:val="003D30C1"/>
    <w:rsid w:val="003D39C5"/>
    <w:rsid w:val="003D49D2"/>
    <w:rsid w:val="003D54AE"/>
    <w:rsid w:val="003D7180"/>
    <w:rsid w:val="003E06F4"/>
    <w:rsid w:val="003E3398"/>
    <w:rsid w:val="003E5D38"/>
    <w:rsid w:val="003E688D"/>
    <w:rsid w:val="003E789D"/>
    <w:rsid w:val="003F4CB1"/>
    <w:rsid w:val="003F5830"/>
    <w:rsid w:val="003F78BA"/>
    <w:rsid w:val="004027A6"/>
    <w:rsid w:val="00404C1D"/>
    <w:rsid w:val="00404EA1"/>
    <w:rsid w:val="004055B6"/>
    <w:rsid w:val="00406485"/>
    <w:rsid w:val="00406DCF"/>
    <w:rsid w:val="004107B5"/>
    <w:rsid w:val="00410ABC"/>
    <w:rsid w:val="00412A03"/>
    <w:rsid w:val="00415418"/>
    <w:rsid w:val="0041594E"/>
    <w:rsid w:val="004225B6"/>
    <w:rsid w:val="00423AB8"/>
    <w:rsid w:val="00426839"/>
    <w:rsid w:val="00426B40"/>
    <w:rsid w:val="004311C6"/>
    <w:rsid w:val="00431E14"/>
    <w:rsid w:val="00431EE8"/>
    <w:rsid w:val="00443C49"/>
    <w:rsid w:val="0044494C"/>
    <w:rsid w:val="00445CF1"/>
    <w:rsid w:val="00451139"/>
    <w:rsid w:val="00452499"/>
    <w:rsid w:val="00452F66"/>
    <w:rsid w:val="00454B7B"/>
    <w:rsid w:val="004607EC"/>
    <w:rsid w:val="00461790"/>
    <w:rsid w:val="00463304"/>
    <w:rsid w:val="00463418"/>
    <w:rsid w:val="00463661"/>
    <w:rsid w:val="004638DC"/>
    <w:rsid w:val="00470DC3"/>
    <w:rsid w:val="00470FC1"/>
    <w:rsid w:val="0047108D"/>
    <w:rsid w:val="00471732"/>
    <w:rsid w:val="00473EBE"/>
    <w:rsid w:val="00480A34"/>
    <w:rsid w:val="00480C91"/>
    <w:rsid w:val="0048280A"/>
    <w:rsid w:val="004844FE"/>
    <w:rsid w:val="00490925"/>
    <w:rsid w:val="00491C27"/>
    <w:rsid w:val="004931F3"/>
    <w:rsid w:val="00493EF6"/>
    <w:rsid w:val="00495BF9"/>
    <w:rsid w:val="00496262"/>
    <w:rsid w:val="004966FD"/>
    <w:rsid w:val="00497980"/>
    <w:rsid w:val="004A4457"/>
    <w:rsid w:val="004A496D"/>
    <w:rsid w:val="004B1651"/>
    <w:rsid w:val="004B1C96"/>
    <w:rsid w:val="004B2C71"/>
    <w:rsid w:val="004B4434"/>
    <w:rsid w:val="004B7C27"/>
    <w:rsid w:val="004C01F5"/>
    <w:rsid w:val="004C19B6"/>
    <w:rsid w:val="004C19EC"/>
    <w:rsid w:val="004C504B"/>
    <w:rsid w:val="004D0DFB"/>
    <w:rsid w:val="004D2856"/>
    <w:rsid w:val="004D3467"/>
    <w:rsid w:val="004D364C"/>
    <w:rsid w:val="004D3D14"/>
    <w:rsid w:val="004D598D"/>
    <w:rsid w:val="004D7BC5"/>
    <w:rsid w:val="004E2F68"/>
    <w:rsid w:val="004E38D9"/>
    <w:rsid w:val="004E6E50"/>
    <w:rsid w:val="004E734E"/>
    <w:rsid w:val="004E788F"/>
    <w:rsid w:val="004F3137"/>
    <w:rsid w:val="004F44CA"/>
    <w:rsid w:val="004F46B7"/>
    <w:rsid w:val="004F53B1"/>
    <w:rsid w:val="004F54FE"/>
    <w:rsid w:val="004F5DC5"/>
    <w:rsid w:val="00500EF3"/>
    <w:rsid w:val="005043B1"/>
    <w:rsid w:val="00507D43"/>
    <w:rsid w:val="00507F7A"/>
    <w:rsid w:val="005135B6"/>
    <w:rsid w:val="00516E5A"/>
    <w:rsid w:val="00517C36"/>
    <w:rsid w:val="00521284"/>
    <w:rsid w:val="00525C36"/>
    <w:rsid w:val="00526901"/>
    <w:rsid w:val="00526996"/>
    <w:rsid w:val="00527843"/>
    <w:rsid w:val="005305E2"/>
    <w:rsid w:val="00532ED0"/>
    <w:rsid w:val="00535A42"/>
    <w:rsid w:val="00540C96"/>
    <w:rsid w:val="00541A30"/>
    <w:rsid w:val="0054200F"/>
    <w:rsid w:val="005423FA"/>
    <w:rsid w:val="005460CD"/>
    <w:rsid w:val="00546754"/>
    <w:rsid w:val="00547592"/>
    <w:rsid w:val="005509BE"/>
    <w:rsid w:val="00556CE8"/>
    <w:rsid w:val="00561E8F"/>
    <w:rsid w:val="00563AE3"/>
    <w:rsid w:val="00563C99"/>
    <w:rsid w:val="0056424E"/>
    <w:rsid w:val="005677C1"/>
    <w:rsid w:val="00572F41"/>
    <w:rsid w:val="00575366"/>
    <w:rsid w:val="00581960"/>
    <w:rsid w:val="00582212"/>
    <w:rsid w:val="005822AA"/>
    <w:rsid w:val="00583B13"/>
    <w:rsid w:val="00585590"/>
    <w:rsid w:val="00587522"/>
    <w:rsid w:val="005912DC"/>
    <w:rsid w:val="00591DE8"/>
    <w:rsid w:val="00592916"/>
    <w:rsid w:val="00592950"/>
    <w:rsid w:val="00594C96"/>
    <w:rsid w:val="00597BC6"/>
    <w:rsid w:val="005A03C4"/>
    <w:rsid w:val="005A78E3"/>
    <w:rsid w:val="005B1DB9"/>
    <w:rsid w:val="005B5B98"/>
    <w:rsid w:val="005C042D"/>
    <w:rsid w:val="005C0A3A"/>
    <w:rsid w:val="005C10AE"/>
    <w:rsid w:val="005C2687"/>
    <w:rsid w:val="005C58E1"/>
    <w:rsid w:val="005C60AD"/>
    <w:rsid w:val="005C755A"/>
    <w:rsid w:val="005C7DBB"/>
    <w:rsid w:val="005D55ED"/>
    <w:rsid w:val="005D6B50"/>
    <w:rsid w:val="005D7334"/>
    <w:rsid w:val="005E170B"/>
    <w:rsid w:val="005E1D2E"/>
    <w:rsid w:val="005E22D1"/>
    <w:rsid w:val="005E660F"/>
    <w:rsid w:val="005E6F9B"/>
    <w:rsid w:val="005F2276"/>
    <w:rsid w:val="005F4ADD"/>
    <w:rsid w:val="005F4C7E"/>
    <w:rsid w:val="005F567F"/>
    <w:rsid w:val="005F7F13"/>
    <w:rsid w:val="0060111C"/>
    <w:rsid w:val="0060201A"/>
    <w:rsid w:val="006074D8"/>
    <w:rsid w:val="00607CE6"/>
    <w:rsid w:val="0061062E"/>
    <w:rsid w:val="00610CCB"/>
    <w:rsid w:val="006111D7"/>
    <w:rsid w:val="006122AF"/>
    <w:rsid w:val="00612FA7"/>
    <w:rsid w:val="006134F6"/>
    <w:rsid w:val="006135F0"/>
    <w:rsid w:val="00614694"/>
    <w:rsid w:val="00616ECB"/>
    <w:rsid w:val="00621176"/>
    <w:rsid w:val="00621C47"/>
    <w:rsid w:val="00622C1C"/>
    <w:rsid w:val="006246BC"/>
    <w:rsid w:val="0062581B"/>
    <w:rsid w:val="006276E6"/>
    <w:rsid w:val="00627E59"/>
    <w:rsid w:val="00631C04"/>
    <w:rsid w:val="006337B1"/>
    <w:rsid w:val="00633FB7"/>
    <w:rsid w:val="006346B0"/>
    <w:rsid w:val="0063533E"/>
    <w:rsid w:val="006401F6"/>
    <w:rsid w:val="006415D6"/>
    <w:rsid w:val="006450B7"/>
    <w:rsid w:val="006516B5"/>
    <w:rsid w:val="00653088"/>
    <w:rsid w:val="0065558B"/>
    <w:rsid w:val="0065573A"/>
    <w:rsid w:val="00656605"/>
    <w:rsid w:val="0065726D"/>
    <w:rsid w:val="00660DA8"/>
    <w:rsid w:val="00661686"/>
    <w:rsid w:val="00661DA6"/>
    <w:rsid w:val="00661E60"/>
    <w:rsid w:val="00662176"/>
    <w:rsid w:val="006625C8"/>
    <w:rsid w:val="00662D27"/>
    <w:rsid w:val="00663D33"/>
    <w:rsid w:val="00666A35"/>
    <w:rsid w:val="00667A4E"/>
    <w:rsid w:val="00667DE5"/>
    <w:rsid w:val="006715C7"/>
    <w:rsid w:val="00672B42"/>
    <w:rsid w:val="00674398"/>
    <w:rsid w:val="00674AF3"/>
    <w:rsid w:val="006750F2"/>
    <w:rsid w:val="006807EB"/>
    <w:rsid w:val="00681A10"/>
    <w:rsid w:val="00682873"/>
    <w:rsid w:val="00682CAA"/>
    <w:rsid w:val="00683FCB"/>
    <w:rsid w:val="00686789"/>
    <w:rsid w:val="00692028"/>
    <w:rsid w:val="00694244"/>
    <w:rsid w:val="006949C5"/>
    <w:rsid w:val="00694C36"/>
    <w:rsid w:val="006A20EC"/>
    <w:rsid w:val="006A4A1D"/>
    <w:rsid w:val="006A4E09"/>
    <w:rsid w:val="006A5191"/>
    <w:rsid w:val="006A6459"/>
    <w:rsid w:val="006A79F5"/>
    <w:rsid w:val="006B0836"/>
    <w:rsid w:val="006B1480"/>
    <w:rsid w:val="006B1B22"/>
    <w:rsid w:val="006B33F5"/>
    <w:rsid w:val="006B37C6"/>
    <w:rsid w:val="006B3930"/>
    <w:rsid w:val="006B3F27"/>
    <w:rsid w:val="006B414F"/>
    <w:rsid w:val="006B472A"/>
    <w:rsid w:val="006B4E93"/>
    <w:rsid w:val="006B5F23"/>
    <w:rsid w:val="006C0390"/>
    <w:rsid w:val="006C0913"/>
    <w:rsid w:val="006C27C3"/>
    <w:rsid w:val="006C364F"/>
    <w:rsid w:val="006C47FA"/>
    <w:rsid w:val="006C668B"/>
    <w:rsid w:val="006C7A83"/>
    <w:rsid w:val="006D1005"/>
    <w:rsid w:val="006D132F"/>
    <w:rsid w:val="006D14FA"/>
    <w:rsid w:val="006D32BA"/>
    <w:rsid w:val="006D5F54"/>
    <w:rsid w:val="006E1EE3"/>
    <w:rsid w:val="006E3066"/>
    <w:rsid w:val="006E335F"/>
    <w:rsid w:val="006E52D9"/>
    <w:rsid w:val="006E69BB"/>
    <w:rsid w:val="006E7348"/>
    <w:rsid w:val="006F0C4F"/>
    <w:rsid w:val="006F3141"/>
    <w:rsid w:val="006F356F"/>
    <w:rsid w:val="006F4448"/>
    <w:rsid w:val="006F4B9E"/>
    <w:rsid w:val="006F5883"/>
    <w:rsid w:val="006F7344"/>
    <w:rsid w:val="00700CCD"/>
    <w:rsid w:val="0070266B"/>
    <w:rsid w:val="00702EA3"/>
    <w:rsid w:val="007050B9"/>
    <w:rsid w:val="00706396"/>
    <w:rsid w:val="00707511"/>
    <w:rsid w:val="00710189"/>
    <w:rsid w:val="00711666"/>
    <w:rsid w:val="007147C7"/>
    <w:rsid w:val="0071512C"/>
    <w:rsid w:val="00720866"/>
    <w:rsid w:val="0072209C"/>
    <w:rsid w:val="00722B40"/>
    <w:rsid w:val="00730053"/>
    <w:rsid w:val="00733936"/>
    <w:rsid w:val="00735C0E"/>
    <w:rsid w:val="007361D6"/>
    <w:rsid w:val="00740A5F"/>
    <w:rsid w:val="00741F26"/>
    <w:rsid w:val="00743BF4"/>
    <w:rsid w:val="00744180"/>
    <w:rsid w:val="007442D5"/>
    <w:rsid w:val="0074704E"/>
    <w:rsid w:val="00747EB6"/>
    <w:rsid w:val="00753E2B"/>
    <w:rsid w:val="00754925"/>
    <w:rsid w:val="00754A88"/>
    <w:rsid w:val="0075500B"/>
    <w:rsid w:val="00760C14"/>
    <w:rsid w:val="0076217B"/>
    <w:rsid w:val="00762B89"/>
    <w:rsid w:val="00762F0A"/>
    <w:rsid w:val="007643BC"/>
    <w:rsid w:val="0076477D"/>
    <w:rsid w:val="0076742F"/>
    <w:rsid w:val="0077023C"/>
    <w:rsid w:val="00771F91"/>
    <w:rsid w:val="00773199"/>
    <w:rsid w:val="00775B78"/>
    <w:rsid w:val="00780051"/>
    <w:rsid w:val="0078406E"/>
    <w:rsid w:val="00784E02"/>
    <w:rsid w:val="00791C6E"/>
    <w:rsid w:val="0079276C"/>
    <w:rsid w:val="00796DE4"/>
    <w:rsid w:val="007A0278"/>
    <w:rsid w:val="007A11DF"/>
    <w:rsid w:val="007A218B"/>
    <w:rsid w:val="007A79F4"/>
    <w:rsid w:val="007B1FE9"/>
    <w:rsid w:val="007B359E"/>
    <w:rsid w:val="007B57D3"/>
    <w:rsid w:val="007B5877"/>
    <w:rsid w:val="007B754D"/>
    <w:rsid w:val="007B7BBA"/>
    <w:rsid w:val="007C4AB1"/>
    <w:rsid w:val="007C62D3"/>
    <w:rsid w:val="007D0341"/>
    <w:rsid w:val="007D0EA3"/>
    <w:rsid w:val="007D3BD2"/>
    <w:rsid w:val="007D3CD9"/>
    <w:rsid w:val="007D42AE"/>
    <w:rsid w:val="007D4D8D"/>
    <w:rsid w:val="007D4E90"/>
    <w:rsid w:val="007D50A1"/>
    <w:rsid w:val="007E228C"/>
    <w:rsid w:val="007E28E3"/>
    <w:rsid w:val="007F1907"/>
    <w:rsid w:val="007F1D12"/>
    <w:rsid w:val="007F3113"/>
    <w:rsid w:val="007F6C8F"/>
    <w:rsid w:val="007F7ABB"/>
    <w:rsid w:val="00800904"/>
    <w:rsid w:val="00800A1B"/>
    <w:rsid w:val="00800EF9"/>
    <w:rsid w:val="00803C7E"/>
    <w:rsid w:val="00807862"/>
    <w:rsid w:val="008119DB"/>
    <w:rsid w:val="0081312B"/>
    <w:rsid w:val="00820B3D"/>
    <w:rsid w:val="00822464"/>
    <w:rsid w:val="00822955"/>
    <w:rsid w:val="00823006"/>
    <w:rsid w:val="00823881"/>
    <w:rsid w:val="008246DF"/>
    <w:rsid w:val="008274A1"/>
    <w:rsid w:val="0083386F"/>
    <w:rsid w:val="00835D8D"/>
    <w:rsid w:val="00836137"/>
    <w:rsid w:val="00837071"/>
    <w:rsid w:val="008403A4"/>
    <w:rsid w:val="00842189"/>
    <w:rsid w:val="008425F6"/>
    <w:rsid w:val="008427F9"/>
    <w:rsid w:val="00843F9A"/>
    <w:rsid w:val="00844580"/>
    <w:rsid w:val="00844855"/>
    <w:rsid w:val="008456A5"/>
    <w:rsid w:val="00850EF3"/>
    <w:rsid w:val="0085213A"/>
    <w:rsid w:val="00852F23"/>
    <w:rsid w:val="008540BA"/>
    <w:rsid w:val="008550CC"/>
    <w:rsid w:val="00855E8F"/>
    <w:rsid w:val="00860466"/>
    <w:rsid w:val="00860E1C"/>
    <w:rsid w:val="00860F56"/>
    <w:rsid w:val="00863B23"/>
    <w:rsid w:val="00863EEF"/>
    <w:rsid w:val="00864C39"/>
    <w:rsid w:val="0086655A"/>
    <w:rsid w:val="00867269"/>
    <w:rsid w:val="008705A4"/>
    <w:rsid w:val="00874CA1"/>
    <w:rsid w:val="008769D1"/>
    <w:rsid w:val="0087729F"/>
    <w:rsid w:val="00877383"/>
    <w:rsid w:val="00877B5F"/>
    <w:rsid w:val="008809A0"/>
    <w:rsid w:val="00882802"/>
    <w:rsid w:val="00884617"/>
    <w:rsid w:val="0088755C"/>
    <w:rsid w:val="00887B15"/>
    <w:rsid w:val="008929D9"/>
    <w:rsid w:val="0089410C"/>
    <w:rsid w:val="00895E4A"/>
    <w:rsid w:val="008A014C"/>
    <w:rsid w:val="008A022D"/>
    <w:rsid w:val="008A048F"/>
    <w:rsid w:val="008A11DF"/>
    <w:rsid w:val="008A1B56"/>
    <w:rsid w:val="008A7774"/>
    <w:rsid w:val="008B4FA4"/>
    <w:rsid w:val="008B4FC7"/>
    <w:rsid w:val="008B75E7"/>
    <w:rsid w:val="008C1030"/>
    <w:rsid w:val="008C241A"/>
    <w:rsid w:val="008C2F70"/>
    <w:rsid w:val="008C30E4"/>
    <w:rsid w:val="008D0729"/>
    <w:rsid w:val="008D2FAC"/>
    <w:rsid w:val="008D34AF"/>
    <w:rsid w:val="008D3DD8"/>
    <w:rsid w:val="008D482B"/>
    <w:rsid w:val="008E0D16"/>
    <w:rsid w:val="008E240D"/>
    <w:rsid w:val="008E430F"/>
    <w:rsid w:val="008E4589"/>
    <w:rsid w:val="008E5773"/>
    <w:rsid w:val="008E6EB5"/>
    <w:rsid w:val="008E72F6"/>
    <w:rsid w:val="008E7F22"/>
    <w:rsid w:val="008F0085"/>
    <w:rsid w:val="008F225B"/>
    <w:rsid w:val="008F242C"/>
    <w:rsid w:val="008F54F5"/>
    <w:rsid w:val="008F571C"/>
    <w:rsid w:val="009011D3"/>
    <w:rsid w:val="00901531"/>
    <w:rsid w:val="0090230B"/>
    <w:rsid w:val="009033CF"/>
    <w:rsid w:val="00904CC9"/>
    <w:rsid w:val="00907CC6"/>
    <w:rsid w:val="00910550"/>
    <w:rsid w:val="00911DBA"/>
    <w:rsid w:val="00912849"/>
    <w:rsid w:val="0091559D"/>
    <w:rsid w:val="00915B6F"/>
    <w:rsid w:val="00915FAC"/>
    <w:rsid w:val="00917700"/>
    <w:rsid w:val="00924026"/>
    <w:rsid w:val="00924FEA"/>
    <w:rsid w:val="00926B77"/>
    <w:rsid w:val="009307CF"/>
    <w:rsid w:val="00932F6A"/>
    <w:rsid w:val="0093332C"/>
    <w:rsid w:val="009352EF"/>
    <w:rsid w:val="00936C49"/>
    <w:rsid w:val="00937466"/>
    <w:rsid w:val="00940E4B"/>
    <w:rsid w:val="0094253D"/>
    <w:rsid w:val="00950D75"/>
    <w:rsid w:val="009546A7"/>
    <w:rsid w:val="00960CF0"/>
    <w:rsid w:val="009635A5"/>
    <w:rsid w:val="0096753D"/>
    <w:rsid w:val="0097420A"/>
    <w:rsid w:val="0097776A"/>
    <w:rsid w:val="00977F71"/>
    <w:rsid w:val="009815EE"/>
    <w:rsid w:val="00984E22"/>
    <w:rsid w:val="0098545F"/>
    <w:rsid w:val="009855AC"/>
    <w:rsid w:val="00986A87"/>
    <w:rsid w:val="00987E95"/>
    <w:rsid w:val="009910E4"/>
    <w:rsid w:val="00991488"/>
    <w:rsid w:val="009919D1"/>
    <w:rsid w:val="00991E3E"/>
    <w:rsid w:val="009925CA"/>
    <w:rsid w:val="0099464E"/>
    <w:rsid w:val="00994AF3"/>
    <w:rsid w:val="00996E2D"/>
    <w:rsid w:val="009A3FDA"/>
    <w:rsid w:val="009A6ACF"/>
    <w:rsid w:val="009B2E10"/>
    <w:rsid w:val="009B3A74"/>
    <w:rsid w:val="009B6200"/>
    <w:rsid w:val="009B75FC"/>
    <w:rsid w:val="009B7CBA"/>
    <w:rsid w:val="009C0D24"/>
    <w:rsid w:val="009C2372"/>
    <w:rsid w:val="009C285F"/>
    <w:rsid w:val="009C2B86"/>
    <w:rsid w:val="009C2D2B"/>
    <w:rsid w:val="009C4528"/>
    <w:rsid w:val="009C6CBA"/>
    <w:rsid w:val="009C7174"/>
    <w:rsid w:val="009D2E2D"/>
    <w:rsid w:val="009D3627"/>
    <w:rsid w:val="009D3638"/>
    <w:rsid w:val="009D5D4D"/>
    <w:rsid w:val="009D7841"/>
    <w:rsid w:val="009E3170"/>
    <w:rsid w:val="009E318B"/>
    <w:rsid w:val="009E39C3"/>
    <w:rsid w:val="009F6EB2"/>
    <w:rsid w:val="00A01D05"/>
    <w:rsid w:val="00A0266A"/>
    <w:rsid w:val="00A0299D"/>
    <w:rsid w:val="00A0407B"/>
    <w:rsid w:val="00A054D2"/>
    <w:rsid w:val="00A059C2"/>
    <w:rsid w:val="00A1206C"/>
    <w:rsid w:val="00A1561D"/>
    <w:rsid w:val="00A2102A"/>
    <w:rsid w:val="00A2153E"/>
    <w:rsid w:val="00A2290A"/>
    <w:rsid w:val="00A23E5F"/>
    <w:rsid w:val="00A24C69"/>
    <w:rsid w:val="00A25F8E"/>
    <w:rsid w:val="00A27E24"/>
    <w:rsid w:val="00A30660"/>
    <w:rsid w:val="00A3299E"/>
    <w:rsid w:val="00A35765"/>
    <w:rsid w:val="00A36878"/>
    <w:rsid w:val="00A36F53"/>
    <w:rsid w:val="00A377D7"/>
    <w:rsid w:val="00A402A2"/>
    <w:rsid w:val="00A40953"/>
    <w:rsid w:val="00A4199C"/>
    <w:rsid w:val="00A4489B"/>
    <w:rsid w:val="00A459A6"/>
    <w:rsid w:val="00A51BC4"/>
    <w:rsid w:val="00A52741"/>
    <w:rsid w:val="00A5285E"/>
    <w:rsid w:val="00A53654"/>
    <w:rsid w:val="00A53845"/>
    <w:rsid w:val="00A552B7"/>
    <w:rsid w:val="00A579E2"/>
    <w:rsid w:val="00A57F2E"/>
    <w:rsid w:val="00A61E9F"/>
    <w:rsid w:val="00A62658"/>
    <w:rsid w:val="00A640B5"/>
    <w:rsid w:val="00A648F0"/>
    <w:rsid w:val="00A64E72"/>
    <w:rsid w:val="00A67106"/>
    <w:rsid w:val="00A71B01"/>
    <w:rsid w:val="00A75E02"/>
    <w:rsid w:val="00A767EA"/>
    <w:rsid w:val="00A772AE"/>
    <w:rsid w:val="00A7736A"/>
    <w:rsid w:val="00A801CA"/>
    <w:rsid w:val="00A81055"/>
    <w:rsid w:val="00A822B4"/>
    <w:rsid w:val="00A83101"/>
    <w:rsid w:val="00A83438"/>
    <w:rsid w:val="00A84C50"/>
    <w:rsid w:val="00A90848"/>
    <w:rsid w:val="00A91569"/>
    <w:rsid w:val="00A927DD"/>
    <w:rsid w:val="00A93C54"/>
    <w:rsid w:val="00A941DA"/>
    <w:rsid w:val="00A96E42"/>
    <w:rsid w:val="00AA39B1"/>
    <w:rsid w:val="00AA5020"/>
    <w:rsid w:val="00AA6CF2"/>
    <w:rsid w:val="00AA73F9"/>
    <w:rsid w:val="00AB2F99"/>
    <w:rsid w:val="00AB3BC5"/>
    <w:rsid w:val="00AB4BFF"/>
    <w:rsid w:val="00AB501F"/>
    <w:rsid w:val="00AB50F2"/>
    <w:rsid w:val="00AB5AA3"/>
    <w:rsid w:val="00AC39CF"/>
    <w:rsid w:val="00AC53D0"/>
    <w:rsid w:val="00AC7203"/>
    <w:rsid w:val="00AD2A7E"/>
    <w:rsid w:val="00AD2E5F"/>
    <w:rsid w:val="00AD2E73"/>
    <w:rsid w:val="00AD3340"/>
    <w:rsid w:val="00AD3A3F"/>
    <w:rsid w:val="00AD3A64"/>
    <w:rsid w:val="00AD6B52"/>
    <w:rsid w:val="00AD6D7D"/>
    <w:rsid w:val="00AD7692"/>
    <w:rsid w:val="00AE0BC6"/>
    <w:rsid w:val="00AE21D2"/>
    <w:rsid w:val="00AE32EA"/>
    <w:rsid w:val="00AE37A6"/>
    <w:rsid w:val="00AF3265"/>
    <w:rsid w:val="00AF4386"/>
    <w:rsid w:val="00AF4FB7"/>
    <w:rsid w:val="00AF6D33"/>
    <w:rsid w:val="00AF7FAA"/>
    <w:rsid w:val="00B0139B"/>
    <w:rsid w:val="00B0191E"/>
    <w:rsid w:val="00B02ADC"/>
    <w:rsid w:val="00B070D0"/>
    <w:rsid w:val="00B07379"/>
    <w:rsid w:val="00B119F7"/>
    <w:rsid w:val="00B11A91"/>
    <w:rsid w:val="00B11CD8"/>
    <w:rsid w:val="00B20232"/>
    <w:rsid w:val="00B21626"/>
    <w:rsid w:val="00B22E91"/>
    <w:rsid w:val="00B30023"/>
    <w:rsid w:val="00B30794"/>
    <w:rsid w:val="00B31CA3"/>
    <w:rsid w:val="00B3322B"/>
    <w:rsid w:val="00B33B93"/>
    <w:rsid w:val="00B3432A"/>
    <w:rsid w:val="00B35143"/>
    <w:rsid w:val="00B367E1"/>
    <w:rsid w:val="00B37596"/>
    <w:rsid w:val="00B37601"/>
    <w:rsid w:val="00B4177D"/>
    <w:rsid w:val="00B43003"/>
    <w:rsid w:val="00B445D9"/>
    <w:rsid w:val="00B45523"/>
    <w:rsid w:val="00B45990"/>
    <w:rsid w:val="00B463B1"/>
    <w:rsid w:val="00B51DC2"/>
    <w:rsid w:val="00B53A7E"/>
    <w:rsid w:val="00B552AB"/>
    <w:rsid w:val="00B559A6"/>
    <w:rsid w:val="00B573FC"/>
    <w:rsid w:val="00B607A7"/>
    <w:rsid w:val="00B641B3"/>
    <w:rsid w:val="00B64214"/>
    <w:rsid w:val="00B7014F"/>
    <w:rsid w:val="00B70D5D"/>
    <w:rsid w:val="00B71CD1"/>
    <w:rsid w:val="00B71DD2"/>
    <w:rsid w:val="00B7202D"/>
    <w:rsid w:val="00B814C5"/>
    <w:rsid w:val="00B81D5B"/>
    <w:rsid w:val="00B81ED6"/>
    <w:rsid w:val="00B82851"/>
    <w:rsid w:val="00B843CF"/>
    <w:rsid w:val="00B8496D"/>
    <w:rsid w:val="00B861DD"/>
    <w:rsid w:val="00B9128A"/>
    <w:rsid w:val="00B91DEC"/>
    <w:rsid w:val="00B93C09"/>
    <w:rsid w:val="00B94337"/>
    <w:rsid w:val="00BA4038"/>
    <w:rsid w:val="00BA5FFA"/>
    <w:rsid w:val="00BA793A"/>
    <w:rsid w:val="00BB1B17"/>
    <w:rsid w:val="00BB59C8"/>
    <w:rsid w:val="00BB605F"/>
    <w:rsid w:val="00BC2997"/>
    <w:rsid w:val="00BC2CE1"/>
    <w:rsid w:val="00BC7DA7"/>
    <w:rsid w:val="00BD21F9"/>
    <w:rsid w:val="00BD4DE0"/>
    <w:rsid w:val="00BD64DA"/>
    <w:rsid w:val="00BD735B"/>
    <w:rsid w:val="00BE0735"/>
    <w:rsid w:val="00BE19B7"/>
    <w:rsid w:val="00BE2BF7"/>
    <w:rsid w:val="00BE4A88"/>
    <w:rsid w:val="00BE76C8"/>
    <w:rsid w:val="00BF05B2"/>
    <w:rsid w:val="00BF1B83"/>
    <w:rsid w:val="00BF404A"/>
    <w:rsid w:val="00BF436E"/>
    <w:rsid w:val="00BF590C"/>
    <w:rsid w:val="00BF6072"/>
    <w:rsid w:val="00BF6291"/>
    <w:rsid w:val="00BF78A4"/>
    <w:rsid w:val="00BF79BC"/>
    <w:rsid w:val="00BF7D89"/>
    <w:rsid w:val="00C01EFA"/>
    <w:rsid w:val="00C03502"/>
    <w:rsid w:val="00C03DA4"/>
    <w:rsid w:val="00C0688E"/>
    <w:rsid w:val="00C07A16"/>
    <w:rsid w:val="00C105FB"/>
    <w:rsid w:val="00C1207C"/>
    <w:rsid w:val="00C128A0"/>
    <w:rsid w:val="00C1310F"/>
    <w:rsid w:val="00C1314F"/>
    <w:rsid w:val="00C13680"/>
    <w:rsid w:val="00C13D12"/>
    <w:rsid w:val="00C14646"/>
    <w:rsid w:val="00C15086"/>
    <w:rsid w:val="00C16695"/>
    <w:rsid w:val="00C171AA"/>
    <w:rsid w:val="00C2078E"/>
    <w:rsid w:val="00C21676"/>
    <w:rsid w:val="00C221D1"/>
    <w:rsid w:val="00C233CF"/>
    <w:rsid w:val="00C24359"/>
    <w:rsid w:val="00C255C9"/>
    <w:rsid w:val="00C3082D"/>
    <w:rsid w:val="00C34F41"/>
    <w:rsid w:val="00C35FB3"/>
    <w:rsid w:val="00C3709B"/>
    <w:rsid w:val="00C4276B"/>
    <w:rsid w:val="00C43E55"/>
    <w:rsid w:val="00C4555F"/>
    <w:rsid w:val="00C45DE3"/>
    <w:rsid w:val="00C462DF"/>
    <w:rsid w:val="00C46A17"/>
    <w:rsid w:val="00C4797E"/>
    <w:rsid w:val="00C50982"/>
    <w:rsid w:val="00C51599"/>
    <w:rsid w:val="00C53956"/>
    <w:rsid w:val="00C54622"/>
    <w:rsid w:val="00C64EC1"/>
    <w:rsid w:val="00C67C95"/>
    <w:rsid w:val="00C715BA"/>
    <w:rsid w:val="00C73115"/>
    <w:rsid w:val="00C7649B"/>
    <w:rsid w:val="00C80753"/>
    <w:rsid w:val="00C82200"/>
    <w:rsid w:val="00C852DC"/>
    <w:rsid w:val="00C906C7"/>
    <w:rsid w:val="00C9641D"/>
    <w:rsid w:val="00CA27AF"/>
    <w:rsid w:val="00CA4FFE"/>
    <w:rsid w:val="00CA7137"/>
    <w:rsid w:val="00CB0B14"/>
    <w:rsid w:val="00CB14C0"/>
    <w:rsid w:val="00CB1C92"/>
    <w:rsid w:val="00CB23B5"/>
    <w:rsid w:val="00CB7BA9"/>
    <w:rsid w:val="00CC5924"/>
    <w:rsid w:val="00CD46A5"/>
    <w:rsid w:val="00CE42F2"/>
    <w:rsid w:val="00CE754D"/>
    <w:rsid w:val="00CF5ADA"/>
    <w:rsid w:val="00D00D35"/>
    <w:rsid w:val="00D00E52"/>
    <w:rsid w:val="00D00F0D"/>
    <w:rsid w:val="00D01CB6"/>
    <w:rsid w:val="00D0608C"/>
    <w:rsid w:val="00D072A3"/>
    <w:rsid w:val="00D1042E"/>
    <w:rsid w:val="00D11903"/>
    <w:rsid w:val="00D1195B"/>
    <w:rsid w:val="00D12E3F"/>
    <w:rsid w:val="00D154AF"/>
    <w:rsid w:val="00D15CEA"/>
    <w:rsid w:val="00D171A1"/>
    <w:rsid w:val="00D17E76"/>
    <w:rsid w:val="00D203C9"/>
    <w:rsid w:val="00D308E4"/>
    <w:rsid w:val="00D331D6"/>
    <w:rsid w:val="00D438BE"/>
    <w:rsid w:val="00D50302"/>
    <w:rsid w:val="00D50C4C"/>
    <w:rsid w:val="00D546E2"/>
    <w:rsid w:val="00D546F6"/>
    <w:rsid w:val="00D6071F"/>
    <w:rsid w:val="00D6074D"/>
    <w:rsid w:val="00D627D5"/>
    <w:rsid w:val="00D65D5F"/>
    <w:rsid w:val="00D66596"/>
    <w:rsid w:val="00D71112"/>
    <w:rsid w:val="00D726B8"/>
    <w:rsid w:val="00D743F3"/>
    <w:rsid w:val="00D76AF9"/>
    <w:rsid w:val="00D80717"/>
    <w:rsid w:val="00D807AE"/>
    <w:rsid w:val="00D8112F"/>
    <w:rsid w:val="00D825B6"/>
    <w:rsid w:val="00D82BEF"/>
    <w:rsid w:val="00D8318A"/>
    <w:rsid w:val="00D834AF"/>
    <w:rsid w:val="00D83621"/>
    <w:rsid w:val="00D870FF"/>
    <w:rsid w:val="00D90939"/>
    <w:rsid w:val="00D920AA"/>
    <w:rsid w:val="00D92701"/>
    <w:rsid w:val="00D929ED"/>
    <w:rsid w:val="00D9501A"/>
    <w:rsid w:val="00D95668"/>
    <w:rsid w:val="00D95E51"/>
    <w:rsid w:val="00D97DEF"/>
    <w:rsid w:val="00DA1254"/>
    <w:rsid w:val="00DA13B9"/>
    <w:rsid w:val="00DA3ECC"/>
    <w:rsid w:val="00DB04BD"/>
    <w:rsid w:val="00DB519D"/>
    <w:rsid w:val="00DB6D15"/>
    <w:rsid w:val="00DC4CFE"/>
    <w:rsid w:val="00DC4DA6"/>
    <w:rsid w:val="00DD16B8"/>
    <w:rsid w:val="00DD3394"/>
    <w:rsid w:val="00DD4FA0"/>
    <w:rsid w:val="00DD56C8"/>
    <w:rsid w:val="00DE017D"/>
    <w:rsid w:val="00DE490B"/>
    <w:rsid w:val="00DE5D6A"/>
    <w:rsid w:val="00DF133B"/>
    <w:rsid w:val="00DF1A6F"/>
    <w:rsid w:val="00DF2204"/>
    <w:rsid w:val="00DF45B2"/>
    <w:rsid w:val="00DF4EE8"/>
    <w:rsid w:val="00E002D0"/>
    <w:rsid w:val="00E024D9"/>
    <w:rsid w:val="00E0360B"/>
    <w:rsid w:val="00E05F7E"/>
    <w:rsid w:val="00E07304"/>
    <w:rsid w:val="00E07D7E"/>
    <w:rsid w:val="00E13190"/>
    <w:rsid w:val="00E1326D"/>
    <w:rsid w:val="00E1377A"/>
    <w:rsid w:val="00E1393B"/>
    <w:rsid w:val="00E20936"/>
    <w:rsid w:val="00E2345E"/>
    <w:rsid w:val="00E24FCC"/>
    <w:rsid w:val="00E270FF"/>
    <w:rsid w:val="00E30DE3"/>
    <w:rsid w:val="00E3243C"/>
    <w:rsid w:val="00E32ABB"/>
    <w:rsid w:val="00E34B0B"/>
    <w:rsid w:val="00E40534"/>
    <w:rsid w:val="00E42216"/>
    <w:rsid w:val="00E43C55"/>
    <w:rsid w:val="00E4582A"/>
    <w:rsid w:val="00E46109"/>
    <w:rsid w:val="00E5326A"/>
    <w:rsid w:val="00E53566"/>
    <w:rsid w:val="00E56E3B"/>
    <w:rsid w:val="00E57DCF"/>
    <w:rsid w:val="00E61797"/>
    <w:rsid w:val="00E619B1"/>
    <w:rsid w:val="00E620FC"/>
    <w:rsid w:val="00E652DF"/>
    <w:rsid w:val="00E66B0F"/>
    <w:rsid w:val="00E67506"/>
    <w:rsid w:val="00E709F1"/>
    <w:rsid w:val="00E72B6F"/>
    <w:rsid w:val="00E75DEE"/>
    <w:rsid w:val="00E83097"/>
    <w:rsid w:val="00E83449"/>
    <w:rsid w:val="00E836D3"/>
    <w:rsid w:val="00E86F02"/>
    <w:rsid w:val="00E93493"/>
    <w:rsid w:val="00E94133"/>
    <w:rsid w:val="00E94FA6"/>
    <w:rsid w:val="00EA0C2A"/>
    <w:rsid w:val="00EA1295"/>
    <w:rsid w:val="00EA1A0B"/>
    <w:rsid w:val="00EA2CD0"/>
    <w:rsid w:val="00EA2CD3"/>
    <w:rsid w:val="00EA47F2"/>
    <w:rsid w:val="00EA6213"/>
    <w:rsid w:val="00EA6B64"/>
    <w:rsid w:val="00EB085A"/>
    <w:rsid w:val="00EB1C0E"/>
    <w:rsid w:val="00EB3371"/>
    <w:rsid w:val="00EB3D89"/>
    <w:rsid w:val="00EB4AD3"/>
    <w:rsid w:val="00EB6079"/>
    <w:rsid w:val="00EB6F3A"/>
    <w:rsid w:val="00EC1828"/>
    <w:rsid w:val="00EC469C"/>
    <w:rsid w:val="00EC7543"/>
    <w:rsid w:val="00ED20A1"/>
    <w:rsid w:val="00ED41CF"/>
    <w:rsid w:val="00ED64CB"/>
    <w:rsid w:val="00EE1BA0"/>
    <w:rsid w:val="00EE4A10"/>
    <w:rsid w:val="00EE4F9D"/>
    <w:rsid w:val="00EE7A1F"/>
    <w:rsid w:val="00EF0056"/>
    <w:rsid w:val="00EF0BFB"/>
    <w:rsid w:val="00EF1E34"/>
    <w:rsid w:val="00EF3187"/>
    <w:rsid w:val="00EF3CFF"/>
    <w:rsid w:val="00EF44E8"/>
    <w:rsid w:val="00EF68C4"/>
    <w:rsid w:val="00EF6E0D"/>
    <w:rsid w:val="00F00248"/>
    <w:rsid w:val="00F006F2"/>
    <w:rsid w:val="00F0158D"/>
    <w:rsid w:val="00F03B95"/>
    <w:rsid w:val="00F05806"/>
    <w:rsid w:val="00F05F4C"/>
    <w:rsid w:val="00F067D5"/>
    <w:rsid w:val="00F0716E"/>
    <w:rsid w:val="00F144AD"/>
    <w:rsid w:val="00F14E08"/>
    <w:rsid w:val="00F165D0"/>
    <w:rsid w:val="00F17D87"/>
    <w:rsid w:val="00F20717"/>
    <w:rsid w:val="00F20F14"/>
    <w:rsid w:val="00F214C9"/>
    <w:rsid w:val="00F219AE"/>
    <w:rsid w:val="00F236CC"/>
    <w:rsid w:val="00F23918"/>
    <w:rsid w:val="00F23E73"/>
    <w:rsid w:val="00F25A70"/>
    <w:rsid w:val="00F27AED"/>
    <w:rsid w:val="00F30468"/>
    <w:rsid w:val="00F324B5"/>
    <w:rsid w:val="00F3350A"/>
    <w:rsid w:val="00F34DAE"/>
    <w:rsid w:val="00F353AA"/>
    <w:rsid w:val="00F4297E"/>
    <w:rsid w:val="00F432E4"/>
    <w:rsid w:val="00F43C0A"/>
    <w:rsid w:val="00F45F30"/>
    <w:rsid w:val="00F51928"/>
    <w:rsid w:val="00F520CD"/>
    <w:rsid w:val="00F528F2"/>
    <w:rsid w:val="00F54D0C"/>
    <w:rsid w:val="00F56C5B"/>
    <w:rsid w:val="00F57B91"/>
    <w:rsid w:val="00F61D11"/>
    <w:rsid w:val="00F62645"/>
    <w:rsid w:val="00F628C4"/>
    <w:rsid w:val="00F637E0"/>
    <w:rsid w:val="00F64A40"/>
    <w:rsid w:val="00F65FB9"/>
    <w:rsid w:val="00F701CE"/>
    <w:rsid w:val="00F72FD4"/>
    <w:rsid w:val="00F75E73"/>
    <w:rsid w:val="00F76C09"/>
    <w:rsid w:val="00F77997"/>
    <w:rsid w:val="00F806D7"/>
    <w:rsid w:val="00F80CC7"/>
    <w:rsid w:val="00F81D31"/>
    <w:rsid w:val="00F92ED9"/>
    <w:rsid w:val="00F941DE"/>
    <w:rsid w:val="00F955DB"/>
    <w:rsid w:val="00F97298"/>
    <w:rsid w:val="00FA0A34"/>
    <w:rsid w:val="00FA1554"/>
    <w:rsid w:val="00FA207B"/>
    <w:rsid w:val="00FA2125"/>
    <w:rsid w:val="00FA2EE6"/>
    <w:rsid w:val="00FA4584"/>
    <w:rsid w:val="00FA524F"/>
    <w:rsid w:val="00FA5B70"/>
    <w:rsid w:val="00FA656C"/>
    <w:rsid w:val="00FB08A9"/>
    <w:rsid w:val="00FB11DB"/>
    <w:rsid w:val="00FB1537"/>
    <w:rsid w:val="00FB2D98"/>
    <w:rsid w:val="00FC0AC5"/>
    <w:rsid w:val="00FC2DA7"/>
    <w:rsid w:val="00FD016E"/>
    <w:rsid w:val="00FD18EF"/>
    <w:rsid w:val="00FD5662"/>
    <w:rsid w:val="00FD63DE"/>
    <w:rsid w:val="00FD7E0A"/>
    <w:rsid w:val="00FE0268"/>
    <w:rsid w:val="00FE276B"/>
    <w:rsid w:val="00FE2B4E"/>
    <w:rsid w:val="00FE3150"/>
    <w:rsid w:val="00FE648E"/>
    <w:rsid w:val="00FE65AD"/>
    <w:rsid w:val="00FF2797"/>
    <w:rsid w:val="00FF30C4"/>
    <w:rsid w:val="00FF32B9"/>
    <w:rsid w:val="00FF3D3D"/>
    <w:rsid w:val="00FF5C09"/>
    <w:rsid w:val="01153CB9"/>
    <w:rsid w:val="01185F99"/>
    <w:rsid w:val="015362BE"/>
    <w:rsid w:val="01601ECC"/>
    <w:rsid w:val="01604F23"/>
    <w:rsid w:val="016C2E58"/>
    <w:rsid w:val="01AD3C68"/>
    <w:rsid w:val="01B25740"/>
    <w:rsid w:val="01BC27CC"/>
    <w:rsid w:val="01DC58D7"/>
    <w:rsid w:val="01DD4F72"/>
    <w:rsid w:val="02020009"/>
    <w:rsid w:val="02074269"/>
    <w:rsid w:val="0241595E"/>
    <w:rsid w:val="02440A6F"/>
    <w:rsid w:val="02814A50"/>
    <w:rsid w:val="02883D0D"/>
    <w:rsid w:val="0290148A"/>
    <w:rsid w:val="02904CC2"/>
    <w:rsid w:val="02AA01F2"/>
    <w:rsid w:val="02B154B4"/>
    <w:rsid w:val="02F9788E"/>
    <w:rsid w:val="0301435E"/>
    <w:rsid w:val="03143469"/>
    <w:rsid w:val="032E6FA8"/>
    <w:rsid w:val="033B17C3"/>
    <w:rsid w:val="035518E2"/>
    <w:rsid w:val="036028AF"/>
    <w:rsid w:val="03791753"/>
    <w:rsid w:val="03932DD1"/>
    <w:rsid w:val="039C50B8"/>
    <w:rsid w:val="039F1C05"/>
    <w:rsid w:val="03BF18BB"/>
    <w:rsid w:val="04126D80"/>
    <w:rsid w:val="042461D3"/>
    <w:rsid w:val="042D7176"/>
    <w:rsid w:val="044F6BB9"/>
    <w:rsid w:val="04742FB9"/>
    <w:rsid w:val="04A93ED2"/>
    <w:rsid w:val="04B7593B"/>
    <w:rsid w:val="04D3651C"/>
    <w:rsid w:val="04E0188C"/>
    <w:rsid w:val="04F53863"/>
    <w:rsid w:val="053140F4"/>
    <w:rsid w:val="05330EB7"/>
    <w:rsid w:val="055033B5"/>
    <w:rsid w:val="05A40F6F"/>
    <w:rsid w:val="05AA413B"/>
    <w:rsid w:val="05B26C46"/>
    <w:rsid w:val="05CC492F"/>
    <w:rsid w:val="05D413D6"/>
    <w:rsid w:val="05E54E26"/>
    <w:rsid w:val="05EF1114"/>
    <w:rsid w:val="0623547A"/>
    <w:rsid w:val="06325A48"/>
    <w:rsid w:val="066A576D"/>
    <w:rsid w:val="067813DD"/>
    <w:rsid w:val="068A788A"/>
    <w:rsid w:val="069C5DB1"/>
    <w:rsid w:val="06E21FFB"/>
    <w:rsid w:val="06FE52E7"/>
    <w:rsid w:val="07311EE0"/>
    <w:rsid w:val="074410AD"/>
    <w:rsid w:val="075220F7"/>
    <w:rsid w:val="07576861"/>
    <w:rsid w:val="07646B24"/>
    <w:rsid w:val="07A679D2"/>
    <w:rsid w:val="07BD7830"/>
    <w:rsid w:val="07E83362"/>
    <w:rsid w:val="07F85853"/>
    <w:rsid w:val="083003D2"/>
    <w:rsid w:val="083E363C"/>
    <w:rsid w:val="083F787D"/>
    <w:rsid w:val="0854418A"/>
    <w:rsid w:val="087007C1"/>
    <w:rsid w:val="08775B98"/>
    <w:rsid w:val="08861AB1"/>
    <w:rsid w:val="08B34E89"/>
    <w:rsid w:val="08B63D4A"/>
    <w:rsid w:val="08D33B59"/>
    <w:rsid w:val="08D44D0D"/>
    <w:rsid w:val="08EF5B41"/>
    <w:rsid w:val="091764BF"/>
    <w:rsid w:val="0925047A"/>
    <w:rsid w:val="09456491"/>
    <w:rsid w:val="096E1B6D"/>
    <w:rsid w:val="09741927"/>
    <w:rsid w:val="097C59D7"/>
    <w:rsid w:val="09826B27"/>
    <w:rsid w:val="09A26C42"/>
    <w:rsid w:val="09F96AB0"/>
    <w:rsid w:val="0A130712"/>
    <w:rsid w:val="0A1438D9"/>
    <w:rsid w:val="0A176BD8"/>
    <w:rsid w:val="0A316251"/>
    <w:rsid w:val="0A4F50AE"/>
    <w:rsid w:val="0A582093"/>
    <w:rsid w:val="0A5B3E72"/>
    <w:rsid w:val="0A5D5B88"/>
    <w:rsid w:val="0B05740C"/>
    <w:rsid w:val="0B600982"/>
    <w:rsid w:val="0B633FEF"/>
    <w:rsid w:val="0B854D69"/>
    <w:rsid w:val="0B8B3DBB"/>
    <w:rsid w:val="0BBB78E5"/>
    <w:rsid w:val="0BD03D68"/>
    <w:rsid w:val="0BE7593F"/>
    <w:rsid w:val="0C0D1FBD"/>
    <w:rsid w:val="0C5D1878"/>
    <w:rsid w:val="0CA14AAC"/>
    <w:rsid w:val="0CAA3054"/>
    <w:rsid w:val="0CAB54DE"/>
    <w:rsid w:val="0CD154A1"/>
    <w:rsid w:val="0CD3692C"/>
    <w:rsid w:val="0CD4072D"/>
    <w:rsid w:val="0CE31806"/>
    <w:rsid w:val="0D0F6EC9"/>
    <w:rsid w:val="0D244C99"/>
    <w:rsid w:val="0D463542"/>
    <w:rsid w:val="0D4940C6"/>
    <w:rsid w:val="0D494FA5"/>
    <w:rsid w:val="0D590F6B"/>
    <w:rsid w:val="0D8C6527"/>
    <w:rsid w:val="0D9F6FA5"/>
    <w:rsid w:val="0DB36837"/>
    <w:rsid w:val="0E142B8E"/>
    <w:rsid w:val="0E1A3FF5"/>
    <w:rsid w:val="0E2E162B"/>
    <w:rsid w:val="0E32221F"/>
    <w:rsid w:val="0E3739E5"/>
    <w:rsid w:val="0E4D2061"/>
    <w:rsid w:val="0E5950A0"/>
    <w:rsid w:val="0E5D284A"/>
    <w:rsid w:val="0E761DDD"/>
    <w:rsid w:val="0E89160E"/>
    <w:rsid w:val="0EB247F5"/>
    <w:rsid w:val="0EBB345F"/>
    <w:rsid w:val="0F2253BD"/>
    <w:rsid w:val="0F2A3CB2"/>
    <w:rsid w:val="0F30151C"/>
    <w:rsid w:val="0F4434EB"/>
    <w:rsid w:val="0F5E31E5"/>
    <w:rsid w:val="0F901CEE"/>
    <w:rsid w:val="0F946216"/>
    <w:rsid w:val="0FAC3CFD"/>
    <w:rsid w:val="0FBC4E3F"/>
    <w:rsid w:val="0FC55C89"/>
    <w:rsid w:val="0FC63F72"/>
    <w:rsid w:val="0FCE385B"/>
    <w:rsid w:val="10051D3F"/>
    <w:rsid w:val="1006647A"/>
    <w:rsid w:val="100D49AD"/>
    <w:rsid w:val="1035702B"/>
    <w:rsid w:val="10473843"/>
    <w:rsid w:val="10476A79"/>
    <w:rsid w:val="105868DA"/>
    <w:rsid w:val="105E4E6C"/>
    <w:rsid w:val="1081180E"/>
    <w:rsid w:val="10852A8F"/>
    <w:rsid w:val="10B5315E"/>
    <w:rsid w:val="10DF7D1D"/>
    <w:rsid w:val="10FB4490"/>
    <w:rsid w:val="11136780"/>
    <w:rsid w:val="113C5BC7"/>
    <w:rsid w:val="114059EB"/>
    <w:rsid w:val="114B74EC"/>
    <w:rsid w:val="115F0065"/>
    <w:rsid w:val="116F2338"/>
    <w:rsid w:val="11A008D5"/>
    <w:rsid w:val="11B75C25"/>
    <w:rsid w:val="11BA6FBF"/>
    <w:rsid w:val="11DC7A6D"/>
    <w:rsid w:val="11E25AD2"/>
    <w:rsid w:val="11EA7DC6"/>
    <w:rsid w:val="11F72B09"/>
    <w:rsid w:val="11F82D23"/>
    <w:rsid w:val="121D5F9B"/>
    <w:rsid w:val="12333415"/>
    <w:rsid w:val="12372F35"/>
    <w:rsid w:val="12437B13"/>
    <w:rsid w:val="124600C8"/>
    <w:rsid w:val="125C34F8"/>
    <w:rsid w:val="127B107F"/>
    <w:rsid w:val="1288665B"/>
    <w:rsid w:val="129B2167"/>
    <w:rsid w:val="12B32945"/>
    <w:rsid w:val="12E976DF"/>
    <w:rsid w:val="131109C2"/>
    <w:rsid w:val="13136F60"/>
    <w:rsid w:val="13147B8D"/>
    <w:rsid w:val="13237276"/>
    <w:rsid w:val="13715D3E"/>
    <w:rsid w:val="13AD2BB9"/>
    <w:rsid w:val="13B23AA5"/>
    <w:rsid w:val="13B6209C"/>
    <w:rsid w:val="13CF7BA6"/>
    <w:rsid w:val="141E171E"/>
    <w:rsid w:val="143357E3"/>
    <w:rsid w:val="145377F9"/>
    <w:rsid w:val="1460001A"/>
    <w:rsid w:val="14716739"/>
    <w:rsid w:val="147855C7"/>
    <w:rsid w:val="147E3259"/>
    <w:rsid w:val="14B155A9"/>
    <w:rsid w:val="14BE0D70"/>
    <w:rsid w:val="14C800AC"/>
    <w:rsid w:val="14DF7312"/>
    <w:rsid w:val="14E15715"/>
    <w:rsid w:val="14E8498B"/>
    <w:rsid w:val="14EE183A"/>
    <w:rsid w:val="14FB1211"/>
    <w:rsid w:val="1513128B"/>
    <w:rsid w:val="151F7F53"/>
    <w:rsid w:val="152121D4"/>
    <w:rsid w:val="15300D2E"/>
    <w:rsid w:val="15424913"/>
    <w:rsid w:val="154E25F4"/>
    <w:rsid w:val="15781477"/>
    <w:rsid w:val="15B44561"/>
    <w:rsid w:val="15BF2909"/>
    <w:rsid w:val="15C052D5"/>
    <w:rsid w:val="15D93C41"/>
    <w:rsid w:val="15F377B5"/>
    <w:rsid w:val="160D301F"/>
    <w:rsid w:val="16463DBE"/>
    <w:rsid w:val="170E0384"/>
    <w:rsid w:val="17131D89"/>
    <w:rsid w:val="17460888"/>
    <w:rsid w:val="174D1C1F"/>
    <w:rsid w:val="174E7702"/>
    <w:rsid w:val="180C0186"/>
    <w:rsid w:val="18132949"/>
    <w:rsid w:val="18551EFF"/>
    <w:rsid w:val="18875FC9"/>
    <w:rsid w:val="18894197"/>
    <w:rsid w:val="18A61F6F"/>
    <w:rsid w:val="18AC30A9"/>
    <w:rsid w:val="18D81507"/>
    <w:rsid w:val="19100B12"/>
    <w:rsid w:val="192E3357"/>
    <w:rsid w:val="1931123B"/>
    <w:rsid w:val="197C3660"/>
    <w:rsid w:val="19812369"/>
    <w:rsid w:val="198A70D9"/>
    <w:rsid w:val="1999333A"/>
    <w:rsid w:val="19A52E4A"/>
    <w:rsid w:val="19AC2714"/>
    <w:rsid w:val="19B22D65"/>
    <w:rsid w:val="19B87ABD"/>
    <w:rsid w:val="19C24D74"/>
    <w:rsid w:val="19D3046C"/>
    <w:rsid w:val="1A0556C2"/>
    <w:rsid w:val="1A11228E"/>
    <w:rsid w:val="1A192103"/>
    <w:rsid w:val="1A3A5FAB"/>
    <w:rsid w:val="1A3E4C55"/>
    <w:rsid w:val="1A790AA4"/>
    <w:rsid w:val="1A7C68A2"/>
    <w:rsid w:val="1A8A4123"/>
    <w:rsid w:val="1AB50797"/>
    <w:rsid w:val="1ABE7EDC"/>
    <w:rsid w:val="1AF55BF4"/>
    <w:rsid w:val="1AFC5580"/>
    <w:rsid w:val="1B031431"/>
    <w:rsid w:val="1B5A6471"/>
    <w:rsid w:val="1B6603B7"/>
    <w:rsid w:val="1B8B51E0"/>
    <w:rsid w:val="1B9702CE"/>
    <w:rsid w:val="1BA110A0"/>
    <w:rsid w:val="1BD3064F"/>
    <w:rsid w:val="1BD50C42"/>
    <w:rsid w:val="1BFA0A27"/>
    <w:rsid w:val="1C026404"/>
    <w:rsid w:val="1C280911"/>
    <w:rsid w:val="1C29708D"/>
    <w:rsid w:val="1C371BF5"/>
    <w:rsid w:val="1C5307C0"/>
    <w:rsid w:val="1C63297C"/>
    <w:rsid w:val="1C6A1DD7"/>
    <w:rsid w:val="1C942217"/>
    <w:rsid w:val="1CA16233"/>
    <w:rsid w:val="1CAE3870"/>
    <w:rsid w:val="1CD1672B"/>
    <w:rsid w:val="1CD41918"/>
    <w:rsid w:val="1CD537A8"/>
    <w:rsid w:val="1CDC2513"/>
    <w:rsid w:val="1CED168D"/>
    <w:rsid w:val="1CF8005B"/>
    <w:rsid w:val="1D023740"/>
    <w:rsid w:val="1D027C06"/>
    <w:rsid w:val="1D23255F"/>
    <w:rsid w:val="1D295F2E"/>
    <w:rsid w:val="1DA35694"/>
    <w:rsid w:val="1DA540C4"/>
    <w:rsid w:val="1DA75601"/>
    <w:rsid w:val="1DD923A8"/>
    <w:rsid w:val="1DE36AF0"/>
    <w:rsid w:val="1DEE3D5A"/>
    <w:rsid w:val="1DFA646E"/>
    <w:rsid w:val="1E010BB0"/>
    <w:rsid w:val="1E0D1359"/>
    <w:rsid w:val="1E1E55AF"/>
    <w:rsid w:val="1E2960C6"/>
    <w:rsid w:val="1E535036"/>
    <w:rsid w:val="1E8066E5"/>
    <w:rsid w:val="1E88429D"/>
    <w:rsid w:val="1E933A14"/>
    <w:rsid w:val="1EA34220"/>
    <w:rsid w:val="1EE663BE"/>
    <w:rsid w:val="1EF10C87"/>
    <w:rsid w:val="1F081730"/>
    <w:rsid w:val="1F305D40"/>
    <w:rsid w:val="1F4A2F0D"/>
    <w:rsid w:val="1F4D6E5D"/>
    <w:rsid w:val="1F816544"/>
    <w:rsid w:val="1F96422A"/>
    <w:rsid w:val="1FC138E2"/>
    <w:rsid w:val="1FCD4EA9"/>
    <w:rsid w:val="1FF34942"/>
    <w:rsid w:val="1FF95412"/>
    <w:rsid w:val="200A3319"/>
    <w:rsid w:val="20165C7A"/>
    <w:rsid w:val="2064738B"/>
    <w:rsid w:val="206D67C8"/>
    <w:rsid w:val="207E6560"/>
    <w:rsid w:val="208C3A27"/>
    <w:rsid w:val="20A151CE"/>
    <w:rsid w:val="20A82F8E"/>
    <w:rsid w:val="210E13C4"/>
    <w:rsid w:val="21261B4F"/>
    <w:rsid w:val="21536842"/>
    <w:rsid w:val="21596523"/>
    <w:rsid w:val="21667D0F"/>
    <w:rsid w:val="21674710"/>
    <w:rsid w:val="216841E8"/>
    <w:rsid w:val="21BF3939"/>
    <w:rsid w:val="21D37381"/>
    <w:rsid w:val="222E046A"/>
    <w:rsid w:val="224706CF"/>
    <w:rsid w:val="224D1FCC"/>
    <w:rsid w:val="22522B38"/>
    <w:rsid w:val="227C2604"/>
    <w:rsid w:val="22C6107C"/>
    <w:rsid w:val="239D40E7"/>
    <w:rsid w:val="23C443B1"/>
    <w:rsid w:val="24001B4C"/>
    <w:rsid w:val="240A730F"/>
    <w:rsid w:val="241619DC"/>
    <w:rsid w:val="2433030A"/>
    <w:rsid w:val="243B479A"/>
    <w:rsid w:val="246563AA"/>
    <w:rsid w:val="24657F24"/>
    <w:rsid w:val="246E5FE1"/>
    <w:rsid w:val="248817D8"/>
    <w:rsid w:val="24A14857"/>
    <w:rsid w:val="24A630A0"/>
    <w:rsid w:val="24B72216"/>
    <w:rsid w:val="24C137A2"/>
    <w:rsid w:val="24DB31CC"/>
    <w:rsid w:val="252808A0"/>
    <w:rsid w:val="252C4645"/>
    <w:rsid w:val="255D4B86"/>
    <w:rsid w:val="25733490"/>
    <w:rsid w:val="257B56E2"/>
    <w:rsid w:val="258A613D"/>
    <w:rsid w:val="259E4776"/>
    <w:rsid w:val="25C9160A"/>
    <w:rsid w:val="25CB7879"/>
    <w:rsid w:val="25D06916"/>
    <w:rsid w:val="26090126"/>
    <w:rsid w:val="2672145D"/>
    <w:rsid w:val="26955218"/>
    <w:rsid w:val="26AE78BC"/>
    <w:rsid w:val="26FD4C76"/>
    <w:rsid w:val="270E06AE"/>
    <w:rsid w:val="274D727F"/>
    <w:rsid w:val="27716C75"/>
    <w:rsid w:val="278B4050"/>
    <w:rsid w:val="27D25B9C"/>
    <w:rsid w:val="280A0794"/>
    <w:rsid w:val="28181CA6"/>
    <w:rsid w:val="28211E26"/>
    <w:rsid w:val="28441A38"/>
    <w:rsid w:val="28735C68"/>
    <w:rsid w:val="287F7345"/>
    <w:rsid w:val="2882743F"/>
    <w:rsid w:val="288578BC"/>
    <w:rsid w:val="28900E99"/>
    <w:rsid w:val="28972601"/>
    <w:rsid w:val="28BE4D38"/>
    <w:rsid w:val="28C57FFC"/>
    <w:rsid w:val="29211CC1"/>
    <w:rsid w:val="292263FB"/>
    <w:rsid w:val="293F7C4A"/>
    <w:rsid w:val="29557117"/>
    <w:rsid w:val="2966570F"/>
    <w:rsid w:val="297833EC"/>
    <w:rsid w:val="298078B7"/>
    <w:rsid w:val="29813FBA"/>
    <w:rsid w:val="298D6BD1"/>
    <w:rsid w:val="299A3E60"/>
    <w:rsid w:val="29A52F3E"/>
    <w:rsid w:val="29AE0423"/>
    <w:rsid w:val="29B0398F"/>
    <w:rsid w:val="29BF7F31"/>
    <w:rsid w:val="29C5420E"/>
    <w:rsid w:val="29DF538E"/>
    <w:rsid w:val="29E1006B"/>
    <w:rsid w:val="29EE0895"/>
    <w:rsid w:val="2A006C7A"/>
    <w:rsid w:val="2A0D6032"/>
    <w:rsid w:val="2A153362"/>
    <w:rsid w:val="2A19334A"/>
    <w:rsid w:val="2A20378C"/>
    <w:rsid w:val="2A28677E"/>
    <w:rsid w:val="2A5369F0"/>
    <w:rsid w:val="2A790EA8"/>
    <w:rsid w:val="2A816B7C"/>
    <w:rsid w:val="2AA00286"/>
    <w:rsid w:val="2B0E3CA6"/>
    <w:rsid w:val="2B3C5651"/>
    <w:rsid w:val="2B3F4549"/>
    <w:rsid w:val="2B57673D"/>
    <w:rsid w:val="2B731D95"/>
    <w:rsid w:val="2B745EB3"/>
    <w:rsid w:val="2B8112F3"/>
    <w:rsid w:val="2BA8399E"/>
    <w:rsid w:val="2BD06EE0"/>
    <w:rsid w:val="2BD81772"/>
    <w:rsid w:val="2BDF102E"/>
    <w:rsid w:val="2BDF3320"/>
    <w:rsid w:val="2C0377B2"/>
    <w:rsid w:val="2C3124F5"/>
    <w:rsid w:val="2C38543E"/>
    <w:rsid w:val="2CA056B3"/>
    <w:rsid w:val="2CB30748"/>
    <w:rsid w:val="2CD814CC"/>
    <w:rsid w:val="2CE11534"/>
    <w:rsid w:val="2CE53A4E"/>
    <w:rsid w:val="2CF12497"/>
    <w:rsid w:val="2CF74A00"/>
    <w:rsid w:val="2CFB1C6A"/>
    <w:rsid w:val="2D0D7E17"/>
    <w:rsid w:val="2D100C33"/>
    <w:rsid w:val="2D2C7089"/>
    <w:rsid w:val="2D3053CE"/>
    <w:rsid w:val="2D65416B"/>
    <w:rsid w:val="2D784EB1"/>
    <w:rsid w:val="2DBE5AB8"/>
    <w:rsid w:val="2DD242DD"/>
    <w:rsid w:val="2DEC1281"/>
    <w:rsid w:val="2DFC0BF4"/>
    <w:rsid w:val="2E2B30AE"/>
    <w:rsid w:val="2E2E00F8"/>
    <w:rsid w:val="2E473B03"/>
    <w:rsid w:val="2E742F69"/>
    <w:rsid w:val="2E9740F4"/>
    <w:rsid w:val="2EA30E0C"/>
    <w:rsid w:val="2ECD6AC2"/>
    <w:rsid w:val="2ED65C2A"/>
    <w:rsid w:val="2F146D36"/>
    <w:rsid w:val="2F2246CE"/>
    <w:rsid w:val="2F452CAE"/>
    <w:rsid w:val="2F4D2052"/>
    <w:rsid w:val="2F8209AE"/>
    <w:rsid w:val="2F8679A4"/>
    <w:rsid w:val="2FAD135C"/>
    <w:rsid w:val="2FC5066A"/>
    <w:rsid w:val="2FC80CB9"/>
    <w:rsid w:val="2FD37B99"/>
    <w:rsid w:val="2FD617DC"/>
    <w:rsid w:val="2FDE4B6F"/>
    <w:rsid w:val="30462509"/>
    <w:rsid w:val="304F6491"/>
    <w:rsid w:val="30813248"/>
    <w:rsid w:val="30B00411"/>
    <w:rsid w:val="30B311FC"/>
    <w:rsid w:val="30B52ED9"/>
    <w:rsid w:val="30ED5772"/>
    <w:rsid w:val="30FC6FFC"/>
    <w:rsid w:val="315B4187"/>
    <w:rsid w:val="315D09FB"/>
    <w:rsid w:val="31AD30CE"/>
    <w:rsid w:val="31BC6A83"/>
    <w:rsid w:val="31BE6729"/>
    <w:rsid w:val="31D21706"/>
    <w:rsid w:val="31E01AF4"/>
    <w:rsid w:val="320329AC"/>
    <w:rsid w:val="3220778E"/>
    <w:rsid w:val="32736031"/>
    <w:rsid w:val="327F51AE"/>
    <w:rsid w:val="328534C6"/>
    <w:rsid w:val="329B3FCA"/>
    <w:rsid w:val="32AE3000"/>
    <w:rsid w:val="32FE7748"/>
    <w:rsid w:val="33155D9C"/>
    <w:rsid w:val="33223D20"/>
    <w:rsid w:val="337356C1"/>
    <w:rsid w:val="338A6CA1"/>
    <w:rsid w:val="338C26C1"/>
    <w:rsid w:val="33EE27A6"/>
    <w:rsid w:val="33F45A45"/>
    <w:rsid w:val="344D3F03"/>
    <w:rsid w:val="345F0DC6"/>
    <w:rsid w:val="34601F34"/>
    <w:rsid w:val="346D46AF"/>
    <w:rsid w:val="34807B53"/>
    <w:rsid w:val="34BC040D"/>
    <w:rsid w:val="34D05FA0"/>
    <w:rsid w:val="34F8073C"/>
    <w:rsid w:val="3529009F"/>
    <w:rsid w:val="35334F35"/>
    <w:rsid w:val="353E06D2"/>
    <w:rsid w:val="35551655"/>
    <w:rsid w:val="35656B3C"/>
    <w:rsid w:val="3567454C"/>
    <w:rsid w:val="35722F4D"/>
    <w:rsid w:val="35A65B28"/>
    <w:rsid w:val="35B12AED"/>
    <w:rsid w:val="35BE3586"/>
    <w:rsid w:val="35C505CD"/>
    <w:rsid w:val="35D7362F"/>
    <w:rsid w:val="35DD389E"/>
    <w:rsid w:val="35FA6432"/>
    <w:rsid w:val="360016DD"/>
    <w:rsid w:val="3612274C"/>
    <w:rsid w:val="362C04EB"/>
    <w:rsid w:val="36480C37"/>
    <w:rsid w:val="36511F2E"/>
    <w:rsid w:val="3655340E"/>
    <w:rsid w:val="36791A05"/>
    <w:rsid w:val="36837FBB"/>
    <w:rsid w:val="3709454D"/>
    <w:rsid w:val="37217B5C"/>
    <w:rsid w:val="37395DD5"/>
    <w:rsid w:val="375F6AD7"/>
    <w:rsid w:val="37640C70"/>
    <w:rsid w:val="37673699"/>
    <w:rsid w:val="37692D03"/>
    <w:rsid w:val="37735FD6"/>
    <w:rsid w:val="378C7357"/>
    <w:rsid w:val="378D6C2B"/>
    <w:rsid w:val="379129EE"/>
    <w:rsid w:val="379A05A2"/>
    <w:rsid w:val="37CD4FF9"/>
    <w:rsid w:val="37D24F12"/>
    <w:rsid w:val="37DB5923"/>
    <w:rsid w:val="37DC7FD8"/>
    <w:rsid w:val="37DE7D20"/>
    <w:rsid w:val="37EF5293"/>
    <w:rsid w:val="38143E69"/>
    <w:rsid w:val="38231319"/>
    <w:rsid w:val="384C7402"/>
    <w:rsid w:val="386E48ED"/>
    <w:rsid w:val="38710178"/>
    <w:rsid w:val="387307D8"/>
    <w:rsid w:val="38AB2799"/>
    <w:rsid w:val="38CF5396"/>
    <w:rsid w:val="38F5027F"/>
    <w:rsid w:val="3906137E"/>
    <w:rsid w:val="391C0841"/>
    <w:rsid w:val="397E2D44"/>
    <w:rsid w:val="39897DF7"/>
    <w:rsid w:val="399348DA"/>
    <w:rsid w:val="39994E45"/>
    <w:rsid w:val="39DF7660"/>
    <w:rsid w:val="3A0475DE"/>
    <w:rsid w:val="3A203558"/>
    <w:rsid w:val="3A2449D8"/>
    <w:rsid w:val="3A2A05D7"/>
    <w:rsid w:val="3A2F2A57"/>
    <w:rsid w:val="3A5D47A5"/>
    <w:rsid w:val="3A69198E"/>
    <w:rsid w:val="3A6B41F8"/>
    <w:rsid w:val="3A722F3A"/>
    <w:rsid w:val="3ACE12A4"/>
    <w:rsid w:val="3AEB1747"/>
    <w:rsid w:val="3B3A2A66"/>
    <w:rsid w:val="3B3F0493"/>
    <w:rsid w:val="3B457531"/>
    <w:rsid w:val="3B611401"/>
    <w:rsid w:val="3B6D3E98"/>
    <w:rsid w:val="3B9A01B7"/>
    <w:rsid w:val="3BAA4F40"/>
    <w:rsid w:val="3BC33546"/>
    <w:rsid w:val="3BDE01A0"/>
    <w:rsid w:val="3C08279B"/>
    <w:rsid w:val="3C2E1EF0"/>
    <w:rsid w:val="3C391E9D"/>
    <w:rsid w:val="3C393961"/>
    <w:rsid w:val="3C7862AA"/>
    <w:rsid w:val="3C7E335B"/>
    <w:rsid w:val="3CD230BF"/>
    <w:rsid w:val="3CD53E6B"/>
    <w:rsid w:val="3CEB0DE1"/>
    <w:rsid w:val="3D40182C"/>
    <w:rsid w:val="3D467B1F"/>
    <w:rsid w:val="3D537FAC"/>
    <w:rsid w:val="3D877644"/>
    <w:rsid w:val="3D977454"/>
    <w:rsid w:val="3DAF6FCA"/>
    <w:rsid w:val="3DC43701"/>
    <w:rsid w:val="3DCE13B2"/>
    <w:rsid w:val="3DED1CA8"/>
    <w:rsid w:val="3DFA643F"/>
    <w:rsid w:val="3DFF16D2"/>
    <w:rsid w:val="3E077782"/>
    <w:rsid w:val="3E09475A"/>
    <w:rsid w:val="3E225C1F"/>
    <w:rsid w:val="3E25145D"/>
    <w:rsid w:val="3E2A3BD4"/>
    <w:rsid w:val="3E3C7CA6"/>
    <w:rsid w:val="3E413DDC"/>
    <w:rsid w:val="3E5C7C2C"/>
    <w:rsid w:val="3E792A5C"/>
    <w:rsid w:val="3E7E35B9"/>
    <w:rsid w:val="3EA931CE"/>
    <w:rsid w:val="3EB33F02"/>
    <w:rsid w:val="3EC077BD"/>
    <w:rsid w:val="3ECC7DF9"/>
    <w:rsid w:val="3ED147A8"/>
    <w:rsid w:val="3F0605B1"/>
    <w:rsid w:val="3F0829F5"/>
    <w:rsid w:val="3F1F19D0"/>
    <w:rsid w:val="3F3B5378"/>
    <w:rsid w:val="3F4E2A60"/>
    <w:rsid w:val="3F550CE4"/>
    <w:rsid w:val="3FA94867"/>
    <w:rsid w:val="3FE50591"/>
    <w:rsid w:val="3FFC66F5"/>
    <w:rsid w:val="4023542E"/>
    <w:rsid w:val="403937BE"/>
    <w:rsid w:val="407862A2"/>
    <w:rsid w:val="40886A7B"/>
    <w:rsid w:val="40C357E1"/>
    <w:rsid w:val="40CE4B47"/>
    <w:rsid w:val="40E14423"/>
    <w:rsid w:val="41056181"/>
    <w:rsid w:val="4121350F"/>
    <w:rsid w:val="413167A9"/>
    <w:rsid w:val="413528DD"/>
    <w:rsid w:val="415F13B8"/>
    <w:rsid w:val="41957A4B"/>
    <w:rsid w:val="42014E9B"/>
    <w:rsid w:val="421A766C"/>
    <w:rsid w:val="423F5276"/>
    <w:rsid w:val="424F0D35"/>
    <w:rsid w:val="42662A88"/>
    <w:rsid w:val="428A2D72"/>
    <w:rsid w:val="429F227D"/>
    <w:rsid w:val="42C26144"/>
    <w:rsid w:val="42D15A85"/>
    <w:rsid w:val="42D35187"/>
    <w:rsid w:val="43040D12"/>
    <w:rsid w:val="430637D2"/>
    <w:rsid w:val="43066A55"/>
    <w:rsid w:val="430708B5"/>
    <w:rsid w:val="43464B81"/>
    <w:rsid w:val="436D4599"/>
    <w:rsid w:val="437A76F0"/>
    <w:rsid w:val="43A4535E"/>
    <w:rsid w:val="43D95C60"/>
    <w:rsid w:val="43DD305D"/>
    <w:rsid w:val="44093F8C"/>
    <w:rsid w:val="441E1D2A"/>
    <w:rsid w:val="441F34E2"/>
    <w:rsid w:val="447C7088"/>
    <w:rsid w:val="4494703B"/>
    <w:rsid w:val="44C44034"/>
    <w:rsid w:val="44D578A3"/>
    <w:rsid w:val="44DA7A79"/>
    <w:rsid w:val="44E5460A"/>
    <w:rsid w:val="44F17F64"/>
    <w:rsid w:val="45435C17"/>
    <w:rsid w:val="45437F5B"/>
    <w:rsid w:val="45782E11"/>
    <w:rsid w:val="4585575A"/>
    <w:rsid w:val="458852AA"/>
    <w:rsid w:val="45B733BE"/>
    <w:rsid w:val="45CA5863"/>
    <w:rsid w:val="462221BC"/>
    <w:rsid w:val="4635738B"/>
    <w:rsid w:val="46411A02"/>
    <w:rsid w:val="465602DE"/>
    <w:rsid w:val="465679C5"/>
    <w:rsid w:val="46AC7423"/>
    <w:rsid w:val="46B318A2"/>
    <w:rsid w:val="46B73AD2"/>
    <w:rsid w:val="46BF70CE"/>
    <w:rsid w:val="46C13CBF"/>
    <w:rsid w:val="46EA06E4"/>
    <w:rsid w:val="46EE0176"/>
    <w:rsid w:val="46F11310"/>
    <w:rsid w:val="46F516B5"/>
    <w:rsid w:val="47256AD3"/>
    <w:rsid w:val="472C3679"/>
    <w:rsid w:val="47350458"/>
    <w:rsid w:val="47357A8E"/>
    <w:rsid w:val="47D2783B"/>
    <w:rsid w:val="47D76939"/>
    <w:rsid w:val="47F56A5E"/>
    <w:rsid w:val="48090A43"/>
    <w:rsid w:val="482775E7"/>
    <w:rsid w:val="482D1091"/>
    <w:rsid w:val="482E1ED9"/>
    <w:rsid w:val="483A548A"/>
    <w:rsid w:val="484D6854"/>
    <w:rsid w:val="48642538"/>
    <w:rsid w:val="487F55AE"/>
    <w:rsid w:val="48C23A44"/>
    <w:rsid w:val="48F153BD"/>
    <w:rsid w:val="48FF284A"/>
    <w:rsid w:val="49476915"/>
    <w:rsid w:val="494C427C"/>
    <w:rsid w:val="49500399"/>
    <w:rsid w:val="49656F2D"/>
    <w:rsid w:val="49693C0A"/>
    <w:rsid w:val="498C17BF"/>
    <w:rsid w:val="49E30DC7"/>
    <w:rsid w:val="49EF75CB"/>
    <w:rsid w:val="4A0F6B30"/>
    <w:rsid w:val="4A144D87"/>
    <w:rsid w:val="4A3D08B5"/>
    <w:rsid w:val="4A3D7F25"/>
    <w:rsid w:val="4A447EEC"/>
    <w:rsid w:val="4A5C5A97"/>
    <w:rsid w:val="4A5F2988"/>
    <w:rsid w:val="4A663835"/>
    <w:rsid w:val="4A882E89"/>
    <w:rsid w:val="4A9029AD"/>
    <w:rsid w:val="4B285DB5"/>
    <w:rsid w:val="4B314054"/>
    <w:rsid w:val="4B5542FF"/>
    <w:rsid w:val="4B9151DC"/>
    <w:rsid w:val="4BA27065"/>
    <w:rsid w:val="4BB74194"/>
    <w:rsid w:val="4C2109C6"/>
    <w:rsid w:val="4C296B07"/>
    <w:rsid w:val="4C671A1B"/>
    <w:rsid w:val="4C996B66"/>
    <w:rsid w:val="4CA10422"/>
    <w:rsid w:val="4CA84745"/>
    <w:rsid w:val="4CCB304A"/>
    <w:rsid w:val="4CE02044"/>
    <w:rsid w:val="4CE318DA"/>
    <w:rsid w:val="4CE60AEE"/>
    <w:rsid w:val="4D664453"/>
    <w:rsid w:val="4D7C4A5C"/>
    <w:rsid w:val="4D802CB3"/>
    <w:rsid w:val="4D980B9E"/>
    <w:rsid w:val="4D9B0DE9"/>
    <w:rsid w:val="4DA045C8"/>
    <w:rsid w:val="4DA97405"/>
    <w:rsid w:val="4DB86FE4"/>
    <w:rsid w:val="4DCC48A7"/>
    <w:rsid w:val="4DCE37B6"/>
    <w:rsid w:val="4E3C619F"/>
    <w:rsid w:val="4E4B40F1"/>
    <w:rsid w:val="4E675750"/>
    <w:rsid w:val="4E6D44B7"/>
    <w:rsid w:val="4E8A2EDA"/>
    <w:rsid w:val="4EA24C38"/>
    <w:rsid w:val="4EB125D3"/>
    <w:rsid w:val="4EF06FAC"/>
    <w:rsid w:val="4EFA20BC"/>
    <w:rsid w:val="4EFC2D9C"/>
    <w:rsid w:val="4EFE2491"/>
    <w:rsid w:val="4F204754"/>
    <w:rsid w:val="4F394B65"/>
    <w:rsid w:val="4F3B50E7"/>
    <w:rsid w:val="4FA15D01"/>
    <w:rsid w:val="4FD476CB"/>
    <w:rsid w:val="500001A2"/>
    <w:rsid w:val="50062FC3"/>
    <w:rsid w:val="50064F54"/>
    <w:rsid w:val="500C552D"/>
    <w:rsid w:val="501A46C3"/>
    <w:rsid w:val="502E4A54"/>
    <w:rsid w:val="502F2169"/>
    <w:rsid w:val="50397254"/>
    <w:rsid w:val="506A0370"/>
    <w:rsid w:val="507129AF"/>
    <w:rsid w:val="507B2550"/>
    <w:rsid w:val="509B5EFB"/>
    <w:rsid w:val="50CE404F"/>
    <w:rsid w:val="50D25298"/>
    <w:rsid w:val="50E27223"/>
    <w:rsid w:val="51066662"/>
    <w:rsid w:val="51194F78"/>
    <w:rsid w:val="511A4828"/>
    <w:rsid w:val="51275CE3"/>
    <w:rsid w:val="512F4946"/>
    <w:rsid w:val="5170794E"/>
    <w:rsid w:val="517448D5"/>
    <w:rsid w:val="51B1257D"/>
    <w:rsid w:val="51C107C9"/>
    <w:rsid w:val="51D91CE4"/>
    <w:rsid w:val="51DE684D"/>
    <w:rsid w:val="51F10818"/>
    <w:rsid w:val="51FA7999"/>
    <w:rsid w:val="52536DB6"/>
    <w:rsid w:val="52572EED"/>
    <w:rsid w:val="526520DF"/>
    <w:rsid w:val="526933D1"/>
    <w:rsid w:val="526D3003"/>
    <w:rsid w:val="52A7200E"/>
    <w:rsid w:val="52E80F2B"/>
    <w:rsid w:val="530534AF"/>
    <w:rsid w:val="53393E9E"/>
    <w:rsid w:val="533B2B05"/>
    <w:rsid w:val="539C1DE3"/>
    <w:rsid w:val="539D747F"/>
    <w:rsid w:val="53B82DC0"/>
    <w:rsid w:val="53C11E40"/>
    <w:rsid w:val="53E151A1"/>
    <w:rsid w:val="540E68BD"/>
    <w:rsid w:val="5427752F"/>
    <w:rsid w:val="543E59D9"/>
    <w:rsid w:val="5451272A"/>
    <w:rsid w:val="547335EA"/>
    <w:rsid w:val="548857E9"/>
    <w:rsid w:val="54956399"/>
    <w:rsid w:val="54CB07C7"/>
    <w:rsid w:val="54D40C3E"/>
    <w:rsid w:val="550A39B0"/>
    <w:rsid w:val="551E738D"/>
    <w:rsid w:val="55231766"/>
    <w:rsid w:val="55374039"/>
    <w:rsid w:val="55451536"/>
    <w:rsid w:val="558304B6"/>
    <w:rsid w:val="55BA43AB"/>
    <w:rsid w:val="55BD734D"/>
    <w:rsid w:val="55CA5BEC"/>
    <w:rsid w:val="55CD0642"/>
    <w:rsid w:val="55E20188"/>
    <w:rsid w:val="55E53893"/>
    <w:rsid w:val="55F31091"/>
    <w:rsid w:val="560C67E5"/>
    <w:rsid w:val="5645382A"/>
    <w:rsid w:val="565C2448"/>
    <w:rsid w:val="566E5E21"/>
    <w:rsid w:val="567945BF"/>
    <w:rsid w:val="56796324"/>
    <w:rsid w:val="567A674B"/>
    <w:rsid w:val="569850FF"/>
    <w:rsid w:val="56BD4AC8"/>
    <w:rsid w:val="56E02D98"/>
    <w:rsid w:val="56FD1EF1"/>
    <w:rsid w:val="56FD5795"/>
    <w:rsid w:val="57036DD9"/>
    <w:rsid w:val="57113ABA"/>
    <w:rsid w:val="57171576"/>
    <w:rsid w:val="57222641"/>
    <w:rsid w:val="572F058D"/>
    <w:rsid w:val="57367971"/>
    <w:rsid w:val="57517D06"/>
    <w:rsid w:val="576D36E1"/>
    <w:rsid w:val="57845284"/>
    <w:rsid w:val="57AB4F4D"/>
    <w:rsid w:val="57C8741A"/>
    <w:rsid w:val="58116AB7"/>
    <w:rsid w:val="581D4E25"/>
    <w:rsid w:val="582F31D8"/>
    <w:rsid w:val="58317AA5"/>
    <w:rsid w:val="58340F14"/>
    <w:rsid w:val="5858217E"/>
    <w:rsid w:val="586E4755"/>
    <w:rsid w:val="5878468D"/>
    <w:rsid w:val="588D09EF"/>
    <w:rsid w:val="58916E20"/>
    <w:rsid w:val="589926FD"/>
    <w:rsid w:val="589E2063"/>
    <w:rsid w:val="589E416B"/>
    <w:rsid w:val="589F7983"/>
    <w:rsid w:val="58A07A42"/>
    <w:rsid w:val="58BC3224"/>
    <w:rsid w:val="58E9058C"/>
    <w:rsid w:val="59162E41"/>
    <w:rsid w:val="591A5073"/>
    <w:rsid w:val="591D425E"/>
    <w:rsid w:val="592122ED"/>
    <w:rsid w:val="5924310D"/>
    <w:rsid w:val="59544F8B"/>
    <w:rsid w:val="595D7396"/>
    <w:rsid w:val="59770CDC"/>
    <w:rsid w:val="5987737A"/>
    <w:rsid w:val="599A7DA3"/>
    <w:rsid w:val="59C36B12"/>
    <w:rsid w:val="59E94217"/>
    <w:rsid w:val="59F51735"/>
    <w:rsid w:val="59F55485"/>
    <w:rsid w:val="5A0241DB"/>
    <w:rsid w:val="5A246FBA"/>
    <w:rsid w:val="5A355884"/>
    <w:rsid w:val="5A3A407D"/>
    <w:rsid w:val="5A43707A"/>
    <w:rsid w:val="5A54365D"/>
    <w:rsid w:val="5A755946"/>
    <w:rsid w:val="5A796736"/>
    <w:rsid w:val="5A8F3F85"/>
    <w:rsid w:val="5A917D0A"/>
    <w:rsid w:val="5A9B4702"/>
    <w:rsid w:val="5AA03E0D"/>
    <w:rsid w:val="5AC36190"/>
    <w:rsid w:val="5AD02BD8"/>
    <w:rsid w:val="5AE16ECC"/>
    <w:rsid w:val="5AF9036A"/>
    <w:rsid w:val="5B054EE1"/>
    <w:rsid w:val="5B4A36BA"/>
    <w:rsid w:val="5B7425D1"/>
    <w:rsid w:val="5BB115F7"/>
    <w:rsid w:val="5BC624B9"/>
    <w:rsid w:val="5BCF033A"/>
    <w:rsid w:val="5BE11813"/>
    <w:rsid w:val="5BF00FD4"/>
    <w:rsid w:val="5BF74227"/>
    <w:rsid w:val="5C34135F"/>
    <w:rsid w:val="5C6964BE"/>
    <w:rsid w:val="5C6C5FC5"/>
    <w:rsid w:val="5C794B61"/>
    <w:rsid w:val="5C7F0989"/>
    <w:rsid w:val="5C8032FF"/>
    <w:rsid w:val="5C842EAE"/>
    <w:rsid w:val="5C984116"/>
    <w:rsid w:val="5CB51C1A"/>
    <w:rsid w:val="5CF04871"/>
    <w:rsid w:val="5CF26C41"/>
    <w:rsid w:val="5D094916"/>
    <w:rsid w:val="5D1F603D"/>
    <w:rsid w:val="5D392877"/>
    <w:rsid w:val="5D6C0249"/>
    <w:rsid w:val="5D744782"/>
    <w:rsid w:val="5DB31413"/>
    <w:rsid w:val="5DD5509B"/>
    <w:rsid w:val="5DF47314"/>
    <w:rsid w:val="5DF64CDD"/>
    <w:rsid w:val="5E1150A0"/>
    <w:rsid w:val="5E581AC9"/>
    <w:rsid w:val="5E9D62B3"/>
    <w:rsid w:val="5EA118AF"/>
    <w:rsid w:val="5EA648BA"/>
    <w:rsid w:val="5EAF7EDE"/>
    <w:rsid w:val="5EC120C5"/>
    <w:rsid w:val="5ECB0DFA"/>
    <w:rsid w:val="5EE05199"/>
    <w:rsid w:val="5EF16509"/>
    <w:rsid w:val="5EFB06C5"/>
    <w:rsid w:val="5F084757"/>
    <w:rsid w:val="5F7E529D"/>
    <w:rsid w:val="5F832C4F"/>
    <w:rsid w:val="5FA729E3"/>
    <w:rsid w:val="5FDB4571"/>
    <w:rsid w:val="5FE40036"/>
    <w:rsid w:val="5FE97245"/>
    <w:rsid w:val="600C2890"/>
    <w:rsid w:val="60121837"/>
    <w:rsid w:val="6020234E"/>
    <w:rsid w:val="602C44DE"/>
    <w:rsid w:val="6038228F"/>
    <w:rsid w:val="604248F3"/>
    <w:rsid w:val="60640B70"/>
    <w:rsid w:val="606F088E"/>
    <w:rsid w:val="60813BE3"/>
    <w:rsid w:val="609942E4"/>
    <w:rsid w:val="60C8166A"/>
    <w:rsid w:val="60EF449B"/>
    <w:rsid w:val="60F47FD1"/>
    <w:rsid w:val="61106608"/>
    <w:rsid w:val="61333B5F"/>
    <w:rsid w:val="614F159F"/>
    <w:rsid w:val="616C76FB"/>
    <w:rsid w:val="61B041CC"/>
    <w:rsid w:val="61F93916"/>
    <w:rsid w:val="623762BA"/>
    <w:rsid w:val="625F1DDF"/>
    <w:rsid w:val="62C051D2"/>
    <w:rsid w:val="62D96C8E"/>
    <w:rsid w:val="62EB7F90"/>
    <w:rsid w:val="63002C22"/>
    <w:rsid w:val="6304255D"/>
    <w:rsid w:val="6334060E"/>
    <w:rsid w:val="635527B8"/>
    <w:rsid w:val="639421F8"/>
    <w:rsid w:val="63AF40F4"/>
    <w:rsid w:val="63EB0C9B"/>
    <w:rsid w:val="63FD7154"/>
    <w:rsid w:val="64110F05"/>
    <w:rsid w:val="642156B0"/>
    <w:rsid w:val="6441198F"/>
    <w:rsid w:val="6455234C"/>
    <w:rsid w:val="648570CD"/>
    <w:rsid w:val="649E55EA"/>
    <w:rsid w:val="64AC14E7"/>
    <w:rsid w:val="64CB10CF"/>
    <w:rsid w:val="64EE6795"/>
    <w:rsid w:val="64F40CD8"/>
    <w:rsid w:val="64F50AD8"/>
    <w:rsid w:val="64F51FFA"/>
    <w:rsid w:val="6514577A"/>
    <w:rsid w:val="65246FEB"/>
    <w:rsid w:val="65291353"/>
    <w:rsid w:val="65301455"/>
    <w:rsid w:val="653C0F8A"/>
    <w:rsid w:val="653E6E22"/>
    <w:rsid w:val="65596609"/>
    <w:rsid w:val="658106A1"/>
    <w:rsid w:val="6581343A"/>
    <w:rsid w:val="65A02046"/>
    <w:rsid w:val="65CF23E0"/>
    <w:rsid w:val="65E4470D"/>
    <w:rsid w:val="65E747D4"/>
    <w:rsid w:val="661E0ABD"/>
    <w:rsid w:val="66284C18"/>
    <w:rsid w:val="66472BFF"/>
    <w:rsid w:val="6648089A"/>
    <w:rsid w:val="667F4656"/>
    <w:rsid w:val="668461E1"/>
    <w:rsid w:val="669B5B18"/>
    <w:rsid w:val="66BC06A7"/>
    <w:rsid w:val="66C2494A"/>
    <w:rsid w:val="66D27E16"/>
    <w:rsid w:val="66E16ED0"/>
    <w:rsid w:val="67133023"/>
    <w:rsid w:val="672851F7"/>
    <w:rsid w:val="67287156"/>
    <w:rsid w:val="672D7501"/>
    <w:rsid w:val="67484C5D"/>
    <w:rsid w:val="675119BF"/>
    <w:rsid w:val="678B315A"/>
    <w:rsid w:val="67A80497"/>
    <w:rsid w:val="67A86A9C"/>
    <w:rsid w:val="67AD6031"/>
    <w:rsid w:val="67AE28E5"/>
    <w:rsid w:val="67C20BFA"/>
    <w:rsid w:val="67E93CFB"/>
    <w:rsid w:val="67EE0EDC"/>
    <w:rsid w:val="68735065"/>
    <w:rsid w:val="688E7E2C"/>
    <w:rsid w:val="68900C4F"/>
    <w:rsid w:val="68912B64"/>
    <w:rsid w:val="68A40056"/>
    <w:rsid w:val="68C05C1D"/>
    <w:rsid w:val="68D83D8D"/>
    <w:rsid w:val="68EA5117"/>
    <w:rsid w:val="68F76F5B"/>
    <w:rsid w:val="69050501"/>
    <w:rsid w:val="69064201"/>
    <w:rsid w:val="690C751B"/>
    <w:rsid w:val="69197478"/>
    <w:rsid w:val="691E2706"/>
    <w:rsid w:val="693E784B"/>
    <w:rsid w:val="697075B7"/>
    <w:rsid w:val="697A4A15"/>
    <w:rsid w:val="697C4965"/>
    <w:rsid w:val="69B67FD8"/>
    <w:rsid w:val="69BA2DA3"/>
    <w:rsid w:val="69EB6C38"/>
    <w:rsid w:val="69F0217C"/>
    <w:rsid w:val="69FD436C"/>
    <w:rsid w:val="6A221696"/>
    <w:rsid w:val="6A3167D6"/>
    <w:rsid w:val="6A4543EA"/>
    <w:rsid w:val="6A6C0627"/>
    <w:rsid w:val="6A725FB9"/>
    <w:rsid w:val="6AB028F7"/>
    <w:rsid w:val="6AE57BBF"/>
    <w:rsid w:val="6B1F73BC"/>
    <w:rsid w:val="6B2C7B34"/>
    <w:rsid w:val="6B471F54"/>
    <w:rsid w:val="6B8D25EF"/>
    <w:rsid w:val="6BA10DA2"/>
    <w:rsid w:val="6BB518D0"/>
    <w:rsid w:val="6BD70AE3"/>
    <w:rsid w:val="6BFC4F19"/>
    <w:rsid w:val="6C001744"/>
    <w:rsid w:val="6C0A36B1"/>
    <w:rsid w:val="6C1B479F"/>
    <w:rsid w:val="6C39375B"/>
    <w:rsid w:val="6C4146A9"/>
    <w:rsid w:val="6C78593E"/>
    <w:rsid w:val="6C7E433C"/>
    <w:rsid w:val="6CB17236"/>
    <w:rsid w:val="6CB22A29"/>
    <w:rsid w:val="6CBA374F"/>
    <w:rsid w:val="6CE74C9C"/>
    <w:rsid w:val="6CED3937"/>
    <w:rsid w:val="6CF009CD"/>
    <w:rsid w:val="6CF5028F"/>
    <w:rsid w:val="6D2829F5"/>
    <w:rsid w:val="6D670066"/>
    <w:rsid w:val="6D671F73"/>
    <w:rsid w:val="6D6B4A73"/>
    <w:rsid w:val="6D8339F4"/>
    <w:rsid w:val="6D993A68"/>
    <w:rsid w:val="6DD770CB"/>
    <w:rsid w:val="6E004531"/>
    <w:rsid w:val="6E0C5760"/>
    <w:rsid w:val="6E252CBF"/>
    <w:rsid w:val="6E610EEB"/>
    <w:rsid w:val="6E71521C"/>
    <w:rsid w:val="6E80385D"/>
    <w:rsid w:val="6E983FB2"/>
    <w:rsid w:val="6EAD76BA"/>
    <w:rsid w:val="6EC91BB6"/>
    <w:rsid w:val="6ED4340D"/>
    <w:rsid w:val="6ED87649"/>
    <w:rsid w:val="6EEB3FD1"/>
    <w:rsid w:val="6EF60649"/>
    <w:rsid w:val="6EF84570"/>
    <w:rsid w:val="6F594892"/>
    <w:rsid w:val="6F5E1173"/>
    <w:rsid w:val="6F9111EB"/>
    <w:rsid w:val="6F931E12"/>
    <w:rsid w:val="6FA11D9D"/>
    <w:rsid w:val="6FA52430"/>
    <w:rsid w:val="6FE82878"/>
    <w:rsid w:val="70162FB8"/>
    <w:rsid w:val="70530F8C"/>
    <w:rsid w:val="708315B2"/>
    <w:rsid w:val="70A35147"/>
    <w:rsid w:val="70B32E6B"/>
    <w:rsid w:val="70BE03C7"/>
    <w:rsid w:val="70C17255"/>
    <w:rsid w:val="70CB1BB1"/>
    <w:rsid w:val="70EA4F07"/>
    <w:rsid w:val="71567824"/>
    <w:rsid w:val="717D1954"/>
    <w:rsid w:val="718968FA"/>
    <w:rsid w:val="718A403A"/>
    <w:rsid w:val="71AA49AC"/>
    <w:rsid w:val="71C31062"/>
    <w:rsid w:val="71C73A99"/>
    <w:rsid w:val="71C92368"/>
    <w:rsid w:val="72361745"/>
    <w:rsid w:val="72713D2D"/>
    <w:rsid w:val="72874CBA"/>
    <w:rsid w:val="729244AF"/>
    <w:rsid w:val="72B2237F"/>
    <w:rsid w:val="72C61016"/>
    <w:rsid w:val="72D67AA4"/>
    <w:rsid w:val="73050EB3"/>
    <w:rsid w:val="737E46A9"/>
    <w:rsid w:val="73A17E38"/>
    <w:rsid w:val="73D12111"/>
    <w:rsid w:val="73EC117F"/>
    <w:rsid w:val="743E5596"/>
    <w:rsid w:val="74441526"/>
    <w:rsid w:val="746D3401"/>
    <w:rsid w:val="746E6203"/>
    <w:rsid w:val="74DC4C84"/>
    <w:rsid w:val="74E72496"/>
    <w:rsid w:val="75065E1A"/>
    <w:rsid w:val="75211C74"/>
    <w:rsid w:val="75277374"/>
    <w:rsid w:val="75494253"/>
    <w:rsid w:val="754B5C8D"/>
    <w:rsid w:val="757B231E"/>
    <w:rsid w:val="759A6DF9"/>
    <w:rsid w:val="759C6B30"/>
    <w:rsid w:val="75B44D6F"/>
    <w:rsid w:val="75C91835"/>
    <w:rsid w:val="75D2736B"/>
    <w:rsid w:val="75D6371E"/>
    <w:rsid w:val="76004DD0"/>
    <w:rsid w:val="760E4B6E"/>
    <w:rsid w:val="76263173"/>
    <w:rsid w:val="762B29B2"/>
    <w:rsid w:val="76397664"/>
    <w:rsid w:val="76520E55"/>
    <w:rsid w:val="76A82851"/>
    <w:rsid w:val="76B27790"/>
    <w:rsid w:val="76DC1F1C"/>
    <w:rsid w:val="77055544"/>
    <w:rsid w:val="771908E8"/>
    <w:rsid w:val="7735045E"/>
    <w:rsid w:val="77433B25"/>
    <w:rsid w:val="774D7A80"/>
    <w:rsid w:val="77771A39"/>
    <w:rsid w:val="77846054"/>
    <w:rsid w:val="77D66D7C"/>
    <w:rsid w:val="77E215A9"/>
    <w:rsid w:val="780857C9"/>
    <w:rsid w:val="78122CEB"/>
    <w:rsid w:val="78162F89"/>
    <w:rsid w:val="78476C47"/>
    <w:rsid w:val="786177F8"/>
    <w:rsid w:val="786F066C"/>
    <w:rsid w:val="78C8562E"/>
    <w:rsid w:val="78F40931"/>
    <w:rsid w:val="79072907"/>
    <w:rsid w:val="792C2C97"/>
    <w:rsid w:val="793B0C77"/>
    <w:rsid w:val="795547FF"/>
    <w:rsid w:val="79881E79"/>
    <w:rsid w:val="79A92274"/>
    <w:rsid w:val="79BB4AC1"/>
    <w:rsid w:val="79D93832"/>
    <w:rsid w:val="79E56D1B"/>
    <w:rsid w:val="79E714EA"/>
    <w:rsid w:val="79F161DF"/>
    <w:rsid w:val="7A0B29C6"/>
    <w:rsid w:val="7A2D4E42"/>
    <w:rsid w:val="7A316B4E"/>
    <w:rsid w:val="7A3950EF"/>
    <w:rsid w:val="7A5C2E55"/>
    <w:rsid w:val="7A711EE5"/>
    <w:rsid w:val="7A8129B2"/>
    <w:rsid w:val="7A817EEB"/>
    <w:rsid w:val="7AC20D07"/>
    <w:rsid w:val="7ADD52FF"/>
    <w:rsid w:val="7AEA20AA"/>
    <w:rsid w:val="7AEE0A14"/>
    <w:rsid w:val="7AFA15FF"/>
    <w:rsid w:val="7AFA57D4"/>
    <w:rsid w:val="7AFF12DD"/>
    <w:rsid w:val="7B0127BC"/>
    <w:rsid w:val="7B012E55"/>
    <w:rsid w:val="7B132B23"/>
    <w:rsid w:val="7B8240A3"/>
    <w:rsid w:val="7BA23DC7"/>
    <w:rsid w:val="7BB009DC"/>
    <w:rsid w:val="7BBA724C"/>
    <w:rsid w:val="7BBC5CFB"/>
    <w:rsid w:val="7BE56002"/>
    <w:rsid w:val="7BEE166A"/>
    <w:rsid w:val="7BF93939"/>
    <w:rsid w:val="7BFD7B71"/>
    <w:rsid w:val="7C683F66"/>
    <w:rsid w:val="7C6E3884"/>
    <w:rsid w:val="7C707A1A"/>
    <w:rsid w:val="7C865824"/>
    <w:rsid w:val="7CB6456A"/>
    <w:rsid w:val="7CBB6DBC"/>
    <w:rsid w:val="7CF21C54"/>
    <w:rsid w:val="7D12119B"/>
    <w:rsid w:val="7D1D3BE3"/>
    <w:rsid w:val="7D3667B7"/>
    <w:rsid w:val="7D446EE6"/>
    <w:rsid w:val="7D7B29C4"/>
    <w:rsid w:val="7DB14A5F"/>
    <w:rsid w:val="7DD145ED"/>
    <w:rsid w:val="7DDD2C11"/>
    <w:rsid w:val="7DDF2161"/>
    <w:rsid w:val="7E0D2F49"/>
    <w:rsid w:val="7E1F597B"/>
    <w:rsid w:val="7E39345B"/>
    <w:rsid w:val="7E3C6282"/>
    <w:rsid w:val="7E4D3CDA"/>
    <w:rsid w:val="7E611991"/>
    <w:rsid w:val="7E6D415C"/>
    <w:rsid w:val="7E9944CC"/>
    <w:rsid w:val="7EC363D0"/>
    <w:rsid w:val="7EC57856"/>
    <w:rsid w:val="7ED05428"/>
    <w:rsid w:val="7ED92E3C"/>
    <w:rsid w:val="7EF315E1"/>
    <w:rsid w:val="7F1D1ABF"/>
    <w:rsid w:val="7F385469"/>
    <w:rsid w:val="7F3B1702"/>
    <w:rsid w:val="7F57750F"/>
    <w:rsid w:val="7F9D4F7E"/>
    <w:rsid w:val="7FAC2EB0"/>
    <w:rsid w:val="7FBC7BAD"/>
    <w:rsid w:val="7FC64BAF"/>
    <w:rsid w:val="7FDB464A"/>
    <w:rsid w:val="7FE53238"/>
    <w:rsid w:val="7FFF3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93"/>
    <w:qFormat/>
    <w:uiPriority w:val="0"/>
    <w:pPr>
      <w:keepNext/>
      <w:keepLines/>
      <w:spacing w:line="360" w:lineRule="auto"/>
      <w:jc w:val="center"/>
      <w:outlineLvl w:val="0"/>
    </w:pPr>
    <w:rPr>
      <w:b/>
      <w:kern w:val="28"/>
      <w:sz w:val="32"/>
    </w:rPr>
  </w:style>
  <w:style w:type="paragraph" w:styleId="3">
    <w:name w:val="heading 2"/>
    <w:basedOn w:val="1"/>
    <w:next w:val="1"/>
    <w:link w:val="276"/>
    <w:qFormat/>
    <w:uiPriority w:val="0"/>
    <w:pPr>
      <w:keepNext/>
      <w:keepLines/>
      <w:spacing w:line="360" w:lineRule="auto"/>
      <w:jc w:val="center"/>
      <w:outlineLvl w:val="1"/>
    </w:pPr>
    <w:rPr>
      <w:rFonts w:ascii="Arial" w:hAnsi="Arial"/>
      <w:b/>
      <w:bCs/>
      <w:sz w:val="28"/>
      <w:szCs w:val="32"/>
    </w:rPr>
  </w:style>
  <w:style w:type="paragraph" w:styleId="4">
    <w:name w:val="heading 3"/>
    <w:basedOn w:val="1"/>
    <w:next w:val="1"/>
    <w:link w:val="235"/>
    <w:qFormat/>
    <w:uiPriority w:val="0"/>
    <w:pPr>
      <w:keepNext/>
      <w:keepLines/>
      <w:spacing w:before="260" w:after="260" w:line="413" w:lineRule="auto"/>
      <w:outlineLvl w:val="2"/>
    </w:pPr>
    <w:rPr>
      <w:b/>
      <w:sz w:val="32"/>
    </w:rPr>
  </w:style>
  <w:style w:type="paragraph" w:styleId="5">
    <w:name w:val="heading 4"/>
    <w:basedOn w:val="1"/>
    <w:next w:val="1"/>
    <w:link w:val="313"/>
    <w:qFormat/>
    <w:uiPriority w:val="9"/>
    <w:pPr>
      <w:keepNext/>
      <w:keepLines/>
      <w:tabs>
        <w:tab w:val="left" w:pos="864"/>
      </w:tabs>
      <w:spacing w:before="280" w:after="290" w:line="372" w:lineRule="auto"/>
      <w:ind w:left="864" w:hanging="864"/>
      <w:outlineLvl w:val="3"/>
    </w:pPr>
    <w:rPr>
      <w:rFonts w:ascii="Arial" w:hAnsi="Arial" w:eastAsia="黑体"/>
      <w:b/>
      <w:sz w:val="28"/>
    </w:rPr>
  </w:style>
  <w:style w:type="paragraph" w:styleId="6">
    <w:name w:val="heading 5"/>
    <w:basedOn w:val="1"/>
    <w:next w:val="1"/>
    <w:link w:val="281"/>
    <w:qFormat/>
    <w:uiPriority w:val="9"/>
    <w:pPr>
      <w:keepNext/>
      <w:keepLines/>
      <w:tabs>
        <w:tab w:val="left" w:pos="1008"/>
      </w:tabs>
      <w:spacing w:before="280" w:after="290" w:line="372" w:lineRule="auto"/>
      <w:ind w:left="1008" w:hanging="1008"/>
      <w:outlineLvl w:val="4"/>
    </w:pPr>
    <w:rPr>
      <w:b/>
      <w:sz w:val="28"/>
    </w:rPr>
  </w:style>
  <w:style w:type="paragraph" w:styleId="7">
    <w:name w:val="heading 6"/>
    <w:basedOn w:val="1"/>
    <w:next w:val="1"/>
    <w:link w:val="307"/>
    <w:qFormat/>
    <w:uiPriority w:val="9"/>
    <w:pPr>
      <w:keepNext/>
      <w:keepLines/>
      <w:tabs>
        <w:tab w:val="left" w:pos="1152"/>
      </w:tabs>
      <w:spacing w:before="240" w:after="64" w:line="317" w:lineRule="auto"/>
      <w:ind w:left="1152" w:hanging="1152"/>
      <w:outlineLvl w:val="5"/>
    </w:pPr>
    <w:rPr>
      <w:rFonts w:ascii="Arial" w:hAnsi="Arial" w:eastAsia="黑体"/>
      <w:b/>
      <w:sz w:val="24"/>
    </w:rPr>
  </w:style>
  <w:style w:type="paragraph" w:styleId="8">
    <w:name w:val="heading 7"/>
    <w:basedOn w:val="1"/>
    <w:next w:val="1"/>
    <w:link w:val="162"/>
    <w:qFormat/>
    <w:uiPriority w:val="0"/>
    <w:pPr>
      <w:keepNext/>
      <w:keepLines/>
      <w:tabs>
        <w:tab w:val="left" w:pos="1296"/>
      </w:tabs>
      <w:spacing w:before="240" w:after="64" w:line="317" w:lineRule="auto"/>
      <w:ind w:left="1296" w:hanging="1296"/>
      <w:outlineLvl w:val="6"/>
    </w:pPr>
    <w:rPr>
      <w:b/>
      <w:sz w:val="24"/>
    </w:rPr>
  </w:style>
  <w:style w:type="paragraph" w:styleId="9">
    <w:name w:val="heading 8"/>
    <w:basedOn w:val="1"/>
    <w:next w:val="1"/>
    <w:link w:val="236"/>
    <w:qFormat/>
    <w:uiPriority w:val="0"/>
    <w:pPr>
      <w:keepNext/>
      <w:keepLines/>
      <w:tabs>
        <w:tab w:val="left" w:pos="1440"/>
      </w:tabs>
      <w:spacing w:before="240" w:after="64" w:line="317" w:lineRule="auto"/>
      <w:ind w:left="1440" w:hanging="1440"/>
      <w:outlineLvl w:val="7"/>
    </w:pPr>
    <w:rPr>
      <w:rFonts w:ascii="Arial" w:hAnsi="Arial" w:eastAsia="黑体"/>
      <w:sz w:val="24"/>
    </w:rPr>
  </w:style>
  <w:style w:type="paragraph" w:styleId="10">
    <w:name w:val="heading 9"/>
    <w:basedOn w:val="1"/>
    <w:next w:val="1"/>
    <w:link w:val="288"/>
    <w:qFormat/>
    <w:uiPriority w:val="0"/>
    <w:pPr>
      <w:keepNext/>
      <w:keepLines/>
      <w:tabs>
        <w:tab w:val="left" w:pos="1584"/>
      </w:tabs>
      <w:spacing w:before="240" w:after="64" w:line="317" w:lineRule="auto"/>
      <w:ind w:left="1584" w:hanging="1584"/>
      <w:outlineLvl w:val="8"/>
    </w:pPr>
    <w:rPr>
      <w:rFonts w:ascii="Arial" w:hAnsi="Arial" w:eastAsia="黑体"/>
    </w:rPr>
  </w:style>
  <w:style w:type="character" w:default="1" w:styleId="131">
    <w:name w:val="Default Paragraph Font"/>
    <w:semiHidden/>
    <w:unhideWhenUsed/>
    <w:qFormat/>
    <w:uiPriority w:val="1"/>
  </w:style>
  <w:style w:type="table" w:default="1" w:styleId="86">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260" w:hanging="420"/>
    </w:pPr>
  </w:style>
  <w:style w:type="paragraph" w:styleId="12">
    <w:name w:val="toc 7"/>
    <w:basedOn w:val="1"/>
    <w:next w:val="1"/>
    <w:qFormat/>
    <w:uiPriority w:val="39"/>
    <w:pPr>
      <w:spacing w:line="360" w:lineRule="auto"/>
      <w:ind w:firstLine="218" w:firstLineChars="218"/>
      <w:jc w:val="left"/>
    </w:pPr>
    <w:rPr>
      <w:rFonts w:eastAsia="仿宋_GB2312"/>
      <w:sz w:val="22"/>
    </w:rPr>
  </w:style>
  <w:style w:type="paragraph" w:styleId="13">
    <w:name w:val="List Number 2"/>
    <w:basedOn w:val="1"/>
    <w:qFormat/>
    <w:uiPriority w:val="0"/>
    <w:pPr>
      <w:numPr>
        <w:ilvl w:val="0"/>
        <w:numId w:val="1"/>
      </w:numPr>
      <w:tabs>
        <w:tab w:val="left" w:pos="780"/>
      </w:tabs>
    </w:pPr>
    <w:rPr>
      <w:szCs w:val="24"/>
    </w:rPr>
  </w:style>
  <w:style w:type="paragraph" w:styleId="14">
    <w:name w:val="Note Heading"/>
    <w:basedOn w:val="1"/>
    <w:next w:val="1"/>
    <w:link w:val="193"/>
    <w:qFormat/>
    <w:uiPriority w:val="0"/>
    <w:pPr>
      <w:jc w:val="center"/>
    </w:pPr>
    <w:rPr>
      <w:szCs w:val="24"/>
    </w:rPr>
  </w:style>
  <w:style w:type="paragraph" w:styleId="15">
    <w:name w:val="List Bullet 4"/>
    <w:basedOn w:val="1"/>
    <w:qFormat/>
    <w:uiPriority w:val="0"/>
    <w:pPr>
      <w:tabs>
        <w:tab w:val="left" w:pos="1142"/>
        <w:tab w:val="left" w:pos="1620"/>
      </w:tabs>
      <w:ind w:left="1142" w:hanging="432"/>
    </w:pPr>
    <w:rPr>
      <w:szCs w:val="24"/>
    </w:rPr>
  </w:style>
  <w:style w:type="paragraph" w:styleId="16">
    <w:name w:val="index 8"/>
    <w:basedOn w:val="1"/>
    <w:next w:val="1"/>
    <w:qFormat/>
    <w:uiPriority w:val="0"/>
    <w:pPr>
      <w:ind w:left="1400" w:leftChars="1400" w:firstLine="654" w:firstLineChars="218"/>
    </w:pPr>
    <w:rPr>
      <w:sz w:val="28"/>
    </w:rPr>
  </w:style>
  <w:style w:type="paragraph" w:styleId="17">
    <w:name w:val="E-mail Signature"/>
    <w:basedOn w:val="1"/>
    <w:link w:val="247"/>
    <w:qFormat/>
    <w:uiPriority w:val="0"/>
    <w:rPr>
      <w:szCs w:val="24"/>
    </w:rPr>
  </w:style>
  <w:style w:type="paragraph" w:styleId="18">
    <w:name w:val="List Number"/>
    <w:basedOn w:val="1"/>
    <w:qFormat/>
    <w:uiPriority w:val="0"/>
    <w:pPr>
      <w:numPr>
        <w:ilvl w:val="0"/>
        <w:numId w:val="2"/>
      </w:numPr>
      <w:tabs>
        <w:tab w:val="left" w:pos="360"/>
      </w:tabs>
    </w:pPr>
    <w:rPr>
      <w:szCs w:val="24"/>
    </w:rPr>
  </w:style>
  <w:style w:type="paragraph" w:styleId="19">
    <w:name w:val="Normal Indent"/>
    <w:basedOn w:val="1"/>
    <w:qFormat/>
    <w:uiPriority w:val="0"/>
    <w:pPr>
      <w:ind w:firstLine="420" w:firstLineChars="200"/>
    </w:pPr>
  </w:style>
  <w:style w:type="paragraph" w:styleId="20">
    <w:name w:val="caption"/>
    <w:basedOn w:val="1"/>
    <w:next w:val="1"/>
    <w:qFormat/>
    <w:uiPriority w:val="0"/>
    <w:rPr>
      <w:rFonts w:ascii="Arial" w:hAnsi="Arial" w:eastAsia="黑体"/>
      <w:sz w:val="20"/>
    </w:rPr>
  </w:style>
  <w:style w:type="paragraph" w:styleId="21">
    <w:name w:val="index 5"/>
    <w:basedOn w:val="1"/>
    <w:next w:val="1"/>
    <w:qFormat/>
    <w:uiPriority w:val="0"/>
    <w:pPr>
      <w:ind w:left="800" w:leftChars="800" w:firstLine="654" w:firstLineChars="218"/>
    </w:pPr>
    <w:rPr>
      <w:sz w:val="28"/>
    </w:rPr>
  </w:style>
  <w:style w:type="paragraph" w:styleId="22">
    <w:name w:val="List Bullet"/>
    <w:basedOn w:val="1"/>
    <w:qFormat/>
    <w:uiPriority w:val="0"/>
    <w:pPr>
      <w:widowControl/>
      <w:numPr>
        <w:ilvl w:val="0"/>
        <w:numId w:val="3"/>
      </w:numPr>
      <w:tabs>
        <w:tab w:val="left" w:pos="1142"/>
      </w:tabs>
      <w:spacing w:line="360" w:lineRule="auto"/>
    </w:pPr>
    <w:rPr>
      <w:rFonts w:ascii="宋体" w:hAnsi="宋体"/>
      <w:spacing w:val="6"/>
      <w:kern w:val="0"/>
      <w:sz w:val="24"/>
    </w:rPr>
  </w:style>
  <w:style w:type="paragraph" w:styleId="23">
    <w:name w:val="envelope address"/>
    <w:basedOn w:val="1"/>
    <w:qFormat/>
    <w:uiPriority w:val="0"/>
    <w:pPr>
      <w:snapToGrid w:val="0"/>
      <w:ind w:left="2880"/>
    </w:pPr>
    <w:rPr>
      <w:rFonts w:ascii="Arial" w:hAnsi="Arial" w:cs="Arial"/>
      <w:sz w:val="24"/>
      <w:szCs w:val="24"/>
    </w:rPr>
  </w:style>
  <w:style w:type="paragraph" w:styleId="24">
    <w:name w:val="Document Map"/>
    <w:basedOn w:val="1"/>
    <w:link w:val="249"/>
    <w:qFormat/>
    <w:uiPriority w:val="0"/>
    <w:pPr>
      <w:shd w:val="clear" w:color="auto" w:fill="000080"/>
      <w:ind w:firstLine="654" w:firstLineChars="218"/>
    </w:pPr>
    <w:rPr>
      <w:sz w:val="28"/>
    </w:rPr>
  </w:style>
  <w:style w:type="paragraph" w:styleId="25">
    <w:name w:val="toa heading"/>
    <w:basedOn w:val="1"/>
    <w:next w:val="1"/>
    <w:qFormat/>
    <w:uiPriority w:val="0"/>
    <w:pPr>
      <w:spacing w:before="120"/>
    </w:pPr>
    <w:rPr>
      <w:rFonts w:ascii="Arial" w:hAnsi="Arial"/>
      <w:sz w:val="24"/>
    </w:rPr>
  </w:style>
  <w:style w:type="paragraph" w:styleId="26">
    <w:name w:val="annotation text"/>
    <w:basedOn w:val="1"/>
    <w:link w:val="210"/>
    <w:qFormat/>
    <w:uiPriority w:val="0"/>
    <w:pPr>
      <w:adjustRightInd w:val="0"/>
      <w:spacing w:line="360" w:lineRule="atLeast"/>
      <w:jc w:val="left"/>
      <w:textAlignment w:val="baseline"/>
    </w:pPr>
    <w:rPr>
      <w:kern w:val="0"/>
      <w:sz w:val="24"/>
    </w:rPr>
  </w:style>
  <w:style w:type="paragraph" w:styleId="27">
    <w:name w:val="index 6"/>
    <w:basedOn w:val="1"/>
    <w:next w:val="1"/>
    <w:qFormat/>
    <w:uiPriority w:val="0"/>
    <w:pPr>
      <w:ind w:left="1000" w:leftChars="1000" w:firstLine="654" w:firstLineChars="218"/>
    </w:pPr>
    <w:rPr>
      <w:sz w:val="28"/>
    </w:rPr>
  </w:style>
  <w:style w:type="paragraph" w:styleId="28">
    <w:name w:val="Salutation"/>
    <w:basedOn w:val="1"/>
    <w:next w:val="1"/>
    <w:link w:val="295"/>
    <w:qFormat/>
    <w:uiPriority w:val="0"/>
    <w:rPr>
      <w:rFonts w:eastAsia="楷体_GB2312"/>
      <w:sz w:val="24"/>
    </w:rPr>
  </w:style>
  <w:style w:type="paragraph" w:styleId="29">
    <w:name w:val="Body Text 3"/>
    <w:basedOn w:val="1"/>
    <w:link w:val="157"/>
    <w:qFormat/>
    <w:uiPriority w:val="0"/>
    <w:pPr>
      <w:spacing w:after="120"/>
    </w:pPr>
    <w:rPr>
      <w:sz w:val="16"/>
    </w:rPr>
  </w:style>
  <w:style w:type="paragraph" w:styleId="30">
    <w:name w:val="Closing"/>
    <w:basedOn w:val="1"/>
    <w:link w:val="198"/>
    <w:qFormat/>
    <w:uiPriority w:val="0"/>
    <w:pPr>
      <w:ind w:left="4320"/>
    </w:pPr>
    <w:rPr>
      <w:szCs w:val="24"/>
    </w:rPr>
  </w:style>
  <w:style w:type="paragraph" w:styleId="31">
    <w:name w:val="List Bullet 3"/>
    <w:basedOn w:val="1"/>
    <w:qFormat/>
    <w:uiPriority w:val="0"/>
    <w:pPr>
      <w:numPr>
        <w:ilvl w:val="0"/>
        <w:numId w:val="4"/>
      </w:numPr>
      <w:tabs>
        <w:tab w:val="left" w:pos="1200"/>
      </w:tabs>
    </w:pPr>
    <w:rPr>
      <w:szCs w:val="24"/>
    </w:rPr>
  </w:style>
  <w:style w:type="paragraph" w:styleId="32">
    <w:name w:val="Body Text"/>
    <w:basedOn w:val="1"/>
    <w:next w:val="1"/>
    <w:link w:val="257"/>
    <w:qFormat/>
    <w:uiPriority w:val="0"/>
    <w:rPr>
      <w:sz w:val="24"/>
    </w:rPr>
  </w:style>
  <w:style w:type="paragraph" w:styleId="33">
    <w:name w:val="Body Text Indent"/>
    <w:basedOn w:val="1"/>
    <w:next w:val="34"/>
    <w:link w:val="197"/>
    <w:qFormat/>
    <w:uiPriority w:val="0"/>
    <w:pPr>
      <w:spacing w:line="360" w:lineRule="auto"/>
      <w:ind w:firstLine="480" w:firstLineChars="200"/>
    </w:pPr>
    <w:rPr>
      <w:rFonts w:ascii="宋体" w:hAnsi="宋体"/>
      <w:sz w:val="24"/>
    </w:rPr>
  </w:style>
  <w:style w:type="paragraph" w:styleId="34">
    <w:name w:val="envelope return"/>
    <w:basedOn w:val="1"/>
    <w:qFormat/>
    <w:uiPriority w:val="0"/>
    <w:pPr>
      <w:snapToGrid w:val="0"/>
    </w:pPr>
    <w:rPr>
      <w:rFonts w:ascii="Arial" w:hAnsi="Arial" w:cs="Arial"/>
      <w:szCs w:val="24"/>
    </w:rPr>
  </w:style>
  <w:style w:type="paragraph" w:styleId="35">
    <w:name w:val="List Number 3"/>
    <w:basedOn w:val="1"/>
    <w:qFormat/>
    <w:uiPriority w:val="0"/>
    <w:pPr>
      <w:numPr>
        <w:ilvl w:val="0"/>
        <w:numId w:val="5"/>
      </w:numPr>
      <w:tabs>
        <w:tab w:val="left" w:pos="1200"/>
      </w:tabs>
    </w:pPr>
    <w:rPr>
      <w:szCs w:val="24"/>
    </w:rPr>
  </w:style>
  <w:style w:type="paragraph" w:styleId="36">
    <w:name w:val="List 2"/>
    <w:basedOn w:val="1"/>
    <w:qFormat/>
    <w:uiPriority w:val="0"/>
    <w:pPr>
      <w:ind w:left="840" w:hanging="420"/>
    </w:pPr>
    <w:rPr>
      <w:szCs w:val="24"/>
    </w:rPr>
  </w:style>
  <w:style w:type="paragraph" w:styleId="37">
    <w:name w:val="List Continue"/>
    <w:basedOn w:val="1"/>
    <w:qFormat/>
    <w:uiPriority w:val="0"/>
    <w:pPr>
      <w:spacing w:after="120"/>
      <w:ind w:left="420"/>
    </w:pPr>
    <w:rPr>
      <w:szCs w:val="24"/>
    </w:rPr>
  </w:style>
  <w:style w:type="paragraph" w:styleId="38">
    <w:name w:val="Block Text"/>
    <w:basedOn w:val="1"/>
    <w:qFormat/>
    <w:uiPriority w:val="0"/>
    <w:pPr>
      <w:spacing w:line="320" w:lineRule="exact"/>
      <w:ind w:left="1159" w:leftChars="320" w:right="153" w:hanging="487" w:hangingChars="203"/>
    </w:pPr>
    <w:rPr>
      <w:snapToGrid w:val="0"/>
      <w:kern w:val="0"/>
      <w:sz w:val="24"/>
    </w:rPr>
  </w:style>
  <w:style w:type="paragraph" w:styleId="39">
    <w:name w:val="List Bullet 2"/>
    <w:basedOn w:val="1"/>
    <w:qFormat/>
    <w:uiPriority w:val="0"/>
    <w:pPr>
      <w:numPr>
        <w:ilvl w:val="0"/>
        <w:numId w:val="6"/>
      </w:numPr>
      <w:tabs>
        <w:tab w:val="left" w:pos="780"/>
        <w:tab w:val="clear" w:pos="360"/>
      </w:tabs>
    </w:pPr>
    <w:rPr>
      <w:szCs w:val="24"/>
    </w:rPr>
  </w:style>
  <w:style w:type="paragraph" w:styleId="40">
    <w:name w:val="HTML Address"/>
    <w:basedOn w:val="1"/>
    <w:link w:val="173"/>
    <w:qFormat/>
    <w:uiPriority w:val="0"/>
    <w:rPr>
      <w:i/>
      <w:iCs/>
      <w:szCs w:val="24"/>
    </w:rPr>
  </w:style>
  <w:style w:type="paragraph" w:styleId="41">
    <w:name w:val="index 4"/>
    <w:basedOn w:val="1"/>
    <w:next w:val="1"/>
    <w:qFormat/>
    <w:uiPriority w:val="0"/>
    <w:pPr>
      <w:ind w:left="600" w:leftChars="600" w:firstLine="654" w:firstLineChars="218"/>
    </w:pPr>
    <w:rPr>
      <w:sz w:val="28"/>
    </w:rPr>
  </w:style>
  <w:style w:type="paragraph" w:styleId="42">
    <w:name w:val="toc 5"/>
    <w:basedOn w:val="1"/>
    <w:next w:val="1"/>
    <w:qFormat/>
    <w:uiPriority w:val="39"/>
    <w:pPr>
      <w:spacing w:line="360" w:lineRule="auto"/>
      <w:ind w:firstLine="218" w:firstLineChars="218"/>
      <w:jc w:val="left"/>
    </w:pPr>
    <w:rPr>
      <w:rFonts w:eastAsia="仿宋_GB2312"/>
      <w:sz w:val="22"/>
    </w:rPr>
  </w:style>
  <w:style w:type="paragraph" w:styleId="43">
    <w:name w:val="toc 3"/>
    <w:basedOn w:val="1"/>
    <w:next w:val="1"/>
    <w:qFormat/>
    <w:uiPriority w:val="39"/>
    <w:pPr>
      <w:tabs>
        <w:tab w:val="right" w:leader="dot" w:pos="8778"/>
      </w:tabs>
      <w:spacing w:line="360" w:lineRule="auto"/>
      <w:ind w:left="150" w:leftChars="150"/>
      <w:jc w:val="left"/>
    </w:pPr>
    <w:rPr>
      <w:smallCaps/>
      <w:sz w:val="28"/>
    </w:rPr>
  </w:style>
  <w:style w:type="paragraph" w:styleId="44">
    <w:name w:val="Plain Text"/>
    <w:basedOn w:val="1"/>
    <w:link w:val="191"/>
    <w:qFormat/>
    <w:uiPriority w:val="0"/>
    <w:rPr>
      <w:rFonts w:ascii="宋体" w:hAnsi="Courier New"/>
    </w:rPr>
  </w:style>
  <w:style w:type="paragraph" w:styleId="45">
    <w:name w:val="List Bullet 5"/>
    <w:basedOn w:val="1"/>
    <w:qFormat/>
    <w:uiPriority w:val="0"/>
    <w:pPr>
      <w:numPr>
        <w:ilvl w:val="0"/>
        <w:numId w:val="7"/>
      </w:numPr>
      <w:tabs>
        <w:tab w:val="left" w:pos="2040"/>
      </w:tabs>
    </w:pPr>
    <w:rPr>
      <w:szCs w:val="24"/>
    </w:rPr>
  </w:style>
  <w:style w:type="paragraph" w:styleId="46">
    <w:name w:val="List Number 4"/>
    <w:basedOn w:val="1"/>
    <w:qFormat/>
    <w:uiPriority w:val="0"/>
    <w:pPr>
      <w:numPr>
        <w:ilvl w:val="0"/>
        <w:numId w:val="8"/>
      </w:numPr>
      <w:tabs>
        <w:tab w:val="left" w:pos="1620"/>
      </w:tabs>
    </w:pPr>
    <w:rPr>
      <w:szCs w:val="24"/>
    </w:rPr>
  </w:style>
  <w:style w:type="paragraph" w:styleId="47">
    <w:name w:val="toc 8"/>
    <w:basedOn w:val="1"/>
    <w:next w:val="1"/>
    <w:qFormat/>
    <w:uiPriority w:val="39"/>
    <w:pPr>
      <w:spacing w:line="360" w:lineRule="auto"/>
      <w:ind w:firstLine="218" w:firstLineChars="218"/>
      <w:jc w:val="left"/>
    </w:pPr>
    <w:rPr>
      <w:rFonts w:eastAsia="仿宋_GB2312"/>
      <w:sz w:val="22"/>
    </w:rPr>
  </w:style>
  <w:style w:type="paragraph" w:styleId="48">
    <w:name w:val="index 3"/>
    <w:basedOn w:val="1"/>
    <w:next w:val="1"/>
    <w:qFormat/>
    <w:uiPriority w:val="0"/>
    <w:pPr>
      <w:ind w:left="400" w:leftChars="400" w:firstLine="654" w:firstLineChars="218"/>
    </w:pPr>
    <w:rPr>
      <w:sz w:val="28"/>
    </w:rPr>
  </w:style>
  <w:style w:type="paragraph" w:styleId="49">
    <w:name w:val="Date"/>
    <w:basedOn w:val="1"/>
    <w:next w:val="1"/>
    <w:link w:val="248"/>
    <w:autoRedefine/>
    <w:qFormat/>
    <w:uiPriority w:val="0"/>
    <w:pPr>
      <w:ind w:left="100" w:leftChars="2500"/>
    </w:pPr>
    <w:rPr>
      <w:rFonts w:ascii="Arial" w:hAnsi="Arial"/>
      <w:sz w:val="24"/>
    </w:rPr>
  </w:style>
  <w:style w:type="paragraph" w:styleId="50">
    <w:name w:val="Body Text Indent 2"/>
    <w:basedOn w:val="1"/>
    <w:link w:val="159"/>
    <w:qFormat/>
    <w:uiPriority w:val="99"/>
    <w:pPr>
      <w:shd w:val="clear" w:color="auto" w:fill="FFFFFF"/>
      <w:spacing w:line="480" w:lineRule="exact"/>
      <w:ind w:firstLine="480" w:firstLineChars="200"/>
    </w:pPr>
    <w:rPr>
      <w:rFonts w:ascii="宋体" w:hAnsi="宋体"/>
      <w:color w:val="0000FF"/>
      <w:sz w:val="24"/>
      <w:shd w:val="clear" w:color="auto" w:fill="FFFFFF"/>
    </w:rPr>
  </w:style>
  <w:style w:type="paragraph" w:styleId="51">
    <w:name w:val="endnote text"/>
    <w:basedOn w:val="1"/>
    <w:link w:val="212"/>
    <w:autoRedefine/>
    <w:qFormat/>
    <w:uiPriority w:val="0"/>
    <w:pPr>
      <w:adjustRightInd w:val="0"/>
      <w:snapToGrid w:val="0"/>
      <w:spacing w:line="360" w:lineRule="atLeast"/>
      <w:jc w:val="left"/>
      <w:textAlignment w:val="baseline"/>
    </w:pPr>
    <w:rPr>
      <w:kern w:val="0"/>
      <w:sz w:val="24"/>
    </w:rPr>
  </w:style>
  <w:style w:type="paragraph" w:styleId="52">
    <w:name w:val="List Continue 5"/>
    <w:basedOn w:val="1"/>
    <w:autoRedefine/>
    <w:qFormat/>
    <w:uiPriority w:val="0"/>
    <w:pPr>
      <w:spacing w:after="120"/>
      <w:ind w:left="2100"/>
    </w:pPr>
    <w:rPr>
      <w:szCs w:val="24"/>
    </w:rPr>
  </w:style>
  <w:style w:type="paragraph" w:styleId="53">
    <w:name w:val="Balloon Text"/>
    <w:basedOn w:val="1"/>
    <w:link w:val="277"/>
    <w:autoRedefine/>
    <w:qFormat/>
    <w:uiPriority w:val="0"/>
    <w:rPr>
      <w:sz w:val="18"/>
    </w:rPr>
  </w:style>
  <w:style w:type="paragraph" w:styleId="54">
    <w:name w:val="footer"/>
    <w:basedOn w:val="1"/>
    <w:link w:val="156"/>
    <w:qFormat/>
    <w:uiPriority w:val="0"/>
    <w:pPr>
      <w:tabs>
        <w:tab w:val="center" w:pos="4153"/>
        <w:tab w:val="right" w:pos="8306"/>
      </w:tabs>
      <w:snapToGrid w:val="0"/>
      <w:jc w:val="left"/>
    </w:pPr>
    <w:rPr>
      <w:sz w:val="18"/>
    </w:rPr>
  </w:style>
  <w:style w:type="paragraph" w:styleId="55">
    <w:name w:val="header"/>
    <w:basedOn w:val="1"/>
    <w:link w:val="261"/>
    <w:autoRedefine/>
    <w:qFormat/>
    <w:uiPriority w:val="0"/>
    <w:pPr>
      <w:pBdr>
        <w:bottom w:val="single" w:color="auto" w:sz="6" w:space="1"/>
      </w:pBdr>
      <w:tabs>
        <w:tab w:val="center" w:pos="4153"/>
        <w:tab w:val="right" w:pos="8306"/>
      </w:tabs>
      <w:snapToGrid w:val="0"/>
      <w:jc w:val="center"/>
    </w:pPr>
    <w:rPr>
      <w:sz w:val="18"/>
    </w:rPr>
  </w:style>
  <w:style w:type="paragraph" w:styleId="56">
    <w:name w:val="Signature"/>
    <w:basedOn w:val="1"/>
    <w:link w:val="199"/>
    <w:autoRedefine/>
    <w:qFormat/>
    <w:uiPriority w:val="0"/>
    <w:pPr>
      <w:ind w:left="4320"/>
    </w:pPr>
    <w:rPr>
      <w:szCs w:val="24"/>
    </w:rPr>
  </w:style>
  <w:style w:type="paragraph" w:styleId="57">
    <w:name w:val="toc 1"/>
    <w:basedOn w:val="1"/>
    <w:next w:val="1"/>
    <w:autoRedefine/>
    <w:qFormat/>
    <w:uiPriority w:val="39"/>
    <w:pPr>
      <w:spacing w:before="120" w:after="120"/>
      <w:jc w:val="left"/>
    </w:pPr>
    <w:rPr>
      <w:b/>
      <w:caps/>
      <w:sz w:val="20"/>
    </w:rPr>
  </w:style>
  <w:style w:type="paragraph" w:styleId="58">
    <w:name w:val="List Continue 4"/>
    <w:basedOn w:val="1"/>
    <w:autoRedefine/>
    <w:qFormat/>
    <w:uiPriority w:val="0"/>
    <w:pPr>
      <w:spacing w:after="120"/>
      <w:ind w:left="1680"/>
    </w:pPr>
    <w:rPr>
      <w:szCs w:val="24"/>
    </w:rPr>
  </w:style>
  <w:style w:type="paragraph" w:styleId="59">
    <w:name w:val="toc 4"/>
    <w:basedOn w:val="1"/>
    <w:next w:val="1"/>
    <w:qFormat/>
    <w:uiPriority w:val="39"/>
    <w:pPr>
      <w:spacing w:line="360" w:lineRule="auto"/>
      <w:ind w:firstLine="218" w:firstLineChars="218"/>
      <w:jc w:val="left"/>
    </w:pPr>
    <w:rPr>
      <w:rFonts w:eastAsia="仿宋_GB2312"/>
      <w:sz w:val="22"/>
    </w:rPr>
  </w:style>
  <w:style w:type="paragraph" w:styleId="60">
    <w:name w:val="index heading"/>
    <w:basedOn w:val="1"/>
    <w:next w:val="61"/>
    <w:autoRedefine/>
    <w:qFormat/>
    <w:uiPriority w:val="0"/>
    <w:pPr>
      <w:ind w:firstLine="654" w:firstLineChars="218"/>
    </w:pPr>
    <w:rPr>
      <w:sz w:val="28"/>
    </w:rPr>
  </w:style>
  <w:style w:type="paragraph" w:styleId="61">
    <w:name w:val="index 1"/>
    <w:basedOn w:val="1"/>
    <w:next w:val="1"/>
    <w:qFormat/>
    <w:uiPriority w:val="0"/>
    <w:pPr>
      <w:ind w:firstLine="654" w:firstLineChars="218"/>
    </w:pPr>
    <w:rPr>
      <w:sz w:val="28"/>
    </w:rPr>
  </w:style>
  <w:style w:type="paragraph" w:styleId="62">
    <w:name w:val="Subtitle"/>
    <w:basedOn w:val="1"/>
    <w:link w:val="225"/>
    <w:autoRedefine/>
    <w:qFormat/>
    <w:uiPriority w:val="0"/>
    <w:pPr>
      <w:spacing w:before="240" w:after="60" w:line="312" w:lineRule="auto"/>
      <w:jc w:val="center"/>
      <w:outlineLvl w:val="1"/>
    </w:pPr>
    <w:rPr>
      <w:rFonts w:ascii="Arial" w:hAnsi="Arial"/>
      <w:b/>
      <w:bCs/>
      <w:kern w:val="28"/>
      <w:sz w:val="32"/>
      <w:szCs w:val="32"/>
    </w:rPr>
  </w:style>
  <w:style w:type="paragraph" w:styleId="63">
    <w:name w:val="List Number 5"/>
    <w:basedOn w:val="1"/>
    <w:qFormat/>
    <w:uiPriority w:val="0"/>
    <w:pPr>
      <w:numPr>
        <w:ilvl w:val="0"/>
        <w:numId w:val="9"/>
      </w:numPr>
      <w:tabs>
        <w:tab w:val="left" w:pos="2040"/>
      </w:tabs>
    </w:pPr>
    <w:rPr>
      <w:szCs w:val="24"/>
    </w:rPr>
  </w:style>
  <w:style w:type="paragraph" w:styleId="64">
    <w:name w:val="List"/>
    <w:basedOn w:val="1"/>
    <w:autoRedefine/>
    <w:qFormat/>
    <w:uiPriority w:val="0"/>
    <w:pPr>
      <w:ind w:left="200" w:hanging="200" w:hangingChars="200"/>
    </w:pPr>
  </w:style>
  <w:style w:type="paragraph" w:styleId="65">
    <w:name w:val="footnote text"/>
    <w:basedOn w:val="1"/>
    <w:link w:val="202"/>
    <w:qFormat/>
    <w:uiPriority w:val="0"/>
    <w:pPr>
      <w:snapToGrid w:val="0"/>
      <w:jc w:val="left"/>
    </w:pPr>
    <w:rPr>
      <w:sz w:val="18"/>
    </w:rPr>
  </w:style>
  <w:style w:type="paragraph" w:styleId="66">
    <w:name w:val="toc 6"/>
    <w:basedOn w:val="1"/>
    <w:next w:val="1"/>
    <w:qFormat/>
    <w:uiPriority w:val="39"/>
    <w:pPr>
      <w:spacing w:line="360" w:lineRule="auto"/>
      <w:ind w:firstLine="218" w:firstLineChars="218"/>
      <w:jc w:val="left"/>
    </w:pPr>
    <w:rPr>
      <w:rFonts w:eastAsia="仿宋_GB2312"/>
      <w:sz w:val="22"/>
    </w:rPr>
  </w:style>
  <w:style w:type="paragraph" w:styleId="67">
    <w:name w:val="List 5"/>
    <w:basedOn w:val="1"/>
    <w:autoRedefine/>
    <w:qFormat/>
    <w:uiPriority w:val="0"/>
    <w:pPr>
      <w:ind w:left="2100" w:hanging="420"/>
    </w:pPr>
    <w:rPr>
      <w:szCs w:val="24"/>
    </w:rPr>
  </w:style>
  <w:style w:type="paragraph" w:styleId="68">
    <w:name w:val="Body Text Indent 3"/>
    <w:basedOn w:val="1"/>
    <w:link w:val="161"/>
    <w:autoRedefine/>
    <w:qFormat/>
    <w:uiPriority w:val="0"/>
    <w:pPr>
      <w:spacing w:line="360" w:lineRule="auto"/>
      <w:ind w:left="437" w:firstLine="435"/>
    </w:pPr>
    <w:rPr>
      <w:rFonts w:ascii="宋体" w:hAnsi="宋体"/>
    </w:rPr>
  </w:style>
  <w:style w:type="paragraph" w:styleId="69">
    <w:name w:val="index 7"/>
    <w:basedOn w:val="1"/>
    <w:next w:val="1"/>
    <w:qFormat/>
    <w:uiPriority w:val="0"/>
    <w:pPr>
      <w:ind w:left="1200" w:leftChars="1200" w:firstLine="654" w:firstLineChars="218"/>
    </w:pPr>
    <w:rPr>
      <w:sz w:val="28"/>
    </w:rPr>
  </w:style>
  <w:style w:type="paragraph" w:styleId="70">
    <w:name w:val="index 9"/>
    <w:basedOn w:val="1"/>
    <w:next w:val="1"/>
    <w:autoRedefine/>
    <w:qFormat/>
    <w:uiPriority w:val="0"/>
    <w:pPr>
      <w:ind w:left="1600" w:leftChars="1600" w:firstLine="654" w:firstLineChars="218"/>
    </w:pPr>
    <w:rPr>
      <w:sz w:val="28"/>
    </w:rPr>
  </w:style>
  <w:style w:type="paragraph" w:styleId="71">
    <w:name w:val="table of figures"/>
    <w:basedOn w:val="1"/>
    <w:next w:val="1"/>
    <w:qFormat/>
    <w:uiPriority w:val="0"/>
    <w:pPr>
      <w:ind w:left="200" w:leftChars="200" w:hanging="200" w:hangingChars="200"/>
    </w:pPr>
    <w:rPr>
      <w:szCs w:val="24"/>
    </w:rPr>
  </w:style>
  <w:style w:type="paragraph" w:styleId="72">
    <w:name w:val="toc 2"/>
    <w:basedOn w:val="1"/>
    <w:next w:val="1"/>
    <w:qFormat/>
    <w:uiPriority w:val="39"/>
    <w:pPr>
      <w:spacing w:line="360" w:lineRule="auto"/>
      <w:ind w:left="50" w:leftChars="50"/>
      <w:jc w:val="left"/>
    </w:pPr>
    <w:rPr>
      <w:smallCaps/>
      <w:sz w:val="28"/>
    </w:rPr>
  </w:style>
  <w:style w:type="paragraph" w:styleId="73">
    <w:name w:val="toc 9"/>
    <w:basedOn w:val="1"/>
    <w:next w:val="1"/>
    <w:qFormat/>
    <w:uiPriority w:val="39"/>
    <w:pPr>
      <w:spacing w:line="360" w:lineRule="auto"/>
      <w:ind w:firstLine="218" w:firstLineChars="218"/>
      <w:jc w:val="left"/>
    </w:pPr>
    <w:rPr>
      <w:rFonts w:eastAsia="仿宋_GB2312"/>
      <w:sz w:val="22"/>
    </w:rPr>
  </w:style>
  <w:style w:type="paragraph" w:styleId="74">
    <w:name w:val="Body Text 2"/>
    <w:basedOn w:val="1"/>
    <w:link w:val="188"/>
    <w:autoRedefine/>
    <w:qFormat/>
    <w:uiPriority w:val="0"/>
    <w:pPr>
      <w:spacing w:after="120" w:line="480" w:lineRule="auto"/>
    </w:pPr>
  </w:style>
  <w:style w:type="paragraph" w:styleId="75">
    <w:name w:val="List 4"/>
    <w:basedOn w:val="1"/>
    <w:autoRedefine/>
    <w:qFormat/>
    <w:uiPriority w:val="0"/>
    <w:pPr>
      <w:ind w:left="1680" w:hanging="420"/>
    </w:pPr>
    <w:rPr>
      <w:szCs w:val="24"/>
    </w:rPr>
  </w:style>
  <w:style w:type="paragraph" w:styleId="76">
    <w:name w:val="List Continue 2"/>
    <w:basedOn w:val="1"/>
    <w:qFormat/>
    <w:uiPriority w:val="0"/>
    <w:pPr>
      <w:spacing w:after="120"/>
      <w:ind w:left="840"/>
    </w:pPr>
    <w:rPr>
      <w:szCs w:val="24"/>
    </w:rPr>
  </w:style>
  <w:style w:type="paragraph" w:styleId="77">
    <w:name w:val="Message Header"/>
    <w:basedOn w:val="1"/>
    <w:link w:val="175"/>
    <w:autoRedefine/>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szCs w:val="24"/>
    </w:rPr>
  </w:style>
  <w:style w:type="paragraph" w:styleId="78">
    <w:name w:val="HTML Preformatted"/>
    <w:basedOn w:val="1"/>
    <w:link w:val="15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79">
    <w:name w:val="Normal (Web)"/>
    <w:basedOn w:val="1"/>
    <w:qFormat/>
    <w:uiPriority w:val="0"/>
    <w:pPr>
      <w:widowControl/>
      <w:spacing w:before="100" w:beforeAutospacing="1" w:after="100" w:afterAutospacing="1"/>
      <w:jc w:val="left"/>
    </w:pPr>
    <w:rPr>
      <w:rFonts w:ascii="宋体" w:hAnsi="宋体"/>
      <w:kern w:val="0"/>
      <w:sz w:val="24"/>
    </w:rPr>
  </w:style>
  <w:style w:type="paragraph" w:styleId="80">
    <w:name w:val="List Continue 3"/>
    <w:basedOn w:val="1"/>
    <w:autoRedefine/>
    <w:qFormat/>
    <w:uiPriority w:val="0"/>
    <w:pPr>
      <w:spacing w:after="120"/>
      <w:ind w:left="1260"/>
    </w:pPr>
    <w:rPr>
      <w:szCs w:val="24"/>
    </w:rPr>
  </w:style>
  <w:style w:type="paragraph" w:styleId="81">
    <w:name w:val="index 2"/>
    <w:basedOn w:val="1"/>
    <w:next w:val="1"/>
    <w:autoRedefine/>
    <w:qFormat/>
    <w:uiPriority w:val="0"/>
    <w:pPr>
      <w:ind w:left="200" w:leftChars="200" w:firstLine="654" w:firstLineChars="218"/>
    </w:pPr>
    <w:rPr>
      <w:sz w:val="28"/>
    </w:rPr>
  </w:style>
  <w:style w:type="paragraph" w:styleId="82">
    <w:name w:val="Title"/>
    <w:basedOn w:val="1"/>
    <w:link w:val="262"/>
    <w:autoRedefine/>
    <w:qFormat/>
    <w:uiPriority w:val="0"/>
    <w:pPr>
      <w:spacing w:before="240" w:after="60"/>
      <w:jc w:val="center"/>
      <w:outlineLvl w:val="0"/>
    </w:pPr>
    <w:rPr>
      <w:rFonts w:ascii="Arial" w:hAnsi="Arial"/>
      <w:b/>
      <w:bCs/>
      <w:sz w:val="32"/>
      <w:szCs w:val="32"/>
    </w:rPr>
  </w:style>
  <w:style w:type="paragraph" w:styleId="83">
    <w:name w:val="annotation subject"/>
    <w:basedOn w:val="26"/>
    <w:next w:val="26"/>
    <w:link w:val="169"/>
    <w:qFormat/>
    <w:uiPriority w:val="0"/>
    <w:pPr>
      <w:adjustRightInd/>
      <w:spacing w:line="360" w:lineRule="auto"/>
      <w:ind w:firstLine="654" w:firstLineChars="218"/>
      <w:textAlignment w:val="auto"/>
    </w:pPr>
    <w:rPr>
      <w:rFonts w:eastAsia="仿宋_GB2312"/>
      <w:b/>
      <w:kern w:val="2"/>
      <w:sz w:val="30"/>
    </w:rPr>
  </w:style>
  <w:style w:type="paragraph" w:styleId="84">
    <w:name w:val="Body Text First Indent"/>
    <w:basedOn w:val="32"/>
    <w:next w:val="1"/>
    <w:link w:val="220"/>
    <w:autoRedefine/>
    <w:qFormat/>
    <w:uiPriority w:val="0"/>
    <w:pPr>
      <w:tabs>
        <w:tab w:val="left" w:pos="560"/>
        <w:tab w:val="left" w:pos="3920"/>
        <w:tab w:val="left" w:pos="5600"/>
        <w:tab w:val="left" w:pos="7700"/>
      </w:tabs>
      <w:spacing w:before="60" w:after="60" w:line="520" w:lineRule="exact"/>
      <w:ind w:firstLine="567"/>
      <w:textAlignment w:val="baseline"/>
    </w:pPr>
    <w:rPr>
      <w:rFonts w:ascii="Arial" w:hAnsi="Arial" w:eastAsia="仿宋_GB2312"/>
      <w:kern w:val="0"/>
      <w:sz w:val="28"/>
    </w:rPr>
  </w:style>
  <w:style w:type="paragraph" w:styleId="85">
    <w:name w:val="Body Text First Indent 2"/>
    <w:basedOn w:val="33"/>
    <w:next w:val="1"/>
    <w:link w:val="211"/>
    <w:qFormat/>
    <w:uiPriority w:val="0"/>
    <w:pPr>
      <w:spacing w:after="120" w:line="240" w:lineRule="auto"/>
      <w:ind w:left="420" w:firstLine="420" w:firstLineChars="0"/>
    </w:pPr>
    <w:rPr>
      <w:rFonts w:ascii="Times New Roman" w:hAnsi="Times New Roman"/>
      <w:sz w:val="21"/>
      <w:szCs w:val="24"/>
    </w:rPr>
  </w:style>
  <w:style w:type="table" w:styleId="87">
    <w:name w:val="Table Grid"/>
    <w:basedOn w:val="8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8">
    <w:name w:val="Table Theme"/>
    <w:basedOn w:val="8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9">
    <w:name w:val="Table Colorful 1"/>
    <w:basedOn w:val="86"/>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0">
    <w:name w:val="Table Colorful 2"/>
    <w:basedOn w:val="86"/>
    <w:autoRedefine/>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1">
    <w:name w:val="Table Colorful 3"/>
    <w:basedOn w:val="86"/>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shd w:val="solid" w:color="000000" w:fill="FFFFFF"/>
      </w:tcPr>
    </w:tblStylePr>
  </w:style>
  <w:style w:type="table" w:styleId="92">
    <w:name w:val="Table Elegant"/>
    <w:basedOn w:val="86"/>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3">
    <w:name w:val="Table Classic 1"/>
    <w:basedOn w:val="86"/>
    <w:autoRedefine/>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4">
    <w:name w:val="Table Classic 2"/>
    <w:basedOn w:val="86"/>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5">
    <w:name w:val="Table Classic 3"/>
    <w:basedOn w:val="86"/>
    <w:autoRedefine/>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6">
    <w:name w:val="Table Classic 4"/>
    <w:basedOn w:val="86"/>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Simple 1"/>
    <w:basedOn w:val="86"/>
    <w:autoRedefine/>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8">
    <w:name w:val="Table Simple 2"/>
    <w:basedOn w:val="86"/>
    <w:qFormat/>
    <w:uiPriority w:val="0"/>
    <w:pPr>
      <w:widowControl w:val="0"/>
      <w:jc w:val="both"/>
    </w:p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9">
    <w:name w:val="Table Simple 3"/>
    <w:basedOn w:val="86"/>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shd w:val="solid" w:color="000000" w:fill="FFFFFF"/>
      </w:tcPr>
    </w:tblStylePr>
  </w:style>
  <w:style w:type="table" w:styleId="100">
    <w:name w:val="Table Subtle 1"/>
    <w:basedOn w:val="86"/>
    <w:autoRedefine/>
    <w:qFormat/>
    <w:uiPriority w:val="0"/>
    <w:pPr>
      <w:widowControl w:val="0"/>
      <w:jc w:val="both"/>
    </w:p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ubtle 2"/>
    <w:basedOn w:val="86"/>
    <w:qFormat/>
    <w:uiPriority w:val="0"/>
    <w:pPr>
      <w:widowControl w:val="0"/>
      <w:jc w:val="both"/>
    </w:p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3D effects 1"/>
    <w:basedOn w:val="86"/>
    <w:qFormat/>
    <w:uiPriority w:val="0"/>
    <w:pPr>
      <w:widowControl w:val="0"/>
      <w:jc w:val="both"/>
    </w:p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3">
    <w:name w:val="Table 3D effects 2"/>
    <w:basedOn w:val="86"/>
    <w:autoRedefine/>
    <w:qFormat/>
    <w:uiPriority w:val="0"/>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3D effects 3"/>
    <w:basedOn w:val="86"/>
    <w:qFormat/>
    <w:uiPriority w:val="0"/>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List 1"/>
    <w:basedOn w:val="86"/>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2"/>
    <w:basedOn w:val="86"/>
    <w:qFormat/>
    <w:uiPriority w:val="0"/>
    <w:pPr>
      <w:widowControl w:val="0"/>
      <w:jc w:val="both"/>
    </w:p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List 3"/>
    <w:basedOn w:val="86"/>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8">
    <w:name w:val="Table List 4"/>
    <w:basedOn w:val="8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9">
    <w:name w:val="Table List 5"/>
    <w:basedOn w:val="8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0">
    <w:name w:val="Table List 6"/>
    <w:basedOn w:val="86"/>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1">
    <w:name w:val="Table List 7"/>
    <w:basedOn w:val="86"/>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shd w:val="pct20" w:color="000000" w:fill="FFFFFF"/>
      </w:tcPr>
    </w:tblStylePr>
    <w:tblStylePr w:type="band2Horz">
      <w:tblPr/>
      <w:tcPr>
        <w:shd w:val="pct25" w:color="FFFF00" w:fill="FFFFFF"/>
      </w:tcPr>
    </w:tblStylePr>
  </w:style>
  <w:style w:type="table" w:styleId="112">
    <w:name w:val="Table List 8"/>
    <w:basedOn w:val="86"/>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shd w:val="pct25" w:color="FFFF00" w:fill="FFFFFF"/>
      </w:tcPr>
    </w:tblStylePr>
    <w:tblStylePr w:type="band2Horz">
      <w:tblPr/>
      <w:tcPr>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3">
    <w:name w:val="Table Contemporary"/>
    <w:basedOn w:val="86"/>
    <w:qFormat/>
    <w:uiPriority w:val="0"/>
    <w:pPr>
      <w:widowControl w:val="0"/>
      <w:jc w:val="both"/>
    </w:pPr>
    <w:tblPr>
      <w:tblBorders>
        <w:insideH w:val="single" w:color="FFFFFF" w:sz="18" w:space="0"/>
        <w:insideV w:val="single" w:color="FFFFFF" w:sz="18" w:space="0"/>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114">
    <w:name w:val="Table Columns 1"/>
    <w:basedOn w:val="86"/>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5">
    <w:name w:val="Table Columns 2"/>
    <w:basedOn w:val="86"/>
    <w:qFormat/>
    <w:uiPriority w:val="0"/>
    <w:pPr>
      <w:widowControl w:val="0"/>
      <w:jc w:val="both"/>
    </w:pPr>
    <w:rPr>
      <w:b/>
      <w:bCs/>
    </w:rPr>
    <w:tblPr>
      <w:tblStyleColBandSize w:val="1"/>
    </w:tblPr>
    <w:tblStylePr w:type="firstRow">
      <w:rPr>
        <w:color w:val="FFFFFF"/>
      </w:rPr>
      <w:tblPr/>
      <w:tcPr>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6">
    <w:name w:val="Table Columns 3"/>
    <w:basedOn w:val="86"/>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7">
    <w:name w:val="Table Columns 4"/>
    <w:basedOn w:val="86"/>
    <w:qFormat/>
    <w:uiPriority w:val="0"/>
    <w:pPr>
      <w:widowControl w:val="0"/>
      <w:jc w:val="both"/>
    </w:pPr>
    <w:tblPr>
      <w:tblStyleColBandSize w:val="1"/>
    </w:tblPr>
    <w:tblStylePr w:type="firstRow">
      <w:rPr>
        <w:color w:val="FFFFFF"/>
      </w:rPr>
      <w:tblPr/>
      <w:tcPr>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8">
    <w:name w:val="Table Columns 5"/>
    <w:basedOn w:val="86"/>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9">
    <w:name w:val="Table Grid 1"/>
    <w:basedOn w:val="8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0">
    <w:name w:val="Table Grid 2"/>
    <w:basedOn w:val="86"/>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1">
    <w:name w:val="Table Grid 3"/>
    <w:basedOn w:val="86"/>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4"/>
    <w:basedOn w:val="86"/>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3">
    <w:name w:val="Table Grid 5"/>
    <w:basedOn w:val="8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6"/>
    <w:basedOn w:val="86"/>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7"/>
    <w:basedOn w:val="86"/>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8"/>
    <w:basedOn w:val="86"/>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7">
    <w:name w:val="Table Web 1"/>
    <w:basedOn w:val="86"/>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Web 2"/>
    <w:basedOn w:val="86"/>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9">
    <w:name w:val="Table Web 3"/>
    <w:basedOn w:val="86"/>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Professional"/>
    <w:basedOn w:val="8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shd w:val="solid" w:color="000000" w:fill="FFFFFF"/>
      </w:tcPr>
    </w:tblStylePr>
  </w:style>
  <w:style w:type="character" w:styleId="132">
    <w:name w:val="Strong"/>
    <w:qFormat/>
    <w:uiPriority w:val="22"/>
    <w:rPr>
      <w:b/>
    </w:rPr>
  </w:style>
  <w:style w:type="character" w:styleId="133">
    <w:name w:val="page number"/>
    <w:qFormat/>
    <w:uiPriority w:val="0"/>
  </w:style>
  <w:style w:type="character" w:styleId="134">
    <w:name w:val="FollowedHyperlink"/>
    <w:qFormat/>
    <w:uiPriority w:val="0"/>
    <w:rPr>
      <w:color w:val="333333"/>
      <w:u w:val="none"/>
    </w:rPr>
  </w:style>
  <w:style w:type="character" w:styleId="135">
    <w:name w:val="Emphasis"/>
    <w:qFormat/>
    <w:uiPriority w:val="0"/>
    <w:rPr>
      <w:i/>
      <w:iCs/>
    </w:rPr>
  </w:style>
  <w:style w:type="character" w:styleId="136">
    <w:name w:val="line number"/>
    <w:qFormat/>
    <w:uiPriority w:val="0"/>
  </w:style>
  <w:style w:type="character" w:styleId="137">
    <w:name w:val="HTML Definition"/>
    <w:qFormat/>
    <w:uiPriority w:val="0"/>
    <w:rPr>
      <w:i/>
      <w:iCs/>
    </w:rPr>
  </w:style>
  <w:style w:type="character" w:styleId="138">
    <w:name w:val="HTML Typewriter"/>
    <w:qFormat/>
    <w:uiPriority w:val="0"/>
    <w:rPr>
      <w:rFonts w:ascii="宋体" w:hAnsi="宋体" w:eastAsia="宋体"/>
      <w:sz w:val="24"/>
    </w:rPr>
  </w:style>
  <w:style w:type="character" w:styleId="139">
    <w:name w:val="HTML Acronym"/>
    <w:basedOn w:val="131"/>
    <w:qFormat/>
    <w:uiPriority w:val="0"/>
  </w:style>
  <w:style w:type="character" w:styleId="140">
    <w:name w:val="HTML Variable"/>
    <w:qFormat/>
    <w:uiPriority w:val="0"/>
    <w:rPr>
      <w:i/>
      <w:iCs/>
    </w:rPr>
  </w:style>
  <w:style w:type="character" w:styleId="141">
    <w:name w:val="Hyperlink"/>
    <w:qFormat/>
    <w:uiPriority w:val="99"/>
    <w:rPr>
      <w:color w:val="333333"/>
      <w:u w:val="none"/>
    </w:rPr>
  </w:style>
  <w:style w:type="character" w:styleId="142">
    <w:name w:val="HTML Code"/>
    <w:qFormat/>
    <w:uiPriority w:val="0"/>
    <w:rPr>
      <w:rFonts w:ascii="Courier New" w:hAnsi="Courier New" w:cs="Courier New"/>
      <w:sz w:val="20"/>
      <w:szCs w:val="20"/>
    </w:rPr>
  </w:style>
  <w:style w:type="character" w:styleId="143">
    <w:name w:val="annotation reference"/>
    <w:qFormat/>
    <w:uiPriority w:val="0"/>
    <w:rPr>
      <w:sz w:val="21"/>
    </w:rPr>
  </w:style>
  <w:style w:type="character" w:styleId="144">
    <w:name w:val="HTML Cite"/>
    <w:qFormat/>
    <w:uiPriority w:val="0"/>
    <w:rPr>
      <w:i/>
      <w:iCs/>
    </w:rPr>
  </w:style>
  <w:style w:type="character" w:styleId="145">
    <w:name w:val="footnote reference"/>
    <w:qFormat/>
    <w:uiPriority w:val="0"/>
    <w:rPr>
      <w:vertAlign w:val="superscript"/>
    </w:rPr>
  </w:style>
  <w:style w:type="character" w:styleId="146">
    <w:name w:val="HTML Keyboard"/>
    <w:qFormat/>
    <w:uiPriority w:val="0"/>
    <w:rPr>
      <w:rFonts w:ascii="Courier New" w:hAnsi="Courier New" w:cs="Courier New"/>
      <w:sz w:val="20"/>
      <w:szCs w:val="20"/>
    </w:rPr>
  </w:style>
  <w:style w:type="character" w:styleId="147">
    <w:name w:val="HTML Sample"/>
    <w:qFormat/>
    <w:uiPriority w:val="0"/>
    <w:rPr>
      <w:rFonts w:ascii="Courier New" w:hAnsi="Courier New" w:cs="Courier New"/>
    </w:rPr>
  </w:style>
  <w:style w:type="character" w:customStyle="1" w:styleId="148">
    <w:name w:val="页脚 Char1"/>
    <w:qFormat/>
    <w:uiPriority w:val="0"/>
    <w:rPr>
      <w:rFonts w:eastAsia="宋体"/>
      <w:kern w:val="2"/>
      <w:sz w:val="18"/>
      <w:szCs w:val="18"/>
      <w:lang w:val="en-US" w:eastAsia="zh-CN" w:bidi="ar-SA"/>
    </w:rPr>
  </w:style>
  <w:style w:type="character" w:customStyle="1" w:styleId="149">
    <w:name w:val="wang正文 Char"/>
    <w:link w:val="150"/>
    <w:qFormat/>
    <w:uiPriority w:val="0"/>
    <w:rPr>
      <w:kern w:val="2"/>
      <w:sz w:val="21"/>
    </w:rPr>
  </w:style>
  <w:style w:type="paragraph" w:customStyle="1" w:styleId="150">
    <w:name w:val="wang正文"/>
    <w:basedOn w:val="1"/>
    <w:link w:val="149"/>
    <w:qFormat/>
    <w:uiPriority w:val="0"/>
    <w:pPr>
      <w:tabs>
        <w:tab w:val="left" w:pos="6840"/>
      </w:tabs>
      <w:topLinePunct/>
      <w:ind w:firstLine="420"/>
    </w:pPr>
  </w:style>
  <w:style w:type="character" w:customStyle="1" w:styleId="151">
    <w:name w:val="icon_gys"/>
    <w:qFormat/>
    <w:uiPriority w:val="0"/>
    <w:rPr>
      <w:sz w:val="21"/>
      <w:szCs w:val="21"/>
    </w:rPr>
  </w:style>
  <w:style w:type="character" w:customStyle="1" w:styleId="152">
    <w:name w:val="列表项目符号 Char"/>
    <w:qFormat/>
    <w:uiPriority w:val="0"/>
    <w:rPr>
      <w:rFonts w:eastAsia="宋体"/>
      <w:kern w:val="2"/>
      <w:sz w:val="21"/>
      <w:szCs w:val="24"/>
      <w:lang w:val="en-US" w:eastAsia="zh-CN" w:bidi="ar-SA"/>
    </w:rPr>
  </w:style>
  <w:style w:type="character" w:customStyle="1" w:styleId="153">
    <w:name w:val="hover3"/>
    <w:basedOn w:val="131"/>
    <w:qFormat/>
    <w:uiPriority w:val="0"/>
  </w:style>
  <w:style w:type="character" w:customStyle="1" w:styleId="154">
    <w:name w:val="正文文本 Char1"/>
    <w:semiHidden/>
    <w:qFormat/>
    <w:uiPriority w:val="99"/>
    <w:rPr>
      <w:rFonts w:ascii="Times New Roman" w:hAnsi="Times New Roman" w:eastAsia="宋体" w:cs="Times New Roman"/>
      <w:szCs w:val="20"/>
    </w:rPr>
  </w:style>
  <w:style w:type="character" w:customStyle="1" w:styleId="155">
    <w:name w:val="HTML 预设格式 字符"/>
    <w:link w:val="78"/>
    <w:qFormat/>
    <w:uiPriority w:val="0"/>
    <w:rPr>
      <w:rFonts w:ascii="宋体" w:hAnsi="宋体"/>
      <w:sz w:val="24"/>
    </w:rPr>
  </w:style>
  <w:style w:type="character" w:customStyle="1" w:styleId="156">
    <w:name w:val="页脚 字符"/>
    <w:link w:val="54"/>
    <w:qFormat/>
    <w:uiPriority w:val="0"/>
    <w:rPr>
      <w:kern w:val="2"/>
      <w:sz w:val="18"/>
    </w:rPr>
  </w:style>
  <w:style w:type="character" w:customStyle="1" w:styleId="157">
    <w:name w:val="正文文本 3 字符"/>
    <w:link w:val="29"/>
    <w:qFormat/>
    <w:uiPriority w:val="0"/>
    <w:rPr>
      <w:kern w:val="2"/>
      <w:sz w:val="16"/>
    </w:rPr>
  </w:style>
  <w:style w:type="character" w:customStyle="1" w:styleId="158">
    <w:name w:val="批注主题 Char1"/>
    <w:qFormat/>
    <w:uiPriority w:val="0"/>
    <w:rPr>
      <w:b/>
      <w:bCs/>
      <w:kern w:val="2"/>
      <w:sz w:val="21"/>
    </w:rPr>
  </w:style>
  <w:style w:type="character" w:customStyle="1" w:styleId="159">
    <w:name w:val="正文文本缩进 2 字符"/>
    <w:link w:val="50"/>
    <w:qFormat/>
    <w:uiPriority w:val="99"/>
    <w:rPr>
      <w:rFonts w:ascii="宋体" w:hAnsi="宋体"/>
      <w:color w:val="0000FF"/>
      <w:kern w:val="2"/>
      <w:sz w:val="24"/>
      <w:shd w:val="clear" w:color="auto" w:fill="FFFFFF"/>
    </w:rPr>
  </w:style>
  <w:style w:type="character" w:customStyle="1" w:styleId="160">
    <w:name w:val="正文首行缩进 Char"/>
    <w:qFormat/>
    <w:uiPriority w:val="0"/>
  </w:style>
  <w:style w:type="character" w:customStyle="1" w:styleId="161">
    <w:name w:val="正文文本缩进 3 字符"/>
    <w:link w:val="68"/>
    <w:qFormat/>
    <w:uiPriority w:val="0"/>
    <w:rPr>
      <w:rFonts w:ascii="宋体" w:hAnsi="宋体"/>
      <w:kern w:val="2"/>
      <w:sz w:val="21"/>
    </w:rPr>
  </w:style>
  <w:style w:type="character" w:customStyle="1" w:styleId="162">
    <w:name w:val="标题 7 字符"/>
    <w:link w:val="8"/>
    <w:qFormat/>
    <w:uiPriority w:val="0"/>
    <w:rPr>
      <w:rFonts w:eastAsia="宋体"/>
      <w:b/>
      <w:kern w:val="2"/>
      <w:sz w:val="24"/>
      <w:lang w:val="en-US" w:eastAsia="zh-CN" w:bidi="ar-SA"/>
    </w:rPr>
  </w:style>
  <w:style w:type="character" w:customStyle="1" w:styleId="163">
    <w:name w:val="报告标题1 Char"/>
    <w:link w:val="164"/>
    <w:qFormat/>
    <w:uiPriority w:val="0"/>
    <w:rPr>
      <w:b/>
      <w:bCs/>
      <w:kern w:val="2"/>
      <w:sz w:val="24"/>
      <w:szCs w:val="24"/>
    </w:rPr>
  </w:style>
  <w:style w:type="paragraph" w:customStyle="1" w:styleId="164">
    <w:name w:val="报告标题1"/>
    <w:basedOn w:val="2"/>
    <w:link w:val="163"/>
    <w:qFormat/>
    <w:uiPriority w:val="0"/>
    <w:pPr>
      <w:keepLines w:val="0"/>
      <w:overflowPunct w:val="0"/>
      <w:topLinePunct/>
      <w:autoSpaceDE w:val="0"/>
      <w:autoSpaceDN w:val="0"/>
      <w:snapToGrid w:val="0"/>
      <w:spacing w:line="240" w:lineRule="auto"/>
      <w:ind w:firstLine="420"/>
    </w:pPr>
    <w:rPr>
      <w:rFonts w:eastAsia="宋体"/>
      <w:bCs/>
      <w:kern w:val="2"/>
      <w:sz w:val="24"/>
      <w:szCs w:val="24"/>
    </w:rPr>
  </w:style>
  <w:style w:type="character" w:customStyle="1" w:styleId="165">
    <w:name w:val="脚注文本 Char1"/>
    <w:semiHidden/>
    <w:qFormat/>
    <w:uiPriority w:val="99"/>
    <w:rPr>
      <w:rFonts w:ascii="Times New Roman" w:hAnsi="Times New Roman" w:eastAsia="宋体" w:cs="Times New Roman"/>
      <w:sz w:val="18"/>
      <w:szCs w:val="18"/>
    </w:rPr>
  </w:style>
  <w:style w:type="character" w:customStyle="1" w:styleId="166">
    <w:name w:val="Char Char"/>
    <w:qFormat/>
    <w:uiPriority w:val="0"/>
    <w:rPr>
      <w:rFonts w:ascii="宋体" w:hAnsi="宋体"/>
      <w:sz w:val="24"/>
    </w:rPr>
  </w:style>
  <w:style w:type="character" w:customStyle="1" w:styleId="167">
    <w:name w:val="样式 Char Char"/>
    <w:link w:val="168"/>
    <w:qFormat/>
    <w:uiPriority w:val="0"/>
    <w:rPr>
      <w:sz w:val="24"/>
      <w:lang w:val="en-US" w:eastAsia="zh-CN" w:bidi="ar-SA"/>
    </w:rPr>
  </w:style>
  <w:style w:type="paragraph" w:customStyle="1" w:styleId="168">
    <w:name w:val="样式"/>
    <w:link w:val="167"/>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character" w:customStyle="1" w:styleId="169">
    <w:name w:val="批注主题 字符"/>
    <w:link w:val="83"/>
    <w:qFormat/>
    <w:uiPriority w:val="0"/>
    <w:rPr>
      <w:rFonts w:eastAsia="仿宋_GB2312"/>
      <w:b/>
      <w:kern w:val="2"/>
      <w:sz w:val="30"/>
      <w:lang w:val="en-US" w:eastAsia="zh-CN"/>
    </w:rPr>
  </w:style>
  <w:style w:type="character" w:customStyle="1" w:styleId="170">
    <w:name w:val="标题 3 Char1"/>
    <w:qFormat/>
    <w:uiPriority w:val="0"/>
    <w:rPr>
      <w:rFonts w:eastAsia="宋体"/>
      <w:b/>
      <w:kern w:val="2"/>
      <w:sz w:val="28"/>
      <w:lang w:val="en-US" w:eastAsia="zh-CN" w:bidi="ar-SA"/>
    </w:rPr>
  </w:style>
  <w:style w:type="character" w:customStyle="1" w:styleId="171">
    <w:name w:val="正文文本 Char Char"/>
    <w:qFormat/>
    <w:uiPriority w:val="0"/>
    <w:rPr>
      <w:rFonts w:hAnsi="宋体" w:eastAsia="宋体"/>
      <w:kern w:val="2"/>
      <w:sz w:val="21"/>
      <w:szCs w:val="21"/>
      <w:lang w:val="en-US" w:eastAsia="zh-CN" w:bidi="ar-SA"/>
    </w:rPr>
  </w:style>
  <w:style w:type="character" w:customStyle="1" w:styleId="172">
    <w:name w:val="正文文本缩进 Char1"/>
    <w:semiHidden/>
    <w:qFormat/>
    <w:uiPriority w:val="99"/>
    <w:rPr>
      <w:rFonts w:ascii="Times New Roman" w:hAnsi="Times New Roman" w:eastAsia="宋体" w:cs="Times New Roman"/>
      <w:szCs w:val="20"/>
    </w:rPr>
  </w:style>
  <w:style w:type="character" w:customStyle="1" w:styleId="173">
    <w:name w:val="HTML 地址 字符"/>
    <w:link w:val="40"/>
    <w:qFormat/>
    <w:uiPriority w:val="0"/>
    <w:rPr>
      <w:i/>
      <w:iCs/>
      <w:kern w:val="2"/>
      <w:sz w:val="21"/>
      <w:szCs w:val="24"/>
    </w:rPr>
  </w:style>
  <w:style w:type="character" w:customStyle="1" w:styleId="174">
    <w:name w:val="正文格式 Char"/>
    <w:qFormat/>
    <w:locked/>
    <w:uiPriority w:val="0"/>
    <w:rPr>
      <w:rFonts w:ascii="宋体" w:hAnsi="宋体" w:eastAsia="宋体" w:cs="Times New Roman"/>
      <w:sz w:val="24"/>
      <w:szCs w:val="24"/>
    </w:rPr>
  </w:style>
  <w:style w:type="character" w:customStyle="1" w:styleId="175">
    <w:name w:val="信息标题 字符"/>
    <w:link w:val="77"/>
    <w:qFormat/>
    <w:uiPriority w:val="0"/>
    <w:rPr>
      <w:rFonts w:ascii="Arial" w:hAnsi="Arial" w:cs="Arial"/>
      <w:kern w:val="2"/>
      <w:sz w:val="24"/>
      <w:szCs w:val="24"/>
      <w:shd w:val="pct20" w:color="auto" w:fill="auto"/>
    </w:rPr>
  </w:style>
  <w:style w:type="character" w:customStyle="1" w:styleId="176">
    <w:name w:val="正文文本 2 Char1"/>
    <w:semiHidden/>
    <w:qFormat/>
    <w:uiPriority w:val="99"/>
    <w:rPr>
      <w:rFonts w:ascii="Times New Roman" w:hAnsi="Times New Roman" w:eastAsia="宋体" w:cs="Times New Roman"/>
      <w:szCs w:val="20"/>
    </w:rPr>
  </w:style>
  <w:style w:type="character" w:customStyle="1" w:styleId="177">
    <w:name w:val="样式3 Char Char"/>
    <w:link w:val="178"/>
    <w:qFormat/>
    <w:uiPriority w:val="0"/>
    <w:rPr>
      <w:rFonts w:ascii="EU-F1" w:eastAsia="黑体"/>
      <w:color w:val="000000"/>
      <w:sz w:val="21"/>
      <w:szCs w:val="21"/>
      <w:lang w:val="en-US" w:eastAsia="zh-CN" w:bidi="ar-SA"/>
    </w:rPr>
  </w:style>
  <w:style w:type="paragraph" w:customStyle="1" w:styleId="178">
    <w:name w:val="样式3"/>
    <w:basedOn w:val="179"/>
    <w:link w:val="177"/>
    <w:qFormat/>
    <w:uiPriority w:val="0"/>
    <w:pPr>
      <w:widowControl/>
      <w:tabs>
        <w:tab w:val="left" w:pos="2160"/>
      </w:tabs>
      <w:spacing w:line="312" w:lineRule="exact"/>
      <w:jc w:val="left"/>
    </w:pPr>
    <w:rPr>
      <w:rFonts w:ascii="EU-F1" w:eastAsia="黑体"/>
      <w:color w:val="000000"/>
      <w:sz w:val="21"/>
      <w:szCs w:val="21"/>
    </w:rPr>
  </w:style>
  <w:style w:type="paragraph" w:customStyle="1" w:styleId="179">
    <w:name w:val="样式1"/>
    <w:basedOn w:val="1"/>
    <w:link w:val="278"/>
    <w:qFormat/>
    <w:uiPriority w:val="0"/>
    <w:pPr>
      <w:adjustRightInd w:val="0"/>
      <w:spacing w:line="420" w:lineRule="auto"/>
      <w:jc w:val="center"/>
      <w:textAlignment w:val="baseline"/>
    </w:pPr>
    <w:rPr>
      <w:rFonts w:ascii="宋体"/>
      <w:kern w:val="0"/>
      <w:sz w:val="24"/>
    </w:rPr>
  </w:style>
  <w:style w:type="character" w:customStyle="1" w:styleId="180">
    <w:name w:val="Char Char1"/>
    <w:qFormat/>
    <w:uiPriority w:val="0"/>
    <w:rPr>
      <w:rFonts w:ascii="宋体"/>
      <w:b/>
      <w:kern w:val="2"/>
      <w:sz w:val="30"/>
    </w:rPr>
  </w:style>
  <w:style w:type="character" w:customStyle="1" w:styleId="181">
    <w:name w:val="2b Char"/>
    <w:qFormat/>
    <w:uiPriority w:val="0"/>
    <w:rPr>
      <w:rFonts w:ascii="EU-F1" w:eastAsia="黑体"/>
      <w:color w:val="000000"/>
      <w:kern w:val="21"/>
      <w:sz w:val="21"/>
      <w:szCs w:val="21"/>
      <w:lang w:val="en-US" w:eastAsia="zh-CN" w:bidi="ar-SA"/>
    </w:rPr>
  </w:style>
  <w:style w:type="character" w:customStyle="1" w:styleId="182">
    <w:name w:val="xiadan"/>
    <w:qFormat/>
    <w:uiPriority w:val="0"/>
    <w:rPr>
      <w:shd w:val="clear" w:color="auto" w:fill="E4393C"/>
    </w:rPr>
  </w:style>
  <w:style w:type="character" w:customStyle="1" w:styleId="183">
    <w:name w:val="样式 Arial"/>
    <w:qFormat/>
    <w:uiPriority w:val="0"/>
    <w:rPr>
      <w:rFonts w:hint="default" w:ascii="Times New Roman" w:hAnsi="Times New Roman" w:eastAsia="宋体" w:cs="Times New Roman"/>
      <w:sz w:val="21"/>
      <w:szCs w:val="21"/>
    </w:rPr>
  </w:style>
  <w:style w:type="character" w:customStyle="1" w:styleId="184">
    <w:name w:val="表头 Char Char"/>
    <w:link w:val="185"/>
    <w:qFormat/>
    <w:uiPriority w:val="0"/>
    <w:rPr>
      <w:rFonts w:ascii="昆仑仿宋" w:eastAsia="昆仑仿宋"/>
      <w:sz w:val="24"/>
      <w:lang w:val="en-US" w:eastAsia="zh-CN" w:bidi="ar-SA"/>
    </w:rPr>
  </w:style>
  <w:style w:type="paragraph" w:customStyle="1" w:styleId="185">
    <w:name w:val="表头"/>
    <w:basedOn w:val="1"/>
    <w:link w:val="184"/>
    <w:qFormat/>
    <w:uiPriority w:val="0"/>
    <w:pPr>
      <w:adjustRightInd w:val="0"/>
      <w:spacing w:before="80" w:after="80"/>
      <w:jc w:val="center"/>
      <w:textAlignment w:val="baseline"/>
    </w:pPr>
    <w:rPr>
      <w:rFonts w:ascii="昆仑仿宋" w:eastAsia="昆仑仿宋"/>
      <w:kern w:val="0"/>
      <w:sz w:val="24"/>
    </w:rPr>
  </w:style>
  <w:style w:type="character" w:customStyle="1" w:styleId="186">
    <w:name w:val="Plain Text Char1"/>
    <w:semiHidden/>
    <w:qFormat/>
    <w:locked/>
    <w:uiPriority w:val="99"/>
    <w:rPr>
      <w:rFonts w:ascii="宋体" w:hAnsi="Courier New" w:cs="Courier New"/>
      <w:sz w:val="21"/>
      <w:szCs w:val="21"/>
    </w:rPr>
  </w:style>
  <w:style w:type="character" w:customStyle="1" w:styleId="187">
    <w:name w:val="aboutus1"/>
    <w:qFormat/>
    <w:uiPriority w:val="0"/>
    <w:rPr>
      <w:rFonts w:hint="default" w:ascii="ˎ̥" w:hAnsi="ˎ̥"/>
      <w:color w:val="000000"/>
      <w:sz w:val="18"/>
      <w:u w:val="none"/>
    </w:rPr>
  </w:style>
  <w:style w:type="character" w:customStyle="1" w:styleId="188">
    <w:name w:val="正文文本 2 字符"/>
    <w:link w:val="74"/>
    <w:qFormat/>
    <w:uiPriority w:val="0"/>
    <w:rPr>
      <w:kern w:val="2"/>
      <w:sz w:val="21"/>
    </w:rPr>
  </w:style>
  <w:style w:type="character" w:customStyle="1" w:styleId="189">
    <w:name w:val="标题 1 Char Char Char"/>
    <w:qFormat/>
    <w:uiPriority w:val="0"/>
    <w:rPr>
      <w:rFonts w:ascii="汉仪大宋简" w:eastAsia="汉仪大宋简"/>
      <w:kern w:val="28"/>
      <w:sz w:val="22"/>
      <w:szCs w:val="26"/>
      <w:lang w:val="en-US" w:eastAsia="zh-CN" w:bidi="ar-SA"/>
    </w:rPr>
  </w:style>
  <w:style w:type="character" w:customStyle="1" w:styleId="190">
    <w:name w:val="Char Char8"/>
    <w:qFormat/>
    <w:uiPriority w:val="0"/>
    <w:rPr>
      <w:rFonts w:ascii="汉仪大宋简" w:eastAsia="汉仪大宋简"/>
      <w:kern w:val="28"/>
      <w:sz w:val="22"/>
      <w:szCs w:val="26"/>
      <w:lang w:val="en-US" w:eastAsia="zh-CN" w:bidi="ar-SA"/>
    </w:rPr>
  </w:style>
  <w:style w:type="character" w:customStyle="1" w:styleId="191">
    <w:name w:val="纯文本 字符"/>
    <w:link w:val="44"/>
    <w:qFormat/>
    <w:uiPriority w:val="0"/>
    <w:rPr>
      <w:rFonts w:ascii="宋体" w:hAnsi="Courier New"/>
      <w:kern w:val="2"/>
      <w:sz w:val="21"/>
    </w:rPr>
  </w:style>
  <w:style w:type="character" w:customStyle="1" w:styleId="192">
    <w:name w:val="样式6 Char"/>
    <w:qFormat/>
    <w:uiPriority w:val="0"/>
    <w:rPr>
      <w:rFonts w:eastAsia="黑体"/>
      <w:kern w:val="2"/>
      <w:sz w:val="21"/>
      <w:szCs w:val="21"/>
    </w:rPr>
  </w:style>
  <w:style w:type="character" w:customStyle="1" w:styleId="193">
    <w:name w:val="注释标题 字符"/>
    <w:link w:val="14"/>
    <w:qFormat/>
    <w:uiPriority w:val="0"/>
    <w:rPr>
      <w:kern w:val="2"/>
      <w:sz w:val="21"/>
      <w:szCs w:val="24"/>
    </w:rPr>
  </w:style>
  <w:style w:type="character" w:customStyle="1" w:styleId="194">
    <w:name w:val="hover"/>
    <w:qFormat/>
    <w:uiPriority w:val="0"/>
    <w:rPr>
      <w:color w:val="2590EB"/>
    </w:rPr>
  </w:style>
  <w:style w:type="character" w:customStyle="1" w:styleId="195">
    <w:name w:val="页眉 Char1"/>
    <w:qFormat/>
    <w:uiPriority w:val="0"/>
    <w:rPr>
      <w:kern w:val="2"/>
      <w:sz w:val="18"/>
      <w:szCs w:val="18"/>
    </w:rPr>
  </w:style>
  <w:style w:type="character" w:customStyle="1" w:styleId="196">
    <w:name w:val="批注框文本 Char1"/>
    <w:qFormat/>
    <w:uiPriority w:val="0"/>
    <w:rPr>
      <w:kern w:val="2"/>
      <w:sz w:val="18"/>
      <w:szCs w:val="18"/>
    </w:rPr>
  </w:style>
  <w:style w:type="character" w:customStyle="1" w:styleId="197">
    <w:name w:val="正文文本缩进 字符"/>
    <w:link w:val="33"/>
    <w:qFormat/>
    <w:uiPriority w:val="0"/>
    <w:rPr>
      <w:rFonts w:ascii="宋体" w:hAnsi="宋体"/>
      <w:kern w:val="2"/>
      <w:sz w:val="24"/>
    </w:rPr>
  </w:style>
  <w:style w:type="character" w:customStyle="1" w:styleId="198">
    <w:name w:val="结束语 字符"/>
    <w:link w:val="30"/>
    <w:qFormat/>
    <w:uiPriority w:val="0"/>
    <w:rPr>
      <w:kern w:val="2"/>
      <w:sz w:val="21"/>
      <w:szCs w:val="24"/>
    </w:rPr>
  </w:style>
  <w:style w:type="character" w:customStyle="1" w:styleId="199">
    <w:name w:val="签名 字符"/>
    <w:link w:val="56"/>
    <w:qFormat/>
    <w:uiPriority w:val="0"/>
    <w:rPr>
      <w:kern w:val="2"/>
      <w:sz w:val="21"/>
      <w:szCs w:val="24"/>
    </w:rPr>
  </w:style>
  <w:style w:type="character" w:customStyle="1" w:styleId="200">
    <w:name w:val="Char Char4"/>
    <w:qFormat/>
    <w:uiPriority w:val="0"/>
    <w:rPr>
      <w:rFonts w:eastAsia="宋体"/>
      <w:kern w:val="2"/>
      <w:sz w:val="18"/>
      <w:lang w:val="en-US" w:eastAsia="zh-CN" w:bidi="ar-SA"/>
    </w:rPr>
  </w:style>
  <w:style w:type="character" w:customStyle="1" w:styleId="201">
    <w:name w:val="批注框文本 Char2"/>
    <w:semiHidden/>
    <w:qFormat/>
    <w:uiPriority w:val="99"/>
    <w:rPr>
      <w:rFonts w:ascii="Times New Roman" w:hAnsi="Times New Roman" w:eastAsia="宋体" w:cs="Times New Roman"/>
      <w:sz w:val="18"/>
      <w:szCs w:val="18"/>
    </w:rPr>
  </w:style>
  <w:style w:type="character" w:customStyle="1" w:styleId="202">
    <w:name w:val="脚注文本 字符"/>
    <w:link w:val="65"/>
    <w:qFormat/>
    <w:uiPriority w:val="0"/>
    <w:rPr>
      <w:kern w:val="2"/>
      <w:sz w:val="18"/>
    </w:rPr>
  </w:style>
  <w:style w:type="character" w:customStyle="1" w:styleId="203">
    <w:name w:val="Char Char16"/>
    <w:qFormat/>
    <w:uiPriority w:val="0"/>
    <w:rPr>
      <w:rFonts w:ascii="Arial" w:hAnsi="Arial" w:eastAsia="黑体"/>
      <w:b/>
      <w:bCs/>
      <w:kern w:val="2"/>
      <w:sz w:val="32"/>
      <w:szCs w:val="32"/>
      <w:lang w:val="en-US" w:eastAsia="zh-CN" w:bidi="ar-SA"/>
    </w:rPr>
  </w:style>
  <w:style w:type="character" w:customStyle="1" w:styleId="204">
    <w:name w:val="标题 1 Char1"/>
    <w:qFormat/>
    <w:uiPriority w:val="0"/>
    <w:rPr>
      <w:rFonts w:ascii="汉仪大宋简" w:eastAsia="汉仪大宋简"/>
      <w:kern w:val="28"/>
      <w:sz w:val="22"/>
      <w:lang w:val="en-US" w:eastAsia="zh-CN" w:bidi="ar-SA"/>
    </w:rPr>
  </w:style>
  <w:style w:type="character" w:customStyle="1" w:styleId="205">
    <w:name w:val="日期 Char1"/>
    <w:semiHidden/>
    <w:qFormat/>
    <w:uiPriority w:val="99"/>
    <w:rPr>
      <w:rFonts w:ascii="Times New Roman" w:hAnsi="Times New Roman" w:eastAsia="宋体" w:cs="Times New Roman"/>
      <w:szCs w:val="20"/>
    </w:rPr>
  </w:style>
  <w:style w:type="character" w:customStyle="1" w:styleId="206">
    <w:name w:val="样式3 Char"/>
    <w:qFormat/>
    <w:uiPriority w:val="0"/>
    <w:rPr>
      <w:rFonts w:eastAsia="黑体"/>
      <w:kern w:val="21"/>
      <w:sz w:val="21"/>
      <w:szCs w:val="21"/>
    </w:rPr>
  </w:style>
  <w:style w:type="character" w:customStyle="1" w:styleId="207">
    <w:name w:val="标题 1 Char Char"/>
    <w:qFormat/>
    <w:uiPriority w:val="0"/>
    <w:rPr>
      <w:rFonts w:eastAsia="黑体"/>
      <w:kern w:val="44"/>
      <w:sz w:val="28"/>
      <w:szCs w:val="28"/>
      <w:lang w:val="en-US" w:eastAsia="zh-CN" w:bidi="ar-SA"/>
    </w:rPr>
  </w:style>
  <w:style w:type="character" w:customStyle="1" w:styleId="208">
    <w:name w:val="章标题 1 Char"/>
    <w:qFormat/>
    <w:uiPriority w:val="0"/>
    <w:rPr>
      <w:rFonts w:eastAsia="汉仪大宋简"/>
      <w:kern w:val="44"/>
      <w:sz w:val="22"/>
      <w:szCs w:val="22"/>
      <w:lang w:val="en-US" w:eastAsia="zh-CN" w:bidi="ar-SA"/>
    </w:rPr>
  </w:style>
  <w:style w:type="character" w:customStyle="1" w:styleId="209">
    <w:name w:val="样式2 Char"/>
    <w:qFormat/>
    <w:uiPriority w:val="0"/>
    <w:rPr>
      <w:rFonts w:eastAsia="黑体"/>
      <w:kern w:val="21"/>
      <w:sz w:val="21"/>
      <w:szCs w:val="21"/>
      <w:lang w:val="en-US" w:eastAsia="zh-CN"/>
    </w:rPr>
  </w:style>
  <w:style w:type="character" w:customStyle="1" w:styleId="210">
    <w:name w:val="批注文字 字符"/>
    <w:link w:val="26"/>
    <w:qFormat/>
    <w:uiPriority w:val="0"/>
    <w:rPr>
      <w:rFonts w:eastAsia="宋体"/>
      <w:sz w:val="24"/>
      <w:lang w:val="en-US" w:eastAsia="zh-CN"/>
    </w:rPr>
  </w:style>
  <w:style w:type="character" w:customStyle="1" w:styleId="211">
    <w:name w:val="正文文本首行缩进 2 字符"/>
    <w:link w:val="85"/>
    <w:qFormat/>
    <w:uiPriority w:val="0"/>
    <w:rPr>
      <w:kern w:val="2"/>
      <w:sz w:val="21"/>
      <w:szCs w:val="24"/>
    </w:rPr>
  </w:style>
  <w:style w:type="character" w:customStyle="1" w:styleId="212">
    <w:name w:val="尾注文本 字符"/>
    <w:link w:val="51"/>
    <w:qFormat/>
    <w:uiPriority w:val="0"/>
    <w:rPr>
      <w:sz w:val="24"/>
    </w:rPr>
  </w:style>
  <w:style w:type="character" w:customStyle="1" w:styleId="213">
    <w:name w:val="正文28磅 Char Char"/>
    <w:link w:val="214"/>
    <w:qFormat/>
    <w:uiPriority w:val="0"/>
    <w:rPr>
      <w:rFonts w:ascii="宋体" w:hAnsi="宋体"/>
      <w:color w:val="FF0000"/>
      <w:kern w:val="2"/>
      <w:sz w:val="24"/>
      <w:szCs w:val="24"/>
      <w:u w:color="000000"/>
      <w:lang w:val="en-GB" w:eastAsia="zh-CN" w:bidi="ar-SA"/>
    </w:rPr>
  </w:style>
  <w:style w:type="paragraph" w:customStyle="1" w:styleId="214">
    <w:name w:val="正文28磅"/>
    <w:link w:val="213"/>
    <w:qFormat/>
    <w:uiPriority w:val="0"/>
    <w:pPr>
      <w:spacing w:line="560" w:lineRule="exact"/>
      <w:ind w:firstLine="480" w:firstLineChars="200"/>
    </w:pPr>
    <w:rPr>
      <w:rFonts w:ascii="宋体" w:hAnsi="宋体" w:eastAsia="宋体" w:cs="Times New Roman"/>
      <w:color w:val="FF0000"/>
      <w:kern w:val="2"/>
      <w:sz w:val="24"/>
      <w:szCs w:val="24"/>
      <w:u w:color="000000"/>
      <w:lang w:val="en-GB" w:eastAsia="zh-CN" w:bidi="ar-SA"/>
    </w:rPr>
  </w:style>
  <w:style w:type="character" w:customStyle="1" w:styleId="215">
    <w:name w:val="apple-converted-space"/>
    <w:qFormat/>
    <w:uiPriority w:val="0"/>
  </w:style>
  <w:style w:type="character" w:customStyle="1" w:styleId="216">
    <w:name w:val="jl 三级 Char Char"/>
    <w:link w:val="217"/>
    <w:semiHidden/>
    <w:qFormat/>
    <w:uiPriority w:val="0"/>
    <w:rPr>
      <w:rFonts w:ascii="宋体" w:hAnsi="宋体"/>
      <w:b/>
      <w:color w:val="000000"/>
      <w:kern w:val="2"/>
      <w:sz w:val="24"/>
      <w:szCs w:val="24"/>
    </w:rPr>
  </w:style>
  <w:style w:type="paragraph" w:customStyle="1" w:styleId="217">
    <w:name w:val="jl 三级 Char"/>
    <w:basedOn w:val="1"/>
    <w:link w:val="216"/>
    <w:semiHidden/>
    <w:qFormat/>
    <w:uiPriority w:val="0"/>
    <w:pPr>
      <w:topLinePunct/>
      <w:autoSpaceDE w:val="0"/>
      <w:autoSpaceDN w:val="0"/>
      <w:adjustRightInd w:val="0"/>
      <w:spacing w:beforeLines="50" w:afterLines="50"/>
      <w:ind w:firstLine="480" w:firstLineChars="200"/>
      <w:jc w:val="left"/>
      <w:textAlignment w:val="baseline"/>
      <w:outlineLvl w:val="2"/>
    </w:pPr>
    <w:rPr>
      <w:rFonts w:ascii="宋体" w:hAnsi="宋体"/>
      <w:b/>
      <w:color w:val="000000"/>
      <w:sz w:val="24"/>
      <w:szCs w:val="24"/>
    </w:rPr>
  </w:style>
  <w:style w:type="character" w:customStyle="1" w:styleId="218">
    <w:name w:val="我的正文 Char"/>
    <w:qFormat/>
    <w:uiPriority w:val="0"/>
    <w:rPr>
      <w:rFonts w:ascii="宋体" w:hAnsi="宋体" w:cs="宋体"/>
      <w:color w:val="000000"/>
      <w:sz w:val="24"/>
      <w:szCs w:val="22"/>
      <w:lang w:val="en-US" w:eastAsia="zh-CN" w:bidi="ar-SA"/>
    </w:rPr>
  </w:style>
  <w:style w:type="character" w:customStyle="1" w:styleId="219">
    <w:name w:val="icon_ds1"/>
    <w:qFormat/>
    <w:uiPriority w:val="0"/>
    <w:rPr>
      <w:sz w:val="21"/>
      <w:szCs w:val="21"/>
    </w:rPr>
  </w:style>
  <w:style w:type="character" w:customStyle="1" w:styleId="220">
    <w:name w:val="正文文本首行缩进 字符"/>
    <w:link w:val="84"/>
    <w:qFormat/>
    <w:uiPriority w:val="0"/>
    <w:rPr>
      <w:rFonts w:ascii="Arial" w:hAnsi="Arial" w:eastAsia="仿宋_GB2312"/>
      <w:sz w:val="28"/>
    </w:rPr>
  </w:style>
  <w:style w:type="character" w:customStyle="1" w:styleId="221">
    <w:name w:val="特点标题 Char Char1"/>
    <w:qFormat/>
    <w:uiPriority w:val="0"/>
    <w:rPr>
      <w:rFonts w:ascii="宋体" w:hAnsi="宋体" w:eastAsia="宋体"/>
      <w:kern w:val="2"/>
      <w:sz w:val="24"/>
      <w:lang w:val="en-US" w:eastAsia="zh-CN" w:bidi="ar-SA"/>
    </w:rPr>
  </w:style>
  <w:style w:type="character" w:customStyle="1" w:styleId="222">
    <w:name w:val="icon_ds"/>
    <w:qFormat/>
    <w:uiPriority w:val="0"/>
  </w:style>
  <w:style w:type="character" w:customStyle="1" w:styleId="223">
    <w:name w:val="z Char Char"/>
    <w:link w:val="224"/>
    <w:qFormat/>
    <w:uiPriority w:val="0"/>
    <w:rPr>
      <w:rFonts w:ascii="EU-F1" w:eastAsia="EU-F1"/>
      <w:bCs/>
      <w:szCs w:val="24"/>
      <w:lang w:bidi="ar-SA"/>
    </w:rPr>
  </w:style>
  <w:style w:type="paragraph" w:customStyle="1" w:styleId="224">
    <w:name w:val="z"/>
    <w:basedOn w:val="1"/>
    <w:link w:val="223"/>
    <w:qFormat/>
    <w:uiPriority w:val="0"/>
    <w:pPr>
      <w:overflowPunct w:val="0"/>
      <w:adjustRightInd w:val="0"/>
      <w:spacing w:line="312" w:lineRule="exact"/>
      <w:jc w:val="left"/>
      <w:textAlignment w:val="baseline"/>
    </w:pPr>
    <w:rPr>
      <w:rFonts w:ascii="EU-F1" w:eastAsia="EU-F1"/>
      <w:bCs/>
      <w:kern w:val="0"/>
      <w:sz w:val="20"/>
      <w:szCs w:val="24"/>
    </w:rPr>
  </w:style>
  <w:style w:type="character" w:customStyle="1" w:styleId="225">
    <w:name w:val="副标题 字符"/>
    <w:link w:val="62"/>
    <w:qFormat/>
    <w:uiPriority w:val="0"/>
    <w:rPr>
      <w:rFonts w:ascii="Arial" w:hAnsi="Arial" w:cs="Arial"/>
      <w:b/>
      <w:bCs/>
      <w:kern w:val="28"/>
      <w:sz w:val="32"/>
      <w:szCs w:val="32"/>
    </w:rPr>
  </w:style>
  <w:style w:type="character" w:customStyle="1" w:styleId="226">
    <w:name w:val="报告标题3 Char"/>
    <w:link w:val="227"/>
    <w:qFormat/>
    <w:uiPriority w:val="0"/>
    <w:rPr>
      <w:bCs/>
      <w:kern w:val="2"/>
      <w:sz w:val="21"/>
      <w:szCs w:val="21"/>
    </w:rPr>
  </w:style>
  <w:style w:type="paragraph" w:customStyle="1" w:styleId="227">
    <w:name w:val="报告标题3"/>
    <w:basedOn w:val="4"/>
    <w:next w:val="44"/>
    <w:link w:val="226"/>
    <w:qFormat/>
    <w:uiPriority w:val="0"/>
    <w:pPr>
      <w:topLinePunct/>
      <w:autoSpaceDE w:val="0"/>
      <w:autoSpaceDN w:val="0"/>
      <w:spacing w:before="0" w:after="0" w:line="312" w:lineRule="exact"/>
      <w:ind w:firstLine="420"/>
    </w:pPr>
    <w:rPr>
      <w:b w:val="0"/>
      <w:bCs/>
      <w:sz w:val="21"/>
      <w:szCs w:val="21"/>
    </w:rPr>
  </w:style>
  <w:style w:type="character" w:customStyle="1" w:styleId="228">
    <w:name w:val="first-child"/>
    <w:qFormat/>
    <w:uiPriority w:val="0"/>
    <w:rPr>
      <w:color w:val="1F3149"/>
      <w:sz w:val="24"/>
      <w:szCs w:val="24"/>
    </w:rPr>
  </w:style>
  <w:style w:type="character" w:customStyle="1" w:styleId="229">
    <w:name w:val="正文格式 Char Char"/>
    <w:link w:val="230"/>
    <w:qFormat/>
    <w:uiPriority w:val="0"/>
    <w:rPr>
      <w:rFonts w:ascii="宋体" w:hAnsi="宋体" w:eastAsia="宋体"/>
      <w:bCs/>
      <w:kern w:val="2"/>
      <w:sz w:val="21"/>
      <w:szCs w:val="21"/>
      <w:lang w:val="en-US" w:eastAsia="zh-CN" w:bidi="ar-SA"/>
    </w:rPr>
  </w:style>
  <w:style w:type="paragraph" w:customStyle="1" w:styleId="230">
    <w:name w:val="正文格式"/>
    <w:basedOn w:val="1"/>
    <w:link w:val="229"/>
    <w:qFormat/>
    <w:uiPriority w:val="0"/>
    <w:pPr>
      <w:topLinePunct/>
      <w:ind w:firstLine="420" w:firstLineChars="200"/>
    </w:pPr>
    <w:rPr>
      <w:rFonts w:ascii="宋体" w:hAnsi="宋体"/>
      <w:bCs/>
      <w:szCs w:val="21"/>
    </w:rPr>
  </w:style>
  <w:style w:type="character" w:customStyle="1" w:styleId="231">
    <w:name w:val="报告标题2 Char"/>
    <w:link w:val="232"/>
    <w:qFormat/>
    <w:uiPriority w:val="0"/>
    <w:rPr>
      <w:rFonts w:cs="Arial"/>
      <w:b/>
      <w:kern w:val="2"/>
      <w:sz w:val="21"/>
      <w:szCs w:val="24"/>
    </w:rPr>
  </w:style>
  <w:style w:type="paragraph" w:customStyle="1" w:styleId="232">
    <w:name w:val="报告标题2"/>
    <w:basedOn w:val="233"/>
    <w:next w:val="44"/>
    <w:link w:val="231"/>
    <w:qFormat/>
    <w:uiPriority w:val="0"/>
    <w:pPr>
      <w:adjustRightInd w:val="0"/>
      <w:snapToGrid w:val="0"/>
      <w:spacing w:beforeLines="0" w:line="240" w:lineRule="auto"/>
    </w:pPr>
    <w:rPr>
      <w:rFonts w:cs="Times New Roman"/>
      <w:bCs w:val="0"/>
      <w:szCs w:val="24"/>
    </w:rPr>
  </w:style>
  <w:style w:type="paragraph" w:customStyle="1" w:styleId="233">
    <w:name w:val="报告标题2 +"/>
    <w:basedOn w:val="3"/>
    <w:qFormat/>
    <w:uiPriority w:val="0"/>
    <w:pPr>
      <w:topLinePunct/>
      <w:spacing w:beforeLines="25" w:after="0" w:line="300" w:lineRule="auto"/>
      <w:ind w:firstLine="420"/>
    </w:pPr>
    <w:rPr>
      <w:rFonts w:ascii="Times New Roman" w:hAnsi="Times New Roman" w:eastAsia="宋体" w:cs="Arial"/>
      <w:sz w:val="21"/>
      <w:szCs w:val="21"/>
    </w:rPr>
  </w:style>
  <w:style w:type="character" w:customStyle="1" w:styleId="234">
    <w:name w:val="Char Char2"/>
    <w:qFormat/>
    <w:uiPriority w:val="0"/>
    <w:rPr>
      <w:rFonts w:ascii="宋体" w:hAnsi="宋体"/>
      <w:sz w:val="24"/>
    </w:rPr>
  </w:style>
  <w:style w:type="character" w:customStyle="1" w:styleId="235">
    <w:name w:val="标题 3 字符"/>
    <w:link w:val="4"/>
    <w:qFormat/>
    <w:uiPriority w:val="0"/>
    <w:rPr>
      <w:rFonts w:eastAsia="宋体"/>
      <w:b/>
      <w:kern w:val="2"/>
      <w:sz w:val="32"/>
      <w:lang w:val="en-US" w:eastAsia="zh-CN"/>
    </w:rPr>
  </w:style>
  <w:style w:type="character" w:customStyle="1" w:styleId="236">
    <w:name w:val="标题 8 字符"/>
    <w:link w:val="9"/>
    <w:qFormat/>
    <w:uiPriority w:val="0"/>
    <w:rPr>
      <w:rFonts w:ascii="Arial" w:hAnsi="Arial" w:eastAsia="黑体"/>
      <w:kern w:val="2"/>
      <w:sz w:val="24"/>
      <w:lang w:val="en-US" w:eastAsia="zh-CN" w:bidi="ar-SA"/>
    </w:rPr>
  </w:style>
  <w:style w:type="character" w:customStyle="1" w:styleId="237">
    <w:name w:val="2b Char Char"/>
    <w:link w:val="238"/>
    <w:qFormat/>
    <w:uiPriority w:val="0"/>
    <w:rPr>
      <w:rFonts w:ascii="EU-F1" w:eastAsia="黑体"/>
      <w:color w:val="000000"/>
      <w:kern w:val="21"/>
      <w:sz w:val="21"/>
      <w:szCs w:val="21"/>
      <w:lang w:val="en-US" w:eastAsia="zh-CN" w:bidi="ar-SA"/>
    </w:rPr>
  </w:style>
  <w:style w:type="paragraph" w:customStyle="1" w:styleId="238">
    <w:name w:val="2b"/>
    <w:basedOn w:val="239"/>
    <w:link w:val="237"/>
    <w:qFormat/>
    <w:uiPriority w:val="0"/>
    <w:pPr>
      <w:widowControl/>
      <w:topLinePunct/>
      <w:adjustRightInd/>
      <w:spacing w:line="312" w:lineRule="exact"/>
    </w:pPr>
    <w:rPr>
      <w:rFonts w:ascii="EU-F1" w:eastAsia="黑体"/>
      <w:color w:val="000000"/>
      <w:kern w:val="21"/>
      <w:sz w:val="21"/>
      <w:szCs w:val="21"/>
    </w:rPr>
  </w:style>
  <w:style w:type="paragraph" w:customStyle="1" w:styleId="239">
    <w:name w:val="样式2"/>
    <w:basedOn w:val="1"/>
    <w:link w:val="241"/>
    <w:qFormat/>
    <w:uiPriority w:val="0"/>
    <w:pPr>
      <w:adjustRightInd w:val="0"/>
      <w:spacing w:line="410" w:lineRule="atLeast"/>
      <w:jc w:val="left"/>
    </w:pPr>
    <w:rPr>
      <w:kern w:val="0"/>
      <w:sz w:val="24"/>
    </w:rPr>
  </w:style>
  <w:style w:type="character" w:customStyle="1" w:styleId="240">
    <w:name w:val="nth-child(2)"/>
    <w:basedOn w:val="131"/>
    <w:qFormat/>
    <w:uiPriority w:val="0"/>
  </w:style>
  <w:style w:type="character" w:customStyle="1" w:styleId="241">
    <w:name w:val="样式2 Char Char"/>
    <w:link w:val="239"/>
    <w:qFormat/>
    <w:uiPriority w:val="0"/>
    <w:rPr>
      <w:rFonts w:eastAsia="宋体"/>
      <w:sz w:val="24"/>
      <w:lang w:val="en-US" w:eastAsia="zh-CN" w:bidi="ar-SA"/>
    </w:rPr>
  </w:style>
  <w:style w:type="character" w:customStyle="1" w:styleId="242">
    <w:name w:val="hover4"/>
    <w:qFormat/>
    <w:uiPriority w:val="0"/>
    <w:rPr>
      <w:color w:val="2590EB"/>
      <w:shd w:val="clear" w:color="auto" w:fill="E9F4FD"/>
    </w:rPr>
  </w:style>
  <w:style w:type="character" w:customStyle="1" w:styleId="243">
    <w:name w:val="hover1"/>
    <w:qFormat/>
    <w:uiPriority w:val="0"/>
    <w:rPr>
      <w:color w:val="2590EB"/>
    </w:rPr>
  </w:style>
  <w:style w:type="character" w:customStyle="1" w:styleId="244">
    <w:name w:val="first-child1"/>
    <w:qFormat/>
    <w:uiPriority w:val="0"/>
    <w:rPr>
      <w:color w:val="1F3149"/>
      <w:sz w:val="24"/>
      <w:szCs w:val="24"/>
    </w:rPr>
  </w:style>
  <w:style w:type="character" w:customStyle="1" w:styleId="245">
    <w:name w:val="样式1 Char"/>
    <w:qFormat/>
    <w:uiPriority w:val="0"/>
    <w:rPr>
      <w:kern w:val="2"/>
      <w:sz w:val="24"/>
    </w:rPr>
  </w:style>
  <w:style w:type="character" w:customStyle="1" w:styleId="246">
    <w:name w:val="标题 2 Char Char"/>
    <w:qFormat/>
    <w:uiPriority w:val="0"/>
    <w:rPr>
      <w:rFonts w:eastAsia="黑体"/>
      <w:sz w:val="21"/>
      <w:szCs w:val="21"/>
      <w:lang w:val="en-US" w:eastAsia="zh-CN" w:bidi="ar-SA"/>
    </w:rPr>
  </w:style>
  <w:style w:type="character" w:customStyle="1" w:styleId="247">
    <w:name w:val="电子邮件签名 字符"/>
    <w:link w:val="17"/>
    <w:qFormat/>
    <w:uiPriority w:val="0"/>
    <w:rPr>
      <w:kern w:val="2"/>
      <w:sz w:val="21"/>
      <w:szCs w:val="24"/>
    </w:rPr>
  </w:style>
  <w:style w:type="character" w:customStyle="1" w:styleId="248">
    <w:name w:val="日期 字符"/>
    <w:link w:val="49"/>
    <w:qFormat/>
    <w:uiPriority w:val="0"/>
    <w:rPr>
      <w:rFonts w:ascii="Arial" w:hAnsi="Arial" w:eastAsia="宋体"/>
      <w:kern w:val="2"/>
      <w:sz w:val="24"/>
      <w:lang w:val="en-US" w:eastAsia="zh-CN" w:bidi="ar-SA"/>
    </w:rPr>
  </w:style>
  <w:style w:type="character" w:customStyle="1" w:styleId="249">
    <w:name w:val="文档结构图 字符"/>
    <w:link w:val="24"/>
    <w:qFormat/>
    <w:uiPriority w:val="0"/>
    <w:rPr>
      <w:kern w:val="2"/>
      <w:sz w:val="28"/>
      <w:shd w:val="clear" w:color="auto" w:fill="000080"/>
    </w:rPr>
  </w:style>
  <w:style w:type="character" w:customStyle="1" w:styleId="250">
    <w:name w:val="Char Char11"/>
    <w:qFormat/>
    <w:uiPriority w:val="0"/>
    <w:rPr>
      <w:rFonts w:ascii="宋体"/>
      <w:b/>
      <w:kern w:val="2"/>
      <w:sz w:val="30"/>
    </w:rPr>
  </w:style>
  <w:style w:type="character" w:customStyle="1" w:styleId="251">
    <w:name w:val="报告标题 Char"/>
    <w:link w:val="252"/>
    <w:qFormat/>
    <w:uiPriority w:val="0"/>
    <w:rPr>
      <w:rFonts w:ascii="宋体" w:hAnsi="宋体"/>
      <w:b/>
      <w:bCs/>
      <w:sz w:val="24"/>
      <w:szCs w:val="24"/>
    </w:rPr>
  </w:style>
  <w:style w:type="paragraph" w:customStyle="1" w:styleId="252">
    <w:name w:val="报告标题"/>
    <w:basedOn w:val="164"/>
    <w:link w:val="251"/>
    <w:qFormat/>
    <w:uiPriority w:val="0"/>
    <w:pPr>
      <w:spacing w:before="100" w:beforeAutospacing="1" w:after="100" w:afterAutospacing="1"/>
      <w:jc w:val="center"/>
    </w:pPr>
    <w:rPr>
      <w:rFonts w:ascii="宋体" w:hAnsi="宋体"/>
      <w:kern w:val="0"/>
    </w:rPr>
  </w:style>
  <w:style w:type="character" w:customStyle="1" w:styleId="253">
    <w:name w:val="批注文字 Char1"/>
    <w:qFormat/>
    <w:uiPriority w:val="0"/>
    <w:rPr>
      <w:kern w:val="2"/>
      <w:sz w:val="21"/>
    </w:rPr>
  </w:style>
  <w:style w:type="character" w:customStyle="1" w:styleId="254">
    <w:name w:val="批注主题 Char2"/>
    <w:semiHidden/>
    <w:qFormat/>
    <w:uiPriority w:val="99"/>
    <w:rPr>
      <w:rFonts w:ascii="Times New Roman" w:hAnsi="Times New Roman" w:eastAsia="宋体" w:cs="Times New Roman"/>
      <w:b/>
      <w:bCs/>
      <w:szCs w:val="20"/>
    </w:rPr>
  </w:style>
  <w:style w:type="character" w:customStyle="1" w:styleId="255">
    <w:name w:val="1.1.1.1 Char"/>
    <w:link w:val="256"/>
    <w:qFormat/>
    <w:uiPriority w:val="0"/>
    <w:rPr>
      <w:rFonts w:ascii="Arial" w:hAnsi="Arial"/>
      <w:sz w:val="21"/>
    </w:rPr>
  </w:style>
  <w:style w:type="paragraph" w:customStyle="1" w:styleId="256">
    <w:name w:val="1.1.1.1"/>
    <w:basedOn w:val="1"/>
    <w:link w:val="255"/>
    <w:qFormat/>
    <w:uiPriority w:val="0"/>
    <w:pPr>
      <w:tabs>
        <w:tab w:val="left" w:pos="1134"/>
      </w:tabs>
      <w:topLinePunct/>
      <w:adjustRightInd w:val="0"/>
      <w:spacing w:before="60" w:after="60" w:line="360" w:lineRule="atLeast"/>
      <w:ind w:left="1134" w:hanging="1134"/>
      <w:textAlignment w:val="baseline"/>
    </w:pPr>
    <w:rPr>
      <w:rFonts w:ascii="Arial" w:hAnsi="Arial"/>
      <w:kern w:val="0"/>
    </w:rPr>
  </w:style>
  <w:style w:type="character" w:customStyle="1" w:styleId="257">
    <w:name w:val="正文文本 字符"/>
    <w:link w:val="32"/>
    <w:qFormat/>
    <w:uiPriority w:val="0"/>
    <w:rPr>
      <w:kern w:val="2"/>
      <w:sz w:val="24"/>
    </w:rPr>
  </w:style>
  <w:style w:type="character" w:customStyle="1" w:styleId="258">
    <w:name w:val="页码1"/>
    <w:qFormat/>
    <w:uiPriority w:val="0"/>
  </w:style>
  <w:style w:type="character" w:customStyle="1" w:styleId="259">
    <w:name w:val="表头 Char"/>
    <w:qFormat/>
    <w:uiPriority w:val="0"/>
    <w:rPr>
      <w:rFonts w:hAnsi="Monotype Corsiva" w:eastAsia="黑体"/>
      <w:kern w:val="2"/>
      <w:sz w:val="21"/>
      <w:szCs w:val="24"/>
    </w:rPr>
  </w:style>
  <w:style w:type="character" w:customStyle="1" w:styleId="260">
    <w:name w:val="正文文本缩进 3 Char Char"/>
    <w:qFormat/>
    <w:uiPriority w:val="0"/>
    <w:rPr>
      <w:rFonts w:eastAsia="宋体"/>
      <w:kern w:val="2"/>
      <w:sz w:val="24"/>
      <w:lang w:val="en-US" w:eastAsia="zh-CN" w:bidi="ar-SA"/>
    </w:rPr>
  </w:style>
  <w:style w:type="character" w:customStyle="1" w:styleId="261">
    <w:name w:val="页眉 字符"/>
    <w:link w:val="55"/>
    <w:qFormat/>
    <w:uiPriority w:val="0"/>
    <w:rPr>
      <w:rFonts w:eastAsia="宋体"/>
      <w:kern w:val="2"/>
      <w:sz w:val="18"/>
      <w:lang w:val="en-US" w:eastAsia="zh-CN"/>
    </w:rPr>
  </w:style>
  <w:style w:type="character" w:customStyle="1" w:styleId="262">
    <w:name w:val="标题 字符"/>
    <w:link w:val="82"/>
    <w:qFormat/>
    <w:uiPriority w:val="0"/>
    <w:rPr>
      <w:rFonts w:ascii="Arial" w:hAnsi="Arial" w:cs="Arial"/>
      <w:b/>
      <w:bCs/>
      <w:kern w:val="2"/>
      <w:sz w:val="32"/>
      <w:szCs w:val="32"/>
    </w:rPr>
  </w:style>
  <w:style w:type="character" w:customStyle="1" w:styleId="263">
    <w:name w:val="nth-child(3)"/>
    <w:basedOn w:val="131"/>
    <w:qFormat/>
    <w:uiPriority w:val="0"/>
  </w:style>
  <w:style w:type="character" w:customStyle="1" w:styleId="264">
    <w:name w:val="样式 标题 1 + 加粗 Char"/>
    <w:link w:val="265"/>
    <w:qFormat/>
    <w:uiPriority w:val="0"/>
    <w:rPr>
      <w:rFonts w:eastAsia="黑体"/>
      <w:b/>
      <w:bCs/>
      <w:kern w:val="44"/>
      <w:sz w:val="28"/>
      <w:szCs w:val="28"/>
    </w:rPr>
  </w:style>
  <w:style w:type="paragraph" w:customStyle="1" w:styleId="265">
    <w:name w:val="样式 标题 1 + 加粗"/>
    <w:basedOn w:val="2"/>
    <w:link w:val="264"/>
    <w:qFormat/>
    <w:uiPriority w:val="0"/>
    <w:pPr>
      <w:spacing w:before="312" w:beforeLines="100" w:after="312" w:afterLines="100" w:line="240" w:lineRule="auto"/>
    </w:pPr>
    <w:rPr>
      <w:bCs/>
      <w:kern w:val="44"/>
      <w:sz w:val="28"/>
      <w:szCs w:val="28"/>
    </w:rPr>
  </w:style>
  <w:style w:type="character" w:customStyle="1" w:styleId="266">
    <w:name w:val="节标题 1.1 Char"/>
    <w:qFormat/>
    <w:uiPriority w:val="0"/>
    <w:rPr>
      <w:rFonts w:eastAsia="黑体"/>
      <w:bCs/>
      <w:kern w:val="2"/>
      <w:sz w:val="21"/>
      <w:szCs w:val="21"/>
      <w:lang w:val="en-US" w:eastAsia="zh-CN" w:bidi="ar-SA"/>
    </w:rPr>
  </w:style>
  <w:style w:type="character" w:customStyle="1" w:styleId="267">
    <w:name w:val="无间隔 Char"/>
    <w:link w:val="268"/>
    <w:qFormat/>
    <w:uiPriority w:val="1"/>
    <w:rPr>
      <w:lang w:val="en-US" w:eastAsia="zh-CN" w:bidi="ar-SA"/>
    </w:rPr>
  </w:style>
  <w:style w:type="paragraph" w:customStyle="1" w:styleId="268">
    <w:name w:val="无间隔2"/>
    <w:link w:val="267"/>
    <w:qFormat/>
    <w:uiPriority w:val="1"/>
    <w:pPr>
      <w:widowControl w:val="0"/>
      <w:snapToGrid w:val="0"/>
      <w:ind w:firstLine="200" w:firstLineChars="200"/>
      <w:jc w:val="both"/>
    </w:pPr>
    <w:rPr>
      <w:rFonts w:ascii="Times New Roman" w:hAnsi="Times New Roman" w:eastAsia="宋体" w:cs="Times New Roman"/>
      <w:lang w:val="en-US" w:eastAsia="zh-CN" w:bidi="ar-SA"/>
    </w:rPr>
  </w:style>
  <w:style w:type="character" w:customStyle="1" w:styleId="269">
    <w:name w:val="自己的正文 Char Char"/>
    <w:link w:val="270"/>
    <w:qFormat/>
    <w:uiPriority w:val="0"/>
    <w:rPr>
      <w:color w:val="000000"/>
      <w:kern w:val="2"/>
      <w:sz w:val="28"/>
      <w:szCs w:val="28"/>
    </w:rPr>
  </w:style>
  <w:style w:type="paragraph" w:customStyle="1" w:styleId="270">
    <w:name w:val="自己的正文"/>
    <w:basedOn w:val="1"/>
    <w:link w:val="269"/>
    <w:qFormat/>
    <w:uiPriority w:val="0"/>
    <w:pPr>
      <w:adjustRightInd w:val="0"/>
      <w:snapToGrid w:val="0"/>
      <w:spacing w:line="360" w:lineRule="auto"/>
      <w:ind w:firstLine="560" w:firstLineChars="200"/>
      <w:textAlignment w:val="baseline"/>
    </w:pPr>
    <w:rPr>
      <w:color w:val="000000"/>
      <w:sz w:val="28"/>
      <w:szCs w:val="28"/>
    </w:rPr>
  </w:style>
  <w:style w:type="character" w:customStyle="1" w:styleId="271">
    <w:name w:val="纯文本 Char1"/>
    <w:qFormat/>
    <w:uiPriority w:val="0"/>
    <w:rPr>
      <w:rFonts w:ascii="宋体" w:hAnsi="Courier New" w:eastAsia="宋体" w:cs="Courier New"/>
      <w:szCs w:val="21"/>
    </w:rPr>
  </w:style>
  <w:style w:type="character" w:customStyle="1" w:styleId="272">
    <w:name w:val="标题 6 Char Char"/>
    <w:qFormat/>
    <w:uiPriority w:val="0"/>
    <w:rPr>
      <w:rFonts w:ascii="Arial" w:hAnsi="Arial" w:eastAsia="黑体"/>
      <w:b/>
      <w:sz w:val="24"/>
      <w:lang w:val="en-US" w:eastAsia="zh-CN" w:bidi="ar-SA"/>
    </w:rPr>
  </w:style>
  <w:style w:type="character" w:customStyle="1" w:styleId="273">
    <w:name w:val="尾注文本 Char1"/>
    <w:semiHidden/>
    <w:qFormat/>
    <w:uiPriority w:val="99"/>
    <w:rPr>
      <w:rFonts w:ascii="Times New Roman" w:hAnsi="Times New Roman" w:eastAsia="宋体" w:cs="Times New Roman"/>
      <w:szCs w:val="20"/>
    </w:rPr>
  </w:style>
  <w:style w:type="character" w:customStyle="1" w:styleId="274">
    <w:name w:val="hover2"/>
    <w:qFormat/>
    <w:uiPriority w:val="0"/>
    <w:rPr>
      <w:color w:val="2590EB"/>
    </w:rPr>
  </w:style>
  <w:style w:type="character" w:customStyle="1" w:styleId="275">
    <w:name w:val="正文文本 3 Char1"/>
    <w:semiHidden/>
    <w:qFormat/>
    <w:uiPriority w:val="99"/>
    <w:rPr>
      <w:rFonts w:ascii="Times New Roman" w:hAnsi="Times New Roman" w:eastAsia="宋体" w:cs="Times New Roman"/>
      <w:sz w:val="16"/>
      <w:szCs w:val="16"/>
    </w:rPr>
  </w:style>
  <w:style w:type="character" w:customStyle="1" w:styleId="276">
    <w:name w:val="标题 2 字符"/>
    <w:link w:val="3"/>
    <w:qFormat/>
    <w:uiPriority w:val="0"/>
    <w:rPr>
      <w:rFonts w:ascii="Arial" w:hAnsi="Arial" w:eastAsia="宋体"/>
      <w:b/>
      <w:bCs/>
      <w:kern w:val="2"/>
      <w:sz w:val="28"/>
      <w:szCs w:val="32"/>
      <w:lang w:val="en-US" w:eastAsia="zh-CN" w:bidi="ar-SA"/>
    </w:rPr>
  </w:style>
  <w:style w:type="character" w:customStyle="1" w:styleId="277">
    <w:name w:val="批注框文本 字符"/>
    <w:link w:val="53"/>
    <w:qFormat/>
    <w:uiPriority w:val="0"/>
    <w:rPr>
      <w:rFonts w:eastAsia="宋体"/>
      <w:kern w:val="2"/>
      <w:sz w:val="18"/>
      <w:lang w:val="en-US" w:eastAsia="zh-CN"/>
    </w:rPr>
  </w:style>
  <w:style w:type="character" w:customStyle="1" w:styleId="278">
    <w:name w:val="样式1 Char Char"/>
    <w:link w:val="179"/>
    <w:qFormat/>
    <w:uiPriority w:val="0"/>
    <w:rPr>
      <w:rFonts w:ascii="宋体" w:eastAsia="宋体"/>
      <w:sz w:val="24"/>
      <w:lang w:val="en-US" w:eastAsia="zh-CN" w:bidi="ar-SA"/>
    </w:rPr>
  </w:style>
  <w:style w:type="character" w:customStyle="1" w:styleId="279">
    <w:name w:val="标题 3 Char2"/>
    <w:qFormat/>
    <w:uiPriority w:val="0"/>
    <w:rPr>
      <w:rFonts w:ascii="Arial" w:hAnsi="Arial" w:eastAsia="黑体"/>
      <w:sz w:val="28"/>
    </w:rPr>
  </w:style>
  <w:style w:type="character" w:customStyle="1" w:styleId="280">
    <w:name w:val="标题 2 Char"/>
    <w:qFormat/>
    <w:uiPriority w:val="0"/>
    <w:rPr>
      <w:rFonts w:ascii="Arial" w:hAnsi="Arial" w:eastAsia="黑体"/>
      <w:b/>
      <w:kern w:val="2"/>
      <w:sz w:val="32"/>
      <w:lang w:val="en-US" w:eastAsia="zh-CN"/>
    </w:rPr>
  </w:style>
  <w:style w:type="character" w:customStyle="1" w:styleId="281">
    <w:name w:val="标题 5 字符"/>
    <w:link w:val="6"/>
    <w:qFormat/>
    <w:uiPriority w:val="9"/>
    <w:rPr>
      <w:rFonts w:eastAsia="宋体"/>
      <w:b/>
      <w:kern w:val="2"/>
      <w:sz w:val="28"/>
      <w:lang w:val="en-US" w:eastAsia="zh-CN" w:bidi="ar-SA"/>
    </w:rPr>
  </w:style>
  <w:style w:type="character" w:customStyle="1" w:styleId="282">
    <w:name w:val="2z Char Char"/>
    <w:link w:val="283"/>
    <w:qFormat/>
    <w:uiPriority w:val="0"/>
    <w:rPr>
      <w:rFonts w:ascii="EU-F1" w:eastAsia="黑体"/>
      <w:kern w:val="21"/>
      <w:szCs w:val="21"/>
      <w:lang w:bidi="ar-SA"/>
    </w:rPr>
  </w:style>
  <w:style w:type="paragraph" w:customStyle="1" w:styleId="283">
    <w:name w:val="2z"/>
    <w:basedOn w:val="1"/>
    <w:link w:val="282"/>
    <w:qFormat/>
    <w:uiPriority w:val="0"/>
    <w:pPr>
      <w:adjustRightInd w:val="0"/>
      <w:spacing w:line="480" w:lineRule="auto"/>
      <w:jc w:val="left"/>
      <w:textAlignment w:val="baseline"/>
    </w:pPr>
    <w:rPr>
      <w:rFonts w:ascii="EU-F1" w:eastAsia="黑体"/>
      <w:kern w:val="21"/>
      <w:sz w:val="20"/>
      <w:szCs w:val="21"/>
    </w:rPr>
  </w:style>
  <w:style w:type="character" w:customStyle="1" w:styleId="284">
    <w:name w:val="样式 样式3 + Char"/>
    <w:link w:val="285"/>
    <w:qFormat/>
    <w:uiPriority w:val="0"/>
    <w:rPr>
      <w:rFonts w:ascii="EU-F1" w:eastAsia="黑体"/>
      <w:color w:val="000000"/>
      <w:sz w:val="21"/>
      <w:szCs w:val="21"/>
    </w:rPr>
  </w:style>
  <w:style w:type="paragraph" w:customStyle="1" w:styleId="285">
    <w:name w:val="样式 样式3 +"/>
    <w:basedOn w:val="178"/>
    <w:link w:val="284"/>
    <w:qFormat/>
    <w:uiPriority w:val="0"/>
    <w:pPr>
      <w:keepNext/>
      <w:keepLines/>
      <w:widowControl w:val="0"/>
      <w:tabs>
        <w:tab w:val="clear" w:pos="2160"/>
      </w:tabs>
      <w:topLinePunct/>
      <w:adjustRightInd/>
      <w:textAlignment w:val="auto"/>
    </w:pPr>
  </w:style>
  <w:style w:type="character" w:customStyle="1" w:styleId="286">
    <w:name w:val="标准正文 Char"/>
    <w:link w:val="287"/>
    <w:qFormat/>
    <w:uiPriority w:val="0"/>
    <w:rPr>
      <w:spacing w:val="1"/>
      <w:sz w:val="24"/>
      <w:szCs w:val="24"/>
    </w:rPr>
  </w:style>
  <w:style w:type="paragraph" w:customStyle="1" w:styleId="287">
    <w:name w:val="标准正文"/>
    <w:basedOn w:val="1"/>
    <w:link w:val="286"/>
    <w:qFormat/>
    <w:uiPriority w:val="0"/>
    <w:pPr>
      <w:topLinePunct/>
      <w:adjustRightInd w:val="0"/>
      <w:snapToGrid w:val="0"/>
      <w:spacing w:line="360" w:lineRule="auto"/>
      <w:textAlignment w:val="baseline"/>
    </w:pPr>
    <w:rPr>
      <w:spacing w:val="1"/>
      <w:kern w:val="0"/>
      <w:sz w:val="24"/>
      <w:szCs w:val="24"/>
    </w:rPr>
  </w:style>
  <w:style w:type="character" w:customStyle="1" w:styleId="288">
    <w:name w:val="标题 9 字符"/>
    <w:link w:val="10"/>
    <w:qFormat/>
    <w:uiPriority w:val="0"/>
    <w:rPr>
      <w:rFonts w:ascii="Arial" w:hAnsi="Arial" w:eastAsia="黑体"/>
      <w:kern w:val="2"/>
      <w:sz w:val="21"/>
      <w:lang w:val="en-US" w:eastAsia="zh-CN" w:bidi="ar-SA"/>
    </w:rPr>
  </w:style>
  <w:style w:type="character" w:customStyle="1" w:styleId="289">
    <w:name w:val="我的标题3 Char Char"/>
    <w:link w:val="290"/>
    <w:qFormat/>
    <w:uiPriority w:val="0"/>
    <w:rPr>
      <w:rFonts w:ascii="宋体" w:hAnsi="宋体"/>
      <w:color w:val="000000"/>
      <w:sz w:val="21"/>
      <w:szCs w:val="21"/>
      <w:lang w:val="en-US" w:eastAsia="zh-CN" w:bidi="ar-SA"/>
    </w:rPr>
  </w:style>
  <w:style w:type="paragraph" w:customStyle="1" w:styleId="290">
    <w:name w:val="我的标题3"/>
    <w:link w:val="289"/>
    <w:qFormat/>
    <w:uiPriority w:val="0"/>
    <w:pPr>
      <w:autoSpaceDE w:val="0"/>
      <w:autoSpaceDN w:val="0"/>
      <w:adjustRightInd w:val="0"/>
      <w:spacing w:line="360" w:lineRule="auto"/>
      <w:jc w:val="both"/>
      <w:outlineLvl w:val="2"/>
    </w:pPr>
    <w:rPr>
      <w:rFonts w:ascii="宋体" w:hAnsi="宋体" w:eastAsia="宋体" w:cs="Times New Roman"/>
      <w:color w:val="000000"/>
      <w:sz w:val="21"/>
      <w:szCs w:val="21"/>
      <w:lang w:val="en-US" w:eastAsia="zh-CN" w:bidi="ar-SA"/>
    </w:rPr>
  </w:style>
  <w:style w:type="character" w:customStyle="1" w:styleId="291">
    <w:name w:val="jl 正文 Char Char Char"/>
    <w:link w:val="292"/>
    <w:qFormat/>
    <w:uiPriority w:val="0"/>
    <w:rPr>
      <w:rFonts w:ascii="宋体"/>
      <w:kern w:val="2"/>
      <w:sz w:val="24"/>
      <w:szCs w:val="24"/>
    </w:rPr>
  </w:style>
  <w:style w:type="paragraph" w:customStyle="1" w:styleId="292">
    <w:name w:val="jl 正文 Char Char"/>
    <w:basedOn w:val="1"/>
    <w:link w:val="291"/>
    <w:qFormat/>
    <w:uiPriority w:val="0"/>
    <w:pPr>
      <w:autoSpaceDE w:val="0"/>
      <w:autoSpaceDN w:val="0"/>
      <w:adjustRightInd w:val="0"/>
      <w:ind w:firstLine="200" w:firstLineChars="200"/>
      <w:jc w:val="left"/>
      <w:textAlignment w:val="baseline"/>
    </w:pPr>
    <w:rPr>
      <w:rFonts w:ascii="宋体"/>
      <w:sz w:val="24"/>
      <w:szCs w:val="24"/>
    </w:rPr>
  </w:style>
  <w:style w:type="character" w:customStyle="1" w:styleId="293">
    <w:name w:val="标题 1 字符"/>
    <w:link w:val="2"/>
    <w:qFormat/>
    <w:uiPriority w:val="0"/>
    <w:rPr>
      <w:rFonts w:ascii="Times New Roman" w:hAnsi="Times New Roman" w:eastAsia="宋体" w:cs="Times New Roman"/>
      <w:b/>
      <w:kern w:val="28"/>
      <w:sz w:val="32"/>
      <w:lang w:val="en-US" w:eastAsia="zh-CN" w:bidi="ar-SA"/>
    </w:rPr>
  </w:style>
  <w:style w:type="character" w:customStyle="1" w:styleId="294">
    <w:name w:val="正文文本缩进 3 Char1"/>
    <w:semiHidden/>
    <w:qFormat/>
    <w:uiPriority w:val="99"/>
    <w:rPr>
      <w:rFonts w:ascii="Times New Roman" w:hAnsi="Times New Roman" w:eastAsia="宋体" w:cs="Times New Roman"/>
      <w:sz w:val="16"/>
      <w:szCs w:val="16"/>
    </w:rPr>
  </w:style>
  <w:style w:type="character" w:customStyle="1" w:styleId="295">
    <w:name w:val="称呼 字符"/>
    <w:link w:val="28"/>
    <w:qFormat/>
    <w:uiPriority w:val="0"/>
    <w:rPr>
      <w:rFonts w:eastAsia="楷体_GB2312"/>
      <w:kern w:val="2"/>
      <w:sz w:val="24"/>
    </w:rPr>
  </w:style>
  <w:style w:type="character" w:customStyle="1" w:styleId="296">
    <w:name w:val="样式 标题 2 + Times New Roman 四号 非加粗 段前: 5 磅 段后: 0 磅 行距: 固定值 20... Char"/>
    <w:link w:val="297"/>
    <w:qFormat/>
    <w:uiPriority w:val="0"/>
    <w:rPr>
      <w:rFonts w:ascii="Times New Roman" w:hAnsi="Times New Roman" w:cs="Times New Roman"/>
      <w:sz w:val="28"/>
      <w:szCs w:val="28"/>
    </w:rPr>
  </w:style>
  <w:style w:type="paragraph" w:customStyle="1" w:styleId="297">
    <w:name w:val="样式 标题 2 + Times New Roman 四号 非加粗 段前: 5 磅 段后: 0 磅 行距: 固定值 20..."/>
    <w:basedOn w:val="3"/>
    <w:link w:val="296"/>
    <w:qFormat/>
    <w:uiPriority w:val="0"/>
    <w:pPr>
      <w:spacing w:before="100" w:after="0" w:line="400" w:lineRule="exact"/>
    </w:pPr>
    <w:rPr>
      <w:rFonts w:ascii="Times New Roman" w:hAnsi="Times New Roman"/>
      <w:b w:val="0"/>
      <w:bCs w:val="0"/>
      <w:sz w:val="28"/>
      <w:szCs w:val="28"/>
    </w:rPr>
  </w:style>
  <w:style w:type="character" w:customStyle="1" w:styleId="298">
    <w:name w:val="t_tag"/>
    <w:qFormat/>
    <w:uiPriority w:val="0"/>
  </w:style>
  <w:style w:type="character" w:customStyle="1" w:styleId="299">
    <w:name w:val="fr"/>
    <w:basedOn w:val="131"/>
    <w:qFormat/>
    <w:uiPriority w:val="0"/>
  </w:style>
  <w:style w:type="character" w:customStyle="1" w:styleId="300">
    <w:name w:val="页码2"/>
    <w:qFormat/>
    <w:uiPriority w:val="0"/>
  </w:style>
  <w:style w:type="character" w:customStyle="1" w:styleId="301">
    <w:name w:val="Char Char7"/>
    <w:qFormat/>
    <w:uiPriority w:val="0"/>
    <w:rPr>
      <w:rFonts w:ascii="汉仪大宋简" w:eastAsia="汉仪大宋简"/>
      <w:kern w:val="28"/>
      <w:sz w:val="22"/>
      <w:szCs w:val="26"/>
      <w:lang w:val="en-US" w:eastAsia="zh-CN" w:bidi="ar-SA"/>
    </w:rPr>
  </w:style>
  <w:style w:type="character" w:customStyle="1" w:styleId="302">
    <w:name w:val="标题 3 Char Char"/>
    <w:qFormat/>
    <w:uiPriority w:val="0"/>
    <w:rPr>
      <w:rFonts w:ascii="Arial" w:hAnsi="Arial" w:eastAsia="黑体"/>
      <w:sz w:val="28"/>
      <w:lang w:val="en-US" w:eastAsia="zh-CN" w:bidi="ar-SA"/>
    </w:rPr>
  </w:style>
  <w:style w:type="character" w:customStyle="1" w:styleId="303">
    <w:name w:val="正文文本缩进 Char Char"/>
    <w:qFormat/>
    <w:uiPriority w:val="0"/>
    <w:rPr>
      <w:rFonts w:eastAsia="宋体"/>
      <w:sz w:val="24"/>
      <w:lang w:val="en-US" w:eastAsia="zh-CN" w:bidi="ar-SA"/>
    </w:rPr>
  </w:style>
  <w:style w:type="character" w:customStyle="1" w:styleId="304">
    <w:name w:val="样式 标题 1 + 加粗 Char Char"/>
    <w:qFormat/>
    <w:uiPriority w:val="0"/>
    <w:rPr>
      <w:rFonts w:eastAsia="黑体"/>
      <w:b/>
      <w:bCs/>
      <w:kern w:val="44"/>
      <w:sz w:val="28"/>
      <w:szCs w:val="28"/>
      <w:lang w:val="en-US" w:eastAsia="zh-CN" w:bidi="ar-SA"/>
    </w:rPr>
  </w:style>
  <w:style w:type="character" w:customStyle="1" w:styleId="305">
    <w:name w:val="样式6 Char Char"/>
    <w:link w:val="306"/>
    <w:qFormat/>
    <w:uiPriority w:val="0"/>
    <w:rPr>
      <w:rFonts w:eastAsia="黑体"/>
      <w:kern w:val="2"/>
      <w:sz w:val="32"/>
      <w:szCs w:val="28"/>
      <w:lang w:val="en-US" w:eastAsia="zh-CN" w:bidi="ar-SA"/>
    </w:rPr>
  </w:style>
  <w:style w:type="paragraph" w:customStyle="1" w:styleId="306">
    <w:name w:val="样式6"/>
    <w:basedOn w:val="2"/>
    <w:link w:val="305"/>
    <w:qFormat/>
    <w:uiPriority w:val="0"/>
    <w:pPr>
      <w:keepNext w:val="0"/>
      <w:keepLines w:val="0"/>
      <w:topLinePunct/>
      <w:spacing w:before="400" w:after="400" w:line="560" w:lineRule="exact"/>
      <w:jc w:val="center"/>
    </w:pPr>
    <w:rPr>
      <w:kern w:val="2"/>
      <w:sz w:val="32"/>
      <w:szCs w:val="28"/>
    </w:rPr>
  </w:style>
  <w:style w:type="character" w:customStyle="1" w:styleId="307">
    <w:name w:val="标题 6 字符"/>
    <w:link w:val="7"/>
    <w:qFormat/>
    <w:uiPriority w:val="9"/>
    <w:rPr>
      <w:rFonts w:ascii="Arial" w:hAnsi="Arial" w:eastAsia="黑体"/>
      <w:b/>
      <w:kern w:val="2"/>
      <w:sz w:val="24"/>
      <w:lang w:val="en-US" w:eastAsia="zh-CN" w:bidi="ar-SA"/>
    </w:rPr>
  </w:style>
  <w:style w:type="character" w:customStyle="1" w:styleId="308">
    <w:name w:val="标题样式2 Char"/>
    <w:qFormat/>
    <w:uiPriority w:val="0"/>
    <w:rPr>
      <w:rFonts w:ascii="宋体" w:hAnsi="宋体" w:eastAsia="宋体"/>
      <w:b/>
      <w:color w:val="000000"/>
      <w:kern w:val="2"/>
      <w:sz w:val="28"/>
      <w:szCs w:val="24"/>
      <w:lang w:val="en-US" w:eastAsia="zh-CN" w:bidi="ar-SA"/>
    </w:rPr>
  </w:style>
  <w:style w:type="character" w:customStyle="1" w:styleId="309">
    <w:name w:val="正文文本缩进 2 Char1"/>
    <w:semiHidden/>
    <w:qFormat/>
    <w:uiPriority w:val="99"/>
    <w:rPr>
      <w:rFonts w:ascii="Times New Roman" w:hAnsi="Times New Roman" w:eastAsia="宋体" w:cs="Times New Roman"/>
      <w:szCs w:val="20"/>
    </w:rPr>
  </w:style>
  <w:style w:type="character" w:customStyle="1" w:styleId="310">
    <w:name w:val="页眉 Char Char"/>
    <w:qFormat/>
    <w:uiPriority w:val="0"/>
    <w:rPr>
      <w:rFonts w:eastAsia="宋体"/>
      <w:kern w:val="2"/>
      <w:sz w:val="18"/>
      <w:lang w:val="en-US" w:eastAsia="zh-CN" w:bidi="ar-SA"/>
    </w:rPr>
  </w:style>
  <w:style w:type="character" w:customStyle="1" w:styleId="311">
    <w:name w:val="批注文字 Char2"/>
    <w:semiHidden/>
    <w:qFormat/>
    <w:uiPriority w:val="99"/>
    <w:rPr>
      <w:rFonts w:ascii="Times New Roman" w:hAnsi="Times New Roman" w:eastAsia="宋体" w:cs="Times New Roman"/>
      <w:szCs w:val="20"/>
    </w:rPr>
  </w:style>
  <w:style w:type="character" w:customStyle="1" w:styleId="312">
    <w:name w:val="页脚 Char Char"/>
    <w:qFormat/>
    <w:uiPriority w:val="0"/>
    <w:rPr>
      <w:rFonts w:eastAsia="宋体"/>
      <w:kern w:val="2"/>
      <w:sz w:val="18"/>
      <w:lang w:val="en-US" w:eastAsia="zh-CN" w:bidi="ar-SA"/>
    </w:rPr>
  </w:style>
  <w:style w:type="character" w:customStyle="1" w:styleId="313">
    <w:name w:val="标题 4 字符"/>
    <w:link w:val="5"/>
    <w:qFormat/>
    <w:uiPriority w:val="9"/>
    <w:rPr>
      <w:rFonts w:ascii="Arial" w:hAnsi="Arial" w:eastAsia="黑体"/>
      <w:b/>
      <w:kern w:val="2"/>
      <w:sz w:val="28"/>
      <w:lang w:val="en-US" w:eastAsia="zh-CN" w:bidi="ar-SA"/>
    </w:rPr>
  </w:style>
  <w:style w:type="character" w:customStyle="1" w:styleId="314">
    <w:name w:val="spelle"/>
    <w:qFormat/>
    <w:uiPriority w:val="0"/>
  </w:style>
  <w:style w:type="character" w:customStyle="1" w:styleId="315">
    <w:name w:val="正文文本 Char Char Char"/>
    <w:qFormat/>
    <w:uiPriority w:val="0"/>
    <w:rPr>
      <w:rFonts w:eastAsia="宋体"/>
      <w:color w:val="000000"/>
      <w:kern w:val="2"/>
      <w:sz w:val="21"/>
      <w:lang w:val="en-US" w:eastAsia="zh-CN" w:bidi="ar-SA"/>
    </w:rPr>
  </w:style>
  <w:style w:type="character" w:customStyle="1" w:styleId="316">
    <w:name w:val="标题样式2 Char Char"/>
    <w:link w:val="317"/>
    <w:qFormat/>
    <w:uiPriority w:val="0"/>
    <w:rPr>
      <w:rFonts w:ascii="宋体" w:hAnsi="宋体"/>
      <w:b/>
      <w:color w:val="000000"/>
      <w:kern w:val="2"/>
      <w:sz w:val="28"/>
      <w:szCs w:val="24"/>
    </w:rPr>
  </w:style>
  <w:style w:type="paragraph" w:customStyle="1" w:styleId="317">
    <w:name w:val="标题样式2"/>
    <w:basedOn w:val="1"/>
    <w:link w:val="316"/>
    <w:qFormat/>
    <w:uiPriority w:val="0"/>
    <w:pPr>
      <w:spacing w:before="240" w:line="360" w:lineRule="auto"/>
      <w:ind w:firstLine="561" w:firstLineChars="200"/>
    </w:pPr>
    <w:rPr>
      <w:rFonts w:ascii="宋体" w:hAnsi="宋体"/>
      <w:b/>
      <w:color w:val="000000"/>
      <w:sz w:val="28"/>
      <w:szCs w:val="24"/>
    </w:rPr>
  </w:style>
  <w:style w:type="character" w:customStyle="1" w:styleId="318">
    <w:name w:val="批注框文本 Char Char"/>
    <w:qFormat/>
    <w:uiPriority w:val="0"/>
    <w:rPr>
      <w:rFonts w:eastAsia="宋体"/>
      <w:kern w:val="2"/>
      <w:sz w:val="18"/>
      <w:szCs w:val="18"/>
      <w:lang w:val="en-US" w:eastAsia="zh-CN" w:bidi="ar-SA"/>
    </w:rPr>
  </w:style>
  <w:style w:type="paragraph" w:customStyle="1" w:styleId="319">
    <w:name w:val="表格1"/>
    <w:basedOn w:val="1"/>
    <w:qFormat/>
    <w:uiPriority w:val="0"/>
    <w:pPr>
      <w:adjustRightInd w:val="0"/>
      <w:spacing w:before="120" w:line="360" w:lineRule="atLeast"/>
      <w:ind w:left="57"/>
      <w:jc w:val="left"/>
      <w:textAlignment w:val="baseline"/>
    </w:pPr>
    <w:rPr>
      <w:rFonts w:ascii="长城仿宋" w:eastAsia="长城仿宋"/>
      <w:kern w:val="0"/>
      <w:sz w:val="28"/>
    </w:rPr>
  </w:style>
  <w:style w:type="paragraph" w:customStyle="1" w:styleId="320">
    <w:name w:val="附录"/>
    <w:basedOn w:val="2"/>
    <w:qFormat/>
    <w:uiPriority w:val="0"/>
    <w:pPr>
      <w:overflowPunct w:val="0"/>
      <w:topLinePunct/>
      <w:autoSpaceDE w:val="0"/>
      <w:autoSpaceDN w:val="0"/>
      <w:spacing w:line="960" w:lineRule="auto"/>
      <w:ind w:firstLine="420"/>
      <w:jc w:val="center"/>
      <w:textAlignment w:val="baseline"/>
    </w:pPr>
    <w:rPr>
      <w:kern w:val="44"/>
      <w:sz w:val="28"/>
    </w:rPr>
  </w:style>
  <w:style w:type="paragraph" w:customStyle="1" w:styleId="321">
    <w:name w:val="样式标题"/>
    <w:basedOn w:val="1"/>
    <w:qFormat/>
    <w:uiPriority w:val="0"/>
    <w:pPr>
      <w:topLinePunct/>
      <w:spacing w:line="1200" w:lineRule="auto"/>
      <w:jc w:val="center"/>
    </w:pPr>
    <w:rPr>
      <w:rFonts w:eastAsia="黑体"/>
      <w:kern w:val="21"/>
      <w:sz w:val="32"/>
      <w:szCs w:val="32"/>
    </w:rPr>
  </w:style>
  <w:style w:type="paragraph" w:customStyle="1" w:styleId="322">
    <w:name w:val="样式 标题 1 + 首行缩进:  2 字符 段前: 1 行 段后: 1 行"/>
    <w:basedOn w:val="2"/>
    <w:qFormat/>
    <w:uiPriority w:val="0"/>
    <w:pPr>
      <w:spacing w:before="312" w:beforeLines="100" w:after="312" w:afterLines="100" w:line="240" w:lineRule="auto"/>
    </w:pPr>
    <w:rPr>
      <w:rFonts w:cs="宋体"/>
      <w:kern w:val="44"/>
      <w:sz w:val="28"/>
    </w:rPr>
  </w:style>
  <w:style w:type="paragraph" w:customStyle="1" w:styleId="323">
    <w:name w:val="Puce 3"/>
    <w:qFormat/>
    <w:uiPriority w:val="0"/>
    <w:pPr>
      <w:keepLines/>
      <w:tabs>
        <w:tab w:val="left" w:pos="420"/>
      </w:tabs>
      <w:overflowPunct w:val="0"/>
      <w:autoSpaceDE w:val="0"/>
      <w:autoSpaceDN w:val="0"/>
      <w:adjustRightInd w:val="0"/>
      <w:spacing w:line="288" w:lineRule="auto"/>
      <w:ind w:left="420" w:hanging="420"/>
      <w:jc w:val="both"/>
      <w:textAlignment w:val="baseline"/>
    </w:pPr>
    <w:rPr>
      <w:rFonts w:ascii="Tms Rmn" w:hAnsi="Tms Rmn" w:eastAsia="楷体_GB2312" w:cs="Times New Roman"/>
      <w:color w:val="000000"/>
      <w:sz w:val="24"/>
      <w:lang w:val="en-US" w:eastAsia="zh-CN" w:bidi="ar-SA"/>
    </w:rPr>
  </w:style>
  <w:style w:type="paragraph" w:customStyle="1" w:styleId="324">
    <w:name w:val="xl38"/>
    <w:basedOn w:val="1"/>
    <w:qFormat/>
    <w:uiPriority w:val="0"/>
    <w:pPr>
      <w:widowControl/>
      <w:pBdr>
        <w:left w:val="single" w:color="auto" w:sz="4" w:space="0"/>
        <w:right w:val="single" w:color="auto" w:sz="4" w:space="0"/>
      </w:pBdr>
      <w:spacing w:before="100" w:beforeAutospacing="1" w:after="100" w:afterAutospacing="1"/>
      <w:textAlignment w:val="center"/>
    </w:pPr>
    <w:rPr>
      <w:rFonts w:ascii="宋体" w:hAnsi="宋体"/>
      <w:kern w:val="0"/>
    </w:rPr>
  </w:style>
  <w:style w:type="paragraph" w:customStyle="1" w:styleId="325">
    <w:name w:val="Table Paragraph"/>
    <w:qFormat/>
    <w:uiPriority w:val="0"/>
    <w:rPr>
      <w:rFonts w:ascii="Times New Roman" w:hAnsi="Times New Roman" w:eastAsia="宋体" w:cs="Calibri"/>
      <w:sz w:val="22"/>
      <w:szCs w:val="22"/>
      <w:lang w:val="en-US" w:eastAsia="en-US" w:bidi="ar-SA"/>
    </w:rPr>
  </w:style>
  <w:style w:type="paragraph" w:customStyle="1" w:styleId="326">
    <w:name w:val="Char Char Char Char Char Char Char Char Char Char Char Char Char"/>
    <w:basedOn w:val="1"/>
    <w:qFormat/>
    <w:uiPriority w:val="0"/>
    <w:rPr>
      <w:szCs w:val="24"/>
    </w:rPr>
  </w:style>
  <w:style w:type="paragraph" w:customStyle="1" w:styleId="327">
    <w:name w:val="题目"/>
    <w:basedOn w:val="328"/>
    <w:qFormat/>
    <w:uiPriority w:val="0"/>
    <w:pPr>
      <w:spacing w:before="468" w:beforeLines="150" w:after="468" w:afterLines="150"/>
    </w:pPr>
    <w:rPr>
      <w:rFonts w:eastAsia="黑体"/>
      <w:sz w:val="48"/>
    </w:rPr>
  </w:style>
  <w:style w:type="paragraph" w:customStyle="1" w:styleId="328">
    <w:name w:val="封面"/>
    <w:basedOn w:val="1"/>
    <w:qFormat/>
    <w:uiPriority w:val="0"/>
    <w:pPr>
      <w:spacing w:line="360" w:lineRule="auto"/>
      <w:jc w:val="center"/>
    </w:pPr>
    <w:rPr>
      <w:rFonts w:eastAsia="仿宋_GB2312"/>
      <w:sz w:val="52"/>
    </w:rPr>
  </w:style>
  <w:style w:type="paragraph" w:customStyle="1" w:styleId="329">
    <w:name w:val="样式 1"/>
    <w:basedOn w:val="2"/>
    <w:qFormat/>
    <w:uiPriority w:val="0"/>
    <w:pPr>
      <w:keepLines w:val="0"/>
      <w:overflowPunct w:val="0"/>
      <w:topLinePunct/>
      <w:autoSpaceDE w:val="0"/>
      <w:autoSpaceDN w:val="0"/>
      <w:spacing w:line="240" w:lineRule="auto"/>
      <w:textAlignment w:val="baseline"/>
    </w:pPr>
    <w:rPr>
      <w:rFonts w:ascii="EU-F1"/>
      <w:bCs/>
      <w:kern w:val="21"/>
      <w:sz w:val="21"/>
      <w:szCs w:val="21"/>
    </w:rPr>
  </w:style>
  <w:style w:type="paragraph" w:customStyle="1" w:styleId="330">
    <w:name w:val="样式 样式 标题 1 + 首行缩进:  2 字符 段前: 1 行 段后: 1 行 + 黑色 首行缩进:  2 字符 段前: ..."/>
    <w:basedOn w:val="322"/>
    <w:qFormat/>
    <w:uiPriority w:val="0"/>
    <w:pPr>
      <w:tabs>
        <w:tab w:val="left" w:pos="1440"/>
      </w:tabs>
    </w:pPr>
    <w:rPr>
      <w:color w:val="000000"/>
      <w:szCs w:val="28"/>
    </w:rPr>
  </w:style>
  <w:style w:type="paragraph" w:customStyle="1" w:styleId="331">
    <w:name w:val="font6"/>
    <w:basedOn w:val="1"/>
    <w:qFormat/>
    <w:uiPriority w:val="0"/>
    <w:pPr>
      <w:widowControl/>
      <w:spacing w:before="100" w:beforeAutospacing="1" w:after="100" w:afterAutospacing="1"/>
      <w:jc w:val="left"/>
    </w:pPr>
    <w:rPr>
      <w:rFonts w:hint="eastAsia" w:ascii="宋体" w:hAnsi="宋体"/>
      <w:color w:val="000000"/>
      <w:kern w:val="0"/>
      <w:sz w:val="20"/>
    </w:rPr>
  </w:style>
  <w:style w:type="paragraph" w:customStyle="1" w:styleId="33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kern w:val="0"/>
    </w:rPr>
  </w:style>
  <w:style w:type="paragraph" w:customStyle="1" w:styleId="333">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center"/>
    </w:pPr>
    <w:rPr>
      <w:rFonts w:ascii="宋体" w:hAnsi="宋体"/>
      <w:kern w:val="0"/>
    </w:rPr>
  </w:style>
  <w:style w:type="paragraph" w:customStyle="1" w:styleId="334">
    <w:name w:val="文字2"/>
    <w:basedOn w:val="1"/>
    <w:qFormat/>
    <w:uiPriority w:val="0"/>
    <w:pPr>
      <w:spacing w:line="300" w:lineRule="auto"/>
    </w:pPr>
  </w:style>
  <w:style w:type="paragraph" w:customStyle="1" w:styleId="335">
    <w:name w:val="font0"/>
    <w:basedOn w:val="1"/>
    <w:qFormat/>
    <w:uiPriority w:val="0"/>
    <w:pPr>
      <w:widowControl/>
      <w:spacing w:before="100" w:beforeAutospacing="1" w:after="100" w:afterAutospacing="1"/>
      <w:jc w:val="left"/>
    </w:pPr>
    <w:rPr>
      <w:rFonts w:hint="eastAsia" w:ascii="宋体"/>
      <w:kern w:val="0"/>
      <w:sz w:val="24"/>
      <w:szCs w:val="24"/>
    </w:rPr>
  </w:style>
  <w:style w:type="paragraph" w:customStyle="1" w:styleId="336">
    <w:name w:val="Header1"/>
    <w:basedOn w:val="1"/>
    <w:qFormat/>
    <w:uiPriority w:val="0"/>
    <w:pPr>
      <w:widowControl/>
      <w:topLinePunct/>
      <w:spacing w:before="48" w:after="48"/>
      <w:jc w:val="left"/>
    </w:pPr>
    <w:rPr>
      <w:rFonts w:ascii="Arial Narrow" w:hAnsi="Arial Narrow"/>
      <w:kern w:val="0"/>
      <w:sz w:val="18"/>
      <w:lang w:eastAsia="en-US"/>
    </w:rPr>
  </w:style>
  <w:style w:type="paragraph" w:customStyle="1" w:styleId="337">
    <w:name w:val="样式 居中 底端: (细-粗窄间隔 自定义颜(RGB(2356512))  2.25 磅 行宽) 行距: 固定值 1..."/>
    <w:basedOn w:val="1"/>
    <w:qFormat/>
    <w:uiPriority w:val="0"/>
    <w:pPr>
      <w:spacing w:line="240" w:lineRule="exact"/>
      <w:jc w:val="center"/>
    </w:pPr>
    <w:rPr>
      <w:rFonts w:eastAsia="仿宋_GB2312" w:cs="宋体"/>
      <w:sz w:val="32"/>
    </w:rPr>
  </w:style>
  <w:style w:type="paragraph" w:customStyle="1" w:styleId="338">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339">
    <w:name w:val="批注主题 Char Char"/>
    <w:basedOn w:val="26"/>
    <w:next w:val="26"/>
    <w:qFormat/>
    <w:uiPriority w:val="0"/>
    <w:pPr>
      <w:topLinePunct/>
      <w:adjustRightInd/>
      <w:spacing w:line="240" w:lineRule="auto"/>
      <w:textAlignment w:val="auto"/>
    </w:pPr>
    <w:rPr>
      <w:b/>
      <w:kern w:val="2"/>
      <w:sz w:val="21"/>
    </w:rPr>
  </w:style>
  <w:style w:type="paragraph" w:customStyle="1" w:styleId="340">
    <w:name w:val="样式 样式 样式 样式 标题 1 + 首行缩进:  2 字符 段前: 1 行 段后: 1 行 + 黑色 首行缩进:  2 字符 ...1"/>
    <w:basedOn w:val="341"/>
    <w:qFormat/>
    <w:uiPriority w:val="0"/>
    <w:pPr>
      <w:tabs>
        <w:tab w:val="left" w:pos="1440"/>
      </w:tabs>
      <w:spacing w:before="357" w:beforeLines="0" w:after="357" w:afterLines="0"/>
    </w:pPr>
    <w:rPr>
      <w:sz w:val="24"/>
      <w:szCs w:val="24"/>
    </w:rPr>
  </w:style>
  <w:style w:type="paragraph" w:customStyle="1" w:styleId="341">
    <w:name w:val="样式 样式 样式 标题 1 + 首行缩进:  2 字符 段前: 1 行 段后: 1 行 + 黑色 首行缩进:  2 字符 段前:..."/>
    <w:basedOn w:val="330"/>
    <w:qFormat/>
    <w:uiPriority w:val="0"/>
  </w:style>
  <w:style w:type="paragraph" w:customStyle="1" w:styleId="342">
    <w:name w:val="正文缩进1"/>
    <w:qFormat/>
    <w:uiPriority w:val="0"/>
    <w:pPr>
      <w:snapToGrid w:val="0"/>
      <w:spacing w:line="440" w:lineRule="exact"/>
      <w:ind w:firstLine="480"/>
      <w:jc w:val="both"/>
    </w:pPr>
    <w:rPr>
      <w:rFonts w:ascii="宋体" w:hAnsi="Times New Roman" w:eastAsia="宋体" w:cs="Times New Roman"/>
      <w:spacing w:val="6"/>
      <w:kern w:val="24"/>
      <w:sz w:val="24"/>
      <w:lang w:val="en-US" w:eastAsia="zh-CN" w:bidi="ar-SA"/>
    </w:rPr>
  </w:style>
  <w:style w:type="paragraph" w:customStyle="1" w:styleId="343">
    <w:name w:val="proposal"/>
    <w:basedOn w:val="1"/>
    <w:qFormat/>
    <w:uiPriority w:val="0"/>
    <w:pPr>
      <w:widowControl/>
      <w:spacing w:line="300" w:lineRule="auto"/>
      <w:ind w:left="1440" w:hanging="1440"/>
    </w:pPr>
    <w:rPr>
      <w:kern w:val="0"/>
      <w:sz w:val="24"/>
      <w:lang w:val="en-GB"/>
    </w:rPr>
  </w:style>
  <w:style w:type="paragraph" w:customStyle="1" w:styleId="344">
    <w:name w:val="章标题"/>
    <w:next w:val="1"/>
    <w:qFormat/>
    <w:uiPriority w:val="0"/>
    <w:pPr>
      <w:spacing w:before="156" w:beforeLines="50" w:after="156" w:afterLines="50"/>
      <w:jc w:val="both"/>
      <w:outlineLvl w:val="1"/>
    </w:pPr>
    <w:rPr>
      <w:rFonts w:ascii="黑体" w:hAnsi="Times New Roman" w:eastAsia="黑体" w:cs="Times New Roman"/>
      <w:sz w:val="21"/>
      <w:lang w:val="en-US" w:eastAsia="zh-CN" w:bidi="ar-SA"/>
    </w:rPr>
  </w:style>
  <w:style w:type="paragraph" w:customStyle="1" w:styleId="345">
    <w:name w:val="列表段落1"/>
    <w:basedOn w:val="1"/>
    <w:qFormat/>
    <w:uiPriority w:val="99"/>
    <w:pPr>
      <w:ind w:firstLine="420" w:firstLineChars="200"/>
    </w:pPr>
    <w:rPr>
      <w:rFonts w:ascii="Calibri" w:hAnsi="Calibri"/>
    </w:rPr>
  </w:style>
  <w:style w:type="paragraph" w:customStyle="1" w:styleId="346">
    <w:name w:val="样式 我的正文 + 左侧:  2 字符 首行缩进:  2 字符"/>
    <w:basedOn w:val="1"/>
    <w:qFormat/>
    <w:uiPriority w:val="0"/>
    <w:pPr>
      <w:widowControl/>
      <w:topLinePunct/>
      <w:autoSpaceDE w:val="0"/>
      <w:autoSpaceDN w:val="0"/>
      <w:adjustRightInd w:val="0"/>
      <w:spacing w:line="360" w:lineRule="auto"/>
      <w:ind w:left="200" w:leftChars="200" w:firstLine="200" w:firstLineChars="200"/>
      <w:jc w:val="left"/>
    </w:pPr>
    <w:rPr>
      <w:rFonts w:ascii="宋体" w:hAnsi="宋体" w:cs="宋体"/>
      <w:color w:val="000000"/>
      <w:kern w:val="0"/>
      <w:sz w:val="24"/>
    </w:rPr>
  </w:style>
  <w:style w:type="paragraph" w:customStyle="1" w:styleId="347">
    <w:name w:val="条目"/>
    <w:basedOn w:val="1"/>
    <w:qFormat/>
    <w:uiPriority w:val="0"/>
    <w:pPr>
      <w:spacing w:before="60" w:after="60" w:line="360" w:lineRule="auto"/>
      <w:ind w:firstLine="657" w:firstLineChars="218"/>
      <w:outlineLvl w:val="0"/>
    </w:pPr>
    <w:rPr>
      <w:rFonts w:eastAsia="仿宋_GB2312"/>
      <w:b/>
      <w:sz w:val="30"/>
    </w:rPr>
  </w:style>
  <w:style w:type="paragraph" w:customStyle="1" w:styleId="348">
    <w:name w:val="样式 样式 样式 样式 标题 1 + 首行缩进:  2 字符 段前: 1 行 段后: 1 行 + 黑色 首行缩进:  2 字符 ..."/>
    <w:basedOn w:val="341"/>
    <w:autoRedefine/>
    <w:qFormat/>
    <w:uiPriority w:val="0"/>
    <w:pPr>
      <w:tabs>
        <w:tab w:val="clear" w:pos="1440"/>
      </w:tabs>
      <w:spacing w:before="357" w:beforeLines="0" w:after="357" w:afterLines="0"/>
    </w:pPr>
    <w:rPr>
      <w:sz w:val="24"/>
      <w:szCs w:val="24"/>
    </w:rPr>
  </w:style>
  <w:style w:type="paragraph" w:customStyle="1" w:styleId="349">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350">
    <w:name w:val="Char3"/>
    <w:basedOn w:val="1"/>
    <w:qFormat/>
    <w:uiPriority w:val="0"/>
    <w:pPr>
      <w:topLinePunct/>
    </w:pPr>
  </w:style>
  <w:style w:type="paragraph" w:customStyle="1" w:styleId="351">
    <w:name w:val="3"/>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52">
    <w:name w:val="Data1"/>
    <w:qFormat/>
    <w:uiPriority w:val="0"/>
    <w:pPr>
      <w:tabs>
        <w:tab w:val="right" w:leader="dot" w:pos="5800"/>
        <w:tab w:val="left" w:pos="6000"/>
      </w:tabs>
      <w:adjustRightInd w:val="0"/>
      <w:snapToGrid w:val="0"/>
      <w:ind w:left="600"/>
    </w:pPr>
    <w:rPr>
      <w:rFonts w:ascii="Arial" w:hAnsi="Arial" w:eastAsia="方正黑体简体" w:cs="Times New Roman"/>
      <w:lang w:val="en-US" w:eastAsia="zh-CN" w:bidi="ar-SA"/>
    </w:rPr>
  </w:style>
  <w:style w:type="paragraph" w:customStyle="1" w:styleId="353">
    <w:name w:val="表文"/>
    <w:basedOn w:val="1"/>
    <w:qFormat/>
    <w:uiPriority w:val="0"/>
    <w:pPr>
      <w:spacing w:line="360" w:lineRule="auto"/>
      <w:ind w:left="-21" w:leftChars="-21" w:hanging="36" w:hangingChars="15"/>
      <w:jc w:val="center"/>
    </w:pPr>
    <w:rPr>
      <w:kern w:val="0"/>
      <w:sz w:val="24"/>
      <w:lang w:val="zh-CN"/>
    </w:rPr>
  </w:style>
  <w:style w:type="paragraph" w:customStyle="1" w:styleId="354">
    <w:name w:val="Char Char Char1 Char"/>
    <w:basedOn w:val="1"/>
    <w:qFormat/>
    <w:uiPriority w:val="0"/>
    <w:rPr>
      <w:rFonts w:ascii="宋体" w:hAnsi="宋体"/>
      <w:b/>
      <w:color w:val="000000"/>
      <w:sz w:val="24"/>
      <w:szCs w:val="24"/>
    </w:rPr>
  </w:style>
  <w:style w:type="paragraph" w:customStyle="1" w:styleId="355">
    <w:name w:val="xl51"/>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textAlignment w:val="center"/>
    </w:pPr>
    <w:rPr>
      <w:kern w:val="0"/>
      <w:sz w:val="16"/>
      <w:szCs w:val="16"/>
    </w:rPr>
  </w:style>
  <w:style w:type="paragraph" w:customStyle="1" w:styleId="35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kern w:val="0"/>
      <w:sz w:val="20"/>
    </w:rPr>
  </w:style>
  <w:style w:type="paragraph" w:customStyle="1" w:styleId="357">
    <w:name w:val="单位"/>
    <w:basedOn w:val="1"/>
    <w:qFormat/>
    <w:uiPriority w:val="0"/>
    <w:pPr>
      <w:spacing w:before="156" w:beforeLines="50" w:after="156" w:afterLines="50" w:line="360" w:lineRule="auto"/>
      <w:jc w:val="center"/>
    </w:pPr>
    <w:rPr>
      <w:rFonts w:eastAsia="黑体"/>
      <w:sz w:val="32"/>
    </w:rPr>
  </w:style>
  <w:style w:type="paragraph" w:customStyle="1" w:styleId="358">
    <w:name w:val="论文正文"/>
    <w:basedOn w:val="1"/>
    <w:qFormat/>
    <w:uiPriority w:val="0"/>
    <w:pPr>
      <w:spacing w:line="400" w:lineRule="exact"/>
      <w:ind w:firstLine="200" w:firstLineChars="200"/>
    </w:pPr>
    <w:rPr>
      <w:sz w:val="24"/>
    </w:rPr>
  </w:style>
  <w:style w:type="paragraph" w:customStyle="1" w:styleId="359">
    <w:name w:val="样式 标题 2 + 黑体 段前: 10.25 磅 段后: 10.25 磅 行距: 单倍行距"/>
    <w:basedOn w:val="3"/>
    <w:qFormat/>
    <w:uiPriority w:val="0"/>
    <w:pPr>
      <w:adjustRightInd w:val="0"/>
      <w:spacing w:before="156" w:beforeLines="50" w:after="156" w:afterLines="50" w:line="240" w:lineRule="auto"/>
      <w:jc w:val="left"/>
      <w:textAlignment w:val="baseline"/>
    </w:pPr>
    <w:rPr>
      <w:rFonts w:ascii="黑体" w:hAnsi="黑体"/>
      <w:b w:val="0"/>
      <w:sz w:val="21"/>
    </w:rPr>
  </w:style>
  <w:style w:type="paragraph" w:customStyle="1" w:styleId="360">
    <w:name w:val="节小标题"/>
    <w:basedOn w:val="9"/>
    <w:qFormat/>
    <w:uiPriority w:val="0"/>
    <w:pPr>
      <w:tabs>
        <w:tab w:val="clear" w:pos="1440"/>
      </w:tabs>
      <w:adjustRightInd w:val="0"/>
      <w:snapToGrid w:val="0"/>
      <w:spacing w:before="100" w:after="0" w:line="300" w:lineRule="auto"/>
      <w:ind w:left="0" w:firstLine="359"/>
      <w:outlineLvl w:val="9"/>
    </w:pPr>
    <w:rPr>
      <w:rFonts w:ascii="Times New Roman" w:hAnsi="Times New Roman" w:eastAsia="仿宋_GB2312"/>
      <w:sz w:val="30"/>
    </w:rPr>
  </w:style>
  <w:style w:type="paragraph" w:customStyle="1" w:styleId="361">
    <w:name w:val="1a"/>
    <w:basedOn w:val="179"/>
    <w:qFormat/>
    <w:uiPriority w:val="0"/>
    <w:pPr>
      <w:widowControl/>
      <w:topLinePunct/>
      <w:adjustRightInd/>
      <w:spacing w:line="480" w:lineRule="auto"/>
      <w:jc w:val="left"/>
      <w:textAlignment w:val="auto"/>
    </w:pPr>
    <w:rPr>
      <w:rFonts w:ascii="EU-F1" w:eastAsia="黑体"/>
      <w:color w:val="000000"/>
      <w:kern w:val="21"/>
      <w:sz w:val="21"/>
      <w:szCs w:val="21"/>
    </w:rPr>
  </w:style>
  <w:style w:type="paragraph" w:customStyle="1" w:styleId="362">
    <w:name w:val="1.1.1"/>
    <w:basedOn w:val="1"/>
    <w:qFormat/>
    <w:uiPriority w:val="0"/>
    <w:pPr>
      <w:tabs>
        <w:tab w:val="left" w:pos="852"/>
      </w:tabs>
      <w:topLinePunct/>
      <w:autoSpaceDE w:val="0"/>
      <w:autoSpaceDN w:val="0"/>
      <w:adjustRightInd w:val="0"/>
      <w:spacing w:beforeLines="50" w:afterLines="50" w:line="360" w:lineRule="auto"/>
      <w:ind w:left="1276" w:hanging="1276"/>
    </w:pPr>
    <w:rPr>
      <w:rFonts w:ascii="黑体" w:hAnsi="宋体" w:eastAsia="黑体"/>
      <w:kern w:val="0"/>
      <w:sz w:val="28"/>
      <w:szCs w:val="28"/>
    </w:rPr>
  </w:style>
  <w:style w:type="paragraph" w:customStyle="1" w:styleId="363">
    <w:name w:val="我的标题1"/>
    <w:qFormat/>
    <w:uiPriority w:val="0"/>
    <w:pPr>
      <w:tabs>
        <w:tab w:val="left" w:pos="3700"/>
      </w:tabs>
      <w:autoSpaceDE w:val="0"/>
      <w:autoSpaceDN w:val="0"/>
      <w:adjustRightInd w:val="0"/>
      <w:spacing w:line="360" w:lineRule="auto"/>
      <w:ind w:left="3700" w:hanging="400"/>
      <w:outlineLvl w:val="0"/>
    </w:pPr>
    <w:rPr>
      <w:rFonts w:ascii="宋体" w:hAnsi="宋体" w:eastAsia="宋体" w:cs="宋体"/>
      <w:color w:val="000000"/>
      <w:sz w:val="24"/>
      <w:szCs w:val="22"/>
      <w:lang w:val="en-US" w:eastAsia="zh-CN" w:bidi="ar-SA"/>
    </w:rPr>
  </w:style>
  <w:style w:type="paragraph" w:customStyle="1" w:styleId="364">
    <w:name w:val="Char1"/>
    <w:basedOn w:val="1"/>
    <w:qFormat/>
    <w:uiPriority w:val="0"/>
    <w:pPr>
      <w:adjustRightInd w:val="0"/>
      <w:spacing w:line="360" w:lineRule="atLeast"/>
    </w:pPr>
  </w:style>
  <w:style w:type="paragraph" w:customStyle="1" w:styleId="365">
    <w:name w:val="font5"/>
    <w:basedOn w:val="1"/>
    <w:qFormat/>
    <w:uiPriority w:val="0"/>
    <w:pPr>
      <w:widowControl/>
      <w:spacing w:before="100" w:beforeAutospacing="1" w:after="100" w:afterAutospacing="1"/>
      <w:jc w:val="left"/>
    </w:pPr>
    <w:rPr>
      <w:rFonts w:ascii="宋体" w:hAnsi="宋体"/>
      <w:kern w:val="0"/>
      <w:sz w:val="18"/>
    </w:rPr>
  </w:style>
  <w:style w:type="paragraph" w:customStyle="1" w:styleId="366">
    <w:name w:val="Char Char Char Char Char2 Char2"/>
    <w:basedOn w:val="1"/>
    <w:qFormat/>
    <w:uiPriority w:val="0"/>
    <w:pPr>
      <w:topLinePunct/>
    </w:pPr>
  </w:style>
  <w:style w:type="paragraph" w:customStyle="1" w:styleId="367">
    <w:name w:val="APPENDIX"/>
    <w:qFormat/>
    <w:uiPriority w:val="0"/>
    <w:pPr>
      <w:overflowPunct w:val="0"/>
      <w:autoSpaceDE w:val="0"/>
      <w:autoSpaceDN w:val="0"/>
      <w:adjustRightInd w:val="0"/>
      <w:spacing w:before="120"/>
      <w:textAlignment w:val="baseline"/>
    </w:pPr>
    <w:rPr>
      <w:rFonts w:ascii="宋体" w:hAnsi="宋体" w:eastAsia="宋体" w:cs="Times New Roman"/>
      <w:b/>
      <w:caps/>
      <w:color w:val="000000"/>
      <w:sz w:val="28"/>
      <w:u w:val="single"/>
      <w:lang w:val="en-US" w:eastAsia="zh-CN" w:bidi="ar-SA"/>
    </w:rPr>
  </w:style>
  <w:style w:type="paragraph" w:customStyle="1" w:styleId="368">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369">
    <w:name w:val="样式 样式 样式 标题 2 + 段前: 0.5 行 段后: 0.5 行 + 首行缩进:  2 字符 段前: 0.5 行 段后: ..."/>
    <w:basedOn w:val="370"/>
    <w:qFormat/>
    <w:uiPriority w:val="0"/>
    <w:pPr>
      <w:tabs>
        <w:tab w:val="left" w:pos="1080"/>
      </w:tabs>
    </w:pPr>
    <w:rPr>
      <w:color w:val="000000"/>
    </w:rPr>
  </w:style>
  <w:style w:type="paragraph" w:customStyle="1" w:styleId="370">
    <w:name w:val="样式 样式 标题 2 + 段前: 0.5 行 段后: 0.5 行 + 首行缩进:  2 字符 段前: 0.5 行 段后: 0..."/>
    <w:basedOn w:val="371"/>
    <w:qFormat/>
    <w:uiPriority w:val="0"/>
    <w:pPr>
      <w:spacing w:before="50" w:after="50"/>
      <w:ind w:firstLine="0" w:firstLineChars="0"/>
    </w:pPr>
    <w:rPr>
      <w:bCs/>
      <w:szCs w:val="20"/>
    </w:rPr>
  </w:style>
  <w:style w:type="paragraph" w:customStyle="1" w:styleId="371">
    <w:name w:val="样式 标题 2 + 段前: 0.5 行 段后: 0.5 行"/>
    <w:basedOn w:val="3"/>
    <w:qFormat/>
    <w:uiPriority w:val="0"/>
    <w:pPr>
      <w:adjustRightInd w:val="0"/>
      <w:spacing w:before="156" w:after="156" w:line="240" w:lineRule="auto"/>
      <w:ind w:firstLine="200" w:firstLineChars="200"/>
      <w:jc w:val="left"/>
      <w:textAlignment w:val="baseline"/>
    </w:pPr>
    <w:rPr>
      <w:rFonts w:ascii="Times New Roman" w:hAnsi="Times New Roman" w:cs="宋体"/>
      <w:b w:val="0"/>
      <w:bCs w:val="0"/>
      <w:sz w:val="21"/>
      <w:szCs w:val="21"/>
    </w:rPr>
  </w:style>
  <w:style w:type="paragraph" w:customStyle="1" w:styleId="372">
    <w:name w:val="样式 标题 2 + 字距调整四号"/>
    <w:basedOn w:val="3"/>
    <w:qFormat/>
    <w:uiPriority w:val="0"/>
    <w:pPr>
      <w:widowControl/>
      <w:overflowPunct w:val="0"/>
      <w:topLinePunct/>
      <w:autoSpaceDE w:val="0"/>
      <w:autoSpaceDN w:val="0"/>
      <w:adjustRightInd w:val="0"/>
      <w:spacing w:before="0" w:after="0" w:line="320" w:lineRule="exact"/>
      <w:ind w:firstLine="420"/>
      <w:textAlignment w:val="baseline"/>
    </w:pPr>
    <w:rPr>
      <w:rFonts w:ascii="Times New Roman" w:hAnsi="Times New Roman"/>
      <w:b w:val="0"/>
      <w:kern w:val="28"/>
      <w:sz w:val="21"/>
      <w:szCs w:val="21"/>
    </w:rPr>
  </w:style>
  <w:style w:type="paragraph" w:customStyle="1" w:styleId="373">
    <w:name w:val="xl2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rPr>
  </w:style>
  <w:style w:type="paragraph" w:customStyle="1" w:styleId="374">
    <w:name w:val="4号节居中"/>
    <w:basedOn w:val="1"/>
    <w:next w:val="1"/>
    <w:qFormat/>
    <w:uiPriority w:val="0"/>
    <w:pPr>
      <w:adjustRightInd w:val="0"/>
      <w:snapToGrid w:val="0"/>
      <w:spacing w:line="480" w:lineRule="atLeast"/>
      <w:jc w:val="center"/>
    </w:pPr>
    <w:rPr>
      <w:rFonts w:ascii="宋体" w:hAnsi="宋体"/>
      <w:snapToGrid w:val="0"/>
      <w:color w:val="000000"/>
      <w:spacing w:val="6"/>
      <w:kern w:val="0"/>
      <w:sz w:val="28"/>
    </w:rPr>
  </w:style>
  <w:style w:type="paragraph" w:customStyle="1" w:styleId="375">
    <w:name w:val="样式 标题 2 + 段前: 0.5 行"/>
    <w:basedOn w:val="3"/>
    <w:next w:val="1"/>
    <w:qFormat/>
    <w:uiPriority w:val="0"/>
    <w:pPr>
      <w:tabs>
        <w:tab w:val="left" w:pos="1134"/>
      </w:tabs>
      <w:topLinePunct/>
      <w:spacing w:beforeLines="50" w:after="0" w:line="240" w:lineRule="auto"/>
      <w:ind w:left="1134" w:hanging="1134"/>
    </w:pPr>
    <w:rPr>
      <w:rFonts w:eastAsia="宋体" w:cs="宋体"/>
      <w:bCs w:val="0"/>
      <w:sz w:val="24"/>
    </w:rPr>
  </w:style>
  <w:style w:type="paragraph" w:customStyle="1" w:styleId="376">
    <w:name w:val="样式 标题 1 + 三号"/>
    <w:basedOn w:val="2"/>
    <w:qFormat/>
    <w:uiPriority w:val="0"/>
    <w:pPr>
      <w:overflowPunct w:val="0"/>
      <w:topLinePunct/>
      <w:autoSpaceDE w:val="0"/>
      <w:autoSpaceDN w:val="0"/>
      <w:spacing w:before="120" w:line="300" w:lineRule="auto"/>
      <w:ind w:firstLine="420"/>
    </w:pPr>
    <w:rPr>
      <w:rFonts w:eastAsia="宋体"/>
      <w:bCs/>
      <w:kern w:val="44"/>
      <w:sz w:val="32"/>
      <w:szCs w:val="32"/>
    </w:rPr>
  </w:style>
  <w:style w:type="paragraph" w:customStyle="1" w:styleId="377">
    <w:name w:val="xl45"/>
    <w:basedOn w:val="1"/>
    <w:qFormat/>
    <w:uiPriority w:val="0"/>
    <w:pPr>
      <w:widowControl/>
      <w:pBdr>
        <w:left w:val="single" w:color="auto" w:sz="4" w:space="0"/>
        <w:right w:val="single" w:color="auto" w:sz="4" w:space="0"/>
      </w:pBdr>
      <w:shd w:val="clear" w:color="auto" w:fill="C0C0C0"/>
      <w:spacing w:before="100" w:beforeAutospacing="1" w:after="100" w:afterAutospacing="1"/>
      <w:jc w:val="center"/>
      <w:textAlignment w:val="center"/>
    </w:pPr>
    <w:rPr>
      <w:color w:val="000000"/>
      <w:kern w:val="0"/>
      <w:sz w:val="16"/>
      <w:szCs w:val="16"/>
    </w:rPr>
  </w:style>
  <w:style w:type="paragraph" w:customStyle="1" w:styleId="378">
    <w:name w:val="Char2"/>
    <w:basedOn w:val="1"/>
    <w:qFormat/>
    <w:uiPriority w:val="0"/>
    <w:pPr>
      <w:topLinePunct/>
    </w:pPr>
  </w:style>
  <w:style w:type="paragraph" w:customStyle="1" w:styleId="379">
    <w:name w:val="xl41"/>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Arial" w:hAnsi="Arial"/>
      <w:kern w:val="0"/>
      <w:sz w:val="20"/>
    </w:rPr>
  </w:style>
  <w:style w:type="paragraph" w:customStyle="1" w:styleId="380">
    <w:name w:val="Char Char Char Char"/>
    <w:basedOn w:val="1"/>
    <w:qFormat/>
    <w:uiPriority w:val="0"/>
  </w:style>
  <w:style w:type="paragraph" w:customStyle="1" w:styleId="381">
    <w:name w:val="自控2"/>
    <w:basedOn w:val="1"/>
    <w:qFormat/>
    <w:uiPriority w:val="0"/>
    <w:pPr>
      <w:adjustRightInd w:val="0"/>
      <w:spacing w:line="360" w:lineRule="atLeast"/>
      <w:ind w:left="1329" w:leftChars="434" w:hanging="418" w:hangingChars="199"/>
      <w:jc w:val="left"/>
      <w:textAlignment w:val="baseline"/>
    </w:pPr>
    <w:rPr>
      <w:kern w:val="0"/>
      <w:sz w:val="24"/>
    </w:rPr>
  </w:style>
  <w:style w:type="paragraph" w:customStyle="1" w:styleId="382">
    <w:name w:val="无间隔111"/>
    <w:basedOn w:val="1"/>
    <w:qFormat/>
    <w:uiPriority w:val="1"/>
    <w:pPr>
      <w:spacing w:line="400" w:lineRule="exact"/>
    </w:pPr>
    <w:rPr>
      <w:sz w:val="24"/>
    </w:rPr>
  </w:style>
  <w:style w:type="paragraph" w:customStyle="1" w:styleId="383">
    <w:name w:val="xl48"/>
    <w:basedOn w:val="1"/>
    <w:qFormat/>
    <w:uiPriority w:val="0"/>
    <w:pPr>
      <w:widowControl/>
      <w:pBdr>
        <w:left w:val="single" w:color="auto" w:sz="4" w:space="0"/>
      </w:pBdr>
      <w:spacing w:before="100" w:beforeAutospacing="1" w:after="100" w:afterAutospacing="1"/>
      <w:jc w:val="center"/>
    </w:pPr>
    <w:rPr>
      <w:rFonts w:ascii="宋体" w:hAnsi="宋体"/>
      <w:kern w:val="0"/>
      <w:sz w:val="24"/>
    </w:rPr>
  </w:style>
  <w:style w:type="paragraph" w:customStyle="1" w:styleId="384">
    <w:name w:val="列出段落11"/>
    <w:basedOn w:val="1"/>
    <w:qFormat/>
    <w:uiPriority w:val="0"/>
    <w:pPr>
      <w:spacing w:line="360" w:lineRule="auto"/>
      <w:ind w:left="828" w:firstLine="420" w:firstLineChars="200"/>
    </w:pPr>
    <w:rPr>
      <w:szCs w:val="21"/>
    </w:rPr>
  </w:style>
  <w:style w:type="paragraph" w:customStyle="1" w:styleId="385">
    <w:name w:val="目录"/>
    <w:basedOn w:val="1"/>
    <w:qFormat/>
    <w:uiPriority w:val="0"/>
    <w:pPr>
      <w:spacing w:line="360" w:lineRule="auto"/>
      <w:jc w:val="center"/>
    </w:pPr>
    <w:rPr>
      <w:rFonts w:eastAsia="黑体"/>
      <w:b/>
      <w:sz w:val="32"/>
    </w:rPr>
  </w:style>
  <w:style w:type="paragraph" w:customStyle="1" w:styleId="386">
    <w:name w:val="表格"/>
    <w:basedOn w:val="1"/>
    <w:qFormat/>
    <w:uiPriority w:val="0"/>
    <w:pPr>
      <w:adjustRightInd w:val="0"/>
      <w:spacing w:before="40" w:after="40"/>
      <w:jc w:val="center"/>
    </w:pPr>
    <w:rPr>
      <w:rFonts w:hint="eastAsia" w:ascii="昆仑仿宋" w:eastAsia="昆仑仿宋"/>
      <w:kern w:val="0"/>
      <w:sz w:val="24"/>
    </w:rPr>
  </w:style>
  <w:style w:type="paragraph" w:customStyle="1" w:styleId="387">
    <w:name w:val="样式 首行缩进:  2 字符"/>
    <w:basedOn w:val="1"/>
    <w:qFormat/>
    <w:uiPriority w:val="0"/>
    <w:pPr>
      <w:spacing w:line="400" w:lineRule="exact"/>
      <w:ind w:firstLine="200" w:firstLineChars="200"/>
    </w:pPr>
    <w:rPr>
      <w:rFonts w:cs="宋体"/>
      <w:sz w:val="24"/>
    </w:rPr>
  </w:style>
  <w:style w:type="paragraph" w:customStyle="1" w:styleId="38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389">
    <w:name w:val="无间隔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390">
    <w:name w:val="样式 2"/>
    <w:basedOn w:val="3"/>
    <w:qFormat/>
    <w:uiPriority w:val="0"/>
    <w:pPr>
      <w:topLinePunct/>
      <w:spacing w:before="0" w:after="0" w:line="312" w:lineRule="exact"/>
    </w:pPr>
    <w:rPr>
      <w:rFonts w:ascii="EU-F1" w:hAnsi="Times New Roman"/>
      <w:b w:val="0"/>
      <w:bCs w:val="0"/>
      <w:sz w:val="21"/>
      <w:szCs w:val="21"/>
    </w:rPr>
  </w:style>
  <w:style w:type="paragraph" w:customStyle="1" w:styleId="391">
    <w:name w:val="Char111"/>
    <w:basedOn w:val="1"/>
    <w:qFormat/>
    <w:uiPriority w:val="0"/>
    <w:rPr>
      <w:szCs w:val="24"/>
    </w:rPr>
  </w:style>
  <w:style w:type="paragraph" w:customStyle="1" w:styleId="392">
    <w:name w:val="p82"/>
    <w:basedOn w:val="1"/>
    <w:qFormat/>
    <w:uiPriority w:val="0"/>
    <w:pPr>
      <w:widowControl/>
      <w:tabs>
        <w:tab w:val="left" w:pos="460"/>
      </w:tabs>
      <w:overflowPunct w:val="0"/>
      <w:autoSpaceDE w:val="0"/>
      <w:autoSpaceDN w:val="0"/>
      <w:adjustRightInd w:val="0"/>
      <w:spacing w:line="320" w:lineRule="atLeast"/>
      <w:textAlignment w:val="baseline"/>
    </w:pPr>
    <w:rPr>
      <w:kern w:val="0"/>
      <w:sz w:val="24"/>
      <w:lang w:val="en-GB"/>
    </w:rPr>
  </w:style>
  <w:style w:type="paragraph" w:customStyle="1" w:styleId="393">
    <w:name w:val="Char Char Char Char11"/>
    <w:basedOn w:val="1"/>
    <w:qFormat/>
    <w:uiPriority w:val="0"/>
    <w:rPr>
      <w:rFonts w:ascii="宋体" w:hAnsi="宋体"/>
      <w:b/>
      <w:color w:val="000000"/>
      <w:sz w:val="24"/>
      <w:szCs w:val="24"/>
    </w:rPr>
  </w:style>
  <w:style w:type="paragraph" w:customStyle="1" w:styleId="394">
    <w:name w:val="tll"/>
    <w:basedOn w:val="1"/>
    <w:qFormat/>
    <w:uiPriority w:val="0"/>
    <w:pPr>
      <w:autoSpaceDE w:val="0"/>
      <w:autoSpaceDN w:val="0"/>
      <w:adjustRightInd w:val="0"/>
      <w:snapToGrid w:val="0"/>
    </w:pPr>
    <w:rPr>
      <w:rFonts w:ascii="仿宋_GB2312" w:hAnsi="Arial" w:eastAsia="仿宋_GB2312"/>
      <w:kern w:val="0"/>
    </w:rPr>
  </w:style>
  <w:style w:type="paragraph" w:customStyle="1" w:styleId="395">
    <w:name w:val="Char31"/>
    <w:basedOn w:val="1"/>
    <w:qFormat/>
    <w:uiPriority w:val="0"/>
    <w:pPr>
      <w:topLinePunct/>
    </w:pPr>
  </w:style>
  <w:style w:type="paragraph" w:customStyle="1" w:styleId="396">
    <w:name w:val="Char Char Char"/>
    <w:basedOn w:val="1"/>
    <w:qFormat/>
    <w:uiPriority w:val="0"/>
    <w:pPr>
      <w:widowControl/>
      <w:spacing w:after="20" w:line="360" w:lineRule="auto"/>
      <w:jc w:val="left"/>
    </w:pPr>
    <w:rPr>
      <w:rFonts w:eastAsia="Times New Roman"/>
      <w:kern w:val="0"/>
      <w:sz w:val="20"/>
    </w:rPr>
  </w:style>
  <w:style w:type="paragraph" w:customStyle="1" w:styleId="397">
    <w:name w:val="Char Char Char Char Char Char"/>
    <w:basedOn w:val="1"/>
    <w:qFormat/>
    <w:uiPriority w:val="0"/>
    <w:pPr>
      <w:topLinePunct/>
    </w:pPr>
  </w:style>
  <w:style w:type="paragraph" w:customStyle="1" w:styleId="398">
    <w:name w:val="3z"/>
    <w:basedOn w:val="1"/>
    <w:qFormat/>
    <w:uiPriority w:val="0"/>
    <w:pPr>
      <w:adjustRightInd w:val="0"/>
      <w:spacing w:line="312" w:lineRule="exact"/>
      <w:jc w:val="left"/>
      <w:textAlignment w:val="baseline"/>
    </w:pPr>
    <w:rPr>
      <w:rFonts w:ascii="EU-F1" w:eastAsia="黑体"/>
      <w:kern w:val="0"/>
      <w:sz w:val="24"/>
      <w:szCs w:val="21"/>
    </w:rPr>
  </w:style>
  <w:style w:type="paragraph" w:customStyle="1" w:styleId="399">
    <w:name w:val="xl4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w:hAnsi="Arial"/>
      <w:kern w:val="0"/>
      <w:sz w:val="20"/>
    </w:rPr>
  </w:style>
  <w:style w:type="paragraph" w:styleId="400">
    <w:name w:val="List Paragraph"/>
    <w:basedOn w:val="1"/>
    <w:qFormat/>
    <w:uiPriority w:val="0"/>
    <w:pPr>
      <w:ind w:firstLine="420" w:firstLineChars="200"/>
    </w:pPr>
    <w:rPr>
      <w:rFonts w:ascii="Calibri" w:hAnsi="Calibri"/>
      <w:szCs w:val="22"/>
    </w:rPr>
  </w:style>
  <w:style w:type="paragraph" w:customStyle="1" w:styleId="401">
    <w:name w:val="标准"/>
    <w:basedOn w:val="1"/>
    <w:qFormat/>
    <w:uiPriority w:val="0"/>
    <w:pPr>
      <w:spacing w:line="300" w:lineRule="atLeast"/>
    </w:pPr>
    <w:rPr>
      <w:spacing w:val="20"/>
      <w:sz w:val="28"/>
    </w:rPr>
  </w:style>
  <w:style w:type="paragraph" w:customStyle="1" w:styleId="402">
    <w:name w:val="Char Char Char1 Char1"/>
    <w:basedOn w:val="1"/>
    <w:qFormat/>
    <w:uiPriority w:val="0"/>
    <w:rPr>
      <w:rFonts w:ascii="宋体" w:hAnsi="宋体"/>
      <w:b/>
      <w:color w:val="000000"/>
      <w:sz w:val="24"/>
      <w:szCs w:val="24"/>
    </w:rPr>
  </w:style>
  <w:style w:type="paragraph" w:customStyle="1" w:styleId="403">
    <w:name w:val="p0"/>
    <w:basedOn w:val="1"/>
    <w:qFormat/>
    <w:uiPriority w:val="0"/>
    <w:pPr>
      <w:widowControl/>
    </w:pPr>
    <w:rPr>
      <w:rFonts w:ascii="Calibri" w:hAnsi="Calibri"/>
      <w:kern w:val="0"/>
    </w:rPr>
  </w:style>
  <w:style w:type="paragraph" w:customStyle="1" w:styleId="404">
    <w:name w:val="正文缩进2"/>
    <w:basedOn w:val="1"/>
    <w:qFormat/>
    <w:uiPriority w:val="0"/>
    <w:pPr>
      <w:ind w:firstLine="420" w:firstLineChars="200"/>
    </w:pPr>
  </w:style>
  <w:style w:type="paragraph" w:customStyle="1" w:styleId="405">
    <w:name w:val="Char11"/>
    <w:basedOn w:val="1"/>
    <w:qFormat/>
    <w:uiPriority w:val="0"/>
    <w:pPr>
      <w:widowControl/>
      <w:topLinePunct/>
      <w:spacing w:after="160" w:line="240" w:lineRule="exact"/>
      <w:jc w:val="left"/>
    </w:pPr>
    <w:rPr>
      <w:rFonts w:ascii="Verdana" w:hAnsi="Verdana"/>
      <w:kern w:val="0"/>
      <w:sz w:val="20"/>
      <w:lang w:eastAsia="en-US"/>
    </w:rPr>
  </w:style>
  <w:style w:type="paragraph" w:customStyle="1" w:styleId="406">
    <w:name w:val="xl52"/>
    <w:basedOn w:val="1"/>
    <w:qFormat/>
    <w:uiPriority w:val="0"/>
    <w:pPr>
      <w:widowControl/>
      <w:pBdr>
        <w:left w:val="single" w:color="auto" w:sz="4" w:space="0"/>
        <w:right w:val="single" w:color="auto" w:sz="4" w:space="0"/>
      </w:pBdr>
      <w:shd w:val="clear" w:color="auto" w:fill="C0C0C0"/>
      <w:spacing w:before="100" w:beforeAutospacing="1" w:after="100" w:afterAutospacing="1"/>
      <w:jc w:val="center"/>
      <w:textAlignment w:val="center"/>
    </w:pPr>
    <w:rPr>
      <w:kern w:val="0"/>
      <w:sz w:val="16"/>
      <w:szCs w:val="16"/>
    </w:rPr>
  </w:style>
  <w:style w:type="paragraph" w:customStyle="1" w:styleId="407">
    <w:name w:val="无间隔11"/>
    <w:basedOn w:val="1"/>
    <w:qFormat/>
    <w:uiPriority w:val="1"/>
    <w:pPr>
      <w:spacing w:line="400" w:lineRule="exact"/>
    </w:pPr>
    <w:rPr>
      <w:sz w:val="24"/>
    </w:rPr>
  </w:style>
  <w:style w:type="paragraph" w:customStyle="1" w:styleId="408">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9">
    <w:name w:val="无间隔21"/>
    <w:basedOn w:val="1"/>
    <w:qFormat/>
    <w:uiPriority w:val="1"/>
    <w:pPr>
      <w:spacing w:line="400" w:lineRule="exact"/>
    </w:pPr>
    <w:rPr>
      <w:sz w:val="24"/>
    </w:rPr>
  </w:style>
  <w:style w:type="paragraph" w:customStyle="1" w:styleId="410">
    <w:name w:val="NN"/>
    <w:basedOn w:val="1"/>
    <w:qFormat/>
    <w:uiPriority w:val="0"/>
    <w:pPr>
      <w:tabs>
        <w:tab w:val="left" w:pos="1080"/>
      </w:tabs>
      <w:topLinePunct/>
      <w:autoSpaceDE w:val="0"/>
      <w:autoSpaceDN w:val="0"/>
      <w:adjustRightInd w:val="0"/>
      <w:spacing w:before="60" w:after="60" w:line="360" w:lineRule="atLeast"/>
      <w:ind w:left="1134"/>
    </w:pPr>
    <w:rPr>
      <w:rFonts w:ascii="宋体"/>
      <w:kern w:val="0"/>
      <w:sz w:val="24"/>
    </w:rPr>
  </w:style>
  <w:style w:type="paragraph" w:customStyle="1" w:styleId="411">
    <w:name w:val="样式 首行缩进:  0 厘米 行距: 单倍行距"/>
    <w:basedOn w:val="1"/>
    <w:semiHidden/>
    <w:qFormat/>
    <w:uiPriority w:val="0"/>
    <w:pPr>
      <w:topLinePunct/>
      <w:adjustRightInd w:val="0"/>
      <w:textAlignment w:val="baseline"/>
    </w:pPr>
    <w:rPr>
      <w:kern w:val="0"/>
    </w:rPr>
  </w:style>
  <w:style w:type="paragraph" w:customStyle="1" w:styleId="412">
    <w:name w:val="日期1"/>
    <w:basedOn w:val="1"/>
    <w:next w:val="1"/>
    <w:qFormat/>
    <w:uiPriority w:val="0"/>
    <w:pPr>
      <w:adjustRightInd w:val="0"/>
      <w:spacing w:line="360" w:lineRule="atLeast"/>
      <w:ind w:firstLine="200" w:firstLineChars="200"/>
      <w:jc w:val="left"/>
      <w:textAlignment w:val="baseline"/>
    </w:pPr>
    <w:rPr>
      <w:rFonts w:ascii="Arial" w:hAnsi="Arial"/>
      <w:kern w:val="0"/>
      <w:sz w:val="24"/>
      <w:szCs w:val="21"/>
    </w:rPr>
  </w:style>
  <w:style w:type="paragraph" w:customStyle="1" w:styleId="413">
    <w:name w:val="Identation 2"/>
    <w:qFormat/>
    <w:uiPriority w:val="0"/>
    <w:pPr>
      <w:overflowPunct w:val="0"/>
      <w:autoSpaceDE w:val="0"/>
      <w:autoSpaceDN w:val="0"/>
      <w:adjustRightInd w:val="0"/>
      <w:spacing w:before="120" w:after="60" w:line="288" w:lineRule="auto"/>
      <w:ind w:left="432"/>
      <w:jc w:val="both"/>
      <w:textAlignment w:val="baseline"/>
    </w:pPr>
    <w:rPr>
      <w:rFonts w:ascii="Times New Roman" w:hAnsi="Times New Roman" w:eastAsia="楷体_GB2312" w:cs="Times New Roman"/>
      <w:color w:val="000000"/>
      <w:sz w:val="24"/>
      <w:lang w:val="en-US" w:eastAsia="zh-CN" w:bidi="ar-SA"/>
    </w:rPr>
  </w:style>
  <w:style w:type="paragraph" w:customStyle="1" w:styleId="414">
    <w:name w:val="自控1"/>
    <w:basedOn w:val="1"/>
    <w:qFormat/>
    <w:uiPriority w:val="0"/>
    <w:pPr>
      <w:tabs>
        <w:tab w:val="left" w:pos="907"/>
      </w:tabs>
      <w:topLinePunct/>
      <w:adjustRightInd w:val="0"/>
      <w:spacing w:line="312" w:lineRule="exact"/>
      <w:ind w:left="908" w:hanging="488"/>
      <w:jc w:val="left"/>
      <w:textAlignment w:val="baseline"/>
    </w:pPr>
    <w:rPr>
      <w:kern w:val="0"/>
      <w:sz w:val="24"/>
      <w:szCs w:val="21"/>
    </w:rPr>
  </w:style>
  <w:style w:type="paragraph" w:customStyle="1" w:styleId="415">
    <w:name w:val="列出段落4"/>
    <w:basedOn w:val="1"/>
    <w:qFormat/>
    <w:uiPriority w:val="34"/>
    <w:pPr>
      <w:widowControl/>
      <w:adjustRightInd w:val="0"/>
      <w:snapToGrid w:val="0"/>
      <w:spacing w:after="200"/>
      <w:ind w:firstLine="420" w:firstLineChars="200"/>
      <w:jc w:val="left"/>
    </w:pPr>
    <w:rPr>
      <w:rFonts w:ascii="Tahoma" w:hAnsi="Tahoma" w:eastAsia="微软雅黑"/>
      <w:kern w:val="0"/>
      <w:sz w:val="22"/>
    </w:rPr>
  </w:style>
  <w:style w:type="paragraph" w:customStyle="1" w:styleId="416">
    <w:name w:val="2"/>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17">
    <w:name w:val="日期11"/>
    <w:basedOn w:val="1"/>
    <w:next w:val="1"/>
    <w:qFormat/>
    <w:uiPriority w:val="0"/>
    <w:pPr>
      <w:adjustRightInd w:val="0"/>
      <w:spacing w:line="360" w:lineRule="atLeast"/>
      <w:ind w:firstLine="200" w:firstLineChars="200"/>
      <w:jc w:val="left"/>
      <w:textAlignment w:val="baseline"/>
    </w:pPr>
    <w:rPr>
      <w:rFonts w:ascii="Arial" w:hAnsi="Arial"/>
      <w:kern w:val="0"/>
      <w:sz w:val="24"/>
      <w:szCs w:val="21"/>
    </w:rPr>
  </w:style>
  <w:style w:type="paragraph" w:customStyle="1" w:styleId="418">
    <w:name w:val="表格居中"/>
    <w:basedOn w:val="1"/>
    <w:qFormat/>
    <w:uiPriority w:val="0"/>
    <w:pPr>
      <w:spacing w:line="240" w:lineRule="atLeast"/>
      <w:jc w:val="center"/>
    </w:pPr>
    <w:rPr>
      <w:b/>
      <w:sz w:val="24"/>
    </w:rPr>
  </w:style>
  <w:style w:type="paragraph" w:customStyle="1" w:styleId="419">
    <w:name w:val="xl44"/>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textAlignment w:val="center"/>
    </w:pPr>
    <w:rPr>
      <w:color w:val="000000"/>
      <w:kern w:val="0"/>
      <w:sz w:val="16"/>
      <w:szCs w:val="16"/>
    </w:rPr>
  </w:style>
  <w:style w:type="paragraph" w:customStyle="1" w:styleId="420">
    <w:name w:val="样式4"/>
    <w:basedOn w:val="178"/>
    <w:qFormat/>
    <w:uiPriority w:val="0"/>
    <w:pPr>
      <w:widowControl w:val="0"/>
      <w:spacing w:before="620" w:after="360" w:line="490" w:lineRule="exact"/>
      <w:jc w:val="center"/>
    </w:pPr>
    <w:rPr>
      <w:rFonts w:ascii="宋体" w:hAnsi="Courier New" w:eastAsia="宋体" w:cs="Courier New"/>
      <w:color w:val="auto"/>
      <w:sz w:val="34"/>
      <w:szCs w:val="20"/>
    </w:rPr>
  </w:style>
  <w:style w:type="paragraph" w:customStyle="1" w:styleId="421">
    <w:name w:val="xl50"/>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422">
    <w:name w:val="font7"/>
    <w:basedOn w:val="1"/>
    <w:qFormat/>
    <w:uiPriority w:val="0"/>
    <w:pPr>
      <w:widowControl/>
      <w:spacing w:before="100" w:beforeAutospacing="1" w:after="100" w:afterAutospacing="1"/>
      <w:jc w:val="left"/>
    </w:pPr>
    <w:rPr>
      <w:color w:val="000000"/>
      <w:kern w:val="0"/>
      <w:sz w:val="20"/>
    </w:rPr>
  </w:style>
  <w:style w:type="paragraph" w:customStyle="1" w:styleId="423">
    <w:name w:val="Titre"/>
    <w:qFormat/>
    <w:uiPriority w:val="0"/>
    <w:pPr>
      <w:overflowPunct w:val="0"/>
      <w:autoSpaceDE w:val="0"/>
      <w:autoSpaceDN w:val="0"/>
      <w:adjustRightInd w:val="0"/>
      <w:spacing w:before="141"/>
      <w:jc w:val="center"/>
      <w:textAlignment w:val="baseline"/>
    </w:pPr>
    <w:rPr>
      <w:rFonts w:ascii="Arial" w:hAnsi="Arial" w:eastAsia="宋体" w:cs="Times New Roman"/>
      <w:b/>
      <w:caps/>
      <w:color w:val="000000"/>
      <w:sz w:val="28"/>
      <w:lang w:val="en-US" w:eastAsia="en-US" w:bidi="ar-SA"/>
    </w:rPr>
  </w:style>
  <w:style w:type="paragraph" w:customStyle="1" w:styleId="424">
    <w:name w:val="默认段落字体 Para Char Char Char Char"/>
    <w:basedOn w:val="1"/>
    <w:qFormat/>
    <w:uiPriority w:val="0"/>
  </w:style>
  <w:style w:type="paragraph" w:customStyle="1" w:styleId="425">
    <w:name w:val="xl31"/>
    <w:basedOn w:val="1"/>
    <w:qFormat/>
    <w:uiPriority w:val="0"/>
    <w:pPr>
      <w:widowControl/>
      <w:spacing w:before="100" w:beforeAutospacing="1" w:after="100" w:afterAutospacing="1"/>
      <w:jc w:val="right"/>
      <w:textAlignment w:val="center"/>
    </w:pPr>
    <w:rPr>
      <w:rFonts w:ascii="Arial" w:hAnsi="Arial"/>
      <w:kern w:val="0"/>
      <w:sz w:val="20"/>
    </w:rPr>
  </w:style>
  <w:style w:type="paragraph" w:customStyle="1" w:styleId="426">
    <w:name w:val="正文1"/>
    <w:basedOn w:val="1"/>
    <w:qFormat/>
    <w:uiPriority w:val="0"/>
    <w:pPr>
      <w:adjustRightInd w:val="0"/>
      <w:spacing w:line="360" w:lineRule="atLeast"/>
      <w:jc w:val="left"/>
    </w:pPr>
    <w:rPr>
      <w:rFonts w:hint="eastAsia" w:ascii="宋体"/>
      <w:kern w:val="0"/>
      <w:sz w:val="24"/>
    </w:rPr>
  </w:style>
  <w:style w:type="paragraph" w:customStyle="1" w:styleId="427">
    <w:name w:val="Char Char Char Char Char Char Char Char Char"/>
    <w:basedOn w:val="1"/>
    <w:qFormat/>
    <w:uiPriority w:val="0"/>
    <w:pPr>
      <w:topLinePunct/>
      <w:spacing w:line="360" w:lineRule="auto"/>
      <w:ind w:firstLine="200" w:firstLineChars="200"/>
    </w:pPr>
    <w:rPr>
      <w:kern w:val="0"/>
      <w:sz w:val="20"/>
    </w:rPr>
  </w:style>
  <w:style w:type="paragraph" w:customStyle="1" w:styleId="428">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Arial" w:hAnsi="Arial"/>
      <w:kern w:val="0"/>
      <w:sz w:val="20"/>
    </w:rPr>
  </w:style>
  <w:style w:type="paragraph" w:customStyle="1" w:styleId="42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430">
    <w:name w:val="样式 样式 样式 样式 标题 1 + 首行缩进:  2 字符 段前: 1 行 段后: 1 行 + 黑色 首行缩进:  2 字符 ...2"/>
    <w:basedOn w:val="341"/>
    <w:qFormat/>
    <w:uiPriority w:val="0"/>
    <w:pPr>
      <w:tabs>
        <w:tab w:val="clear" w:pos="1440"/>
      </w:tabs>
      <w:spacing w:before="357" w:beforeLines="0" w:after="357" w:afterLines="0"/>
    </w:pPr>
    <w:rPr>
      <w:sz w:val="24"/>
      <w:szCs w:val="24"/>
    </w:rPr>
  </w:style>
  <w:style w:type="paragraph" w:customStyle="1" w:styleId="431">
    <w:name w:val="页头"/>
    <w:basedOn w:val="328"/>
    <w:qFormat/>
    <w:uiPriority w:val="0"/>
    <w:pPr>
      <w:jc w:val="left"/>
    </w:pPr>
    <w:rPr>
      <w:rFonts w:eastAsia="宋体"/>
      <w:sz w:val="28"/>
    </w:rPr>
  </w:style>
  <w:style w:type="paragraph" w:customStyle="1" w:styleId="432">
    <w:name w:val="样式 标题 1 +"/>
    <w:basedOn w:val="2"/>
    <w:qFormat/>
    <w:uiPriority w:val="0"/>
    <w:pPr>
      <w:keepLines w:val="0"/>
      <w:widowControl/>
      <w:overflowPunct w:val="0"/>
      <w:topLinePunct/>
      <w:autoSpaceDE w:val="0"/>
      <w:autoSpaceDN w:val="0"/>
      <w:adjustRightInd w:val="0"/>
      <w:spacing w:line="320" w:lineRule="exact"/>
      <w:ind w:firstLine="420"/>
      <w:jc w:val="left"/>
      <w:textAlignment w:val="baseline"/>
    </w:pPr>
    <w:rPr>
      <w:rFonts w:ascii="汉仪大宋简"/>
      <w:sz w:val="28"/>
      <w:szCs w:val="26"/>
    </w:rPr>
  </w:style>
  <w:style w:type="paragraph" w:customStyle="1" w:styleId="433">
    <w:name w:val="正文缩"/>
    <w:basedOn w:val="1"/>
    <w:qFormat/>
    <w:uiPriority w:val="0"/>
    <w:pPr>
      <w:adjustRightInd w:val="0"/>
      <w:snapToGrid w:val="0"/>
      <w:spacing w:line="480" w:lineRule="atLeast"/>
      <w:ind w:firstLine="150"/>
    </w:pPr>
    <w:rPr>
      <w:rFonts w:ascii="宋体"/>
      <w:snapToGrid w:val="0"/>
      <w:spacing w:val="6"/>
      <w:kern w:val="0"/>
      <w:sz w:val="28"/>
    </w:rPr>
  </w:style>
  <w:style w:type="paragraph" w:customStyle="1" w:styleId="434">
    <w:name w:val="xl46"/>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color w:val="000000"/>
      <w:kern w:val="0"/>
      <w:sz w:val="16"/>
      <w:szCs w:val="16"/>
    </w:rPr>
  </w:style>
  <w:style w:type="paragraph" w:customStyle="1" w:styleId="435">
    <w:name w:val="CM99"/>
    <w:basedOn w:val="1"/>
    <w:next w:val="1"/>
    <w:qFormat/>
    <w:uiPriority w:val="0"/>
    <w:pPr>
      <w:autoSpaceDE w:val="0"/>
      <w:autoSpaceDN w:val="0"/>
      <w:adjustRightInd w:val="0"/>
      <w:spacing w:after="443"/>
      <w:jc w:val="left"/>
    </w:pPr>
    <w:rPr>
      <w:rFonts w:ascii="宋体" w:cs="宋体"/>
      <w:kern w:val="0"/>
      <w:sz w:val="24"/>
      <w:szCs w:val="24"/>
    </w:rPr>
  </w:style>
  <w:style w:type="paragraph" w:customStyle="1" w:styleId="436">
    <w:name w:val="Accessories"/>
    <w:basedOn w:val="1"/>
    <w:qFormat/>
    <w:uiPriority w:val="0"/>
    <w:pPr>
      <w:widowControl/>
      <w:tabs>
        <w:tab w:val="left" w:pos="709"/>
      </w:tabs>
      <w:spacing w:line="360" w:lineRule="auto"/>
      <w:ind w:firstLine="200" w:firstLineChars="200"/>
      <w:jc w:val="left"/>
    </w:pPr>
    <w:rPr>
      <w:rFonts w:ascii="Arial" w:hAnsi="Arial"/>
      <w:spacing w:val="20"/>
      <w:kern w:val="0"/>
      <w:sz w:val="20"/>
      <w:lang w:val="de-DE" w:eastAsia="en-US"/>
    </w:rPr>
  </w:style>
  <w:style w:type="paragraph" w:customStyle="1" w:styleId="437">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kern w:val="0"/>
      <w:sz w:val="16"/>
      <w:szCs w:val="16"/>
    </w:rPr>
  </w:style>
  <w:style w:type="paragraph" w:customStyle="1" w:styleId="438">
    <w:name w:val="标题 3 + 小四 段前: 0 磅 段后: 0 磅 行距: 1.5 倍行距"/>
    <w:basedOn w:val="4"/>
    <w:next w:val="4"/>
    <w:qFormat/>
    <w:uiPriority w:val="0"/>
    <w:pPr>
      <w:spacing w:before="0" w:after="0" w:line="360" w:lineRule="auto"/>
    </w:pPr>
    <w:rPr>
      <w:rFonts w:cs="宋体"/>
      <w:bCs/>
      <w:sz w:val="24"/>
      <w:szCs w:val="24"/>
    </w:rPr>
  </w:style>
  <w:style w:type="paragraph" w:customStyle="1" w:styleId="439">
    <w:name w:val="正文＋首2"/>
    <w:basedOn w:val="1"/>
    <w:qFormat/>
    <w:uiPriority w:val="0"/>
    <w:pPr>
      <w:topLinePunct/>
      <w:spacing w:line="300" w:lineRule="auto"/>
      <w:ind w:firstLine="420" w:firstLineChars="200"/>
    </w:pPr>
    <w:rPr>
      <w:szCs w:val="21"/>
    </w:rPr>
  </w:style>
  <w:style w:type="paragraph" w:customStyle="1" w:styleId="440">
    <w:name w:val="someconten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4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442">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kern w:val="0"/>
      <w:sz w:val="20"/>
    </w:rPr>
  </w:style>
  <w:style w:type="paragraph" w:customStyle="1" w:styleId="443">
    <w:name w:val="jl 正文"/>
    <w:basedOn w:val="1"/>
    <w:semiHidden/>
    <w:qFormat/>
    <w:uiPriority w:val="0"/>
    <w:pPr>
      <w:topLinePunct/>
      <w:autoSpaceDE w:val="0"/>
      <w:autoSpaceDN w:val="0"/>
      <w:adjustRightInd w:val="0"/>
      <w:ind w:firstLine="200" w:firstLineChars="200"/>
      <w:jc w:val="left"/>
      <w:textAlignment w:val="baseline"/>
    </w:pPr>
    <w:rPr>
      <w:rFonts w:ascii="宋体"/>
      <w:kern w:val="0"/>
      <w:sz w:val="24"/>
      <w:szCs w:val="24"/>
    </w:rPr>
  </w:style>
  <w:style w:type="paragraph" w:customStyle="1" w:styleId="444">
    <w:name w:val="样式 标题 3 + 字距调整四号"/>
    <w:basedOn w:val="4"/>
    <w:qFormat/>
    <w:uiPriority w:val="0"/>
    <w:pPr>
      <w:topLinePunct/>
      <w:autoSpaceDE w:val="0"/>
      <w:autoSpaceDN w:val="0"/>
      <w:spacing w:before="0" w:after="0" w:line="320" w:lineRule="exact"/>
      <w:jc w:val="center"/>
    </w:pPr>
    <w:rPr>
      <w:b w:val="0"/>
      <w:bCs/>
      <w:kern w:val="28"/>
      <w:sz w:val="21"/>
    </w:rPr>
  </w:style>
  <w:style w:type="paragraph" w:customStyle="1" w:styleId="44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46">
    <w:name w:val="样式 首行缩进:  0 厘米 行距: 单倍行距 Char"/>
    <w:basedOn w:val="1"/>
    <w:qFormat/>
    <w:uiPriority w:val="0"/>
    <w:pPr>
      <w:adjustRightInd w:val="0"/>
      <w:textAlignment w:val="baseline"/>
    </w:pPr>
    <w:rPr>
      <w:kern w:val="0"/>
      <w:szCs w:val="21"/>
    </w:rPr>
  </w:style>
  <w:style w:type="paragraph" w:customStyle="1" w:styleId="447">
    <w:name w:val="4号黑居中"/>
    <w:basedOn w:val="1"/>
    <w:qFormat/>
    <w:uiPriority w:val="99"/>
    <w:pPr>
      <w:adjustRightInd w:val="0"/>
      <w:snapToGrid w:val="0"/>
      <w:spacing w:line="480" w:lineRule="atLeast"/>
      <w:jc w:val="center"/>
    </w:pPr>
    <w:rPr>
      <w:rFonts w:ascii="黑体" w:eastAsia="黑体"/>
      <w:spacing w:val="6"/>
      <w:kern w:val="0"/>
      <w:sz w:val="28"/>
    </w:rPr>
  </w:style>
  <w:style w:type="paragraph" w:customStyle="1" w:styleId="448">
    <w:name w:val="xl32"/>
    <w:basedOn w:val="1"/>
    <w:qFormat/>
    <w:uiPriority w:val="0"/>
    <w:pPr>
      <w:widowControl/>
      <w:pBdr>
        <w:left w:val="single" w:color="auto" w:sz="4" w:space="0"/>
        <w:right w:val="single" w:color="auto" w:sz="4" w:space="0"/>
      </w:pBdr>
      <w:spacing w:before="100" w:beforeAutospacing="1" w:after="100" w:afterAutospacing="1"/>
      <w:jc w:val="right"/>
      <w:textAlignment w:val="center"/>
    </w:pPr>
    <w:rPr>
      <w:rFonts w:ascii="Arial" w:hAnsi="Arial"/>
      <w:kern w:val="0"/>
      <w:sz w:val="20"/>
    </w:rPr>
  </w:style>
  <w:style w:type="paragraph" w:customStyle="1" w:styleId="449">
    <w:name w:val="xl55"/>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kern w:val="0"/>
      <w:sz w:val="16"/>
      <w:szCs w:val="16"/>
    </w:rPr>
  </w:style>
  <w:style w:type="paragraph" w:customStyle="1" w:styleId="450">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宋体" w:hAnsi="宋体"/>
      <w:kern w:val="0"/>
    </w:rPr>
  </w:style>
  <w:style w:type="paragraph" w:customStyle="1" w:styleId="451">
    <w:name w:val="正文2"/>
    <w:qFormat/>
    <w:uiPriority w:val="0"/>
    <w:pPr>
      <w:tabs>
        <w:tab w:val="right" w:pos="1474"/>
        <w:tab w:val="left" w:pos="1551"/>
      </w:tabs>
      <w:spacing w:line="360" w:lineRule="auto"/>
      <w:ind w:left="1474" w:hanging="283"/>
    </w:pPr>
    <w:rPr>
      <w:rFonts w:ascii="Times New Roman" w:hAnsi="Times New Roman" w:eastAsia="宋体" w:cs="Times New Roman"/>
      <w:sz w:val="24"/>
      <w:lang w:val="en-US" w:eastAsia="zh-CN" w:bidi="ar-SA"/>
    </w:rPr>
  </w:style>
  <w:style w:type="paragraph" w:customStyle="1" w:styleId="452">
    <w:name w:val="Paragraphe 4"/>
    <w:qFormat/>
    <w:uiPriority w:val="0"/>
    <w:pPr>
      <w:overflowPunct w:val="0"/>
      <w:autoSpaceDE w:val="0"/>
      <w:autoSpaceDN w:val="0"/>
      <w:adjustRightInd w:val="0"/>
      <w:spacing w:before="141"/>
      <w:ind w:left="697"/>
      <w:jc w:val="both"/>
      <w:textAlignment w:val="baseline"/>
    </w:pPr>
    <w:rPr>
      <w:rFonts w:ascii="Tms Rmn" w:hAnsi="Tms Rmn" w:eastAsia="宋体" w:cs="Times New Roman"/>
      <w:b/>
      <w:caps/>
      <w:color w:val="000000"/>
      <w:sz w:val="24"/>
      <w:u w:val="single"/>
      <w:lang w:val="en-US" w:eastAsia="en-US" w:bidi="ar-SA"/>
    </w:rPr>
  </w:style>
  <w:style w:type="paragraph" w:customStyle="1" w:styleId="453">
    <w:name w:val="正文_13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454">
    <w:name w:val="_vaiBullet"/>
    <w:basedOn w:val="1"/>
    <w:qFormat/>
    <w:uiPriority w:val="0"/>
    <w:pPr>
      <w:widowControl/>
      <w:tabs>
        <w:tab w:val="left" w:pos="360"/>
      </w:tabs>
      <w:spacing w:line="288" w:lineRule="auto"/>
      <w:ind w:left="360" w:hanging="360"/>
      <w:jc w:val="left"/>
    </w:pPr>
    <w:rPr>
      <w:rFonts w:ascii="Arial" w:hAnsi="Arial"/>
      <w:kern w:val="0"/>
      <w:sz w:val="22"/>
    </w:rPr>
  </w:style>
  <w:style w:type="paragraph" w:customStyle="1" w:styleId="455">
    <w:name w:val="图片"/>
    <w:basedOn w:val="1"/>
    <w:qFormat/>
    <w:uiPriority w:val="0"/>
    <w:pPr>
      <w:topLinePunct/>
      <w:snapToGrid w:val="0"/>
      <w:spacing w:before="160" w:after="160"/>
      <w:jc w:val="center"/>
    </w:pPr>
    <w:rPr>
      <w:szCs w:val="21"/>
    </w:rPr>
  </w:style>
  <w:style w:type="paragraph" w:customStyle="1" w:styleId="456">
    <w:name w:val="Char Char Char Char Char Char Char"/>
    <w:basedOn w:val="1"/>
    <w:semiHidden/>
    <w:qFormat/>
    <w:uiPriority w:val="0"/>
    <w:pPr>
      <w:topLinePunct/>
    </w:pPr>
    <w:rPr>
      <w:szCs w:val="24"/>
    </w:rPr>
  </w:style>
  <w:style w:type="paragraph" w:customStyle="1" w:styleId="457">
    <w:name w:val="Char Char Char Char1"/>
    <w:basedOn w:val="1"/>
    <w:qFormat/>
    <w:uiPriority w:val="0"/>
    <w:pPr>
      <w:topLinePunct/>
    </w:pPr>
    <w:rPr>
      <w:szCs w:val="24"/>
    </w:rPr>
  </w:style>
  <w:style w:type="paragraph" w:customStyle="1" w:styleId="458">
    <w:name w:val="b"/>
    <w:basedOn w:val="1"/>
    <w:qFormat/>
    <w:uiPriority w:val="0"/>
    <w:pPr>
      <w:tabs>
        <w:tab w:val="center" w:pos="4706"/>
        <w:tab w:val="right" w:pos="9044"/>
      </w:tabs>
      <w:adjustRightInd w:val="0"/>
      <w:spacing w:before="160" w:after="60" w:line="312" w:lineRule="exact"/>
      <w:jc w:val="center"/>
      <w:textAlignment w:val="baseline"/>
    </w:pPr>
    <w:rPr>
      <w:rFonts w:ascii="Arial" w:hAnsi="Arial" w:eastAsia="黑体"/>
      <w:kern w:val="0"/>
      <w:sz w:val="24"/>
      <w:szCs w:val="21"/>
    </w:rPr>
  </w:style>
  <w:style w:type="paragraph" w:customStyle="1" w:styleId="459">
    <w:name w:val="样式３"/>
    <w:basedOn w:val="239"/>
    <w:qFormat/>
    <w:uiPriority w:val="0"/>
    <w:pPr>
      <w:adjustRightInd/>
      <w:spacing w:line="312" w:lineRule="exact"/>
      <w:jc w:val="both"/>
    </w:pPr>
    <w:rPr>
      <w:kern w:val="2"/>
      <w:sz w:val="20"/>
    </w:rPr>
  </w:style>
  <w:style w:type="paragraph" w:customStyle="1" w:styleId="460">
    <w:name w:val="样式 正文 + 左侧:  0 厘米 悬挂缩进: 2 字符"/>
    <w:basedOn w:val="1"/>
    <w:qFormat/>
    <w:uiPriority w:val="0"/>
    <w:pPr>
      <w:widowControl/>
      <w:spacing w:after="120" w:line="440" w:lineRule="exact"/>
      <w:ind w:left="851" w:firstLine="200" w:firstLineChars="200"/>
      <w:jc w:val="left"/>
    </w:pPr>
    <w:rPr>
      <w:rFonts w:ascii="Arial" w:hAnsi="Arial"/>
      <w:kern w:val="0"/>
      <w:sz w:val="24"/>
    </w:rPr>
  </w:style>
  <w:style w:type="paragraph" w:customStyle="1" w:styleId="461">
    <w:name w:val="图号"/>
    <w:basedOn w:val="1"/>
    <w:qFormat/>
    <w:uiPriority w:val="0"/>
    <w:pPr>
      <w:jc w:val="center"/>
    </w:pPr>
    <w:rPr>
      <w:rFonts w:ascii="Arial" w:hAnsi="Arial"/>
      <w:color w:val="464646"/>
      <w:sz w:val="30"/>
    </w:rPr>
  </w:style>
  <w:style w:type="paragraph" w:customStyle="1" w:styleId="462">
    <w:name w:val="普通文字"/>
    <w:basedOn w:val="463"/>
    <w:next w:val="463"/>
    <w:qFormat/>
    <w:uiPriority w:val="0"/>
    <w:rPr>
      <w:rFonts w:ascii="宋体" w:hAnsi="Times New Roman"/>
      <w:sz w:val="24"/>
    </w:rPr>
  </w:style>
  <w:style w:type="paragraph" w:customStyle="1" w:styleId="463">
    <w:name w:val="Default"/>
    <w:qFormat/>
    <w:uiPriority w:val="0"/>
    <w:pPr>
      <w:widowControl w:val="0"/>
      <w:autoSpaceDE w:val="0"/>
      <w:autoSpaceDN w:val="0"/>
      <w:adjustRightInd w:val="0"/>
    </w:pPr>
    <w:rPr>
      <w:rFonts w:ascii="TimesNewRomanPSMT" w:hAnsi="TimesNewRomanPSMT" w:eastAsia="宋体" w:cs="Times New Roman"/>
      <w:lang w:val="en-US" w:eastAsia="zh-CN" w:bidi="ar-SA"/>
    </w:rPr>
  </w:style>
  <w:style w:type="paragraph" w:customStyle="1" w:styleId="46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kern w:val="0"/>
      <w:sz w:val="20"/>
    </w:rPr>
  </w:style>
  <w:style w:type="paragraph" w:customStyle="1" w:styleId="465">
    <w:name w:val="正文3"/>
    <w:qFormat/>
    <w:uiPriority w:val="0"/>
    <w:pPr>
      <w:widowControl w:val="0"/>
      <w:adjustRightInd w:val="0"/>
      <w:spacing w:line="307" w:lineRule="atLeast"/>
      <w:jc w:val="both"/>
      <w:textAlignment w:val="baseline"/>
    </w:pPr>
    <w:rPr>
      <w:rFonts w:ascii="宋体" w:hAnsi="Times New Roman" w:eastAsia="宋体" w:cs="Times New Roman"/>
      <w:sz w:val="18"/>
      <w:lang w:val="en-US" w:eastAsia="zh-CN" w:bidi="ar-SA"/>
    </w:rPr>
  </w:style>
  <w:style w:type="paragraph" w:customStyle="1" w:styleId="466">
    <w:name w:val="图说"/>
    <w:basedOn w:val="455"/>
    <w:qFormat/>
    <w:uiPriority w:val="0"/>
    <w:pPr>
      <w:spacing w:before="60" w:line="312" w:lineRule="exact"/>
    </w:pPr>
    <w:rPr>
      <w:rFonts w:ascii="EU-F1" w:eastAsia="黑体"/>
    </w:rPr>
  </w:style>
  <w:style w:type="paragraph" w:customStyle="1" w:styleId="467">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16"/>
      <w:szCs w:val="16"/>
    </w:rPr>
  </w:style>
  <w:style w:type="paragraph" w:customStyle="1" w:styleId="468">
    <w:name w:val="表格内字体字号"/>
    <w:basedOn w:val="1"/>
    <w:qFormat/>
    <w:uiPriority w:val="0"/>
    <w:pPr>
      <w:topLinePunct/>
      <w:adjustRightInd w:val="0"/>
      <w:snapToGrid w:val="0"/>
      <w:spacing w:before="62" w:beforeLines="20" w:after="62" w:afterLines="20" w:line="360" w:lineRule="atLeast"/>
      <w:ind w:left="30" w:leftChars="30" w:right="30" w:rightChars="30"/>
      <w:jc w:val="center"/>
      <w:textAlignment w:val="baseline"/>
    </w:pPr>
    <w:rPr>
      <w:kern w:val="0"/>
      <w:sz w:val="18"/>
      <w:szCs w:val="18"/>
    </w:rPr>
  </w:style>
  <w:style w:type="paragraph" w:customStyle="1" w:styleId="469">
    <w:name w:val="Char"/>
    <w:basedOn w:val="1"/>
    <w:qFormat/>
    <w:uiPriority w:val="0"/>
    <w:pPr>
      <w:adjustRightInd w:val="0"/>
      <w:spacing w:line="360" w:lineRule="atLeast"/>
    </w:pPr>
    <w:rPr>
      <w:rFonts w:eastAsia="仿宋_GB2312"/>
      <w:b/>
      <w:sz w:val="30"/>
    </w:rPr>
  </w:style>
  <w:style w:type="paragraph" w:customStyle="1" w:styleId="470">
    <w:name w:val="默认段落字体 Para Char Char Char Char Char"/>
    <w:basedOn w:val="1"/>
    <w:qFormat/>
    <w:uiPriority w:val="0"/>
    <w:pPr>
      <w:adjustRightInd w:val="0"/>
      <w:spacing w:line="360" w:lineRule="atLeast"/>
      <w:jc w:val="left"/>
      <w:textAlignment w:val="baseline"/>
    </w:pPr>
    <w:rPr>
      <w:rFonts w:ascii="宋体" w:hAnsi="宋体"/>
      <w:b/>
      <w:color w:val="000000"/>
      <w:kern w:val="0"/>
      <w:sz w:val="24"/>
    </w:rPr>
  </w:style>
  <w:style w:type="paragraph" w:customStyle="1" w:styleId="471">
    <w:name w:val="1"/>
    <w:basedOn w:val="1"/>
    <w:qFormat/>
    <w:uiPriority w:val="0"/>
    <w:pPr>
      <w:spacing w:after="156" w:afterLines="50" w:line="360" w:lineRule="auto"/>
      <w:jc w:val="center"/>
    </w:pPr>
    <w:rPr>
      <w:rFonts w:ascii="宋体" w:hAnsi="宋体"/>
      <w:b/>
      <w:sz w:val="34"/>
    </w:rPr>
  </w:style>
  <w:style w:type="paragraph" w:customStyle="1" w:styleId="472">
    <w:name w:val="Char4"/>
    <w:basedOn w:val="1"/>
    <w:qFormat/>
    <w:uiPriority w:val="0"/>
    <w:pPr>
      <w:adjustRightInd w:val="0"/>
      <w:spacing w:line="360" w:lineRule="atLeast"/>
    </w:pPr>
  </w:style>
  <w:style w:type="paragraph" w:customStyle="1" w:styleId="473">
    <w:name w:val="Puce 1"/>
    <w:qFormat/>
    <w:uiPriority w:val="0"/>
    <w:pPr>
      <w:keepLines/>
      <w:tabs>
        <w:tab w:val="left" w:pos="720"/>
      </w:tabs>
      <w:overflowPunct w:val="0"/>
      <w:autoSpaceDE w:val="0"/>
      <w:autoSpaceDN w:val="0"/>
      <w:adjustRightInd w:val="0"/>
      <w:spacing w:line="288" w:lineRule="auto"/>
      <w:ind w:left="720" w:hanging="360"/>
      <w:jc w:val="both"/>
      <w:textAlignment w:val="baseline"/>
    </w:pPr>
    <w:rPr>
      <w:rFonts w:ascii="Times New Roman" w:hAnsi="Times New Roman" w:eastAsia="宋体" w:cs="Times New Roman"/>
      <w:color w:val="000000"/>
      <w:sz w:val="24"/>
      <w:lang w:val="en-US" w:eastAsia="en-US" w:bidi="ar-SA"/>
    </w:rPr>
  </w:style>
  <w:style w:type="paragraph" w:customStyle="1" w:styleId="474">
    <w:name w:val="Char Char Char1"/>
    <w:basedOn w:val="1"/>
    <w:qFormat/>
    <w:uiPriority w:val="0"/>
    <w:pPr>
      <w:widowControl/>
      <w:spacing w:after="20" w:line="360" w:lineRule="auto"/>
      <w:jc w:val="left"/>
    </w:pPr>
    <w:rPr>
      <w:rFonts w:eastAsia="Times New Roman"/>
      <w:kern w:val="0"/>
      <w:sz w:val="20"/>
    </w:rPr>
  </w:style>
  <w:style w:type="paragraph" w:customStyle="1" w:styleId="475">
    <w:name w:val="四号章"/>
    <w:basedOn w:val="1"/>
    <w:qFormat/>
    <w:uiPriority w:val="99"/>
    <w:pPr>
      <w:overflowPunct w:val="0"/>
      <w:topLinePunct/>
      <w:adjustRightInd w:val="0"/>
      <w:snapToGrid w:val="0"/>
      <w:spacing w:line="480" w:lineRule="atLeast"/>
      <w:jc w:val="center"/>
    </w:pPr>
    <w:rPr>
      <w:rFonts w:ascii="宋体" w:eastAsia="黑体"/>
      <w:spacing w:val="6"/>
      <w:kern w:val="0"/>
      <w:sz w:val="24"/>
      <w:szCs w:val="24"/>
    </w:rPr>
  </w:style>
  <w:style w:type="paragraph" w:customStyle="1" w:styleId="476">
    <w:name w:val="Style1"/>
    <w:basedOn w:val="1"/>
    <w:qFormat/>
    <w:uiPriority w:val="0"/>
    <w:pPr>
      <w:tabs>
        <w:tab w:val="left" w:pos="72"/>
        <w:tab w:val="left" w:pos="1692"/>
      </w:tabs>
      <w:spacing w:before="120" w:after="120"/>
      <w:ind w:left="72" w:firstLine="576"/>
      <w:jc w:val="left"/>
    </w:pPr>
    <w:rPr>
      <w:rFonts w:ascii="仿宋体" w:eastAsia="仿宋体"/>
      <w:color w:val="FF0000"/>
      <w:sz w:val="28"/>
    </w:rPr>
  </w:style>
  <w:style w:type="paragraph" w:customStyle="1" w:styleId="477">
    <w:name w:val="样式17"/>
    <w:basedOn w:val="44"/>
    <w:qFormat/>
    <w:uiPriority w:val="0"/>
    <w:pPr>
      <w:numPr>
        <w:ilvl w:val="2"/>
        <w:numId w:val="3"/>
      </w:numPr>
      <w:tabs>
        <w:tab w:val="left" w:pos="720"/>
      </w:tabs>
      <w:autoSpaceDE w:val="0"/>
      <w:autoSpaceDN w:val="0"/>
      <w:adjustRightInd w:val="0"/>
    </w:pPr>
    <w:rPr>
      <w:rFonts w:hAnsi="Times New Roman"/>
    </w:rPr>
  </w:style>
  <w:style w:type="paragraph" w:customStyle="1" w:styleId="478">
    <w:name w:val="样式 标题 1 + 加粗1"/>
    <w:basedOn w:val="2"/>
    <w:qFormat/>
    <w:uiPriority w:val="0"/>
    <w:pPr>
      <w:adjustRightInd w:val="0"/>
      <w:spacing w:before="312" w:beforeLines="100" w:after="312" w:afterLines="100" w:line="240" w:lineRule="auto"/>
    </w:pPr>
    <w:rPr>
      <w:bCs/>
      <w:kern w:val="44"/>
      <w:sz w:val="28"/>
      <w:szCs w:val="28"/>
    </w:rPr>
  </w:style>
  <w:style w:type="paragraph" w:customStyle="1" w:styleId="479">
    <w:name w:val="样式 Arial 首行缩进:  2 字符"/>
    <w:basedOn w:val="1"/>
    <w:qFormat/>
    <w:uiPriority w:val="0"/>
    <w:pPr>
      <w:ind w:firstLine="403" w:firstLineChars="200"/>
    </w:pPr>
    <w:rPr>
      <w:rFonts w:cs="华文新魏"/>
      <w:szCs w:val="21"/>
    </w:rPr>
  </w:style>
  <w:style w:type="paragraph" w:customStyle="1" w:styleId="480">
    <w:name w:val="Char Char Char Char Char Char1 Char Char Char1 Char"/>
    <w:basedOn w:val="1"/>
    <w:qFormat/>
    <w:uiPriority w:val="0"/>
    <w:rPr>
      <w:szCs w:val="24"/>
    </w:rPr>
  </w:style>
  <w:style w:type="paragraph" w:customStyle="1" w:styleId="481">
    <w:name w:val="列项——"/>
    <w:qFormat/>
    <w:uiPriority w:val="0"/>
    <w:pPr>
      <w:widowControl w:val="0"/>
      <w:tabs>
        <w:tab w:val="left" w:pos="1080"/>
      </w:tabs>
      <w:spacing w:line="360" w:lineRule="auto"/>
      <w:ind w:left="780" w:hanging="420"/>
      <w:jc w:val="both"/>
    </w:pPr>
    <w:rPr>
      <w:rFonts w:ascii="宋体" w:hAnsi="宋体" w:eastAsia="宋体" w:cs="Times New Roman"/>
      <w:sz w:val="21"/>
      <w:lang w:val="en-US" w:eastAsia="zh-CN" w:bidi="ar-SA"/>
    </w:rPr>
  </w:style>
  <w:style w:type="paragraph" w:customStyle="1" w:styleId="482">
    <w:name w:val="样式5"/>
    <w:basedOn w:val="239"/>
    <w:qFormat/>
    <w:uiPriority w:val="0"/>
    <w:pPr>
      <w:adjustRightInd/>
      <w:spacing w:before="200" w:line="312" w:lineRule="exact"/>
      <w:jc w:val="both"/>
    </w:pPr>
    <w:rPr>
      <w:kern w:val="2"/>
      <w:sz w:val="20"/>
    </w:rPr>
  </w:style>
  <w:style w:type="paragraph" w:customStyle="1" w:styleId="483">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484">
    <w:name w:val="修订1"/>
    <w:semiHidden/>
    <w:qFormat/>
    <w:uiPriority w:val="0"/>
    <w:rPr>
      <w:rFonts w:ascii="Times New Roman" w:hAnsi="Times New Roman" w:eastAsia="宋体" w:cs="Times New Roman"/>
      <w:kern w:val="2"/>
      <w:sz w:val="21"/>
      <w:szCs w:val="24"/>
      <w:lang w:val="en-US" w:eastAsia="zh-CN" w:bidi="ar-SA"/>
    </w:rPr>
  </w:style>
  <w:style w:type="paragraph" w:customStyle="1" w:styleId="485">
    <w:name w:val="图形标题"/>
    <w:basedOn w:val="20"/>
    <w:qFormat/>
    <w:uiPriority w:val="0"/>
    <w:pPr>
      <w:jc w:val="center"/>
    </w:pPr>
    <w:rPr>
      <w:rFonts w:ascii="宋体" w:hAnsi="Plotter" w:eastAsia="宋体"/>
      <w:sz w:val="21"/>
    </w:rPr>
  </w:style>
  <w:style w:type="paragraph" w:customStyle="1" w:styleId="486">
    <w:name w:val="xl53"/>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kern w:val="0"/>
      <w:sz w:val="16"/>
      <w:szCs w:val="16"/>
    </w:rPr>
  </w:style>
  <w:style w:type="paragraph" w:customStyle="1" w:styleId="487">
    <w:name w:val="r"/>
    <w:basedOn w:val="1"/>
    <w:qFormat/>
    <w:uiPriority w:val="0"/>
    <w:pPr>
      <w:widowControl/>
      <w:adjustRightInd w:val="0"/>
      <w:snapToGrid w:val="0"/>
      <w:spacing w:before="60" w:after="60" w:line="360" w:lineRule="atLeast"/>
      <w:jc w:val="center"/>
      <w:textAlignment w:val="baseline"/>
    </w:pPr>
    <w:rPr>
      <w:kern w:val="0"/>
      <w:sz w:val="18"/>
      <w:szCs w:val="18"/>
    </w:rPr>
  </w:style>
  <w:style w:type="paragraph" w:customStyle="1" w:styleId="488">
    <w:name w:val="样式7"/>
    <w:basedOn w:val="1"/>
    <w:qFormat/>
    <w:uiPriority w:val="0"/>
    <w:pPr>
      <w:topLinePunct/>
      <w:snapToGrid w:val="0"/>
    </w:pPr>
    <w:rPr>
      <w:szCs w:val="24"/>
    </w:rPr>
  </w:style>
  <w:style w:type="paragraph" w:customStyle="1" w:styleId="489">
    <w:name w:val="样式 样式 报告标题2 + 两端对齐 + 加粗"/>
    <w:basedOn w:val="1"/>
    <w:qFormat/>
    <w:uiPriority w:val="0"/>
    <w:pPr>
      <w:keepNext/>
      <w:keepLines/>
      <w:topLinePunct/>
      <w:spacing w:beforeLines="50"/>
      <w:jc w:val="left"/>
      <w:outlineLvl w:val="0"/>
    </w:pPr>
    <w:rPr>
      <w:rFonts w:ascii="宋体" w:hAnsi="宋体" w:cs="宋体"/>
      <w:b/>
      <w:bCs/>
      <w:sz w:val="24"/>
    </w:rPr>
  </w:style>
  <w:style w:type="paragraph" w:customStyle="1" w:styleId="490">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491">
    <w:name w:val="样式 报告标题1"/>
    <w:basedOn w:val="1"/>
    <w:qFormat/>
    <w:uiPriority w:val="0"/>
    <w:pPr>
      <w:keepNext/>
      <w:keepLines/>
      <w:topLinePunct/>
      <w:spacing w:before="120" w:line="300" w:lineRule="auto"/>
      <w:outlineLvl w:val="0"/>
    </w:pPr>
    <w:rPr>
      <w:b/>
      <w:bCs/>
      <w:sz w:val="32"/>
      <w:szCs w:val="32"/>
    </w:rPr>
  </w:style>
  <w:style w:type="paragraph" w:customStyle="1" w:styleId="492">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493">
    <w:name w:val="段"/>
    <w:qFormat/>
    <w:uiPriority w:val="0"/>
    <w:pPr>
      <w:autoSpaceDE w:val="0"/>
      <w:autoSpaceDN w:val="0"/>
      <w:ind w:firstLine="200" w:firstLineChars="200"/>
      <w:jc w:val="both"/>
    </w:pPr>
    <w:rPr>
      <w:rFonts w:ascii="宋体" w:hAnsi="Times New Roman" w:eastAsia="宋体" w:cs="Times New Roman"/>
      <w:lang w:val="en-US" w:eastAsia="zh-CN" w:bidi="ar-SA"/>
    </w:rPr>
  </w:style>
  <w:style w:type="paragraph" w:customStyle="1" w:styleId="494">
    <w:name w:val="Puce 2"/>
    <w:qFormat/>
    <w:uiPriority w:val="0"/>
    <w:pPr>
      <w:keepLines/>
      <w:tabs>
        <w:tab w:val="left" w:pos="1080"/>
      </w:tabs>
      <w:overflowPunct w:val="0"/>
      <w:autoSpaceDE w:val="0"/>
      <w:autoSpaceDN w:val="0"/>
      <w:adjustRightInd w:val="0"/>
      <w:spacing w:line="288" w:lineRule="auto"/>
      <w:ind w:left="420" w:hanging="420"/>
      <w:jc w:val="both"/>
      <w:textAlignment w:val="baseline"/>
    </w:pPr>
    <w:rPr>
      <w:rFonts w:ascii="Tms Rmn" w:hAnsi="Tms Rmn" w:eastAsia="楷体_GB2312" w:cs="Times New Roman"/>
      <w:color w:val="000000"/>
      <w:sz w:val="24"/>
      <w:lang w:val="en-US" w:eastAsia="zh-CN" w:bidi="ar-SA"/>
    </w:rPr>
  </w:style>
  <w:style w:type="paragraph" w:customStyle="1" w:styleId="495">
    <w:name w:val="列出段落1"/>
    <w:basedOn w:val="1"/>
    <w:qFormat/>
    <w:uiPriority w:val="34"/>
    <w:pPr>
      <w:ind w:firstLine="420" w:firstLineChars="200"/>
    </w:pPr>
    <w:rPr>
      <w:rFonts w:ascii="Calibri" w:hAnsi="Calibri"/>
    </w:rPr>
  </w:style>
  <w:style w:type="paragraph" w:customStyle="1" w:styleId="496">
    <w:name w:val="_Style 19"/>
    <w:basedOn w:val="1"/>
    <w:qFormat/>
    <w:uiPriority w:val="0"/>
  </w:style>
  <w:style w:type="paragraph" w:customStyle="1" w:styleId="497">
    <w:name w:val="D1"/>
    <w:basedOn w:val="1"/>
    <w:qFormat/>
    <w:uiPriority w:val="0"/>
    <w:pPr>
      <w:adjustRightInd w:val="0"/>
      <w:spacing w:line="480" w:lineRule="auto"/>
      <w:jc w:val="left"/>
      <w:textAlignment w:val="baseline"/>
    </w:pPr>
    <w:rPr>
      <w:rFonts w:ascii="EU-F1" w:eastAsia="黑体"/>
      <w:szCs w:val="21"/>
    </w:rPr>
  </w:style>
  <w:style w:type="paragraph" w:customStyle="1" w:styleId="49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kern w:val="0"/>
      <w:sz w:val="20"/>
    </w:rPr>
  </w:style>
  <w:style w:type="paragraph" w:customStyle="1" w:styleId="499">
    <w:name w:val="付标题"/>
    <w:basedOn w:val="1"/>
    <w:qFormat/>
    <w:uiPriority w:val="0"/>
    <w:pPr>
      <w:adjustRightInd w:val="0"/>
      <w:spacing w:before="360" w:line="360" w:lineRule="auto"/>
      <w:jc w:val="center"/>
      <w:textAlignment w:val="baseline"/>
    </w:pPr>
    <w:rPr>
      <w:rFonts w:eastAsia="黑体"/>
      <w:kern w:val="0"/>
      <w:sz w:val="48"/>
      <w:szCs w:val="28"/>
    </w:rPr>
  </w:style>
  <w:style w:type="paragraph" w:customStyle="1" w:styleId="500">
    <w:name w:val="j"/>
    <w:basedOn w:val="1"/>
    <w:qFormat/>
    <w:uiPriority w:val="0"/>
    <w:pPr>
      <w:adjustRightInd w:val="0"/>
      <w:spacing w:line="312" w:lineRule="exact"/>
      <w:ind w:left="840" w:leftChars="200" w:hanging="420" w:hangingChars="200"/>
      <w:jc w:val="left"/>
      <w:textAlignment w:val="baseline"/>
    </w:pPr>
    <w:rPr>
      <w:kern w:val="0"/>
      <w:sz w:val="24"/>
      <w:szCs w:val="21"/>
    </w:rPr>
  </w:style>
  <w:style w:type="paragraph" w:customStyle="1" w:styleId="501">
    <w:name w:val="(1)"/>
    <w:basedOn w:val="1"/>
    <w:qFormat/>
    <w:uiPriority w:val="0"/>
    <w:pPr>
      <w:tabs>
        <w:tab w:val="left" w:pos="573"/>
      </w:tabs>
      <w:adjustRightInd w:val="0"/>
      <w:snapToGrid w:val="0"/>
      <w:spacing w:before="80" w:after="100" w:line="240" w:lineRule="atLeast"/>
      <w:textAlignment w:val="baseline"/>
    </w:pPr>
    <w:rPr>
      <w:rFonts w:ascii="Arial" w:hAnsi="Arial"/>
      <w:kern w:val="44"/>
      <w:sz w:val="24"/>
      <w:szCs w:val="24"/>
    </w:rPr>
  </w:style>
  <w:style w:type="paragraph" w:customStyle="1" w:styleId="502">
    <w:name w:val="备注"/>
    <w:basedOn w:val="1"/>
    <w:qFormat/>
    <w:uiPriority w:val="0"/>
    <w:pPr>
      <w:spacing w:line="360" w:lineRule="auto"/>
      <w:ind w:firstLine="218" w:firstLineChars="218"/>
    </w:pPr>
    <w:rPr>
      <w:sz w:val="24"/>
    </w:rPr>
  </w:style>
  <w:style w:type="paragraph" w:customStyle="1" w:styleId="503">
    <w:name w:val="Char Char Char Char Char Char1 Char Char Char1 Char1"/>
    <w:basedOn w:val="1"/>
    <w:qFormat/>
    <w:uiPriority w:val="0"/>
    <w:rPr>
      <w:szCs w:val="24"/>
    </w:rPr>
  </w:style>
  <w:style w:type="paragraph" w:customStyle="1" w:styleId="504">
    <w:name w:val="样式 样式 样式 样式 标题 2 + 段前: 0.5 行 段后: 0.5 行 + 首行缩进:  2 字符 段前: 0.5 行 段..."/>
    <w:basedOn w:val="369"/>
    <w:qFormat/>
    <w:uiPriority w:val="0"/>
    <w:pPr>
      <w:spacing w:before="178" w:after="178"/>
    </w:pPr>
    <w:rPr>
      <w:rFonts w:ascii="黑体"/>
      <w:bCs w:val="0"/>
      <w:szCs w:val="21"/>
    </w:rPr>
  </w:style>
  <w:style w:type="paragraph" w:customStyle="1" w:styleId="505">
    <w:name w:val="样式 目录 2 + 宋体"/>
    <w:basedOn w:val="32"/>
    <w:next w:val="32"/>
    <w:qFormat/>
    <w:uiPriority w:val="0"/>
    <w:pPr>
      <w:spacing w:after="120"/>
    </w:pPr>
    <w:rPr>
      <w:rFonts w:ascii="宋体" w:hAnsi="宋体"/>
      <w:sz w:val="28"/>
    </w:rPr>
  </w:style>
  <w:style w:type="paragraph" w:customStyle="1" w:styleId="506">
    <w:name w:val="样式 样式 样式 标题 2 + 段前: 0.5 行 段后: 0.5 行 + 首行缩进:  2 字符 段前: 0.5 行 段后: ...1"/>
    <w:basedOn w:val="370"/>
    <w:qFormat/>
    <w:uiPriority w:val="0"/>
    <w:pPr>
      <w:tabs>
        <w:tab w:val="left" w:pos="1080"/>
      </w:tabs>
      <w:spacing w:before="178" w:after="178" w:line="360" w:lineRule="exact"/>
    </w:pPr>
    <w:rPr>
      <w:rFonts w:ascii="黑体"/>
      <w:szCs w:val="21"/>
    </w:rPr>
  </w:style>
  <w:style w:type="paragraph" w:customStyle="1" w:styleId="507">
    <w:name w:val="我的标题2"/>
    <w:qFormat/>
    <w:uiPriority w:val="0"/>
    <w:pPr>
      <w:tabs>
        <w:tab w:val="left" w:pos="420"/>
        <w:tab w:val="left" w:pos="840"/>
      </w:tabs>
      <w:autoSpaceDE w:val="0"/>
      <w:autoSpaceDN w:val="0"/>
      <w:adjustRightInd w:val="0"/>
      <w:spacing w:line="360" w:lineRule="auto"/>
      <w:ind w:left="840" w:hanging="420"/>
      <w:outlineLvl w:val="1"/>
    </w:pPr>
    <w:rPr>
      <w:rFonts w:ascii="宋体" w:hAnsi="宋体" w:eastAsia="宋体" w:cs="宋体"/>
      <w:color w:val="000000"/>
      <w:sz w:val="24"/>
      <w:szCs w:val="22"/>
      <w:lang w:val="en-US" w:eastAsia="zh-CN" w:bidi="ar-SA"/>
    </w:rPr>
  </w:style>
  <w:style w:type="paragraph" w:customStyle="1" w:styleId="508">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rPr>
  </w:style>
  <w:style w:type="table" w:customStyle="1" w:styleId="509">
    <w:name w:val="网格型5"/>
    <w:basedOn w:val="86"/>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0">
    <w:name w:val="网格型3"/>
    <w:basedOn w:val="86"/>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11">
    <w:name w:val="网格型4"/>
    <w:basedOn w:val="86"/>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12">
    <w:name w:val="网格型1"/>
    <w:basedOn w:val="86"/>
    <w:qFormat/>
    <w:uiPriority w:val="0"/>
    <w:pPr>
      <w:widowControl w:val="0"/>
      <w:topLinePun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3">
    <w:name w:val="网格型2"/>
    <w:basedOn w:val="86"/>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514">
    <w:name w:val="正文（绿盟科技）"/>
    <w:qFormat/>
    <w:uiPriority w:val="0"/>
    <w:pPr>
      <w:spacing w:line="300" w:lineRule="auto"/>
    </w:pPr>
    <w:rPr>
      <w:rFonts w:ascii="Times New Roman" w:hAnsi="Times New Roman" w:eastAsia="宋体" w:cs="Times New Roman"/>
      <w:sz w:val="21"/>
      <w:szCs w:val="21"/>
      <w:lang w:val="en-US" w:eastAsia="zh-CN" w:bidi="ar-SA"/>
    </w:rPr>
  </w:style>
  <w:style w:type="paragraph" w:customStyle="1" w:styleId="515">
    <w:name w:val="Normal_7"/>
    <w:qFormat/>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B78B8E-703C-490A-810F-AE9C613D6363}">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41970</Words>
  <Characters>49175</Characters>
  <Lines>394</Lines>
  <Paragraphs>111</Paragraphs>
  <TotalTime>6</TotalTime>
  <ScaleCrop>false</ScaleCrop>
  <LinksUpToDate>false</LinksUpToDate>
  <CharactersWithSpaces>52998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2023-08-15T04:36:00Z</dcterms:created>
  <dc:creator>Administrator</dc:creator>
  <cp:lastModifiedBy>河南省伟信招标管理咨询有限公司</cp:lastModifiedBy>
  <cp:lastPrinted>2021-05-11T06:41:00Z</cp:lastPrinted>
  <dcterms:modified xsi:type="dcterms:W3CDTF">2024-06-17T03:24:59Z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041BD84115A846DEAA102129AA8A8B98_13</vt:lpwstr>
  </property>
</Properties>
</file>