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0B20B">
      <w:pPr>
        <w:spacing w:line="460" w:lineRule="exact"/>
        <w:jc w:val="right"/>
        <w:rPr>
          <w:rFonts w:hint="eastAsia" w:ascii="楷体" w:hAnsi="楷体" w:eastAsia="楷体"/>
          <w:color w:val="auto"/>
          <w:sz w:val="30"/>
          <w:szCs w:val="30"/>
          <w:highlight w:val="none"/>
          <w:u w:val="none"/>
        </w:rPr>
      </w:pPr>
      <w:bookmarkStart w:id="1" w:name="_GoBack"/>
      <w:bookmarkEnd w:id="1"/>
    </w:p>
    <w:p w14:paraId="5D5483EE">
      <w:pPr>
        <w:spacing w:line="460" w:lineRule="exact"/>
        <w:jc w:val="both"/>
        <w:rPr>
          <w:rFonts w:hint="eastAsia" w:ascii="楷体" w:hAnsi="楷体" w:eastAsia="楷体"/>
          <w:color w:val="auto"/>
          <w:sz w:val="24"/>
          <w:highlight w:val="none"/>
          <w:u w:val="none"/>
        </w:rPr>
      </w:pPr>
    </w:p>
    <w:p w14:paraId="4254A42E">
      <w:pPr>
        <w:spacing w:line="460" w:lineRule="exact"/>
        <w:jc w:val="center"/>
        <w:rPr>
          <w:rFonts w:ascii="楷体" w:hAnsi="楷体" w:eastAsia="楷体"/>
          <w:b/>
          <w:bCs/>
          <w:color w:val="auto"/>
          <w:sz w:val="40"/>
          <w:szCs w:val="40"/>
          <w:highlight w:val="none"/>
        </w:rPr>
      </w:pPr>
      <w:r>
        <w:rPr>
          <w:rFonts w:hint="eastAsia" w:ascii="楷体" w:hAnsi="楷体" w:eastAsia="楷体"/>
          <w:b/>
          <w:bCs/>
          <w:color w:val="auto"/>
          <w:sz w:val="40"/>
          <w:szCs w:val="40"/>
          <w:highlight w:val="none"/>
        </w:rPr>
        <w:t>202</w:t>
      </w:r>
      <w:r>
        <w:rPr>
          <w:rFonts w:hint="eastAsia" w:ascii="楷体" w:hAnsi="楷体" w:eastAsia="楷体"/>
          <w:b/>
          <w:bCs/>
          <w:color w:val="auto"/>
          <w:sz w:val="40"/>
          <w:szCs w:val="40"/>
          <w:highlight w:val="none"/>
          <w:lang w:val="en-US" w:eastAsia="zh-CN"/>
        </w:rPr>
        <w:t>3</w:t>
      </w:r>
      <w:r>
        <w:rPr>
          <w:rFonts w:hint="eastAsia" w:ascii="楷体" w:hAnsi="楷体" w:eastAsia="楷体"/>
          <w:b/>
          <w:bCs/>
          <w:color w:val="auto"/>
          <w:sz w:val="40"/>
          <w:szCs w:val="40"/>
          <w:highlight w:val="none"/>
        </w:rPr>
        <w:t>年度河南省免费提供避孕药具采购项目</w:t>
      </w:r>
    </w:p>
    <w:p w14:paraId="7593ABDE">
      <w:pPr>
        <w:spacing w:line="460" w:lineRule="exact"/>
        <w:jc w:val="center"/>
        <w:rPr>
          <w:rFonts w:ascii="楷体" w:hAnsi="楷体" w:eastAsia="楷体"/>
          <w:color w:val="auto"/>
          <w:sz w:val="24"/>
          <w:highlight w:val="none"/>
        </w:rPr>
      </w:pPr>
    </w:p>
    <w:p w14:paraId="5BD5E39B">
      <w:pPr>
        <w:spacing w:line="460" w:lineRule="exact"/>
        <w:jc w:val="center"/>
        <w:rPr>
          <w:rFonts w:ascii="楷体" w:hAnsi="楷体" w:eastAsia="楷体"/>
          <w:color w:val="auto"/>
          <w:sz w:val="72"/>
          <w:szCs w:val="72"/>
          <w:highlight w:val="none"/>
        </w:rPr>
      </w:pPr>
    </w:p>
    <w:p w14:paraId="6B0F4B28">
      <w:pPr>
        <w:jc w:val="center"/>
        <w:rPr>
          <w:rFonts w:hint="eastAsia" w:ascii="楷体" w:hAnsi="楷体" w:eastAsia="楷体"/>
          <w:color w:val="auto"/>
          <w:sz w:val="96"/>
          <w:szCs w:val="96"/>
          <w:highlight w:val="none"/>
        </w:rPr>
      </w:pPr>
    </w:p>
    <w:p w14:paraId="4B037005">
      <w:pPr>
        <w:jc w:val="center"/>
        <w:rPr>
          <w:rFonts w:hint="eastAsia" w:ascii="楷体" w:hAnsi="楷体" w:eastAsia="楷体"/>
          <w:color w:val="auto"/>
          <w:sz w:val="96"/>
          <w:szCs w:val="96"/>
          <w:highlight w:val="none"/>
        </w:rPr>
      </w:pPr>
    </w:p>
    <w:p w14:paraId="2A9F326A">
      <w:pPr>
        <w:jc w:val="center"/>
        <w:rPr>
          <w:rFonts w:ascii="楷体" w:hAnsi="楷体" w:eastAsia="楷体"/>
          <w:color w:val="auto"/>
          <w:sz w:val="96"/>
          <w:szCs w:val="96"/>
          <w:highlight w:val="none"/>
        </w:rPr>
      </w:pPr>
      <w:r>
        <w:rPr>
          <w:rFonts w:hint="eastAsia" w:ascii="楷体" w:hAnsi="楷体" w:eastAsia="楷体"/>
          <w:color w:val="auto"/>
          <w:sz w:val="96"/>
          <w:szCs w:val="96"/>
          <w:highlight w:val="none"/>
        </w:rPr>
        <w:t>合</w:t>
      </w:r>
    </w:p>
    <w:p w14:paraId="33F9CB6D">
      <w:pPr>
        <w:jc w:val="center"/>
        <w:rPr>
          <w:rFonts w:ascii="楷体" w:hAnsi="楷体" w:eastAsia="楷体"/>
          <w:color w:val="auto"/>
          <w:sz w:val="96"/>
          <w:szCs w:val="96"/>
          <w:highlight w:val="none"/>
        </w:rPr>
      </w:pPr>
      <w:r>
        <w:rPr>
          <w:rFonts w:hint="eastAsia" w:ascii="楷体" w:hAnsi="楷体" w:eastAsia="楷体"/>
          <w:color w:val="auto"/>
          <w:sz w:val="96"/>
          <w:szCs w:val="96"/>
          <w:highlight w:val="none"/>
        </w:rPr>
        <w:t>同</w:t>
      </w:r>
    </w:p>
    <w:p w14:paraId="425334E4">
      <w:pPr>
        <w:jc w:val="center"/>
        <w:rPr>
          <w:rFonts w:ascii="楷体" w:hAnsi="楷体" w:eastAsia="楷体"/>
          <w:color w:val="auto"/>
          <w:sz w:val="24"/>
          <w:highlight w:val="none"/>
        </w:rPr>
      </w:pPr>
      <w:r>
        <w:rPr>
          <w:rFonts w:hint="eastAsia" w:ascii="楷体" w:hAnsi="楷体" w:eastAsia="楷体"/>
          <w:color w:val="auto"/>
          <w:sz w:val="96"/>
          <w:szCs w:val="96"/>
          <w:highlight w:val="none"/>
        </w:rPr>
        <w:t>书</w:t>
      </w:r>
    </w:p>
    <w:p w14:paraId="641408F5">
      <w:pPr>
        <w:spacing w:line="460" w:lineRule="exact"/>
        <w:jc w:val="both"/>
        <w:rPr>
          <w:rFonts w:ascii="楷体" w:hAnsi="楷体" w:eastAsia="楷体"/>
          <w:color w:val="auto"/>
          <w:sz w:val="24"/>
          <w:highlight w:val="none"/>
        </w:rPr>
      </w:pPr>
    </w:p>
    <w:p w14:paraId="5521AE58">
      <w:pPr>
        <w:spacing w:line="460" w:lineRule="exact"/>
        <w:jc w:val="center"/>
        <w:rPr>
          <w:rFonts w:ascii="楷体" w:hAnsi="楷体" w:eastAsia="楷体"/>
          <w:color w:val="auto"/>
          <w:sz w:val="24"/>
          <w:highlight w:val="none"/>
        </w:rPr>
      </w:pPr>
    </w:p>
    <w:p w14:paraId="52774572">
      <w:pPr>
        <w:spacing w:line="460" w:lineRule="exact"/>
        <w:jc w:val="both"/>
        <w:rPr>
          <w:rFonts w:ascii="楷体" w:hAnsi="楷体" w:eastAsia="楷体"/>
          <w:color w:val="auto"/>
          <w:sz w:val="24"/>
          <w:highlight w:val="none"/>
        </w:rPr>
      </w:pPr>
    </w:p>
    <w:p w14:paraId="754B92A7">
      <w:pPr>
        <w:spacing w:line="460" w:lineRule="exact"/>
        <w:jc w:val="center"/>
        <w:rPr>
          <w:rFonts w:ascii="楷体" w:hAnsi="楷体" w:eastAsia="楷体"/>
          <w:color w:val="auto"/>
          <w:sz w:val="24"/>
          <w:highlight w:val="none"/>
        </w:rPr>
      </w:pPr>
    </w:p>
    <w:p w14:paraId="12A41EBB">
      <w:pPr>
        <w:spacing w:line="460" w:lineRule="exact"/>
        <w:jc w:val="center"/>
        <w:rPr>
          <w:rFonts w:ascii="楷体" w:hAnsi="楷体" w:eastAsia="楷体"/>
          <w:color w:val="auto"/>
          <w:sz w:val="24"/>
          <w:highlight w:val="none"/>
        </w:rPr>
      </w:pPr>
    </w:p>
    <w:p w14:paraId="13157A9A">
      <w:pPr>
        <w:spacing w:line="460" w:lineRule="exact"/>
        <w:jc w:val="center"/>
        <w:rPr>
          <w:rFonts w:ascii="楷体" w:hAnsi="楷体" w:eastAsia="楷体"/>
          <w:color w:val="auto"/>
          <w:sz w:val="24"/>
          <w:highlight w:val="none"/>
        </w:rPr>
      </w:pPr>
    </w:p>
    <w:p w14:paraId="748190E5">
      <w:pPr>
        <w:spacing w:line="460" w:lineRule="exact"/>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甲方（采购人）：郑州大学第三附属医院（河南省妇幼保健院）</w:t>
      </w:r>
    </w:p>
    <w:p w14:paraId="3A356385">
      <w:pPr>
        <w:spacing w:line="460" w:lineRule="exact"/>
        <w:ind w:firstLine="280" w:firstLineChars="100"/>
        <w:jc w:val="left"/>
        <w:rPr>
          <w:rFonts w:hint="eastAsia" w:ascii="楷体" w:hAnsi="楷体" w:eastAsia="楷体"/>
          <w:color w:val="auto"/>
          <w:sz w:val="28"/>
          <w:szCs w:val="28"/>
          <w:highlight w:val="none"/>
          <w:lang w:val="en-US" w:eastAsia="zh-CN"/>
        </w:rPr>
      </w:pPr>
      <w:r>
        <w:rPr>
          <w:rFonts w:hint="eastAsia" w:ascii="楷体" w:hAnsi="楷体" w:eastAsia="楷体"/>
          <w:color w:val="auto"/>
          <w:sz w:val="28"/>
          <w:szCs w:val="28"/>
          <w:highlight w:val="none"/>
        </w:rPr>
        <w:t>乙方（供应商）：</w:t>
      </w:r>
      <w:r>
        <w:rPr>
          <w:rFonts w:hint="eastAsia" w:ascii="楷体" w:hAnsi="楷体" w:eastAsia="楷体"/>
          <w:color w:val="auto"/>
          <w:sz w:val="28"/>
          <w:szCs w:val="28"/>
          <w:highlight w:val="none"/>
          <w:lang w:val="en-US" w:eastAsia="zh-CN"/>
        </w:rPr>
        <w:t>上海医用缝合针厂有限公司</w:t>
      </w:r>
    </w:p>
    <w:p w14:paraId="3CF49A7E">
      <w:pPr>
        <w:spacing w:line="460" w:lineRule="exact"/>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签 订 地 点：河南省郑州市</w:t>
      </w:r>
    </w:p>
    <w:p w14:paraId="08A19D8F">
      <w:pPr>
        <w:spacing w:line="460" w:lineRule="exact"/>
        <w:jc w:val="center"/>
        <w:rPr>
          <w:rFonts w:ascii="楷体" w:hAnsi="楷体" w:eastAsia="楷体"/>
          <w:color w:val="auto"/>
          <w:sz w:val="24"/>
          <w:highlight w:val="none"/>
        </w:rPr>
      </w:pPr>
      <w:r>
        <w:rPr>
          <w:rFonts w:hint="eastAsia" w:ascii="楷体" w:hAnsi="楷体" w:eastAsia="楷体"/>
          <w:color w:val="auto"/>
          <w:sz w:val="28"/>
          <w:szCs w:val="28"/>
          <w:highlight w:val="none"/>
        </w:rPr>
        <w:t>签订时间：    年    月    日</w:t>
      </w:r>
      <w:r>
        <w:rPr>
          <w:rFonts w:hint="eastAsia" w:ascii="楷体" w:hAnsi="楷体" w:eastAsia="楷体"/>
          <w:color w:val="auto"/>
          <w:sz w:val="24"/>
          <w:highlight w:val="none"/>
        </w:rPr>
        <w:br w:type="page"/>
      </w:r>
    </w:p>
    <w:p w14:paraId="222D7DC4">
      <w:pPr>
        <w:spacing w:line="460" w:lineRule="exact"/>
        <w:jc w:val="left"/>
        <w:rPr>
          <w:rFonts w:ascii="楷体" w:hAnsi="楷体" w:eastAsia="楷体"/>
          <w:color w:val="auto"/>
          <w:sz w:val="24"/>
          <w:highlight w:val="none"/>
          <w:u w:val="single"/>
        </w:rPr>
      </w:pPr>
      <w:r>
        <w:rPr>
          <w:rFonts w:hint="eastAsia" w:ascii="楷体" w:hAnsi="楷体" w:eastAsia="楷体"/>
          <w:color w:val="auto"/>
          <w:sz w:val="24"/>
          <w:highlight w:val="none"/>
        </w:rPr>
        <w:t>甲方（采购方）：</w:t>
      </w:r>
      <w:r>
        <w:rPr>
          <w:rFonts w:hint="eastAsia" w:ascii="楷体" w:hAnsi="楷体" w:eastAsia="楷体"/>
          <w:color w:val="auto"/>
          <w:sz w:val="24"/>
          <w:highlight w:val="none"/>
          <w:u w:val="single"/>
        </w:rPr>
        <w:t xml:space="preserve"> 郑州大学第三附属医院（河南省妇幼保健院）   </w:t>
      </w:r>
    </w:p>
    <w:p w14:paraId="0FE4E7C0">
      <w:pPr>
        <w:spacing w:line="460" w:lineRule="exact"/>
        <w:jc w:val="left"/>
        <w:rPr>
          <w:rFonts w:ascii="楷体" w:hAnsi="楷体" w:eastAsia="楷体"/>
          <w:color w:val="auto"/>
          <w:sz w:val="24"/>
          <w:highlight w:val="none"/>
          <w:u w:val="single"/>
        </w:rPr>
      </w:pPr>
      <w:r>
        <w:rPr>
          <w:rFonts w:hint="eastAsia" w:ascii="楷体" w:hAnsi="楷体" w:eastAsia="楷体"/>
          <w:color w:val="auto"/>
          <w:sz w:val="24"/>
          <w:highlight w:val="none"/>
        </w:rPr>
        <w:t>乙方（供应商）：</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上海医用缝合针厂有限公司      </w:t>
      </w:r>
      <w:r>
        <w:rPr>
          <w:rFonts w:ascii="楷体" w:hAnsi="楷体" w:eastAsia="楷体"/>
          <w:color w:val="auto"/>
          <w:sz w:val="24"/>
          <w:highlight w:val="none"/>
          <w:u w:val="single"/>
        </w:rPr>
        <w:t xml:space="preserve">  </w:t>
      </w:r>
    </w:p>
    <w:p w14:paraId="446A55E0">
      <w:pPr>
        <w:spacing w:line="460" w:lineRule="exact"/>
        <w:jc w:val="left"/>
        <w:rPr>
          <w:rFonts w:ascii="楷体" w:hAnsi="楷体" w:eastAsia="楷体"/>
          <w:color w:val="auto"/>
          <w:sz w:val="24"/>
          <w:highlight w:val="none"/>
        </w:rPr>
      </w:pPr>
    </w:p>
    <w:p w14:paraId="60F1F53A">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u w:val="single"/>
        </w:rPr>
        <w:t xml:space="preserve"> 202</w:t>
      </w:r>
      <w:r>
        <w:rPr>
          <w:rFonts w:hint="eastAsia" w:ascii="楷体" w:hAnsi="楷体" w:eastAsia="楷体"/>
          <w:color w:val="auto"/>
          <w:sz w:val="24"/>
          <w:highlight w:val="none"/>
          <w:u w:val="single"/>
          <w:lang w:val="en-US" w:eastAsia="zh-CN"/>
        </w:rPr>
        <w:t>4</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rPr>
        <w:t>年</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12</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rPr>
        <w:t>月</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26</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rPr>
        <w:t>日，甲方以</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单一来源</w:t>
      </w:r>
      <w:r>
        <w:rPr>
          <w:rFonts w:hint="eastAsia" w:ascii="楷体" w:hAnsi="楷体" w:eastAsia="楷体"/>
          <w:color w:val="auto"/>
          <w:sz w:val="24"/>
          <w:highlight w:val="none"/>
          <w:u w:val="single"/>
        </w:rPr>
        <w:t xml:space="preserve">采购方式 </w:t>
      </w:r>
      <w:r>
        <w:rPr>
          <w:rFonts w:hint="eastAsia" w:ascii="楷体" w:hAnsi="楷体" w:eastAsia="楷体"/>
          <w:color w:val="auto"/>
          <w:sz w:val="24"/>
          <w:highlight w:val="none"/>
        </w:rPr>
        <w:t>对</w:t>
      </w:r>
      <w:r>
        <w:rPr>
          <w:rFonts w:hint="eastAsia" w:ascii="楷体" w:hAnsi="楷体" w:eastAsia="楷体"/>
          <w:color w:val="auto"/>
          <w:sz w:val="24"/>
          <w:highlight w:val="none"/>
          <w:u w:val="single"/>
        </w:rPr>
        <w:t xml:space="preserve"> 郑州大学第三附属医院（河南省妇幼保健院）202</w:t>
      </w:r>
      <w:r>
        <w:rPr>
          <w:rFonts w:hint="eastAsia" w:ascii="楷体" w:hAnsi="楷体" w:eastAsia="楷体"/>
          <w:color w:val="auto"/>
          <w:sz w:val="24"/>
          <w:highlight w:val="none"/>
          <w:u w:val="single"/>
          <w:lang w:val="en-US" w:eastAsia="zh-CN"/>
        </w:rPr>
        <w:t>3</w:t>
      </w:r>
      <w:r>
        <w:rPr>
          <w:rFonts w:hint="eastAsia" w:ascii="楷体" w:hAnsi="楷体" w:eastAsia="楷体"/>
          <w:color w:val="auto"/>
          <w:sz w:val="24"/>
          <w:highlight w:val="none"/>
          <w:u w:val="single"/>
        </w:rPr>
        <w:t xml:space="preserve">年度河南省免费提供避孕药具采购项目 </w:t>
      </w:r>
      <w:r>
        <w:rPr>
          <w:rFonts w:hint="eastAsia" w:ascii="楷体" w:hAnsi="楷体" w:eastAsia="楷体"/>
          <w:color w:val="auto"/>
          <w:sz w:val="24"/>
          <w:highlight w:val="none"/>
        </w:rPr>
        <w:t>进行了采购。经</w:t>
      </w:r>
      <w:r>
        <w:rPr>
          <w:rFonts w:hint="eastAsia" w:ascii="楷体" w:hAnsi="楷体" w:eastAsia="楷体"/>
          <w:color w:val="auto"/>
          <w:sz w:val="24"/>
          <w:highlight w:val="none"/>
          <w:u w:val="single"/>
        </w:rPr>
        <w:t xml:space="preserve"> 郑州大学第三附属医院（河南省妇幼保健院）</w:t>
      </w:r>
      <w:r>
        <w:rPr>
          <w:rFonts w:hint="eastAsia" w:ascii="楷体" w:hAnsi="楷体" w:eastAsia="楷体"/>
          <w:color w:val="auto"/>
          <w:sz w:val="24"/>
          <w:highlight w:val="none"/>
        </w:rPr>
        <w:t>评定，乙方为该项目中标供应商（中标人）。</w:t>
      </w:r>
    </w:p>
    <w:p w14:paraId="61FA8AAC">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根据《中华人民共和国民法典》《中华人民共和国政府采购法》等相关法律法规之规定，甲乙双方按照平等、自愿、公平和诚实信用的原则，经</w:t>
      </w:r>
      <w:r>
        <w:rPr>
          <w:rFonts w:hint="eastAsia" w:ascii="楷体" w:hAnsi="楷体" w:eastAsia="楷体"/>
          <w:color w:val="auto"/>
          <w:sz w:val="24"/>
          <w:highlight w:val="none"/>
          <w:u w:val="single"/>
        </w:rPr>
        <w:t>友好</w:t>
      </w:r>
      <w:r>
        <w:rPr>
          <w:rFonts w:hint="eastAsia" w:ascii="楷体" w:hAnsi="楷体" w:eastAsia="楷体"/>
          <w:color w:val="auto"/>
          <w:sz w:val="24"/>
          <w:highlight w:val="none"/>
        </w:rPr>
        <w:t>协商一致，就甲方向乙方采购货物事宜达成以下合同条款，以兹共同遵守、全面履行。</w:t>
      </w:r>
    </w:p>
    <w:p w14:paraId="4FFA677A">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1.1 合同组成部分</w:t>
      </w:r>
    </w:p>
    <w:p w14:paraId="13465D4D">
      <w:pPr>
        <w:spacing w:line="460" w:lineRule="exact"/>
        <w:ind w:firstLine="360" w:firstLineChars="150"/>
        <w:jc w:val="left"/>
        <w:rPr>
          <w:rFonts w:ascii="楷体" w:hAnsi="楷体" w:eastAsia="楷体"/>
          <w:color w:val="auto"/>
          <w:sz w:val="24"/>
          <w:highlight w:val="none"/>
        </w:rPr>
      </w:pPr>
      <w:r>
        <w:rPr>
          <w:rFonts w:hint="eastAsia" w:ascii="楷体" w:hAnsi="楷体" w:eastAsia="楷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EE6C708">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1.1.1 本合同书及其补充合同、变更协议；</w:t>
      </w:r>
    </w:p>
    <w:p w14:paraId="7615BC0B">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1.1.2 中标通知书/成交确认书；</w:t>
      </w:r>
    </w:p>
    <w:p w14:paraId="2BD1BD21">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1.1.3 合同专用条款；</w:t>
      </w:r>
    </w:p>
    <w:p w14:paraId="5971DF4B">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1.1.4 合同一般条款；</w:t>
      </w:r>
    </w:p>
    <w:p w14:paraId="2F76F95B">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1.1.5 采购文件（含澄清或者修改文件）；</w:t>
      </w:r>
    </w:p>
    <w:p w14:paraId="56707902">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1.1.6 响应文件（含澄清或者说明文件）；</w:t>
      </w:r>
    </w:p>
    <w:p w14:paraId="206AB836">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1.1.7 其他相关采购文件。</w:t>
      </w:r>
    </w:p>
    <w:p w14:paraId="381E2137">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1.2 货物</w:t>
      </w:r>
    </w:p>
    <w:p w14:paraId="1AD12DD1">
      <w:pPr>
        <w:spacing w:line="460" w:lineRule="exact"/>
        <w:ind w:firstLine="480" w:firstLineChars="200"/>
        <w:jc w:val="left"/>
        <w:rPr>
          <w:rFonts w:ascii="楷体" w:hAnsi="楷体" w:eastAsia="楷体"/>
          <w:color w:val="auto"/>
          <w:sz w:val="24"/>
          <w:highlight w:val="none"/>
          <w:u w:val="single"/>
        </w:rPr>
      </w:pPr>
      <w:r>
        <w:rPr>
          <w:rFonts w:hint="eastAsia" w:ascii="楷体" w:hAnsi="楷体" w:eastAsia="楷体"/>
          <w:color w:val="auto"/>
          <w:sz w:val="24"/>
          <w:highlight w:val="none"/>
        </w:rPr>
        <w:t>1.2.1 货物</w:t>
      </w:r>
      <w:r>
        <w:rPr>
          <w:rFonts w:ascii="楷体" w:hAnsi="楷体" w:eastAsia="楷体"/>
          <w:color w:val="auto"/>
          <w:sz w:val="24"/>
          <w:highlight w:val="none"/>
        </w:rPr>
        <w:t>名称：</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γ型含铜含吲哚美辛宫内节育器</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rPr>
        <w:t>；</w:t>
      </w:r>
    </w:p>
    <w:p w14:paraId="6C6E340F">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1.2.2 货物规格型号及技术参数</w:t>
      </w:r>
      <w:r>
        <w:rPr>
          <w:rFonts w:ascii="楷体" w:hAnsi="楷体" w:eastAsia="楷体"/>
          <w:color w:val="auto"/>
          <w:sz w:val="24"/>
          <w:highlight w:val="none"/>
        </w:rPr>
        <w:t>：</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1175"/>
        <w:gridCol w:w="851"/>
        <w:gridCol w:w="4451"/>
        <w:gridCol w:w="1112"/>
        <w:gridCol w:w="457"/>
      </w:tblGrid>
      <w:tr w14:paraId="40BA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78" w:type="pct"/>
            <w:tcBorders>
              <w:top w:val="single" w:color="auto" w:sz="4" w:space="0"/>
              <w:left w:val="single" w:color="auto" w:sz="4" w:space="0"/>
              <w:bottom w:val="single" w:color="auto" w:sz="4" w:space="0"/>
              <w:right w:val="single" w:color="auto" w:sz="4" w:space="0"/>
            </w:tcBorders>
            <w:vAlign w:val="center"/>
          </w:tcPr>
          <w:p w14:paraId="51FA401F">
            <w:pPr>
              <w:jc w:val="center"/>
              <w:rPr>
                <w:rFonts w:hint="eastAsia" w:ascii="楷体" w:hAnsi="楷体" w:eastAsia="楷体" w:cs="楷体"/>
                <w:color w:val="auto"/>
                <w:sz w:val="24"/>
                <w:szCs w:val="24"/>
                <w:highlight w:val="none"/>
                <w:lang w:eastAsia="en-US"/>
              </w:rPr>
            </w:pPr>
            <w:r>
              <w:rPr>
                <w:rFonts w:hint="eastAsia" w:ascii="楷体" w:hAnsi="楷体" w:eastAsia="楷体" w:cs="楷体"/>
                <w:color w:val="auto"/>
                <w:sz w:val="24"/>
                <w:szCs w:val="24"/>
                <w:highlight w:val="none"/>
                <w:lang w:eastAsia="en-US"/>
              </w:rPr>
              <w:t>序号</w:t>
            </w:r>
          </w:p>
        </w:tc>
        <w:tc>
          <w:tcPr>
            <w:tcW w:w="690" w:type="pct"/>
            <w:tcBorders>
              <w:top w:val="single" w:color="auto" w:sz="4" w:space="0"/>
              <w:left w:val="single" w:color="auto" w:sz="4" w:space="0"/>
              <w:bottom w:val="single" w:color="auto" w:sz="4" w:space="0"/>
              <w:right w:val="single" w:color="auto" w:sz="4" w:space="0"/>
            </w:tcBorders>
            <w:vAlign w:val="center"/>
          </w:tcPr>
          <w:p w14:paraId="138EE562">
            <w:pPr>
              <w:jc w:val="center"/>
              <w:rPr>
                <w:rFonts w:hint="eastAsia" w:ascii="楷体" w:hAnsi="楷体" w:eastAsia="楷体" w:cs="楷体"/>
                <w:color w:val="auto"/>
                <w:sz w:val="24"/>
                <w:szCs w:val="24"/>
                <w:highlight w:val="none"/>
                <w:lang w:eastAsia="en-US"/>
              </w:rPr>
            </w:pPr>
            <w:r>
              <w:rPr>
                <w:rFonts w:hint="eastAsia" w:ascii="楷体" w:hAnsi="楷体" w:eastAsia="楷体" w:cs="楷体"/>
                <w:color w:val="auto"/>
                <w:sz w:val="24"/>
                <w:szCs w:val="24"/>
                <w:highlight w:val="none"/>
              </w:rPr>
              <w:t>货物</w:t>
            </w: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lang w:eastAsia="en-US"/>
              </w:rPr>
              <w:t>名称</w:t>
            </w:r>
          </w:p>
        </w:tc>
        <w:tc>
          <w:tcPr>
            <w:tcW w:w="500" w:type="pct"/>
            <w:tcBorders>
              <w:top w:val="single" w:color="auto" w:sz="4" w:space="0"/>
              <w:left w:val="single" w:color="auto" w:sz="4" w:space="0"/>
              <w:bottom w:val="single" w:color="auto" w:sz="4" w:space="0"/>
              <w:right w:val="single" w:color="auto" w:sz="4" w:space="0"/>
            </w:tcBorders>
            <w:vAlign w:val="center"/>
          </w:tcPr>
          <w:p w14:paraId="756F5C6D">
            <w:pPr>
              <w:jc w:val="center"/>
              <w:rPr>
                <w:rFonts w:hint="eastAsia" w:ascii="楷体" w:hAnsi="楷体" w:eastAsia="楷体" w:cs="楷体"/>
                <w:color w:val="auto"/>
                <w:sz w:val="24"/>
                <w:szCs w:val="24"/>
                <w:highlight w:val="none"/>
                <w:lang w:eastAsia="en-US"/>
              </w:rPr>
            </w:pPr>
            <w:r>
              <w:rPr>
                <w:rFonts w:hint="eastAsia" w:ascii="楷体" w:hAnsi="楷体" w:eastAsia="楷体" w:cs="楷体"/>
                <w:color w:val="auto"/>
                <w:sz w:val="24"/>
                <w:szCs w:val="24"/>
                <w:highlight w:val="none"/>
                <w:lang w:eastAsia="en-US"/>
              </w:rPr>
              <w:t>品牌</w:t>
            </w: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lang w:eastAsia="en-US"/>
              </w:rPr>
              <w:t>型号</w:t>
            </w:r>
          </w:p>
        </w:tc>
        <w:tc>
          <w:tcPr>
            <w:tcW w:w="2612" w:type="pct"/>
            <w:tcBorders>
              <w:top w:val="single" w:color="auto" w:sz="4" w:space="0"/>
              <w:left w:val="single" w:color="auto" w:sz="4" w:space="0"/>
              <w:bottom w:val="single" w:color="auto" w:sz="4" w:space="0"/>
              <w:right w:val="single" w:color="auto" w:sz="4" w:space="0"/>
            </w:tcBorders>
            <w:vAlign w:val="center"/>
          </w:tcPr>
          <w:p w14:paraId="4EFDE47F">
            <w:pPr>
              <w:jc w:val="center"/>
              <w:rPr>
                <w:rFonts w:hint="eastAsia" w:ascii="楷体" w:hAnsi="楷体" w:eastAsia="楷体" w:cs="楷体"/>
                <w:color w:val="auto"/>
                <w:sz w:val="24"/>
                <w:szCs w:val="24"/>
                <w:highlight w:val="none"/>
                <w:lang w:eastAsia="en-US"/>
              </w:rPr>
            </w:pPr>
            <w:r>
              <w:rPr>
                <w:rFonts w:hint="eastAsia" w:ascii="楷体" w:hAnsi="楷体" w:eastAsia="楷体" w:cs="楷体"/>
                <w:color w:val="auto"/>
                <w:sz w:val="24"/>
                <w:szCs w:val="24"/>
                <w:highlight w:val="none"/>
                <w:lang w:eastAsia="en-US"/>
              </w:rPr>
              <w:t>规格及技术参数</w:t>
            </w:r>
          </w:p>
        </w:tc>
        <w:tc>
          <w:tcPr>
            <w:tcW w:w="653" w:type="pct"/>
            <w:tcBorders>
              <w:top w:val="single" w:color="auto" w:sz="4" w:space="0"/>
              <w:left w:val="single" w:color="auto" w:sz="4" w:space="0"/>
              <w:bottom w:val="single" w:color="auto" w:sz="4" w:space="0"/>
              <w:right w:val="single" w:color="auto" w:sz="4" w:space="0"/>
            </w:tcBorders>
            <w:vAlign w:val="center"/>
          </w:tcPr>
          <w:p w14:paraId="67C33D85">
            <w:pPr>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包装</w:t>
            </w: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rPr>
              <w:t>规格</w:t>
            </w:r>
          </w:p>
        </w:tc>
        <w:tc>
          <w:tcPr>
            <w:tcW w:w="265" w:type="pct"/>
            <w:tcBorders>
              <w:top w:val="single" w:color="auto" w:sz="4" w:space="0"/>
              <w:left w:val="single" w:color="auto" w:sz="4" w:space="0"/>
              <w:bottom w:val="single" w:color="auto" w:sz="4" w:space="0"/>
              <w:right w:val="single" w:color="auto" w:sz="4" w:space="0"/>
            </w:tcBorders>
            <w:vAlign w:val="center"/>
          </w:tcPr>
          <w:p w14:paraId="70809404">
            <w:pPr>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其他</w:t>
            </w:r>
          </w:p>
        </w:tc>
      </w:tr>
      <w:tr w14:paraId="5056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78" w:type="pct"/>
            <w:tcBorders>
              <w:top w:val="single" w:color="auto" w:sz="4" w:space="0"/>
              <w:left w:val="single" w:color="auto" w:sz="4" w:space="0"/>
              <w:bottom w:val="single" w:color="auto" w:sz="4" w:space="0"/>
              <w:right w:val="single" w:color="auto" w:sz="4" w:space="0"/>
            </w:tcBorders>
            <w:vAlign w:val="center"/>
          </w:tcPr>
          <w:p w14:paraId="6C7D4142">
            <w:pPr>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w:t>
            </w:r>
          </w:p>
        </w:tc>
        <w:tc>
          <w:tcPr>
            <w:tcW w:w="690" w:type="pct"/>
            <w:tcBorders>
              <w:top w:val="single" w:color="auto" w:sz="4" w:space="0"/>
              <w:left w:val="single" w:color="auto" w:sz="4" w:space="0"/>
              <w:bottom w:val="single" w:color="auto" w:sz="4" w:space="0"/>
              <w:right w:val="single" w:color="auto" w:sz="4" w:space="0"/>
            </w:tcBorders>
            <w:vAlign w:val="center"/>
          </w:tcPr>
          <w:p w14:paraId="7CC959BA">
            <w:pPr>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γ型含铜含吲哚美辛宫内节育器</w:t>
            </w:r>
          </w:p>
        </w:tc>
        <w:tc>
          <w:tcPr>
            <w:tcW w:w="500" w:type="pct"/>
            <w:tcBorders>
              <w:top w:val="single" w:color="auto" w:sz="4" w:space="0"/>
              <w:left w:val="single" w:color="auto" w:sz="4" w:space="0"/>
              <w:bottom w:val="single" w:color="auto" w:sz="4" w:space="0"/>
              <w:right w:val="single" w:color="auto" w:sz="4" w:space="0"/>
            </w:tcBorders>
            <w:vAlign w:val="center"/>
          </w:tcPr>
          <w:p w14:paraId="24B25AC6">
            <w:pPr>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梅花</w:t>
            </w:r>
          </w:p>
        </w:tc>
        <w:tc>
          <w:tcPr>
            <w:tcW w:w="2612" w:type="pct"/>
            <w:tcBorders>
              <w:top w:val="single" w:color="auto" w:sz="4" w:space="0"/>
              <w:left w:val="single" w:color="auto" w:sz="4" w:space="0"/>
              <w:bottom w:val="single" w:color="auto" w:sz="4" w:space="0"/>
              <w:right w:val="single" w:color="auto" w:sz="4" w:space="0"/>
            </w:tcBorders>
            <w:vAlign w:val="center"/>
          </w:tcPr>
          <w:p w14:paraId="42286A42">
            <w:pPr>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规格：</w:t>
            </w:r>
            <w:bookmarkStart w:id="0" w:name="OLE_LINK1"/>
            <w:r>
              <w:rPr>
                <w:rFonts w:hint="eastAsia" w:ascii="楷体" w:hAnsi="楷体" w:eastAsia="楷体" w:cs="楷体"/>
                <w:color w:val="auto"/>
                <w:sz w:val="24"/>
                <w:szCs w:val="24"/>
                <w:highlight w:val="none"/>
                <w:lang w:val="en-US" w:eastAsia="zh-CN"/>
              </w:rPr>
              <w:t>I-24、I-26、I-28</w:t>
            </w:r>
            <w:bookmarkEnd w:id="0"/>
          </w:p>
          <w:p w14:paraId="2E71FC01">
            <w:pPr>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技术参数：由06Cr19Ni10不锈钢丝，99.99％纯度铜丝及吲哚美辛硅橡胶组成。铜表面积标称值250mm</w:t>
            </w:r>
            <w:r>
              <w:rPr>
                <w:rFonts w:hint="eastAsia" w:ascii="楷体" w:hAnsi="楷体" w:eastAsia="楷体" w:cs="楷体"/>
                <w:color w:val="auto"/>
                <w:sz w:val="24"/>
                <w:szCs w:val="24"/>
                <w:highlight w:val="none"/>
                <w:vertAlign w:val="superscript"/>
                <w:lang w:val="en-US" w:eastAsia="zh-CN"/>
              </w:rPr>
              <w:t>2</w:t>
            </w:r>
            <w:r>
              <w:rPr>
                <w:rFonts w:hint="eastAsia" w:ascii="楷体" w:hAnsi="楷体" w:eastAsia="楷体" w:cs="楷体"/>
                <w:color w:val="auto"/>
                <w:sz w:val="24"/>
                <w:szCs w:val="24"/>
                <w:highlight w:val="none"/>
                <w:lang w:val="en-US" w:eastAsia="zh-CN"/>
              </w:rPr>
              <w:t>。一次性使用产品，环氧乙烷灭菌。产品货架有效期3年。</w:t>
            </w:r>
          </w:p>
        </w:tc>
        <w:tc>
          <w:tcPr>
            <w:tcW w:w="653" w:type="pct"/>
            <w:tcBorders>
              <w:top w:val="single" w:color="auto" w:sz="4" w:space="0"/>
              <w:left w:val="single" w:color="auto" w:sz="4" w:space="0"/>
              <w:bottom w:val="single" w:color="auto" w:sz="4" w:space="0"/>
              <w:right w:val="single" w:color="auto" w:sz="4" w:space="0"/>
            </w:tcBorders>
            <w:vAlign w:val="center"/>
          </w:tcPr>
          <w:p w14:paraId="34FE8446">
            <w:pPr>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100套/件</w:t>
            </w:r>
          </w:p>
        </w:tc>
        <w:tc>
          <w:tcPr>
            <w:tcW w:w="265" w:type="pct"/>
            <w:tcBorders>
              <w:top w:val="single" w:color="auto" w:sz="4" w:space="0"/>
              <w:left w:val="single" w:color="auto" w:sz="4" w:space="0"/>
              <w:bottom w:val="single" w:color="auto" w:sz="4" w:space="0"/>
              <w:right w:val="single" w:color="auto" w:sz="4" w:space="0"/>
            </w:tcBorders>
            <w:vAlign w:val="center"/>
          </w:tcPr>
          <w:p w14:paraId="37FE696D">
            <w:pPr>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无</w:t>
            </w:r>
          </w:p>
        </w:tc>
      </w:tr>
    </w:tbl>
    <w:p w14:paraId="56631C4F">
      <w:pPr>
        <w:rPr>
          <w:color w:val="auto"/>
          <w:highlight w:val="none"/>
        </w:rPr>
      </w:pPr>
    </w:p>
    <w:p w14:paraId="142D6D9C">
      <w:pPr>
        <w:spacing w:line="460" w:lineRule="exact"/>
        <w:ind w:firstLine="480" w:firstLineChars="200"/>
        <w:jc w:val="left"/>
        <w:rPr>
          <w:rFonts w:ascii="楷体" w:hAnsi="楷体" w:eastAsia="楷体"/>
          <w:color w:val="auto"/>
          <w:sz w:val="24"/>
          <w:highlight w:val="none"/>
          <w:u w:val="single"/>
        </w:rPr>
      </w:pPr>
      <w:r>
        <w:rPr>
          <w:rFonts w:hint="eastAsia" w:ascii="楷体" w:hAnsi="楷体" w:eastAsia="楷体"/>
          <w:color w:val="auto"/>
          <w:sz w:val="24"/>
          <w:highlight w:val="none"/>
        </w:rPr>
        <w:t>1.2.3 货物</w:t>
      </w:r>
      <w:r>
        <w:rPr>
          <w:rFonts w:ascii="楷体" w:hAnsi="楷体" w:eastAsia="楷体"/>
          <w:color w:val="auto"/>
          <w:sz w:val="24"/>
          <w:highlight w:val="none"/>
        </w:rPr>
        <w:t>数量：</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9100套</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rPr>
        <w:t>；</w:t>
      </w:r>
    </w:p>
    <w:p w14:paraId="053A1D82">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1.2.4 货物质量：符合国家、地方或行业关于产品质量的法律法规、规范标准、本合同约定和甲方要求。如货物需安装调试的，乙方安装的质量标准还应当符合国家、行业或地方的规范标准和操作规程，同时还应符合厂家的安装要求。</w:t>
      </w:r>
    </w:p>
    <w:p w14:paraId="5C6E28A6">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1.2.5 乙方保证其供应的货物是全新的（未使用过的）、安全的、技术水平先进的、成熟的、质量优良的，未侵犯任何第三方的知识产权及其他权利，并符合安全可靠经济运行和易于维护的要求。</w:t>
      </w:r>
    </w:p>
    <w:p w14:paraId="7A539DC9">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1.2.</w:t>
      </w:r>
      <w:r>
        <w:rPr>
          <w:rFonts w:ascii="楷体" w:hAnsi="楷体" w:eastAsia="楷体"/>
          <w:color w:val="auto"/>
          <w:sz w:val="24"/>
          <w:highlight w:val="none"/>
        </w:rPr>
        <w:t xml:space="preserve">6 </w:t>
      </w:r>
      <w:r>
        <w:rPr>
          <w:rFonts w:hint="eastAsia" w:ascii="楷体" w:hAnsi="楷体" w:eastAsia="楷体"/>
          <w:color w:val="auto"/>
          <w:sz w:val="24"/>
          <w:highlight w:val="none"/>
        </w:rPr>
        <w:t>乙方须提供该产品的合格证明文件，进口产品还须提供报关和商检证明材料，其技术配置应完全符合采购文件、响应文件中的质量标准和承诺。</w:t>
      </w:r>
    </w:p>
    <w:p w14:paraId="4E6E3379">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1.</w:t>
      </w:r>
      <w:r>
        <w:rPr>
          <w:rFonts w:ascii="楷体" w:hAnsi="楷体" w:eastAsia="楷体"/>
          <w:b/>
          <w:color w:val="auto"/>
          <w:sz w:val="24"/>
          <w:highlight w:val="none"/>
        </w:rPr>
        <w:t>3</w:t>
      </w:r>
      <w:r>
        <w:rPr>
          <w:rFonts w:hint="eastAsia" w:ascii="楷体" w:hAnsi="楷体" w:eastAsia="楷体"/>
          <w:b/>
          <w:color w:val="auto"/>
          <w:sz w:val="24"/>
          <w:highlight w:val="none"/>
        </w:rPr>
        <w:t xml:space="preserve"> 价款</w:t>
      </w:r>
    </w:p>
    <w:p w14:paraId="2D61E592">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1.3.1 乙方按时按质按量向甲方交付货物，甲方向乙方支付合同价款总额含税（以下简称：“</w:t>
      </w:r>
      <w:r>
        <w:rPr>
          <w:rFonts w:ascii="楷体" w:hAnsi="楷体" w:eastAsia="楷体"/>
          <w:color w:val="auto"/>
          <w:sz w:val="24"/>
          <w:highlight w:val="none"/>
        </w:rPr>
        <w:t>合同总价</w:t>
      </w:r>
      <w:r>
        <w:rPr>
          <w:rFonts w:hint="eastAsia" w:ascii="楷体" w:hAnsi="楷体" w:eastAsia="楷体"/>
          <w:color w:val="auto"/>
          <w:sz w:val="24"/>
          <w:highlight w:val="none"/>
        </w:rPr>
        <w:t>”）￥</w:t>
      </w:r>
      <w:r>
        <w:rPr>
          <w:rFonts w:hint="eastAsia" w:ascii="楷体" w:hAnsi="楷体" w:eastAsia="楷体"/>
          <w:color w:val="auto"/>
          <w:sz w:val="24"/>
          <w:highlight w:val="none"/>
          <w:u w:val="single"/>
          <w:lang w:val="en-US" w:eastAsia="zh-CN"/>
        </w:rPr>
        <w:t xml:space="preserve"> 362180.00 </w:t>
      </w:r>
      <w:r>
        <w:rPr>
          <w:rFonts w:ascii="楷体" w:hAnsi="楷体" w:eastAsia="楷体"/>
          <w:color w:val="auto"/>
          <w:sz w:val="24"/>
          <w:highlight w:val="none"/>
        </w:rPr>
        <w:t>元</w:t>
      </w:r>
      <w:r>
        <w:rPr>
          <w:rFonts w:hint="eastAsia" w:ascii="楷体" w:hAnsi="楷体" w:eastAsia="楷体"/>
          <w:color w:val="auto"/>
          <w:sz w:val="24"/>
          <w:highlight w:val="none"/>
        </w:rPr>
        <w:t>（大写：人民币</w:t>
      </w:r>
      <w:r>
        <w:rPr>
          <w:rFonts w:hint="eastAsia" w:ascii="楷体" w:hAnsi="楷体" w:eastAsia="楷体" w:cs="Times New Roman"/>
          <w:color w:val="auto"/>
          <w:sz w:val="24"/>
          <w:highlight w:val="none"/>
          <w:u w:val="single"/>
          <w:lang w:val="en-US" w:eastAsia="zh-CN"/>
        </w:rPr>
        <w:t>叁拾陆万贰仟壹佰捌拾</w:t>
      </w:r>
      <w:r>
        <w:rPr>
          <w:rFonts w:hint="eastAsia" w:ascii="楷体" w:hAnsi="楷体" w:eastAsia="楷体" w:cs="Times New Roman"/>
          <w:color w:val="auto"/>
          <w:sz w:val="24"/>
          <w:highlight w:val="none"/>
        </w:rPr>
        <w:t>元人民币），其中不含税价为</w:t>
      </w:r>
      <w:r>
        <w:rPr>
          <w:rFonts w:hint="eastAsia" w:ascii="楷体" w:hAnsi="楷体" w:eastAsia="楷体"/>
          <w:color w:val="auto"/>
          <w:sz w:val="24"/>
          <w:highlight w:val="none"/>
          <w:u w:val="single"/>
          <w:lang w:val="en-US" w:eastAsia="zh-CN"/>
        </w:rPr>
        <w:t xml:space="preserve"> 362180.00 </w:t>
      </w:r>
      <w:r>
        <w:rPr>
          <w:rFonts w:hint="eastAsia" w:ascii="楷体" w:hAnsi="楷体" w:eastAsia="楷体" w:cs="Times New Roman"/>
          <w:color w:val="auto"/>
          <w:sz w:val="24"/>
          <w:highlight w:val="none"/>
        </w:rPr>
        <w:t>元，税率为</w:t>
      </w:r>
      <w:r>
        <w:rPr>
          <w:rFonts w:hint="eastAsia" w:ascii="楷体" w:hAnsi="楷体" w:eastAsia="楷体" w:cs="Times New Roman"/>
          <w:color w:val="auto"/>
          <w:sz w:val="24"/>
          <w:highlight w:val="none"/>
          <w:u w:val="single"/>
          <w:lang w:val="en-US" w:eastAsia="zh-CN"/>
        </w:rPr>
        <w:t xml:space="preserve"> 0  </w:t>
      </w:r>
      <w:r>
        <w:rPr>
          <w:rFonts w:hint="eastAsia" w:ascii="楷体" w:hAnsi="楷体" w:eastAsia="楷体" w:cs="Times New Roman"/>
          <w:color w:val="auto"/>
          <w:sz w:val="24"/>
          <w:highlight w:val="none"/>
        </w:rPr>
        <w:t>%，税金为</w:t>
      </w:r>
      <w:r>
        <w:rPr>
          <w:rFonts w:hint="eastAsia" w:ascii="楷体" w:hAnsi="楷体" w:eastAsia="楷体" w:cs="Times New Roman"/>
          <w:color w:val="auto"/>
          <w:sz w:val="24"/>
          <w:highlight w:val="none"/>
          <w:u w:val="single"/>
        </w:rPr>
        <w:t xml:space="preserve"> </w:t>
      </w:r>
      <w:r>
        <w:rPr>
          <w:rFonts w:hint="eastAsia" w:ascii="楷体" w:hAnsi="楷体" w:eastAsia="楷体" w:cs="Times New Roman"/>
          <w:color w:val="auto"/>
          <w:sz w:val="24"/>
          <w:highlight w:val="none"/>
          <w:u w:val="single"/>
          <w:lang w:val="en-US" w:eastAsia="zh-CN"/>
        </w:rPr>
        <w:t xml:space="preserve"> 0  </w:t>
      </w:r>
      <w:r>
        <w:rPr>
          <w:rFonts w:hint="eastAsia" w:ascii="楷体" w:hAnsi="楷体" w:eastAsia="楷体" w:cs="Times New Roman"/>
          <w:color w:val="auto"/>
          <w:sz w:val="24"/>
          <w:highlight w:val="none"/>
        </w:rPr>
        <w:t>元</w:t>
      </w:r>
      <w:r>
        <w:rPr>
          <w:rFonts w:ascii="楷体" w:hAnsi="楷体" w:eastAsia="楷体"/>
          <w:color w:val="auto"/>
          <w:sz w:val="24"/>
          <w:highlight w:val="none"/>
        </w:rPr>
        <w:t>。</w:t>
      </w:r>
      <w:r>
        <w:rPr>
          <w:rFonts w:hint="eastAsia" w:ascii="楷体" w:hAnsi="楷体" w:eastAsia="楷体"/>
          <w:color w:val="auto"/>
          <w:sz w:val="24"/>
          <w:highlight w:val="none"/>
        </w:rPr>
        <w:t>除此之外，甲方不再向乙方支付其他任何费用。</w:t>
      </w:r>
    </w:p>
    <w:p w14:paraId="4126F01E">
      <w:pPr>
        <w:spacing w:line="460" w:lineRule="exact"/>
        <w:ind w:firstLine="480" w:firstLineChars="200"/>
        <w:jc w:val="left"/>
        <w:rPr>
          <w:rFonts w:ascii="楷体" w:hAnsi="楷体" w:eastAsia="楷体"/>
          <w:color w:val="auto"/>
          <w:sz w:val="24"/>
          <w:highlight w:val="none"/>
          <w:u w:val="single"/>
        </w:rPr>
      </w:pPr>
      <w:r>
        <w:rPr>
          <w:rFonts w:hint="eastAsia" w:ascii="楷体" w:hAnsi="楷体" w:eastAsia="楷体"/>
          <w:color w:val="auto"/>
          <w:sz w:val="24"/>
          <w:highlight w:val="none"/>
        </w:rPr>
        <w:t>1.3.2 具体</w:t>
      </w:r>
      <w:r>
        <w:rPr>
          <w:rFonts w:ascii="楷体" w:hAnsi="楷体" w:eastAsia="楷体"/>
          <w:color w:val="auto"/>
          <w:sz w:val="24"/>
          <w:highlight w:val="none"/>
        </w:rPr>
        <w:t>分项价格</w:t>
      </w:r>
      <w:r>
        <w:rPr>
          <w:rFonts w:hint="eastAsia" w:ascii="楷体" w:hAnsi="楷体" w:eastAsia="楷体"/>
          <w:color w:val="auto"/>
          <w:sz w:val="24"/>
          <w:highlight w:val="none"/>
        </w:rPr>
        <w:t>如下</w:t>
      </w:r>
      <w:r>
        <w:rPr>
          <w:rFonts w:ascii="楷体" w:hAnsi="楷体" w:eastAsia="楷体"/>
          <w:color w:val="auto"/>
          <w:sz w:val="24"/>
          <w:highlight w:val="none"/>
        </w:rPr>
        <w:t>：</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3477"/>
        <w:gridCol w:w="1754"/>
        <w:gridCol w:w="2240"/>
      </w:tblGrid>
      <w:tr w14:paraId="442F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5" w:type="pct"/>
            <w:vAlign w:val="center"/>
          </w:tcPr>
          <w:p w14:paraId="29A2D522">
            <w:pPr>
              <w:spacing w:line="460" w:lineRule="exact"/>
              <w:jc w:val="center"/>
              <w:rPr>
                <w:rFonts w:ascii="楷体" w:hAnsi="楷体" w:eastAsia="楷体"/>
                <w:color w:val="auto"/>
                <w:sz w:val="24"/>
                <w:highlight w:val="none"/>
              </w:rPr>
            </w:pPr>
            <w:r>
              <w:rPr>
                <w:rFonts w:ascii="楷体" w:hAnsi="楷体" w:eastAsia="楷体"/>
                <w:color w:val="auto"/>
                <w:sz w:val="24"/>
                <w:highlight w:val="none"/>
              </w:rPr>
              <w:t>序号</w:t>
            </w:r>
          </w:p>
        </w:tc>
        <w:tc>
          <w:tcPr>
            <w:tcW w:w="2040" w:type="pct"/>
            <w:vAlign w:val="center"/>
          </w:tcPr>
          <w:p w14:paraId="43E52E47">
            <w:pPr>
              <w:spacing w:line="460" w:lineRule="exact"/>
              <w:jc w:val="center"/>
              <w:rPr>
                <w:rFonts w:ascii="楷体" w:hAnsi="楷体" w:eastAsia="楷体"/>
                <w:color w:val="auto"/>
                <w:sz w:val="24"/>
                <w:highlight w:val="none"/>
              </w:rPr>
            </w:pPr>
            <w:r>
              <w:rPr>
                <w:rFonts w:hint="eastAsia" w:ascii="楷体" w:hAnsi="楷体" w:eastAsia="楷体"/>
                <w:color w:val="auto"/>
                <w:sz w:val="24"/>
                <w:highlight w:val="none"/>
              </w:rPr>
              <w:t>分项名称</w:t>
            </w:r>
          </w:p>
        </w:tc>
        <w:tc>
          <w:tcPr>
            <w:tcW w:w="1029" w:type="pct"/>
            <w:vAlign w:val="center"/>
          </w:tcPr>
          <w:p w14:paraId="31EBD98E">
            <w:pPr>
              <w:spacing w:line="460" w:lineRule="exact"/>
              <w:jc w:val="center"/>
              <w:rPr>
                <w:rFonts w:ascii="楷体" w:hAnsi="楷体" w:eastAsia="楷体"/>
                <w:color w:val="auto"/>
                <w:sz w:val="24"/>
                <w:highlight w:val="none"/>
              </w:rPr>
            </w:pPr>
            <w:r>
              <w:rPr>
                <w:rFonts w:ascii="楷体" w:hAnsi="楷体" w:eastAsia="楷体"/>
                <w:color w:val="auto"/>
                <w:sz w:val="24"/>
                <w:highlight w:val="none"/>
              </w:rPr>
              <w:t>分项价格</w:t>
            </w:r>
          </w:p>
        </w:tc>
        <w:tc>
          <w:tcPr>
            <w:tcW w:w="1314" w:type="pct"/>
            <w:vAlign w:val="center"/>
          </w:tcPr>
          <w:p w14:paraId="39D54037">
            <w:pPr>
              <w:spacing w:line="460" w:lineRule="exact"/>
              <w:jc w:val="center"/>
              <w:rPr>
                <w:rFonts w:ascii="楷体" w:hAnsi="楷体" w:eastAsia="楷体"/>
                <w:color w:val="auto"/>
                <w:sz w:val="24"/>
                <w:highlight w:val="none"/>
              </w:rPr>
            </w:pPr>
            <w:r>
              <w:rPr>
                <w:rFonts w:hint="eastAsia" w:ascii="楷体" w:hAnsi="楷体" w:eastAsia="楷体"/>
                <w:color w:val="auto"/>
                <w:sz w:val="24"/>
                <w:highlight w:val="none"/>
              </w:rPr>
              <w:t>总价</w:t>
            </w:r>
          </w:p>
        </w:tc>
      </w:tr>
      <w:tr w14:paraId="0A67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5" w:type="pct"/>
            <w:vAlign w:val="center"/>
          </w:tcPr>
          <w:p w14:paraId="448F7DE9">
            <w:pPr>
              <w:spacing w:line="460" w:lineRule="exact"/>
              <w:jc w:val="center"/>
              <w:rPr>
                <w:rFonts w:hint="eastAsia" w:ascii="楷体" w:hAnsi="楷体" w:eastAsia="楷体"/>
                <w:color w:val="auto"/>
                <w:sz w:val="24"/>
                <w:highlight w:val="none"/>
                <w:lang w:val="en-US" w:eastAsia="zh-CN"/>
              </w:rPr>
            </w:pPr>
            <w:r>
              <w:rPr>
                <w:rFonts w:hint="eastAsia" w:ascii="楷体" w:hAnsi="楷体" w:eastAsia="楷体"/>
                <w:color w:val="auto"/>
                <w:sz w:val="24"/>
                <w:highlight w:val="none"/>
                <w:lang w:val="en-US" w:eastAsia="zh-CN"/>
              </w:rPr>
              <w:t>1</w:t>
            </w:r>
          </w:p>
        </w:tc>
        <w:tc>
          <w:tcPr>
            <w:tcW w:w="2040" w:type="pct"/>
            <w:vAlign w:val="center"/>
          </w:tcPr>
          <w:p w14:paraId="6816E1EC">
            <w:pPr>
              <w:widowControl w:val="0"/>
              <w:spacing w:before="192" w:line="468" w:lineRule="exact"/>
              <w:jc w:val="center"/>
              <w:rPr>
                <w:rFonts w:hint="default" w:ascii="楷体" w:hAnsi="楷体" w:eastAsia="楷体" w:cs="楷体"/>
                <w:color w:val="auto"/>
                <w:spacing w:val="-19"/>
                <w:sz w:val="24"/>
                <w:szCs w:val="24"/>
                <w:highlight w:val="none"/>
                <w:u w:val="none"/>
                <w:lang w:val="en-US" w:eastAsia="zh-CN"/>
              </w:rPr>
            </w:pPr>
            <w:r>
              <w:rPr>
                <w:rFonts w:hint="eastAsia" w:ascii="楷体" w:hAnsi="楷体" w:eastAsia="楷体" w:cs="楷体"/>
                <w:color w:val="auto"/>
                <w:spacing w:val="-19"/>
                <w:sz w:val="24"/>
                <w:szCs w:val="24"/>
                <w:highlight w:val="none"/>
                <w:u w:val="none"/>
                <w:lang w:val="en-US" w:eastAsia="zh-CN"/>
              </w:rPr>
              <w:t>小号：</w:t>
            </w:r>
            <w:r>
              <w:rPr>
                <w:rFonts w:hint="eastAsia" w:ascii="方正楷体_GB2312" w:hAnsi="方正楷体_GB2312" w:eastAsia="方正楷体_GB2312" w:cs="方正楷体_GB2312"/>
                <w:color w:val="auto"/>
                <w:sz w:val="20"/>
                <w:szCs w:val="22"/>
                <w:highlight w:val="none"/>
                <w:lang w:val="en-US" w:eastAsia="zh-CN"/>
              </w:rPr>
              <w:t>I-24</w:t>
            </w:r>
            <w:r>
              <w:rPr>
                <w:rFonts w:hint="eastAsia" w:ascii="方正楷体_GB2312" w:hAnsi="方正楷体_GB2312" w:eastAsia="方正楷体_GB2312" w:cs="方正楷体_GB2312"/>
                <w:color w:val="auto"/>
                <w:sz w:val="20"/>
                <w:szCs w:val="22"/>
                <w:highlight w:val="none"/>
                <w:lang w:val="en-US" w:eastAsia="zh-CN"/>
              </w:rPr>
              <w:br w:type="textWrapping"/>
            </w:r>
            <w:r>
              <w:rPr>
                <w:rFonts w:hint="eastAsia" w:ascii="楷体" w:hAnsi="楷体" w:eastAsia="楷体" w:cs="楷体"/>
                <w:color w:val="auto"/>
                <w:spacing w:val="-19"/>
                <w:sz w:val="24"/>
                <w:szCs w:val="24"/>
                <w:highlight w:val="none"/>
                <w:u w:val="none"/>
                <w:lang w:val="en-US" w:eastAsia="zh-CN"/>
              </w:rPr>
              <w:t>中号：</w:t>
            </w:r>
            <w:r>
              <w:rPr>
                <w:rFonts w:hint="eastAsia" w:ascii="方正楷体_GB2312" w:hAnsi="方正楷体_GB2312" w:eastAsia="方正楷体_GB2312" w:cs="方正楷体_GB2312"/>
                <w:color w:val="auto"/>
                <w:sz w:val="20"/>
                <w:szCs w:val="22"/>
                <w:highlight w:val="none"/>
                <w:lang w:val="en-US" w:eastAsia="zh-CN"/>
              </w:rPr>
              <w:t>I-26</w:t>
            </w:r>
          </w:p>
          <w:p w14:paraId="47F09150">
            <w:pPr>
              <w:spacing w:line="460" w:lineRule="exact"/>
              <w:jc w:val="center"/>
              <w:rPr>
                <w:rFonts w:hint="default" w:ascii="楷体" w:hAnsi="楷体" w:eastAsia="楷体"/>
                <w:color w:val="auto"/>
                <w:sz w:val="24"/>
                <w:highlight w:val="none"/>
                <w:lang w:val="en-US"/>
              </w:rPr>
            </w:pPr>
            <w:r>
              <w:rPr>
                <w:rFonts w:hint="eastAsia" w:ascii="楷体" w:hAnsi="楷体" w:eastAsia="楷体" w:cs="楷体"/>
                <w:color w:val="auto"/>
                <w:spacing w:val="-19"/>
                <w:sz w:val="24"/>
                <w:szCs w:val="24"/>
                <w:highlight w:val="none"/>
                <w:u w:val="none"/>
                <w:lang w:val="en-US" w:eastAsia="zh-CN"/>
              </w:rPr>
              <w:t>大号：</w:t>
            </w:r>
            <w:r>
              <w:rPr>
                <w:rFonts w:hint="eastAsia" w:ascii="方正楷体_GB2312" w:hAnsi="方正楷体_GB2312" w:eastAsia="方正楷体_GB2312" w:cs="方正楷体_GB2312"/>
                <w:color w:val="auto"/>
                <w:sz w:val="20"/>
                <w:szCs w:val="22"/>
                <w:highlight w:val="none"/>
                <w:lang w:val="en-US" w:eastAsia="zh-CN"/>
              </w:rPr>
              <w:t>I-28</w:t>
            </w:r>
          </w:p>
        </w:tc>
        <w:tc>
          <w:tcPr>
            <w:tcW w:w="1029" w:type="pct"/>
            <w:vAlign w:val="center"/>
          </w:tcPr>
          <w:p w14:paraId="69DAFB78">
            <w:pPr>
              <w:spacing w:line="460" w:lineRule="exact"/>
              <w:jc w:val="center"/>
              <w:rPr>
                <w:rFonts w:hint="default" w:ascii="楷体" w:hAnsi="楷体" w:eastAsia="楷体"/>
                <w:color w:val="auto"/>
                <w:sz w:val="24"/>
                <w:highlight w:val="none"/>
                <w:lang w:val="en-US" w:eastAsia="zh-CN"/>
              </w:rPr>
            </w:pPr>
            <w:r>
              <w:rPr>
                <w:rFonts w:hint="eastAsia" w:ascii="楷体" w:hAnsi="楷体" w:eastAsia="楷体"/>
                <w:color w:val="auto"/>
                <w:sz w:val="24"/>
                <w:highlight w:val="none"/>
                <w:lang w:val="en-US" w:eastAsia="zh-CN"/>
              </w:rPr>
              <w:t>39.8元</w:t>
            </w:r>
          </w:p>
        </w:tc>
        <w:tc>
          <w:tcPr>
            <w:tcW w:w="1314" w:type="pct"/>
            <w:vAlign w:val="center"/>
          </w:tcPr>
          <w:p w14:paraId="4051FB9A">
            <w:pPr>
              <w:spacing w:line="460" w:lineRule="exact"/>
              <w:jc w:val="center"/>
              <w:rPr>
                <w:rFonts w:hint="default" w:ascii="楷体" w:hAnsi="楷体" w:eastAsia="楷体"/>
                <w:color w:val="auto"/>
                <w:sz w:val="24"/>
                <w:highlight w:val="none"/>
                <w:lang w:val="en-US" w:eastAsia="zh-CN"/>
              </w:rPr>
            </w:pPr>
            <w:r>
              <w:rPr>
                <w:rFonts w:hint="eastAsia" w:ascii="楷体" w:hAnsi="楷体" w:eastAsia="楷体"/>
                <w:color w:val="auto"/>
                <w:sz w:val="24"/>
                <w:highlight w:val="none"/>
                <w:lang w:val="en-US" w:eastAsia="zh-CN"/>
              </w:rPr>
              <w:t>362180.00元</w:t>
            </w:r>
          </w:p>
        </w:tc>
      </w:tr>
    </w:tbl>
    <w:p w14:paraId="6497AE78">
      <w:pPr>
        <w:spacing w:line="460" w:lineRule="exact"/>
        <w:jc w:val="left"/>
        <w:rPr>
          <w:color w:val="auto"/>
          <w:highlight w:val="none"/>
        </w:rPr>
      </w:pPr>
      <w:r>
        <w:rPr>
          <w:rFonts w:hint="eastAsia" w:ascii="楷体" w:hAnsi="楷体" w:eastAsia="楷体"/>
          <w:color w:val="auto"/>
          <w:sz w:val="24"/>
          <w:highlight w:val="none"/>
        </w:rPr>
        <w:t>注：分项价格合计与</w:t>
      </w:r>
      <w:r>
        <w:rPr>
          <w:rFonts w:ascii="楷体" w:hAnsi="楷体" w:eastAsia="楷体"/>
          <w:color w:val="auto"/>
          <w:sz w:val="24"/>
          <w:highlight w:val="none"/>
        </w:rPr>
        <w:t>1.3.1</w:t>
      </w:r>
      <w:r>
        <w:rPr>
          <w:rFonts w:hint="eastAsia" w:ascii="楷体" w:hAnsi="楷体" w:eastAsia="楷体"/>
          <w:color w:val="auto"/>
          <w:sz w:val="24"/>
          <w:highlight w:val="none"/>
        </w:rPr>
        <w:t>条约定不一致的，以</w:t>
      </w:r>
      <w:r>
        <w:rPr>
          <w:rFonts w:ascii="楷体" w:hAnsi="楷体" w:eastAsia="楷体"/>
          <w:color w:val="auto"/>
          <w:sz w:val="24"/>
          <w:highlight w:val="none"/>
        </w:rPr>
        <w:t>1.3.1</w:t>
      </w:r>
      <w:r>
        <w:rPr>
          <w:rFonts w:hint="eastAsia" w:ascii="楷体" w:hAnsi="楷体" w:eastAsia="楷体"/>
          <w:color w:val="auto"/>
          <w:sz w:val="24"/>
          <w:highlight w:val="none"/>
        </w:rPr>
        <w:t>条约定的价格为准。</w:t>
      </w:r>
    </w:p>
    <w:p w14:paraId="6B578026">
      <w:pPr>
        <w:spacing w:line="460" w:lineRule="exact"/>
        <w:ind w:firstLine="480" w:firstLineChars="200"/>
        <w:jc w:val="left"/>
        <w:rPr>
          <w:rFonts w:ascii="楷体" w:hAnsi="楷体" w:eastAsia="楷体"/>
          <w:color w:val="auto"/>
          <w:sz w:val="24"/>
          <w:highlight w:val="none"/>
          <w:u w:val="single"/>
        </w:rPr>
      </w:pPr>
      <w:r>
        <w:rPr>
          <w:rFonts w:hint="eastAsia" w:ascii="楷体" w:hAnsi="楷体" w:eastAsia="楷体"/>
          <w:color w:val="auto"/>
          <w:sz w:val="24"/>
          <w:highlight w:val="none"/>
        </w:rPr>
        <w:t>1.3.3 本合同第1.3.1条约定的合同总价系乙方按照本合同约定的履行时限将全部货物运抵交货地点，完成安装调试工作（如有），达到符合甲方要求正常使用状态的全部费用，包括但不限于：货物成本、备品配件费、技术资料费、知识产权授权费、运输费、装卸费、包装费、保险费、安装调试费（如有）、通讯费、食宿费、交通费、差旅费、质量保修费、企业管理费、利润、税金等实现甲方合同目的的所有直接费用和间接费用。除本合同另行约定，甲方不再向乙方支付除上述费用外的其他任何费用。如因国家政策变动出现税率变更，则按最新政策规定执行，合同总价不含税部分保持不变。</w:t>
      </w:r>
    </w:p>
    <w:p w14:paraId="07A3570E">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1.</w:t>
      </w:r>
      <w:r>
        <w:rPr>
          <w:rFonts w:ascii="楷体" w:hAnsi="楷体" w:eastAsia="楷体"/>
          <w:b/>
          <w:color w:val="auto"/>
          <w:sz w:val="24"/>
          <w:highlight w:val="none"/>
        </w:rPr>
        <w:t>4</w:t>
      </w:r>
      <w:r>
        <w:rPr>
          <w:rFonts w:hint="eastAsia" w:ascii="楷体" w:hAnsi="楷体" w:eastAsia="楷体"/>
          <w:b/>
          <w:color w:val="auto"/>
          <w:sz w:val="24"/>
          <w:highlight w:val="none"/>
        </w:rPr>
        <w:t xml:space="preserve"> </w:t>
      </w:r>
      <w:r>
        <w:rPr>
          <w:rFonts w:ascii="楷体" w:hAnsi="楷体" w:eastAsia="楷体"/>
          <w:b/>
          <w:color w:val="auto"/>
          <w:sz w:val="24"/>
          <w:highlight w:val="none"/>
        </w:rPr>
        <w:t>付款方式和发票开具方式</w:t>
      </w:r>
    </w:p>
    <w:p w14:paraId="121F39F9">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1.4.1 付款方式：</w:t>
      </w:r>
      <w:r>
        <w:rPr>
          <w:rFonts w:hint="eastAsia" w:ascii="楷体" w:hAnsi="楷体" w:eastAsia="楷体" w:cs="宋体"/>
          <w:color w:val="auto"/>
          <w:sz w:val="24"/>
          <w:highlight w:val="none"/>
        </w:rPr>
        <w:t>签订合同后，</w:t>
      </w:r>
      <w:r>
        <w:rPr>
          <w:rFonts w:hint="eastAsia" w:ascii="楷体" w:hAnsi="楷体" w:eastAsia="楷体"/>
          <w:b/>
          <w:bCs/>
          <w:color w:val="auto"/>
          <w:sz w:val="24"/>
          <w:highlight w:val="none"/>
        </w:rPr>
        <w:t>所供货物运抵甲方指定交付地点并经甲方最终验收达到合同要求后【</w:t>
      </w:r>
      <w:r>
        <w:rPr>
          <w:rFonts w:hint="eastAsia" w:ascii="楷体" w:hAnsi="楷体" w:eastAsia="楷体"/>
          <w:b/>
          <w:bCs/>
          <w:color w:val="auto"/>
          <w:sz w:val="24"/>
          <w:highlight w:val="none"/>
          <w:lang w:val="en-US" w:eastAsia="zh-CN"/>
        </w:rPr>
        <w:t>60</w:t>
      </w:r>
      <w:r>
        <w:rPr>
          <w:rFonts w:hint="eastAsia" w:ascii="楷体" w:hAnsi="楷体" w:eastAsia="楷体"/>
          <w:b/>
          <w:bCs/>
          <w:color w:val="auto"/>
          <w:sz w:val="24"/>
          <w:highlight w:val="none"/>
        </w:rPr>
        <w:t>】日内，由乙方凭供货合同及《货物验收数量和质量验收单》、入库单和发票提出付款申请，办理资金支付手续</w:t>
      </w:r>
      <w:r>
        <w:rPr>
          <w:rFonts w:hint="eastAsia" w:ascii="楷体" w:hAnsi="楷体" w:eastAsia="楷体" w:cs="宋体"/>
          <w:color w:val="auto"/>
          <w:sz w:val="24"/>
          <w:highlight w:val="none"/>
        </w:rPr>
        <w:t>，支付合同总价的100%。</w:t>
      </w:r>
    </w:p>
    <w:p w14:paraId="3D9FC49F">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1.4.2 本合同总价为含税价，在上述付款条件成就后，乙方应向甲方提供相等数额合法有效的、符合甲方财务管理规定的增值税发票。乙方迟延提供符合前述约定的正式发票的，甲方有权拒绝付款并不承担违约责任，乙方对此无异议。</w:t>
      </w:r>
    </w:p>
    <w:p w14:paraId="3E826BF9">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1.4.3 乙方同意甲方将合同价款支付至乙方指定的合同尾部的银行账户。</w:t>
      </w:r>
    </w:p>
    <w:p w14:paraId="7525FAF3">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1.4.4 如上述银行账户发生变更，乙方应在甲方付款5日前书面通知甲方。因乙方变更银行账户通知不及时造成的损失，由乙方自行承担，甲方不承担任何违约责任。</w:t>
      </w:r>
    </w:p>
    <w:p w14:paraId="41E577B3">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1.</w:t>
      </w:r>
      <w:r>
        <w:rPr>
          <w:rFonts w:ascii="楷体" w:hAnsi="楷体" w:eastAsia="楷体"/>
          <w:b/>
          <w:color w:val="auto"/>
          <w:sz w:val="24"/>
          <w:highlight w:val="none"/>
        </w:rPr>
        <w:t>5</w:t>
      </w:r>
      <w:r>
        <w:rPr>
          <w:rFonts w:hint="eastAsia" w:ascii="楷体" w:hAnsi="楷体" w:eastAsia="楷体"/>
          <w:b/>
          <w:color w:val="auto"/>
          <w:sz w:val="24"/>
          <w:highlight w:val="none"/>
        </w:rPr>
        <w:t xml:space="preserve"> </w:t>
      </w:r>
      <w:r>
        <w:rPr>
          <w:rFonts w:ascii="楷体" w:hAnsi="楷体" w:eastAsia="楷体"/>
          <w:b/>
          <w:color w:val="auto"/>
          <w:sz w:val="24"/>
          <w:highlight w:val="none"/>
        </w:rPr>
        <w:t>货物交付期限</w:t>
      </w:r>
      <w:r>
        <w:rPr>
          <w:rFonts w:hint="eastAsia" w:ascii="楷体" w:hAnsi="楷体" w:eastAsia="楷体"/>
          <w:b/>
          <w:color w:val="auto"/>
          <w:sz w:val="24"/>
          <w:highlight w:val="none"/>
        </w:rPr>
        <w:t>、地点和方式</w:t>
      </w:r>
    </w:p>
    <w:p w14:paraId="3C9E670F">
      <w:pPr>
        <w:spacing w:line="460" w:lineRule="exact"/>
        <w:ind w:firstLine="480" w:firstLineChars="200"/>
        <w:jc w:val="left"/>
        <w:rPr>
          <w:rFonts w:ascii="楷体" w:hAnsi="楷体" w:eastAsia="楷体"/>
          <w:color w:val="auto"/>
          <w:sz w:val="24"/>
          <w:highlight w:val="none"/>
          <w:u w:val="single"/>
        </w:rPr>
      </w:pPr>
      <w:r>
        <w:rPr>
          <w:rFonts w:hint="eastAsia" w:ascii="楷体" w:hAnsi="楷体" w:eastAsia="楷体"/>
          <w:color w:val="auto"/>
          <w:sz w:val="24"/>
          <w:highlight w:val="none"/>
        </w:rPr>
        <w:t>1.5.1 交付期限</w:t>
      </w:r>
      <w:r>
        <w:rPr>
          <w:rFonts w:ascii="楷体" w:hAnsi="楷体" w:eastAsia="楷体"/>
          <w:color w:val="auto"/>
          <w:sz w:val="24"/>
          <w:highlight w:val="none"/>
        </w:rPr>
        <w:t>：</w:t>
      </w:r>
      <w:r>
        <w:rPr>
          <w:rFonts w:hint="eastAsia" w:ascii="楷体" w:hAnsi="楷体" w:eastAsia="楷体"/>
          <w:color w:val="auto"/>
          <w:sz w:val="24"/>
          <w:highlight w:val="none"/>
        </w:rPr>
        <w:t>乙方在专用条款约定的交货期限内将全部货物运抵交货地点，完成安装调试工作，并书面通知甲方验收。</w:t>
      </w:r>
    </w:p>
    <w:p w14:paraId="3E0314B4">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1.5.2 交付地点</w:t>
      </w:r>
      <w:r>
        <w:rPr>
          <w:rFonts w:ascii="楷体" w:hAnsi="楷体" w:eastAsia="楷体"/>
          <w:color w:val="auto"/>
          <w:sz w:val="24"/>
          <w:highlight w:val="none"/>
        </w:rPr>
        <w:t>：按</w:t>
      </w:r>
      <w:r>
        <w:rPr>
          <w:rFonts w:ascii="楷体" w:hAnsi="楷体" w:eastAsia="楷体"/>
          <w:b/>
          <w:i/>
          <w:color w:val="auto"/>
          <w:sz w:val="24"/>
          <w:highlight w:val="none"/>
          <w:u w:val="single"/>
        </w:rPr>
        <w:t>合同专用条款</w:t>
      </w:r>
      <w:r>
        <w:rPr>
          <w:rFonts w:ascii="楷体" w:hAnsi="楷体" w:eastAsia="楷体"/>
          <w:color w:val="auto"/>
          <w:sz w:val="24"/>
          <w:highlight w:val="none"/>
        </w:rPr>
        <w:t>规定</w:t>
      </w:r>
      <w:r>
        <w:rPr>
          <w:rFonts w:hint="eastAsia" w:ascii="楷体" w:hAnsi="楷体" w:eastAsia="楷体"/>
          <w:color w:val="auto"/>
          <w:sz w:val="24"/>
          <w:highlight w:val="none"/>
        </w:rPr>
        <w:t>，具体安装位置以甲方指定位置为准。</w:t>
      </w:r>
    </w:p>
    <w:p w14:paraId="59FF3D78">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1.6 验收</w:t>
      </w:r>
    </w:p>
    <w:p w14:paraId="342B8C99">
      <w:pPr>
        <w:spacing w:line="460" w:lineRule="exact"/>
        <w:ind w:firstLine="480" w:firstLineChars="200"/>
        <w:jc w:val="left"/>
        <w:rPr>
          <w:rFonts w:ascii="楷体" w:hAnsi="楷体" w:eastAsia="楷体"/>
          <w:bCs/>
          <w:color w:val="auto"/>
          <w:sz w:val="24"/>
          <w:highlight w:val="none"/>
        </w:rPr>
      </w:pPr>
      <w:r>
        <w:rPr>
          <w:rFonts w:hint="eastAsia" w:ascii="楷体" w:hAnsi="楷体" w:eastAsia="楷体"/>
          <w:bCs/>
          <w:color w:val="auto"/>
          <w:sz w:val="24"/>
          <w:highlight w:val="none"/>
        </w:rPr>
        <w:t>1.6.1如货物的数量、规格型号、质量、性能参数等任何一项不符合本合同约定的标准或甲方要求，或不能达到符合甲方要求的正常使用状态，甲方均有权拒绝接收，并要求乙方免费更换、修复或采取其他的补救措施。乙方采取补救措施后，按照本条约定重新通知甲方验收，由此产生的逾期交付的违约责任由乙方承担。</w:t>
      </w:r>
    </w:p>
    <w:p w14:paraId="66840224">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1.7 质量保修</w:t>
      </w:r>
    </w:p>
    <w:p w14:paraId="43EEF816">
      <w:pPr>
        <w:spacing w:line="460" w:lineRule="exact"/>
        <w:ind w:firstLine="480" w:firstLineChars="200"/>
        <w:jc w:val="left"/>
        <w:rPr>
          <w:rFonts w:ascii="楷体" w:hAnsi="楷体" w:eastAsia="楷体"/>
          <w:bCs/>
          <w:color w:val="auto"/>
          <w:sz w:val="24"/>
          <w:highlight w:val="none"/>
        </w:rPr>
      </w:pPr>
      <w:r>
        <w:rPr>
          <w:rFonts w:hint="eastAsia" w:ascii="楷体" w:hAnsi="楷体" w:eastAsia="楷体"/>
          <w:bCs/>
          <w:color w:val="auto"/>
          <w:sz w:val="24"/>
          <w:highlight w:val="none"/>
        </w:rPr>
        <w:t>1.7.1 质量保修期详见专用合同条款，自乙方向甲方交付货物之日起算。如产品使用说明书中约定的质量责任保证期限长于上述免费保修期限的，按照该产品的使用说明书中声明的质量责任保证期限为准。</w:t>
      </w:r>
    </w:p>
    <w:p w14:paraId="39E39758">
      <w:pPr>
        <w:spacing w:line="460" w:lineRule="exact"/>
        <w:ind w:firstLine="480" w:firstLineChars="200"/>
        <w:jc w:val="left"/>
        <w:rPr>
          <w:rFonts w:ascii="楷体" w:hAnsi="楷体" w:eastAsia="楷体"/>
          <w:bCs/>
          <w:color w:val="auto"/>
          <w:sz w:val="24"/>
          <w:highlight w:val="none"/>
        </w:rPr>
      </w:pPr>
      <w:r>
        <w:rPr>
          <w:rFonts w:hint="eastAsia" w:ascii="楷体" w:hAnsi="楷体" w:eastAsia="楷体"/>
          <w:bCs/>
          <w:color w:val="auto"/>
          <w:sz w:val="24"/>
          <w:highlight w:val="none"/>
        </w:rPr>
        <w:t>1.7.2 质量保修期内，如货物发生故障，乙方免费提供7*24小时电话技术服务。如电话不能解决，乙方应在接到甲方通知后4小时内指派专业技术人员到达现场，并在24小时完成免费维修更换工作（重大故障维修不超过72小时）。如人为因素造成损坏的，相关维修更换费用由甲方承担。若乙方在规定的时间内不履行维修义务，甲方有权聘请第三方相关维修人员对设备进行维修，并有权向乙方追偿因此产生的全部费用，乙方保修责任不发生转移，所产生的费用由乙方承担，乙方同意认可甲方自行处理或者委托第三方处理的费用有可能会高于乙方自行处理费用。</w:t>
      </w:r>
    </w:p>
    <w:p w14:paraId="774DD3B6">
      <w:pPr>
        <w:spacing w:line="460" w:lineRule="exact"/>
        <w:ind w:firstLine="480" w:firstLineChars="200"/>
        <w:jc w:val="left"/>
        <w:rPr>
          <w:rFonts w:ascii="楷体" w:hAnsi="楷体" w:eastAsia="楷体"/>
          <w:bCs/>
          <w:color w:val="auto"/>
          <w:sz w:val="24"/>
          <w:highlight w:val="none"/>
        </w:rPr>
      </w:pPr>
      <w:r>
        <w:rPr>
          <w:rFonts w:hint="eastAsia" w:ascii="楷体" w:hAnsi="楷体" w:eastAsia="楷体"/>
          <w:bCs/>
          <w:color w:val="auto"/>
          <w:sz w:val="24"/>
          <w:highlight w:val="none"/>
        </w:rPr>
        <w:t>1.7.3 质量保修期满后，乙方承诺免费提供7*24小时电话技术服务，并以最优惠的价格向甲方提供维修保养服务。</w:t>
      </w:r>
    </w:p>
    <w:p w14:paraId="4CCA7E14">
      <w:pPr>
        <w:spacing w:line="460" w:lineRule="exact"/>
        <w:ind w:firstLine="480" w:firstLineChars="200"/>
        <w:jc w:val="left"/>
        <w:rPr>
          <w:rFonts w:hint="eastAsia" w:ascii="楷体" w:hAnsi="楷体" w:eastAsia="楷体"/>
          <w:bCs/>
          <w:color w:val="auto"/>
          <w:sz w:val="24"/>
          <w:highlight w:val="none"/>
        </w:rPr>
      </w:pPr>
      <w:r>
        <w:rPr>
          <w:rFonts w:hint="eastAsia" w:ascii="楷体" w:hAnsi="楷体" w:eastAsia="楷体"/>
          <w:bCs/>
          <w:color w:val="auto"/>
          <w:sz w:val="24"/>
          <w:highlight w:val="none"/>
        </w:rPr>
        <w:t>1.7.4 乙方明确该项目专项责任人并留下保修负责人的书面通信地址和电话，以便通知乙方进行保修。保修负责人：</w:t>
      </w:r>
      <w:r>
        <w:rPr>
          <w:rFonts w:hint="eastAsia" w:ascii="楷体" w:hAnsi="楷体" w:eastAsia="楷体"/>
          <w:bCs/>
          <w:color w:val="auto"/>
          <w:sz w:val="24"/>
          <w:highlight w:val="none"/>
          <w:u w:val="single"/>
          <w:lang w:val="en-US" w:eastAsia="zh-CN"/>
        </w:rPr>
        <w:t xml:space="preserve"> 杨芳   </w:t>
      </w:r>
      <w:r>
        <w:rPr>
          <w:rFonts w:hint="eastAsia" w:ascii="楷体" w:hAnsi="楷体" w:eastAsia="楷体"/>
          <w:bCs/>
          <w:color w:val="auto"/>
          <w:sz w:val="24"/>
          <w:highlight w:val="none"/>
        </w:rPr>
        <w:t xml:space="preserve"> 电话：</w:t>
      </w:r>
      <w:r>
        <w:rPr>
          <w:rFonts w:ascii="楷体" w:hAnsi="楷体" w:eastAsia="楷体" w:cs="楷体"/>
          <w:color w:val="auto"/>
          <w:spacing w:val="-2"/>
          <w:sz w:val="24"/>
          <w:szCs w:val="24"/>
          <w:highlight w:val="none"/>
          <w:u w:val="single"/>
        </w:rPr>
        <w:t xml:space="preserve"> </w:t>
      </w:r>
      <w:r>
        <w:rPr>
          <w:rFonts w:hint="eastAsia" w:ascii="楷体" w:hAnsi="楷体" w:eastAsia="楷体" w:cs="楷体"/>
          <w:color w:val="auto"/>
          <w:spacing w:val="-2"/>
          <w:sz w:val="24"/>
          <w:szCs w:val="24"/>
          <w:highlight w:val="none"/>
          <w:u w:val="single"/>
          <w:lang w:val="en-US" w:eastAsia="zh-CN"/>
        </w:rPr>
        <w:t>18116461093</w:t>
      </w:r>
      <w:r>
        <w:rPr>
          <w:rFonts w:ascii="楷体" w:hAnsi="楷体" w:eastAsia="楷体" w:cs="楷体"/>
          <w:color w:val="auto"/>
          <w:spacing w:val="-2"/>
          <w:sz w:val="24"/>
          <w:szCs w:val="24"/>
          <w:highlight w:val="none"/>
          <w:u w:val="single"/>
        </w:rPr>
        <w:t xml:space="preserve"> </w:t>
      </w:r>
      <w:r>
        <w:rPr>
          <w:rFonts w:hint="eastAsia" w:ascii="楷体" w:hAnsi="楷体" w:eastAsia="楷体"/>
          <w:bCs/>
          <w:color w:val="auto"/>
          <w:sz w:val="24"/>
          <w:highlight w:val="none"/>
        </w:rPr>
        <w:t>通信地址</w:t>
      </w:r>
      <w:r>
        <w:rPr>
          <w:rFonts w:hint="eastAsia" w:ascii="楷体" w:hAnsi="楷体" w:eastAsia="楷体" w:cs="楷体"/>
          <w:color w:val="auto"/>
          <w:spacing w:val="-2"/>
          <w:sz w:val="24"/>
          <w:szCs w:val="24"/>
          <w:highlight w:val="none"/>
          <w:u w:val="single"/>
          <w:lang w:val="en-US" w:eastAsia="zh-CN"/>
        </w:rPr>
        <w:t>上海市浦东新区居家桥路565号</w:t>
      </w:r>
      <w:r>
        <w:rPr>
          <w:rFonts w:hint="eastAsia" w:ascii="楷体" w:hAnsi="楷体" w:eastAsia="楷体"/>
          <w:bCs/>
          <w:color w:val="auto"/>
          <w:sz w:val="24"/>
          <w:highlight w:val="none"/>
        </w:rPr>
        <w:t>。</w:t>
      </w:r>
    </w:p>
    <w:p w14:paraId="6509A121">
      <w:pPr>
        <w:spacing w:line="460" w:lineRule="exact"/>
        <w:ind w:firstLine="480" w:firstLineChars="200"/>
        <w:jc w:val="left"/>
        <w:rPr>
          <w:rFonts w:hint="eastAsia" w:ascii="楷体" w:hAnsi="楷体" w:eastAsia="楷体"/>
          <w:bCs/>
          <w:color w:val="auto"/>
          <w:sz w:val="24"/>
          <w:highlight w:val="none"/>
          <w:u w:val="none"/>
        </w:rPr>
      </w:pPr>
      <w:r>
        <w:rPr>
          <w:rFonts w:hint="eastAsia" w:ascii="楷体" w:hAnsi="楷体" w:eastAsia="楷体"/>
          <w:bCs/>
          <w:color w:val="auto"/>
          <w:sz w:val="24"/>
          <w:highlight w:val="none"/>
          <w:u w:val="none"/>
        </w:rPr>
        <w:t>1.7.5 乙方应保证其提供的质量保函在质保期内有效，如不能覆盖本合同约定的有效期的，需于到期前3个月提供新的质量保函。否则甲方有权直接兑付质量保函全部金额，由此造成的全部损失由乙方自行承担。</w:t>
      </w:r>
    </w:p>
    <w:p w14:paraId="1836B918">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1.8 违约责任</w:t>
      </w:r>
    </w:p>
    <w:p w14:paraId="44D59D83">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1.8.1 本合同一经签署，双方均应严格履行合同义务。任何不履行或不完全履行本合同项下义务、责任的行为构成违约，违约方应向守约方赔偿因违约引起的全部损失。</w:t>
      </w:r>
    </w:p>
    <w:p w14:paraId="3958A1AC">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1.8.2</w:t>
      </w:r>
      <w:r>
        <w:rPr>
          <w:rFonts w:ascii="楷体" w:hAnsi="楷体" w:eastAsia="楷体"/>
          <w:color w:val="auto"/>
          <w:sz w:val="24"/>
          <w:highlight w:val="none"/>
        </w:rPr>
        <w:t xml:space="preserve"> </w:t>
      </w:r>
      <w:r>
        <w:rPr>
          <w:rFonts w:hint="eastAsia" w:ascii="楷体" w:hAnsi="楷体" w:eastAsia="楷体"/>
          <w:color w:val="auto"/>
          <w:sz w:val="24"/>
          <w:highlight w:val="none"/>
        </w:rPr>
        <w:t>如果乙方不存在本合同约定的违约行为，甲方应根据合同约定的付款方式和付款时间及时付款，如不能按合同约定期限付款，每逾期一日，应按照应付未付款项为基数以全国银行间同业拆借中心公布的一年期LPR为标准承担违约责任，违约金最高不超过本合同总价款的【5】%。</w:t>
      </w:r>
    </w:p>
    <w:p w14:paraId="19EF7626">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1.8.3乙方应根据合同约定的交货期限按时交货或安装调试完成，如不能按合同约定交货或安装调试完成的，每逾期一日向甲方支付本合同总价款的【0.</w:t>
      </w:r>
      <w:r>
        <w:rPr>
          <w:rFonts w:ascii="楷体" w:hAnsi="楷体" w:eastAsia="楷体"/>
          <w:color w:val="auto"/>
          <w:sz w:val="24"/>
          <w:highlight w:val="none"/>
        </w:rPr>
        <w:t>04</w:t>
      </w:r>
      <w:r>
        <w:rPr>
          <w:rFonts w:hint="eastAsia" w:ascii="楷体" w:hAnsi="楷体" w:eastAsia="楷体"/>
          <w:color w:val="auto"/>
          <w:sz w:val="24"/>
          <w:highlight w:val="none"/>
        </w:rPr>
        <w:t>】%的违约金。逾期满【15】日，甲方有权选择退货并单方解除本合同，乙方除应退还甲方已经支付的全部货款外，还应按合同总价款的【5】%向甲方支付违约金，并承担相关损失赔偿责任。</w:t>
      </w:r>
    </w:p>
    <w:p w14:paraId="4A61DE91">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1.8.</w:t>
      </w:r>
      <w:r>
        <w:rPr>
          <w:rFonts w:ascii="楷体" w:hAnsi="楷体" w:eastAsia="楷体"/>
          <w:color w:val="auto"/>
          <w:sz w:val="24"/>
          <w:highlight w:val="none"/>
        </w:rPr>
        <w:t>4</w:t>
      </w:r>
      <w:r>
        <w:rPr>
          <w:rFonts w:hint="eastAsia" w:ascii="楷体" w:hAnsi="楷体" w:eastAsia="楷体"/>
          <w:color w:val="auto"/>
          <w:sz w:val="24"/>
          <w:highlight w:val="none"/>
        </w:rPr>
        <w:t xml:space="preserve"> 如货物的数量、规格型号、质量、性能参数等任何一项不符合本合同约定和甲方要求，或不能达到符合甲方要求的正常使用状态，甲方有权拒绝接收，并要求乙方更换、修复或采取其他的补救措施，因此造成逾期交付的，乙方按照本合同第1.8.</w:t>
      </w:r>
      <w:r>
        <w:rPr>
          <w:rFonts w:ascii="楷体" w:hAnsi="楷体" w:eastAsia="楷体"/>
          <w:color w:val="auto"/>
          <w:sz w:val="24"/>
          <w:highlight w:val="none"/>
        </w:rPr>
        <w:t>3</w:t>
      </w:r>
      <w:r>
        <w:rPr>
          <w:rFonts w:hint="eastAsia" w:ascii="楷体" w:hAnsi="楷体" w:eastAsia="楷体"/>
          <w:color w:val="auto"/>
          <w:sz w:val="24"/>
          <w:highlight w:val="none"/>
        </w:rPr>
        <w:t>条约定承担违约责任。</w:t>
      </w:r>
    </w:p>
    <w:p w14:paraId="465F3AC5">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1.8.</w:t>
      </w:r>
      <w:r>
        <w:rPr>
          <w:rFonts w:ascii="楷体" w:hAnsi="楷体" w:eastAsia="楷体"/>
          <w:color w:val="auto"/>
          <w:sz w:val="24"/>
          <w:highlight w:val="none"/>
        </w:rPr>
        <w:t>5</w:t>
      </w:r>
      <w:r>
        <w:rPr>
          <w:rFonts w:hint="eastAsia" w:ascii="楷体" w:hAnsi="楷体" w:eastAsia="楷体"/>
          <w:color w:val="auto"/>
          <w:sz w:val="24"/>
          <w:highlight w:val="none"/>
        </w:rPr>
        <w:t xml:space="preserve"> 质量保修期内，乙方未按照本合同约定提供保修服务或不能在承诺时限内修复故障，每发生一次，应向甲方支付人民币500元违约金（累加计算）。同时，甲方有权委托其它第三方专业服务公司进行维修或从第三方重新采购，因此产生的费用和损失由乙方承担，且乙方同意，甲方从第三方重新采购或维修的费用可能高于从乙方采购或维修的费用。</w:t>
      </w:r>
    </w:p>
    <w:p w14:paraId="73440B3A">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1.8.</w:t>
      </w:r>
      <w:r>
        <w:rPr>
          <w:rFonts w:ascii="楷体" w:hAnsi="楷体" w:eastAsia="楷体"/>
          <w:color w:val="auto"/>
          <w:sz w:val="24"/>
          <w:highlight w:val="none"/>
        </w:rPr>
        <w:t xml:space="preserve">6 </w:t>
      </w:r>
      <w:r>
        <w:rPr>
          <w:rFonts w:hint="eastAsia" w:ascii="楷体" w:hAnsi="楷体" w:eastAsia="楷体"/>
          <w:color w:val="auto"/>
          <w:sz w:val="24"/>
          <w:highlight w:val="none"/>
        </w:rPr>
        <w:t>若产品对甲方或第三方造成人身或财产损害的，乙方应承担全部赔偿责任，包括但不限于损失费用及为实现追偿该费用所产生的诉讼费，律师费等其他合理费用。</w:t>
      </w:r>
    </w:p>
    <w:p w14:paraId="469C0F7B">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1.8.</w:t>
      </w:r>
      <w:r>
        <w:rPr>
          <w:rFonts w:ascii="楷体" w:hAnsi="楷体" w:eastAsia="楷体"/>
          <w:color w:val="auto"/>
          <w:sz w:val="24"/>
          <w:highlight w:val="none"/>
        </w:rPr>
        <w:t>7</w:t>
      </w:r>
      <w:r>
        <w:rPr>
          <w:rFonts w:hint="eastAsia" w:ascii="楷体" w:hAnsi="楷体" w:eastAsia="楷体"/>
          <w:color w:val="auto"/>
          <w:sz w:val="24"/>
          <w:highlight w:val="none"/>
        </w:rPr>
        <w:t>因一方违约，另一方通过诉讼方式实现其债权，因此产生的律师费（按照《河南省律师协会律师服务收费行业指导意见》执行）、诉讼费、保全费、公告费、鉴定费、评估费等相关费用，由违约方承担。</w:t>
      </w:r>
    </w:p>
    <w:p w14:paraId="78D154DD">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1.9 合同</w:t>
      </w:r>
      <w:r>
        <w:rPr>
          <w:rFonts w:ascii="楷体" w:hAnsi="楷体" w:eastAsia="楷体"/>
          <w:b/>
          <w:color w:val="auto"/>
          <w:sz w:val="24"/>
          <w:highlight w:val="none"/>
        </w:rPr>
        <w:t>争议的解决</w:t>
      </w:r>
    </w:p>
    <w:p w14:paraId="0C4A55ED">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本合</w:t>
      </w:r>
      <w:r>
        <w:rPr>
          <w:rFonts w:ascii="楷体" w:hAnsi="楷体" w:eastAsia="楷体"/>
          <w:color w:val="auto"/>
          <w:sz w:val="24"/>
          <w:highlight w:val="none"/>
        </w:rPr>
        <w:t>同履行过程中发生的任何争议，双方当事人均可</w:t>
      </w:r>
      <w:r>
        <w:rPr>
          <w:rFonts w:hint="eastAsia" w:ascii="楷体" w:hAnsi="楷体" w:eastAsia="楷体"/>
          <w:color w:val="auto"/>
          <w:sz w:val="24"/>
          <w:highlight w:val="none"/>
        </w:rPr>
        <w:t>通过和解或者调解解决；不愿和解、调解或者和解、调解不成的，可以选择下列第</w:t>
      </w:r>
      <w:r>
        <w:rPr>
          <w:rFonts w:hint="eastAsia" w:ascii="楷体" w:hAnsi="楷体" w:eastAsia="楷体"/>
          <w:color w:val="auto"/>
          <w:sz w:val="24"/>
          <w:highlight w:val="none"/>
          <w:u w:val="single"/>
        </w:rPr>
        <w:t xml:space="preserve">  2  </w:t>
      </w:r>
      <w:r>
        <w:rPr>
          <w:rFonts w:hint="eastAsia" w:ascii="楷体" w:hAnsi="楷体" w:eastAsia="楷体"/>
          <w:color w:val="auto"/>
          <w:sz w:val="24"/>
          <w:highlight w:val="none"/>
        </w:rPr>
        <w:t>种方式解决：</w:t>
      </w:r>
    </w:p>
    <w:p w14:paraId="02676C70">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1.9.1 将争议递交</w:t>
      </w:r>
      <w:r>
        <w:rPr>
          <w:rFonts w:hint="eastAsia" w:ascii="楷体" w:hAnsi="楷体" w:eastAsia="楷体"/>
          <w:color w:val="auto"/>
          <w:sz w:val="24"/>
          <w:highlight w:val="none"/>
          <w:u w:val="single"/>
        </w:rPr>
        <w:t xml:space="preserve">   </w:t>
      </w:r>
      <w:r>
        <w:rPr>
          <w:rFonts w:hint="eastAsia" w:ascii="楷体" w:hAnsi="楷体" w:eastAsia="楷体" w:cs="微软雅黑"/>
          <w:color w:val="auto"/>
          <w:sz w:val="24"/>
          <w:highlight w:val="none"/>
          <w:u w:val="single"/>
        </w:rPr>
        <w:t>/</w:t>
      </w:r>
      <w:r>
        <w:rPr>
          <w:rFonts w:hint="eastAsia" w:ascii="楷体" w:hAnsi="楷体" w:eastAsia="楷体"/>
          <w:color w:val="auto"/>
          <w:sz w:val="24"/>
          <w:highlight w:val="none"/>
          <w:u w:val="single"/>
        </w:rPr>
        <w:t xml:space="preserve">   </w:t>
      </w:r>
      <w:r>
        <w:rPr>
          <w:rFonts w:hint="eastAsia" w:ascii="楷体" w:hAnsi="楷体" w:eastAsia="楷体"/>
          <w:color w:val="auto"/>
          <w:sz w:val="24"/>
          <w:highlight w:val="none"/>
        </w:rPr>
        <w:t>仲裁委员会依申请仲裁时其现行有效的仲裁规则裁决；</w:t>
      </w:r>
    </w:p>
    <w:p w14:paraId="6EA7FD02">
      <w:pPr>
        <w:spacing w:line="460" w:lineRule="exact"/>
        <w:ind w:firstLine="480" w:firstLineChars="200"/>
        <w:jc w:val="left"/>
        <w:rPr>
          <w:rFonts w:ascii="楷体" w:hAnsi="楷体" w:eastAsia="楷体"/>
          <w:color w:val="auto"/>
          <w:sz w:val="24"/>
          <w:highlight w:val="none"/>
        </w:rPr>
      </w:pPr>
      <w:r>
        <w:rPr>
          <w:rFonts w:hint="eastAsia" w:ascii="楷体" w:hAnsi="楷体" w:eastAsia="楷体"/>
          <w:color w:val="auto"/>
          <w:sz w:val="24"/>
          <w:highlight w:val="none"/>
        </w:rPr>
        <w:t xml:space="preserve">1.9.2 向 </w:t>
      </w:r>
      <w:r>
        <w:rPr>
          <w:rFonts w:hint="eastAsia" w:ascii="楷体" w:hAnsi="楷体" w:eastAsia="楷体"/>
          <w:color w:val="auto"/>
          <w:sz w:val="24"/>
          <w:highlight w:val="none"/>
          <w:u w:val="single"/>
        </w:rPr>
        <w:t xml:space="preserve">甲方住所地  </w:t>
      </w:r>
      <w:r>
        <w:rPr>
          <w:rFonts w:hint="eastAsia" w:ascii="楷体" w:hAnsi="楷体" w:eastAsia="楷体"/>
          <w:color w:val="auto"/>
          <w:sz w:val="24"/>
          <w:highlight w:val="none"/>
        </w:rPr>
        <w:t>人民法院起诉。</w:t>
      </w:r>
    </w:p>
    <w:p w14:paraId="234C6658">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 xml:space="preserve">1.10 </w:t>
      </w:r>
      <w:r>
        <w:rPr>
          <w:rFonts w:ascii="楷体" w:hAnsi="楷体" w:eastAsia="楷体"/>
          <w:b/>
          <w:color w:val="auto"/>
          <w:sz w:val="24"/>
          <w:highlight w:val="none"/>
        </w:rPr>
        <w:t>合同生效</w:t>
      </w:r>
    </w:p>
    <w:p w14:paraId="55B472DC">
      <w:pPr>
        <w:spacing w:line="460" w:lineRule="exact"/>
        <w:ind w:firstLine="480" w:firstLineChars="200"/>
        <w:jc w:val="left"/>
        <w:rPr>
          <w:rFonts w:ascii="楷体" w:hAnsi="楷体" w:eastAsia="楷体"/>
          <w:color w:val="auto"/>
          <w:sz w:val="24"/>
          <w:highlight w:val="none"/>
        </w:rPr>
      </w:pPr>
      <w:r>
        <w:rPr>
          <w:rFonts w:ascii="楷体" w:hAnsi="楷体" w:eastAsia="楷体"/>
          <w:color w:val="auto"/>
          <w:sz w:val="24"/>
          <w:highlight w:val="none"/>
        </w:rPr>
        <w:t>本合同自</w:t>
      </w:r>
      <w:r>
        <w:rPr>
          <w:rFonts w:hint="eastAsia" w:ascii="楷体" w:hAnsi="楷体" w:eastAsia="楷体"/>
          <w:color w:val="auto"/>
          <w:sz w:val="24"/>
          <w:highlight w:val="none"/>
        </w:rPr>
        <w:t>双方当事人盖章或者签字时</w:t>
      </w:r>
      <w:r>
        <w:rPr>
          <w:rFonts w:ascii="楷体" w:hAnsi="楷体" w:eastAsia="楷体"/>
          <w:color w:val="auto"/>
          <w:sz w:val="24"/>
          <w:highlight w:val="none"/>
        </w:rPr>
        <w:t>生效。</w:t>
      </w:r>
    </w:p>
    <w:p w14:paraId="25917161">
      <w:pPr>
        <w:spacing w:line="460" w:lineRule="exact"/>
        <w:ind w:firstLine="482" w:firstLineChars="200"/>
        <w:jc w:val="left"/>
        <w:rPr>
          <w:rFonts w:ascii="楷体" w:hAnsi="楷体" w:eastAsia="楷体"/>
          <w:b/>
          <w:bCs/>
          <w:color w:val="auto"/>
          <w:sz w:val="24"/>
          <w:highlight w:val="none"/>
        </w:rPr>
      </w:pPr>
      <w:r>
        <w:rPr>
          <w:rFonts w:hint="eastAsia" w:ascii="楷体" w:hAnsi="楷体" w:eastAsia="楷体"/>
          <w:b/>
          <w:bCs/>
          <w:color w:val="auto"/>
          <w:sz w:val="24"/>
          <w:highlight w:val="none"/>
        </w:rPr>
        <w:t>（以下无正文）</w:t>
      </w:r>
    </w:p>
    <w:p w14:paraId="1295A8B4">
      <w:pPr>
        <w:spacing w:line="460" w:lineRule="exact"/>
        <w:jc w:val="left"/>
        <w:rPr>
          <w:rFonts w:ascii="楷体" w:hAnsi="楷体" w:eastAsia="楷体"/>
          <w:b/>
          <w:color w:val="auto"/>
          <w:sz w:val="24"/>
          <w:highlight w:val="none"/>
        </w:rPr>
      </w:pPr>
    </w:p>
    <w:p w14:paraId="035FF124">
      <w:pPr>
        <w:spacing w:line="460" w:lineRule="exact"/>
        <w:rPr>
          <w:rFonts w:ascii="楷体" w:hAnsi="楷体" w:eastAsia="楷体"/>
          <w:b/>
          <w:color w:val="auto"/>
          <w:sz w:val="24"/>
          <w:highlight w:val="none"/>
        </w:rPr>
      </w:pPr>
      <w:r>
        <w:rPr>
          <w:rFonts w:hint="eastAsia" w:ascii="楷体" w:hAnsi="楷体" w:eastAsia="楷体"/>
          <w:b/>
          <w:color w:val="auto"/>
          <w:sz w:val="24"/>
          <w:highlight w:val="none"/>
        </w:rPr>
        <w:br w:type="page"/>
      </w:r>
    </w:p>
    <w:p w14:paraId="11F0959E">
      <w:pPr>
        <w:spacing w:line="460" w:lineRule="exact"/>
        <w:jc w:val="left"/>
        <w:rPr>
          <w:rFonts w:ascii="楷体" w:hAnsi="楷体" w:eastAsia="楷体"/>
          <w:b/>
          <w:color w:val="auto"/>
          <w:sz w:val="24"/>
          <w:highlight w:val="none"/>
        </w:rPr>
      </w:pPr>
      <w:r>
        <w:rPr>
          <w:rFonts w:hint="eastAsia" w:ascii="楷体" w:hAnsi="楷体" w:eastAsia="楷体"/>
          <w:b/>
          <w:color w:val="auto"/>
          <w:sz w:val="24"/>
          <w:highlight w:val="none"/>
        </w:rPr>
        <w:t>【本页无正文，系《合同书》签署页】</w:t>
      </w:r>
    </w:p>
    <w:p w14:paraId="66E9BD2D">
      <w:pPr>
        <w:spacing w:line="460" w:lineRule="exact"/>
        <w:jc w:val="left"/>
        <w:rPr>
          <w:rFonts w:ascii="楷体" w:hAnsi="楷体" w:eastAsia="楷体"/>
          <w:b/>
          <w:color w:val="auto"/>
          <w:sz w:val="24"/>
          <w:highlight w:val="none"/>
        </w:rPr>
      </w:pPr>
    </w:p>
    <w:tbl>
      <w:tblPr>
        <w:tblStyle w:val="10"/>
        <w:tblW w:w="8504"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88"/>
        <w:gridCol w:w="4116"/>
      </w:tblGrid>
      <w:tr w14:paraId="434E55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jc w:val="center"/>
        </w:trPr>
        <w:tc>
          <w:tcPr>
            <w:tcW w:w="4388" w:type="dxa"/>
            <w:shd w:val="clear" w:color="auto" w:fill="auto"/>
            <w:noWrap w:val="0"/>
            <w:vAlign w:val="center"/>
          </w:tcPr>
          <w:p w14:paraId="2828ACDB">
            <w:pPr>
              <w:widowControl/>
              <w:kinsoku w:val="0"/>
              <w:autoSpaceDE w:val="0"/>
              <w:autoSpaceDN w:val="0"/>
              <w:adjustRightInd w:val="0"/>
              <w:snapToGrid w:val="0"/>
              <w:spacing w:line="223" w:lineRule="auto"/>
              <w:ind w:left="33"/>
              <w:jc w:val="both"/>
              <w:textAlignment w:val="baseline"/>
              <w:rPr>
                <w:rFonts w:hint="eastAsia" w:ascii="楷体" w:hAnsi="楷体" w:eastAsia="楷体" w:cs="楷体"/>
                <w:snapToGrid w:val="0"/>
                <w:color w:val="auto"/>
                <w:spacing w:val="-13"/>
                <w:kern w:val="0"/>
                <w:sz w:val="24"/>
                <w:szCs w:val="24"/>
                <w:highlight w:val="none"/>
              </w:rPr>
            </w:pPr>
            <w:r>
              <w:rPr>
                <w:rFonts w:hint="eastAsia" w:ascii="楷体" w:hAnsi="楷体" w:eastAsia="楷体" w:cs="楷体"/>
                <w:snapToGrid w:val="0"/>
                <w:color w:val="auto"/>
                <w:spacing w:val="-13"/>
                <w:kern w:val="0"/>
                <w:sz w:val="24"/>
                <w:szCs w:val="24"/>
                <w:highlight w:val="none"/>
              </w:rPr>
              <w:t>甲方：郑州大学第三附属医院</w:t>
            </w:r>
          </w:p>
          <w:p w14:paraId="2D8C1465">
            <w:pPr>
              <w:widowControl/>
              <w:kinsoku w:val="0"/>
              <w:autoSpaceDE w:val="0"/>
              <w:autoSpaceDN w:val="0"/>
              <w:adjustRightInd w:val="0"/>
              <w:snapToGrid w:val="0"/>
              <w:spacing w:line="223" w:lineRule="auto"/>
              <w:ind w:left="33" w:firstLine="642" w:firstLineChars="300"/>
              <w:jc w:val="both"/>
              <w:textAlignment w:val="baseline"/>
              <w:rPr>
                <w:rFonts w:hint="eastAsia" w:ascii="楷体" w:hAnsi="楷体" w:eastAsia="楷体" w:cs="楷体"/>
                <w:snapToGrid w:val="0"/>
                <w:color w:val="auto"/>
                <w:spacing w:val="-13"/>
                <w:kern w:val="0"/>
                <w:sz w:val="24"/>
                <w:szCs w:val="24"/>
                <w:highlight w:val="none"/>
              </w:rPr>
            </w:pPr>
            <w:r>
              <w:rPr>
                <w:rFonts w:hint="eastAsia" w:ascii="楷体" w:hAnsi="楷体" w:eastAsia="楷体" w:cs="楷体"/>
                <w:snapToGrid w:val="0"/>
                <w:color w:val="auto"/>
                <w:spacing w:val="-13"/>
                <w:kern w:val="0"/>
                <w:sz w:val="24"/>
                <w:szCs w:val="24"/>
                <w:highlight w:val="none"/>
              </w:rPr>
              <w:t>（河南省妇幼保健院）</w:t>
            </w:r>
          </w:p>
        </w:tc>
        <w:tc>
          <w:tcPr>
            <w:tcW w:w="4116" w:type="dxa"/>
            <w:shd w:val="clear" w:color="auto" w:fill="auto"/>
            <w:noWrap w:val="0"/>
            <w:vAlign w:val="center"/>
          </w:tcPr>
          <w:p w14:paraId="68079659">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eastAsia="zh-CN"/>
              </w:rPr>
            </w:pPr>
            <w:r>
              <w:rPr>
                <w:rFonts w:hint="eastAsia" w:ascii="楷体" w:hAnsi="楷体" w:eastAsia="楷体" w:cs="楷体"/>
                <w:snapToGrid w:val="0"/>
                <w:color w:val="auto"/>
                <w:spacing w:val="-5"/>
                <w:kern w:val="0"/>
                <w:sz w:val="24"/>
                <w:szCs w:val="24"/>
                <w:highlight w:val="none"/>
                <w:lang w:eastAsia="en-US"/>
              </w:rPr>
              <w:t>乙方：</w:t>
            </w:r>
            <w:r>
              <w:rPr>
                <w:rFonts w:hint="eastAsia" w:ascii="楷体" w:hAnsi="楷体" w:eastAsia="楷体" w:cs="楷体"/>
                <w:snapToGrid w:val="0"/>
                <w:color w:val="auto"/>
                <w:spacing w:val="-5"/>
                <w:kern w:val="0"/>
                <w:sz w:val="24"/>
                <w:szCs w:val="24"/>
                <w:highlight w:val="none"/>
                <w:lang w:val="en-US" w:eastAsia="zh-CN"/>
              </w:rPr>
              <w:t>上海医用缝合针厂有限公司</w:t>
            </w:r>
          </w:p>
        </w:tc>
      </w:tr>
      <w:tr w14:paraId="177BFC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73C77029">
            <w:pPr>
              <w:widowControl/>
              <w:kinsoku w:val="0"/>
              <w:autoSpaceDE w:val="0"/>
              <w:autoSpaceDN w:val="0"/>
              <w:adjustRightInd w:val="0"/>
              <w:snapToGrid w:val="0"/>
              <w:spacing w:before="114" w:line="220" w:lineRule="auto"/>
              <w:ind w:left="16"/>
              <w:jc w:val="both"/>
              <w:textAlignment w:val="baseline"/>
              <w:rPr>
                <w:rFonts w:hint="eastAsia" w:ascii="楷体" w:hAnsi="楷体" w:eastAsia="楷体" w:cs="楷体"/>
                <w:snapToGrid w:val="0"/>
                <w:color w:val="auto"/>
                <w:spacing w:val="-7"/>
                <w:kern w:val="0"/>
                <w:sz w:val="24"/>
                <w:szCs w:val="24"/>
                <w:highlight w:val="none"/>
              </w:rPr>
            </w:pPr>
            <w:r>
              <w:rPr>
                <w:rFonts w:hint="eastAsia" w:ascii="楷体" w:hAnsi="楷体" w:eastAsia="楷体" w:cs="楷体"/>
                <w:snapToGrid w:val="0"/>
                <w:color w:val="auto"/>
                <w:spacing w:val="-7"/>
                <w:kern w:val="0"/>
                <w:sz w:val="24"/>
                <w:szCs w:val="24"/>
                <w:highlight w:val="none"/>
              </w:rPr>
              <w:t>统一社会信用代码：</w:t>
            </w:r>
          </w:p>
          <w:p w14:paraId="5E1B9E31">
            <w:pPr>
              <w:widowControl/>
              <w:kinsoku w:val="0"/>
              <w:autoSpaceDE w:val="0"/>
              <w:autoSpaceDN w:val="0"/>
              <w:adjustRightInd w:val="0"/>
              <w:snapToGrid w:val="0"/>
              <w:spacing w:before="114" w:line="220" w:lineRule="auto"/>
              <w:ind w:left="16"/>
              <w:jc w:val="both"/>
              <w:textAlignment w:val="baseline"/>
              <w:rPr>
                <w:rFonts w:hint="eastAsia" w:ascii="楷体" w:hAnsi="楷体" w:eastAsia="楷体" w:cs="楷体"/>
                <w:snapToGrid w:val="0"/>
                <w:color w:val="auto"/>
                <w:kern w:val="0"/>
                <w:sz w:val="24"/>
                <w:szCs w:val="24"/>
                <w:highlight w:val="none"/>
              </w:rPr>
            </w:pPr>
            <w:r>
              <w:rPr>
                <w:rFonts w:hint="eastAsia" w:ascii="楷体" w:hAnsi="楷体" w:eastAsia="楷体" w:cs="楷体"/>
                <w:snapToGrid w:val="0"/>
                <w:color w:val="auto"/>
                <w:spacing w:val="-7"/>
                <w:kern w:val="0"/>
                <w:sz w:val="24"/>
                <w:szCs w:val="24"/>
                <w:highlight w:val="none"/>
              </w:rPr>
              <w:t>12410000415800480R</w:t>
            </w:r>
          </w:p>
        </w:tc>
        <w:tc>
          <w:tcPr>
            <w:tcW w:w="4116" w:type="dxa"/>
            <w:shd w:val="clear" w:color="auto" w:fill="auto"/>
            <w:noWrap w:val="0"/>
            <w:vAlign w:val="center"/>
          </w:tcPr>
          <w:p w14:paraId="3312B103">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eastAsia="en-US"/>
              </w:rPr>
            </w:pPr>
            <w:r>
              <w:rPr>
                <w:rFonts w:hint="eastAsia" w:ascii="楷体" w:hAnsi="楷体" w:eastAsia="楷体" w:cs="楷体"/>
                <w:snapToGrid w:val="0"/>
                <w:color w:val="auto"/>
                <w:spacing w:val="-5"/>
                <w:kern w:val="0"/>
                <w:sz w:val="24"/>
                <w:szCs w:val="24"/>
                <w:highlight w:val="none"/>
                <w:lang w:eastAsia="en-US"/>
              </w:rPr>
              <w:t>统一社会信用代码或身份证号码：</w:t>
            </w:r>
          </w:p>
          <w:p w14:paraId="120B40A3">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val="en-US" w:eastAsia="zh-CN"/>
              </w:rPr>
            </w:pPr>
            <w:r>
              <w:rPr>
                <w:rFonts w:hint="eastAsia" w:ascii="楷体" w:hAnsi="楷体" w:eastAsia="楷体" w:cs="楷体"/>
                <w:snapToGrid w:val="0"/>
                <w:color w:val="auto"/>
                <w:spacing w:val="-5"/>
                <w:kern w:val="0"/>
                <w:sz w:val="24"/>
                <w:szCs w:val="24"/>
                <w:highlight w:val="none"/>
                <w:lang w:val="en-US" w:eastAsia="zh-CN"/>
              </w:rPr>
              <w:t>9131011513230919X8</w:t>
            </w:r>
          </w:p>
        </w:tc>
      </w:tr>
      <w:tr w14:paraId="03AAEA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27BA8216">
            <w:pPr>
              <w:widowControl/>
              <w:kinsoku w:val="0"/>
              <w:autoSpaceDE w:val="0"/>
              <w:autoSpaceDN w:val="0"/>
              <w:adjustRightInd w:val="0"/>
              <w:snapToGrid w:val="0"/>
              <w:spacing w:before="113" w:line="221" w:lineRule="auto"/>
              <w:jc w:val="both"/>
              <w:textAlignment w:val="baseline"/>
              <w:rPr>
                <w:rFonts w:hint="eastAsia" w:ascii="楷体" w:hAnsi="楷体" w:eastAsia="楷体" w:cs="楷体"/>
                <w:snapToGrid w:val="0"/>
                <w:color w:val="auto"/>
                <w:kern w:val="0"/>
                <w:sz w:val="24"/>
                <w:szCs w:val="24"/>
                <w:highlight w:val="none"/>
              </w:rPr>
            </w:pPr>
            <w:r>
              <w:rPr>
                <w:rFonts w:hint="eastAsia" w:ascii="楷体" w:hAnsi="楷体" w:eastAsia="楷体" w:cs="楷体"/>
                <w:snapToGrid w:val="0"/>
                <w:color w:val="auto"/>
                <w:spacing w:val="-12"/>
                <w:kern w:val="0"/>
                <w:sz w:val="24"/>
                <w:szCs w:val="24"/>
                <w:highlight w:val="none"/>
              </w:rPr>
              <w:t>住所：郑州市二七区康复前街7号</w:t>
            </w:r>
          </w:p>
        </w:tc>
        <w:tc>
          <w:tcPr>
            <w:tcW w:w="4116" w:type="dxa"/>
            <w:shd w:val="clear" w:color="auto" w:fill="auto"/>
            <w:noWrap w:val="0"/>
            <w:vAlign w:val="center"/>
          </w:tcPr>
          <w:p w14:paraId="1B669E86">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eastAsia="en-US"/>
              </w:rPr>
            </w:pPr>
            <w:r>
              <w:rPr>
                <w:rFonts w:hint="eastAsia" w:ascii="楷体" w:hAnsi="楷体" w:eastAsia="楷体" w:cs="楷体"/>
                <w:snapToGrid w:val="0"/>
                <w:color w:val="auto"/>
                <w:spacing w:val="-5"/>
                <w:kern w:val="0"/>
                <w:sz w:val="24"/>
                <w:szCs w:val="24"/>
                <w:highlight w:val="none"/>
                <w:lang w:eastAsia="en-US"/>
              </w:rPr>
              <w:t>住所：</w:t>
            </w:r>
            <w:r>
              <w:rPr>
                <w:rFonts w:hint="eastAsia" w:ascii="楷体" w:hAnsi="楷体" w:eastAsia="楷体" w:cs="楷体"/>
                <w:snapToGrid w:val="0"/>
                <w:color w:val="auto"/>
                <w:spacing w:val="-5"/>
                <w:kern w:val="0"/>
                <w:sz w:val="24"/>
                <w:szCs w:val="24"/>
                <w:highlight w:val="none"/>
                <w:lang w:val="en-US" w:eastAsia="zh-CN"/>
              </w:rPr>
              <w:t>上海市浦东新区居家桥路565号</w:t>
            </w:r>
          </w:p>
        </w:tc>
      </w:tr>
      <w:tr w14:paraId="3535E0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2E8DB188">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kern w:val="0"/>
                <w:sz w:val="24"/>
                <w:szCs w:val="24"/>
                <w:highlight w:val="none"/>
                <w:lang w:eastAsia="en-US"/>
              </w:rPr>
            </w:pPr>
            <w:r>
              <w:rPr>
                <w:rFonts w:hint="eastAsia" w:ascii="楷体" w:hAnsi="楷体" w:eastAsia="楷体" w:cs="楷体"/>
                <w:snapToGrid w:val="0"/>
                <w:color w:val="auto"/>
                <w:spacing w:val="-5"/>
                <w:kern w:val="0"/>
                <w:sz w:val="24"/>
                <w:szCs w:val="24"/>
                <w:highlight w:val="none"/>
                <w:lang w:eastAsia="en-US"/>
              </w:rPr>
              <w:t>法定代表人或</w:t>
            </w:r>
            <w:r>
              <w:rPr>
                <w:rFonts w:hint="eastAsia" w:ascii="楷体" w:hAnsi="楷体" w:eastAsia="楷体" w:cs="楷体"/>
                <w:snapToGrid w:val="0"/>
                <w:color w:val="auto"/>
                <w:spacing w:val="-7"/>
                <w:kern w:val="0"/>
                <w:sz w:val="24"/>
                <w:szCs w:val="24"/>
                <w:highlight w:val="none"/>
                <w:lang w:eastAsia="en-US"/>
              </w:rPr>
              <w:t>授权代表（签字</w:t>
            </w:r>
            <w:r>
              <w:rPr>
                <w:rFonts w:hint="eastAsia" w:ascii="楷体" w:hAnsi="楷体" w:eastAsia="楷体" w:cs="楷体"/>
                <w:snapToGrid w:val="0"/>
                <w:color w:val="auto"/>
                <w:spacing w:val="-1"/>
                <w:kern w:val="0"/>
                <w:sz w:val="24"/>
                <w:szCs w:val="24"/>
                <w:highlight w:val="none"/>
                <w:lang w:eastAsia="en-US"/>
              </w:rPr>
              <w:t>）：</w:t>
            </w:r>
          </w:p>
        </w:tc>
        <w:tc>
          <w:tcPr>
            <w:tcW w:w="4116" w:type="dxa"/>
            <w:shd w:val="clear" w:color="auto" w:fill="auto"/>
            <w:noWrap w:val="0"/>
            <w:vAlign w:val="center"/>
          </w:tcPr>
          <w:p w14:paraId="541B4EFC">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eastAsia="en-US"/>
              </w:rPr>
            </w:pPr>
            <w:r>
              <w:rPr>
                <w:rFonts w:hint="eastAsia" w:ascii="楷体" w:hAnsi="楷体" w:eastAsia="楷体" w:cs="楷体"/>
                <w:snapToGrid w:val="0"/>
                <w:color w:val="auto"/>
                <w:spacing w:val="-5"/>
                <w:kern w:val="0"/>
                <w:sz w:val="24"/>
                <w:szCs w:val="24"/>
                <w:highlight w:val="none"/>
                <w:lang w:eastAsia="en-US"/>
              </w:rPr>
              <w:t>法定代表人或授权代表（签字） :</w:t>
            </w:r>
          </w:p>
        </w:tc>
      </w:tr>
      <w:tr w14:paraId="36A5A5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6" w:hRule="atLeast"/>
          <w:jc w:val="center"/>
        </w:trPr>
        <w:tc>
          <w:tcPr>
            <w:tcW w:w="4388" w:type="dxa"/>
            <w:shd w:val="clear" w:color="auto" w:fill="auto"/>
            <w:noWrap w:val="0"/>
            <w:vAlign w:val="center"/>
          </w:tcPr>
          <w:p w14:paraId="1F0A77CB">
            <w:pPr>
              <w:widowControl/>
              <w:kinsoku w:val="0"/>
              <w:autoSpaceDE w:val="0"/>
              <w:autoSpaceDN w:val="0"/>
              <w:adjustRightInd w:val="0"/>
              <w:snapToGrid w:val="0"/>
              <w:spacing w:before="114" w:line="215" w:lineRule="auto"/>
              <w:ind w:left="5"/>
              <w:jc w:val="both"/>
              <w:textAlignment w:val="baseline"/>
              <w:rPr>
                <w:rFonts w:hint="eastAsia" w:ascii="楷体" w:hAnsi="楷体" w:eastAsia="楷体" w:cs="楷体"/>
                <w:snapToGrid w:val="0"/>
                <w:color w:val="auto"/>
                <w:kern w:val="0"/>
                <w:sz w:val="24"/>
                <w:szCs w:val="24"/>
                <w:highlight w:val="none"/>
                <w:lang w:eastAsia="en-US"/>
              </w:rPr>
            </w:pPr>
          </w:p>
        </w:tc>
        <w:tc>
          <w:tcPr>
            <w:tcW w:w="4116" w:type="dxa"/>
            <w:shd w:val="clear" w:color="auto" w:fill="auto"/>
            <w:noWrap w:val="0"/>
            <w:vAlign w:val="center"/>
          </w:tcPr>
          <w:p w14:paraId="2C8A4251">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eastAsia="en-US"/>
              </w:rPr>
            </w:pPr>
          </w:p>
        </w:tc>
      </w:tr>
      <w:tr w14:paraId="6C1DE3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201DC55E">
            <w:pPr>
              <w:widowControl/>
              <w:kinsoku w:val="0"/>
              <w:autoSpaceDE w:val="0"/>
              <w:autoSpaceDN w:val="0"/>
              <w:adjustRightInd w:val="0"/>
              <w:snapToGrid w:val="0"/>
              <w:spacing w:before="114" w:line="215" w:lineRule="auto"/>
              <w:ind w:left="1"/>
              <w:jc w:val="both"/>
              <w:textAlignment w:val="baseline"/>
              <w:rPr>
                <w:rFonts w:hint="eastAsia" w:ascii="楷体" w:hAnsi="楷体" w:eastAsia="楷体" w:cs="楷体"/>
                <w:snapToGrid w:val="0"/>
                <w:color w:val="auto"/>
                <w:kern w:val="0"/>
                <w:sz w:val="24"/>
                <w:szCs w:val="24"/>
                <w:highlight w:val="none"/>
              </w:rPr>
            </w:pPr>
            <w:r>
              <w:rPr>
                <w:rFonts w:hint="eastAsia" w:ascii="楷体" w:hAnsi="楷体" w:eastAsia="楷体" w:cs="楷体"/>
                <w:snapToGrid w:val="0"/>
                <w:color w:val="auto"/>
                <w:spacing w:val="-10"/>
                <w:kern w:val="0"/>
                <w:sz w:val="24"/>
                <w:szCs w:val="24"/>
                <w:highlight w:val="none"/>
                <w:lang w:eastAsia="en-US"/>
              </w:rPr>
              <w:t>联系人：</w:t>
            </w:r>
            <w:r>
              <w:rPr>
                <w:rFonts w:hint="eastAsia" w:ascii="楷体" w:hAnsi="楷体" w:eastAsia="楷体" w:cs="楷体"/>
                <w:snapToGrid w:val="0"/>
                <w:color w:val="auto"/>
                <w:spacing w:val="-10"/>
                <w:kern w:val="0"/>
                <w:sz w:val="24"/>
                <w:szCs w:val="24"/>
                <w:highlight w:val="none"/>
              </w:rPr>
              <w:t>刘琰</w:t>
            </w:r>
          </w:p>
        </w:tc>
        <w:tc>
          <w:tcPr>
            <w:tcW w:w="4116" w:type="dxa"/>
            <w:shd w:val="clear" w:color="auto" w:fill="auto"/>
            <w:noWrap w:val="0"/>
            <w:vAlign w:val="center"/>
          </w:tcPr>
          <w:p w14:paraId="31172DF4">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eastAsia="en-US"/>
              </w:rPr>
            </w:pPr>
            <w:r>
              <w:rPr>
                <w:rFonts w:hint="eastAsia" w:ascii="楷体" w:hAnsi="楷体" w:eastAsia="楷体" w:cs="楷体"/>
                <w:snapToGrid w:val="0"/>
                <w:color w:val="auto"/>
                <w:spacing w:val="-5"/>
                <w:kern w:val="0"/>
                <w:sz w:val="24"/>
                <w:szCs w:val="24"/>
                <w:highlight w:val="none"/>
                <w:lang w:eastAsia="en-US"/>
              </w:rPr>
              <w:t>联系人：</w:t>
            </w:r>
            <w:r>
              <w:rPr>
                <w:rFonts w:hint="eastAsia" w:ascii="楷体" w:hAnsi="楷体" w:eastAsia="楷体" w:cs="楷体"/>
                <w:snapToGrid w:val="0"/>
                <w:color w:val="auto"/>
                <w:spacing w:val="-5"/>
                <w:kern w:val="0"/>
                <w:sz w:val="24"/>
                <w:szCs w:val="24"/>
                <w:highlight w:val="none"/>
                <w:lang w:val="en-US" w:eastAsia="zh-CN"/>
              </w:rPr>
              <w:t>杨芳</w:t>
            </w:r>
          </w:p>
        </w:tc>
      </w:tr>
      <w:tr w14:paraId="3F300C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1A065D44">
            <w:pPr>
              <w:widowControl/>
              <w:kinsoku w:val="0"/>
              <w:autoSpaceDE w:val="0"/>
              <w:autoSpaceDN w:val="0"/>
              <w:adjustRightInd w:val="0"/>
              <w:snapToGrid w:val="0"/>
              <w:spacing w:before="114" w:line="226" w:lineRule="auto"/>
              <w:ind w:left="17"/>
              <w:jc w:val="both"/>
              <w:textAlignment w:val="baseline"/>
              <w:rPr>
                <w:rFonts w:hint="eastAsia" w:ascii="楷体" w:hAnsi="楷体" w:eastAsia="楷体" w:cs="楷体"/>
                <w:snapToGrid w:val="0"/>
                <w:color w:val="auto"/>
                <w:kern w:val="0"/>
                <w:sz w:val="24"/>
                <w:szCs w:val="24"/>
                <w:highlight w:val="none"/>
              </w:rPr>
            </w:pPr>
            <w:r>
              <w:rPr>
                <w:rFonts w:hint="eastAsia" w:ascii="楷体" w:hAnsi="楷体" w:eastAsia="楷体" w:cs="楷体"/>
                <w:snapToGrid w:val="0"/>
                <w:color w:val="auto"/>
                <w:spacing w:val="-9"/>
                <w:kern w:val="0"/>
                <w:sz w:val="24"/>
                <w:szCs w:val="24"/>
                <w:highlight w:val="none"/>
              </w:rPr>
              <w:t>约定送达地址：</w:t>
            </w:r>
            <w:r>
              <w:rPr>
                <w:rFonts w:hint="eastAsia" w:ascii="楷体" w:hAnsi="楷体" w:eastAsia="楷体" w:cs="楷体"/>
                <w:snapToGrid w:val="0"/>
                <w:color w:val="auto"/>
                <w:spacing w:val="-12"/>
                <w:kern w:val="0"/>
                <w:sz w:val="24"/>
                <w:szCs w:val="24"/>
                <w:highlight w:val="none"/>
              </w:rPr>
              <w:t>郑州市二七区康复前街7号</w:t>
            </w:r>
          </w:p>
        </w:tc>
        <w:tc>
          <w:tcPr>
            <w:tcW w:w="4116" w:type="dxa"/>
            <w:shd w:val="clear" w:color="auto" w:fill="auto"/>
            <w:noWrap w:val="0"/>
            <w:vAlign w:val="center"/>
          </w:tcPr>
          <w:p w14:paraId="2305D9EC">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eastAsia="en-US"/>
              </w:rPr>
            </w:pPr>
            <w:r>
              <w:rPr>
                <w:rFonts w:hint="eastAsia" w:ascii="楷体" w:hAnsi="楷体" w:eastAsia="楷体" w:cs="楷体"/>
                <w:snapToGrid w:val="0"/>
                <w:color w:val="auto"/>
                <w:spacing w:val="-5"/>
                <w:kern w:val="0"/>
                <w:sz w:val="24"/>
                <w:szCs w:val="24"/>
                <w:highlight w:val="none"/>
                <w:lang w:eastAsia="en-US"/>
              </w:rPr>
              <w:t>约定送达地址：</w:t>
            </w:r>
            <w:r>
              <w:rPr>
                <w:rFonts w:hint="eastAsia" w:ascii="楷体" w:hAnsi="楷体" w:eastAsia="楷体" w:cs="楷体"/>
                <w:snapToGrid w:val="0"/>
                <w:color w:val="auto"/>
                <w:spacing w:val="-5"/>
                <w:kern w:val="0"/>
                <w:sz w:val="24"/>
                <w:szCs w:val="24"/>
                <w:highlight w:val="none"/>
                <w:lang w:val="en-US" w:eastAsia="zh-CN"/>
              </w:rPr>
              <w:t>上海市浦东新区居家桥路565号</w:t>
            </w:r>
            <w:r>
              <w:rPr>
                <w:rFonts w:hint="eastAsia" w:ascii="楷体" w:hAnsi="楷体" w:eastAsia="楷体" w:cs="楷体"/>
                <w:snapToGrid w:val="0"/>
                <w:color w:val="auto"/>
                <w:spacing w:val="-5"/>
                <w:kern w:val="0"/>
                <w:sz w:val="24"/>
                <w:szCs w:val="24"/>
                <w:highlight w:val="none"/>
                <w:lang w:eastAsia="en-US"/>
              </w:rPr>
              <w:t xml:space="preserve">  </w:t>
            </w:r>
          </w:p>
        </w:tc>
      </w:tr>
      <w:tr w14:paraId="3FD4D6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6FCABFF6">
            <w:pPr>
              <w:widowControl/>
              <w:kinsoku w:val="0"/>
              <w:autoSpaceDE w:val="0"/>
              <w:autoSpaceDN w:val="0"/>
              <w:adjustRightInd w:val="0"/>
              <w:snapToGrid w:val="0"/>
              <w:spacing w:before="115" w:line="214" w:lineRule="auto"/>
              <w:ind w:left="10"/>
              <w:jc w:val="both"/>
              <w:textAlignment w:val="baseline"/>
              <w:rPr>
                <w:rFonts w:hint="eastAsia" w:ascii="楷体" w:hAnsi="楷体" w:eastAsia="楷体" w:cs="楷体"/>
                <w:snapToGrid w:val="0"/>
                <w:color w:val="auto"/>
                <w:kern w:val="0"/>
                <w:sz w:val="24"/>
                <w:szCs w:val="24"/>
                <w:highlight w:val="none"/>
              </w:rPr>
            </w:pPr>
            <w:r>
              <w:rPr>
                <w:rFonts w:hint="eastAsia" w:ascii="楷体" w:hAnsi="楷体" w:eastAsia="楷体" w:cs="楷体"/>
                <w:snapToGrid w:val="0"/>
                <w:color w:val="auto"/>
                <w:spacing w:val="-10"/>
                <w:kern w:val="0"/>
                <w:sz w:val="24"/>
                <w:szCs w:val="24"/>
                <w:highlight w:val="none"/>
                <w:lang w:eastAsia="en-US"/>
              </w:rPr>
              <w:t>邮政编码：</w:t>
            </w:r>
            <w:r>
              <w:rPr>
                <w:rFonts w:hint="eastAsia" w:ascii="楷体" w:hAnsi="楷体" w:eastAsia="楷体" w:cs="楷体"/>
                <w:snapToGrid w:val="0"/>
                <w:color w:val="auto"/>
                <w:spacing w:val="-10"/>
                <w:kern w:val="0"/>
                <w:sz w:val="24"/>
                <w:szCs w:val="24"/>
                <w:highlight w:val="none"/>
              </w:rPr>
              <w:t>450052</w:t>
            </w:r>
          </w:p>
        </w:tc>
        <w:tc>
          <w:tcPr>
            <w:tcW w:w="4116" w:type="dxa"/>
            <w:shd w:val="clear" w:color="auto" w:fill="auto"/>
            <w:noWrap w:val="0"/>
            <w:vAlign w:val="center"/>
          </w:tcPr>
          <w:p w14:paraId="7FF8E3B4">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val="en-US" w:eastAsia="zh-CN"/>
              </w:rPr>
            </w:pPr>
            <w:r>
              <w:rPr>
                <w:rFonts w:hint="eastAsia" w:ascii="楷体" w:hAnsi="楷体" w:eastAsia="楷体" w:cs="楷体"/>
                <w:snapToGrid w:val="0"/>
                <w:color w:val="auto"/>
                <w:spacing w:val="-5"/>
                <w:kern w:val="0"/>
                <w:sz w:val="24"/>
                <w:szCs w:val="24"/>
                <w:highlight w:val="none"/>
                <w:lang w:eastAsia="en-US"/>
              </w:rPr>
              <w:t>邮政编码：</w:t>
            </w:r>
            <w:r>
              <w:rPr>
                <w:rFonts w:hint="eastAsia" w:ascii="楷体" w:hAnsi="楷体" w:eastAsia="楷体" w:cs="楷体"/>
                <w:snapToGrid w:val="0"/>
                <w:color w:val="auto"/>
                <w:spacing w:val="-5"/>
                <w:kern w:val="0"/>
                <w:sz w:val="24"/>
                <w:szCs w:val="24"/>
                <w:highlight w:val="none"/>
                <w:lang w:val="en-US" w:eastAsia="zh-CN"/>
              </w:rPr>
              <w:t>200136</w:t>
            </w:r>
          </w:p>
        </w:tc>
      </w:tr>
      <w:tr w14:paraId="4FE446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458DEA23">
            <w:pPr>
              <w:widowControl/>
              <w:kinsoku w:val="0"/>
              <w:autoSpaceDE w:val="0"/>
              <w:autoSpaceDN w:val="0"/>
              <w:adjustRightInd w:val="0"/>
              <w:snapToGrid w:val="0"/>
              <w:spacing w:before="114" w:line="230" w:lineRule="auto"/>
              <w:ind w:left="26"/>
              <w:jc w:val="both"/>
              <w:textAlignment w:val="baseline"/>
              <w:rPr>
                <w:rFonts w:hint="default" w:ascii="楷体" w:hAnsi="楷体" w:eastAsia="楷体" w:cs="楷体"/>
                <w:snapToGrid w:val="0"/>
                <w:color w:val="auto"/>
                <w:kern w:val="0"/>
                <w:sz w:val="24"/>
                <w:szCs w:val="24"/>
                <w:highlight w:val="none"/>
                <w:lang w:val="en-US" w:eastAsia="zh-CN"/>
              </w:rPr>
            </w:pPr>
            <w:r>
              <w:rPr>
                <w:rFonts w:hint="eastAsia" w:ascii="楷体" w:hAnsi="楷体" w:eastAsia="楷体" w:cs="楷体"/>
                <w:snapToGrid w:val="0"/>
                <w:color w:val="auto"/>
                <w:spacing w:val="-11"/>
                <w:kern w:val="0"/>
                <w:sz w:val="24"/>
                <w:szCs w:val="24"/>
                <w:highlight w:val="none"/>
                <w:lang w:eastAsia="en-US"/>
              </w:rPr>
              <w:t>电</w:t>
            </w:r>
            <w:r>
              <w:rPr>
                <w:rFonts w:hint="eastAsia" w:ascii="楷体" w:hAnsi="楷体" w:eastAsia="楷体" w:cs="楷体"/>
                <w:snapToGrid w:val="0"/>
                <w:color w:val="auto"/>
                <w:spacing w:val="-11"/>
                <w:kern w:val="0"/>
                <w:sz w:val="24"/>
                <w:szCs w:val="24"/>
                <w:highlight w:val="none"/>
                <w:lang w:val="en-US" w:eastAsia="zh-CN"/>
              </w:rPr>
              <w:t xml:space="preserve">     </w:t>
            </w:r>
            <w:r>
              <w:rPr>
                <w:rFonts w:hint="eastAsia" w:ascii="楷体" w:hAnsi="楷体" w:eastAsia="楷体" w:cs="楷体"/>
                <w:snapToGrid w:val="0"/>
                <w:color w:val="auto"/>
                <w:spacing w:val="-11"/>
                <w:kern w:val="0"/>
                <w:sz w:val="24"/>
                <w:szCs w:val="24"/>
                <w:highlight w:val="none"/>
                <w:lang w:eastAsia="en-US"/>
              </w:rPr>
              <w:t>话:</w:t>
            </w:r>
            <w:r>
              <w:rPr>
                <w:rFonts w:hint="eastAsia" w:ascii="楷体" w:hAnsi="楷体" w:eastAsia="楷体" w:cs="楷体"/>
                <w:snapToGrid w:val="0"/>
                <w:color w:val="auto"/>
                <w:spacing w:val="-11"/>
                <w:kern w:val="0"/>
                <w:sz w:val="24"/>
                <w:szCs w:val="24"/>
                <w:highlight w:val="none"/>
                <w:lang w:val="en-US" w:eastAsia="zh-CN"/>
              </w:rPr>
              <w:t>0371-66903200</w:t>
            </w:r>
          </w:p>
        </w:tc>
        <w:tc>
          <w:tcPr>
            <w:tcW w:w="4116" w:type="dxa"/>
            <w:shd w:val="clear" w:color="auto" w:fill="auto"/>
            <w:noWrap w:val="0"/>
            <w:vAlign w:val="center"/>
          </w:tcPr>
          <w:p w14:paraId="4134B3B2">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val="en-US" w:eastAsia="zh-CN"/>
              </w:rPr>
            </w:pPr>
            <w:r>
              <w:rPr>
                <w:rFonts w:hint="eastAsia" w:ascii="楷体" w:hAnsi="楷体" w:eastAsia="楷体" w:cs="楷体"/>
                <w:snapToGrid w:val="0"/>
                <w:color w:val="auto"/>
                <w:spacing w:val="-5"/>
                <w:kern w:val="0"/>
                <w:sz w:val="24"/>
                <w:szCs w:val="24"/>
                <w:highlight w:val="none"/>
                <w:lang w:eastAsia="en-US"/>
              </w:rPr>
              <w:t>电</w:t>
            </w:r>
            <w:r>
              <w:rPr>
                <w:rFonts w:hint="eastAsia" w:ascii="楷体" w:hAnsi="楷体" w:eastAsia="楷体" w:cs="楷体"/>
                <w:snapToGrid w:val="0"/>
                <w:color w:val="auto"/>
                <w:spacing w:val="-5"/>
                <w:kern w:val="0"/>
                <w:sz w:val="24"/>
                <w:szCs w:val="24"/>
                <w:highlight w:val="none"/>
                <w:lang w:val="en-US" w:eastAsia="zh-CN"/>
              </w:rPr>
              <w:t xml:space="preserve">     </w:t>
            </w:r>
            <w:r>
              <w:rPr>
                <w:rFonts w:hint="eastAsia" w:ascii="楷体" w:hAnsi="楷体" w:eastAsia="楷体" w:cs="楷体"/>
                <w:snapToGrid w:val="0"/>
                <w:color w:val="auto"/>
                <w:spacing w:val="-5"/>
                <w:kern w:val="0"/>
                <w:sz w:val="24"/>
                <w:szCs w:val="24"/>
                <w:highlight w:val="none"/>
                <w:lang w:eastAsia="en-US"/>
              </w:rPr>
              <w:t>话:</w:t>
            </w:r>
            <w:r>
              <w:rPr>
                <w:rFonts w:hint="eastAsia" w:ascii="楷体" w:hAnsi="楷体" w:eastAsia="楷体" w:cs="楷体"/>
                <w:snapToGrid w:val="0"/>
                <w:color w:val="auto"/>
                <w:spacing w:val="-5"/>
                <w:kern w:val="0"/>
                <w:sz w:val="24"/>
                <w:szCs w:val="24"/>
                <w:highlight w:val="none"/>
                <w:lang w:val="en-US" w:eastAsia="zh-CN"/>
              </w:rPr>
              <w:t>18116461093</w:t>
            </w:r>
          </w:p>
        </w:tc>
      </w:tr>
      <w:tr w14:paraId="5BDE9F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3F01CFB3">
            <w:pPr>
              <w:widowControl/>
              <w:kinsoku w:val="0"/>
              <w:autoSpaceDE w:val="0"/>
              <w:autoSpaceDN w:val="0"/>
              <w:adjustRightInd w:val="0"/>
              <w:snapToGrid w:val="0"/>
              <w:spacing w:before="114" w:line="219" w:lineRule="auto"/>
              <w:jc w:val="both"/>
              <w:textAlignment w:val="baseline"/>
              <w:rPr>
                <w:rFonts w:hint="default" w:ascii="楷体" w:hAnsi="楷体" w:eastAsia="楷体" w:cs="楷体"/>
                <w:snapToGrid w:val="0"/>
                <w:color w:val="auto"/>
                <w:kern w:val="0"/>
                <w:sz w:val="24"/>
                <w:szCs w:val="24"/>
                <w:highlight w:val="none"/>
                <w:lang w:val="en-US" w:eastAsia="zh-CN"/>
              </w:rPr>
            </w:pPr>
            <w:r>
              <w:rPr>
                <w:rFonts w:hint="eastAsia" w:ascii="楷体" w:hAnsi="楷体" w:eastAsia="楷体" w:cs="楷体"/>
                <w:snapToGrid w:val="0"/>
                <w:color w:val="auto"/>
                <w:spacing w:val="-3"/>
                <w:kern w:val="0"/>
                <w:sz w:val="24"/>
                <w:szCs w:val="24"/>
                <w:highlight w:val="none"/>
                <w:lang w:eastAsia="en-US"/>
              </w:rPr>
              <w:t>传</w:t>
            </w:r>
            <w:r>
              <w:rPr>
                <w:rFonts w:hint="eastAsia" w:ascii="楷体" w:hAnsi="楷体" w:eastAsia="楷体" w:cs="楷体"/>
                <w:snapToGrid w:val="0"/>
                <w:color w:val="auto"/>
                <w:spacing w:val="-3"/>
                <w:kern w:val="0"/>
                <w:sz w:val="24"/>
                <w:szCs w:val="24"/>
                <w:highlight w:val="none"/>
                <w:lang w:val="en-US" w:eastAsia="zh-CN"/>
              </w:rPr>
              <w:t xml:space="preserve">    </w:t>
            </w:r>
            <w:r>
              <w:rPr>
                <w:rFonts w:hint="eastAsia" w:ascii="楷体" w:hAnsi="楷体" w:eastAsia="楷体" w:cs="楷体"/>
                <w:snapToGrid w:val="0"/>
                <w:color w:val="auto"/>
                <w:spacing w:val="-3"/>
                <w:kern w:val="0"/>
                <w:sz w:val="24"/>
                <w:szCs w:val="24"/>
                <w:highlight w:val="none"/>
                <w:lang w:eastAsia="en-US"/>
              </w:rPr>
              <w:t>真:</w:t>
            </w:r>
            <w:r>
              <w:rPr>
                <w:rFonts w:hint="eastAsia" w:ascii="楷体" w:hAnsi="楷体" w:eastAsia="楷体" w:cs="楷体"/>
                <w:snapToGrid w:val="0"/>
                <w:color w:val="auto"/>
                <w:spacing w:val="-3"/>
                <w:kern w:val="0"/>
                <w:sz w:val="24"/>
                <w:szCs w:val="24"/>
                <w:highlight w:val="none"/>
                <w:lang w:val="en-US" w:eastAsia="zh-CN"/>
              </w:rPr>
              <w:t>0371-66992000</w:t>
            </w:r>
          </w:p>
        </w:tc>
        <w:tc>
          <w:tcPr>
            <w:tcW w:w="4116" w:type="dxa"/>
            <w:shd w:val="clear" w:color="auto" w:fill="auto"/>
            <w:noWrap w:val="0"/>
            <w:vAlign w:val="center"/>
          </w:tcPr>
          <w:p w14:paraId="1B05E0E2">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val="en-US" w:eastAsia="zh-CN"/>
              </w:rPr>
            </w:pPr>
            <w:r>
              <w:rPr>
                <w:rFonts w:hint="eastAsia" w:ascii="楷体" w:hAnsi="楷体" w:eastAsia="楷体" w:cs="楷体"/>
                <w:snapToGrid w:val="0"/>
                <w:color w:val="auto"/>
                <w:spacing w:val="-5"/>
                <w:kern w:val="0"/>
                <w:sz w:val="24"/>
                <w:szCs w:val="24"/>
                <w:highlight w:val="none"/>
                <w:lang w:eastAsia="en-US"/>
              </w:rPr>
              <w:t>传</w:t>
            </w:r>
            <w:r>
              <w:rPr>
                <w:rFonts w:hint="eastAsia" w:ascii="楷体" w:hAnsi="楷体" w:eastAsia="楷体" w:cs="楷体"/>
                <w:snapToGrid w:val="0"/>
                <w:color w:val="auto"/>
                <w:spacing w:val="-5"/>
                <w:kern w:val="0"/>
                <w:sz w:val="24"/>
                <w:szCs w:val="24"/>
                <w:highlight w:val="none"/>
                <w:lang w:val="en-US" w:eastAsia="zh-CN"/>
              </w:rPr>
              <w:t xml:space="preserve">    </w:t>
            </w:r>
            <w:r>
              <w:rPr>
                <w:rFonts w:hint="eastAsia" w:ascii="楷体" w:hAnsi="楷体" w:eastAsia="楷体" w:cs="楷体"/>
                <w:snapToGrid w:val="0"/>
                <w:color w:val="auto"/>
                <w:spacing w:val="-5"/>
                <w:kern w:val="0"/>
                <w:sz w:val="24"/>
                <w:szCs w:val="24"/>
                <w:highlight w:val="none"/>
                <w:lang w:eastAsia="en-US"/>
              </w:rPr>
              <w:t>真:</w:t>
            </w:r>
            <w:r>
              <w:rPr>
                <w:rFonts w:hint="eastAsia" w:ascii="楷体" w:hAnsi="楷体" w:eastAsia="楷体" w:cs="楷体"/>
                <w:snapToGrid w:val="0"/>
                <w:color w:val="auto"/>
                <w:spacing w:val="-5"/>
                <w:kern w:val="0"/>
                <w:sz w:val="24"/>
                <w:szCs w:val="24"/>
                <w:highlight w:val="none"/>
                <w:lang w:val="en-US" w:eastAsia="zh-CN"/>
              </w:rPr>
              <w:t>021-58460559</w:t>
            </w:r>
          </w:p>
        </w:tc>
      </w:tr>
      <w:tr w14:paraId="14A0AC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188BB22B">
            <w:pPr>
              <w:widowControl/>
              <w:kinsoku w:val="0"/>
              <w:autoSpaceDE w:val="0"/>
              <w:autoSpaceDN w:val="0"/>
              <w:adjustRightInd w:val="0"/>
              <w:snapToGrid w:val="0"/>
              <w:spacing w:before="115" w:line="214" w:lineRule="auto"/>
              <w:ind w:left="26"/>
              <w:jc w:val="both"/>
              <w:textAlignment w:val="baseline"/>
              <w:rPr>
                <w:rFonts w:hint="default" w:ascii="楷体" w:hAnsi="楷体" w:eastAsia="楷体" w:cs="楷体"/>
                <w:snapToGrid w:val="0"/>
                <w:color w:val="auto"/>
                <w:kern w:val="0"/>
                <w:sz w:val="24"/>
                <w:szCs w:val="24"/>
                <w:highlight w:val="none"/>
                <w:lang w:val="en-US" w:eastAsia="zh-CN"/>
              </w:rPr>
            </w:pPr>
            <w:r>
              <w:rPr>
                <w:rFonts w:hint="eastAsia" w:ascii="楷体" w:hAnsi="楷体" w:eastAsia="楷体" w:cs="楷体"/>
                <w:snapToGrid w:val="0"/>
                <w:color w:val="auto"/>
                <w:spacing w:val="-13"/>
                <w:kern w:val="0"/>
                <w:sz w:val="24"/>
                <w:szCs w:val="24"/>
                <w:highlight w:val="none"/>
                <w:lang w:eastAsia="en-US"/>
              </w:rPr>
              <w:t>电子邮箱：</w:t>
            </w:r>
            <w:r>
              <w:rPr>
                <w:rFonts w:hint="eastAsia" w:ascii="楷体" w:hAnsi="楷体" w:eastAsia="楷体" w:cs="楷体"/>
                <w:snapToGrid w:val="0"/>
                <w:color w:val="auto"/>
                <w:spacing w:val="-13"/>
                <w:kern w:val="0"/>
                <w:sz w:val="24"/>
                <w:szCs w:val="24"/>
                <w:highlight w:val="none"/>
                <w:lang w:val="en-US" w:eastAsia="zh-CN"/>
              </w:rPr>
              <w:t>zdsfyjbby@163.com</w:t>
            </w:r>
          </w:p>
        </w:tc>
        <w:tc>
          <w:tcPr>
            <w:tcW w:w="4116" w:type="dxa"/>
            <w:shd w:val="clear" w:color="auto" w:fill="auto"/>
            <w:noWrap w:val="0"/>
            <w:vAlign w:val="center"/>
          </w:tcPr>
          <w:p w14:paraId="4AB8F9AD">
            <w:pPr>
              <w:widowControl/>
              <w:kinsoku w:val="0"/>
              <w:autoSpaceDE w:val="0"/>
              <w:autoSpaceDN w:val="0"/>
              <w:adjustRightInd w:val="0"/>
              <w:snapToGrid w:val="0"/>
              <w:spacing w:before="114" w:line="223" w:lineRule="auto"/>
              <w:ind w:left="21"/>
              <w:jc w:val="both"/>
              <w:textAlignment w:val="baseline"/>
              <w:rPr>
                <w:rFonts w:hint="default" w:ascii="楷体" w:hAnsi="楷体" w:eastAsia="楷体" w:cs="楷体"/>
                <w:snapToGrid w:val="0"/>
                <w:color w:val="auto"/>
                <w:spacing w:val="-5"/>
                <w:kern w:val="0"/>
                <w:sz w:val="24"/>
                <w:szCs w:val="24"/>
                <w:highlight w:val="none"/>
                <w:lang w:val="en-US" w:eastAsia="zh-CN"/>
              </w:rPr>
            </w:pPr>
            <w:r>
              <w:rPr>
                <w:rFonts w:hint="eastAsia" w:ascii="楷体" w:hAnsi="楷体" w:eastAsia="楷体" w:cs="楷体"/>
                <w:snapToGrid w:val="0"/>
                <w:color w:val="auto"/>
                <w:spacing w:val="-5"/>
                <w:kern w:val="0"/>
                <w:sz w:val="24"/>
                <w:szCs w:val="24"/>
                <w:highlight w:val="none"/>
                <w:lang w:eastAsia="en-US"/>
              </w:rPr>
              <w:t>电子邮箱：</w:t>
            </w:r>
            <w:r>
              <w:rPr>
                <w:rFonts w:hint="eastAsia" w:ascii="楷体" w:hAnsi="楷体" w:eastAsia="楷体" w:cs="楷体"/>
                <w:snapToGrid w:val="0"/>
                <w:color w:val="auto"/>
                <w:spacing w:val="-5"/>
                <w:kern w:val="0"/>
                <w:sz w:val="24"/>
                <w:szCs w:val="24"/>
                <w:highlight w:val="none"/>
                <w:lang w:val="en-US" w:eastAsia="zh-CN"/>
              </w:rPr>
              <w:t>1743219085@qq.com</w:t>
            </w:r>
          </w:p>
        </w:tc>
      </w:tr>
      <w:tr w14:paraId="49AA45D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743247F8">
            <w:pPr>
              <w:widowControl/>
              <w:kinsoku w:val="0"/>
              <w:autoSpaceDE w:val="0"/>
              <w:autoSpaceDN w:val="0"/>
              <w:adjustRightInd w:val="0"/>
              <w:snapToGrid w:val="0"/>
              <w:spacing w:before="114" w:line="220" w:lineRule="auto"/>
              <w:ind w:left="5"/>
              <w:jc w:val="both"/>
              <w:textAlignment w:val="baseline"/>
              <w:rPr>
                <w:rFonts w:hint="default" w:ascii="楷体" w:hAnsi="楷体" w:eastAsia="楷体" w:cs="楷体"/>
                <w:snapToGrid w:val="0"/>
                <w:color w:val="auto"/>
                <w:spacing w:val="-9"/>
                <w:kern w:val="0"/>
                <w:sz w:val="24"/>
                <w:szCs w:val="24"/>
                <w:highlight w:val="none"/>
                <w:lang w:val="en-US" w:eastAsia="zh-CN"/>
              </w:rPr>
            </w:pPr>
            <w:r>
              <w:rPr>
                <w:rFonts w:hint="eastAsia" w:ascii="楷体" w:hAnsi="楷体" w:eastAsia="楷体" w:cs="楷体"/>
                <w:snapToGrid w:val="0"/>
                <w:color w:val="auto"/>
                <w:spacing w:val="-9"/>
                <w:kern w:val="0"/>
                <w:sz w:val="24"/>
                <w:szCs w:val="24"/>
                <w:highlight w:val="none"/>
              </w:rPr>
              <w:t>开户银行：</w:t>
            </w:r>
            <w:r>
              <w:rPr>
                <w:rFonts w:hint="eastAsia" w:ascii="楷体" w:hAnsi="楷体" w:eastAsia="楷体" w:cs="楷体"/>
                <w:snapToGrid w:val="0"/>
                <w:color w:val="auto"/>
                <w:spacing w:val="-9"/>
                <w:kern w:val="0"/>
                <w:sz w:val="24"/>
                <w:szCs w:val="24"/>
                <w:highlight w:val="none"/>
                <w:lang w:val="en-US" w:eastAsia="zh-CN"/>
              </w:rPr>
              <w:t>中国工商银行郑州中苑名都支行</w:t>
            </w:r>
          </w:p>
        </w:tc>
        <w:tc>
          <w:tcPr>
            <w:tcW w:w="4116" w:type="dxa"/>
            <w:shd w:val="clear" w:color="auto" w:fill="auto"/>
            <w:noWrap w:val="0"/>
            <w:vAlign w:val="center"/>
          </w:tcPr>
          <w:p w14:paraId="546C1919">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eastAsia="en-US"/>
              </w:rPr>
            </w:pPr>
            <w:r>
              <w:rPr>
                <w:rFonts w:hint="eastAsia" w:ascii="楷体" w:hAnsi="楷体" w:eastAsia="楷体" w:cs="楷体"/>
                <w:snapToGrid w:val="0"/>
                <w:color w:val="auto"/>
                <w:spacing w:val="-5"/>
                <w:kern w:val="0"/>
                <w:sz w:val="24"/>
                <w:szCs w:val="24"/>
                <w:highlight w:val="none"/>
                <w:lang w:eastAsia="en-US"/>
              </w:rPr>
              <w:t>开户银行：</w:t>
            </w:r>
            <w:r>
              <w:rPr>
                <w:rFonts w:hint="eastAsia" w:ascii="楷体" w:hAnsi="楷体" w:eastAsia="楷体" w:cs="楷体"/>
                <w:snapToGrid w:val="0"/>
                <w:color w:val="auto"/>
                <w:spacing w:val="-5"/>
                <w:kern w:val="0"/>
                <w:sz w:val="24"/>
                <w:szCs w:val="24"/>
                <w:highlight w:val="none"/>
                <w:lang w:val="en-US" w:eastAsia="zh-CN"/>
              </w:rPr>
              <w:t>交通银行股份有限公司上海德平路支行</w:t>
            </w:r>
          </w:p>
        </w:tc>
      </w:tr>
      <w:tr w14:paraId="159B58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jc w:val="center"/>
        </w:trPr>
        <w:tc>
          <w:tcPr>
            <w:tcW w:w="4388" w:type="dxa"/>
            <w:shd w:val="clear" w:color="auto" w:fill="auto"/>
            <w:noWrap w:val="0"/>
            <w:vAlign w:val="center"/>
          </w:tcPr>
          <w:p w14:paraId="381E7FD7">
            <w:pPr>
              <w:widowControl/>
              <w:kinsoku w:val="0"/>
              <w:autoSpaceDE w:val="0"/>
              <w:autoSpaceDN w:val="0"/>
              <w:adjustRightInd w:val="0"/>
              <w:snapToGrid w:val="0"/>
              <w:spacing w:line="223" w:lineRule="auto"/>
              <w:ind w:left="33"/>
              <w:jc w:val="both"/>
              <w:textAlignment w:val="baseline"/>
              <w:rPr>
                <w:rFonts w:hint="eastAsia" w:ascii="楷体" w:hAnsi="楷体" w:eastAsia="楷体" w:cs="楷体"/>
                <w:snapToGrid w:val="0"/>
                <w:color w:val="auto"/>
                <w:kern w:val="0"/>
                <w:sz w:val="24"/>
                <w:szCs w:val="24"/>
                <w:highlight w:val="none"/>
              </w:rPr>
            </w:pPr>
            <w:r>
              <w:rPr>
                <w:rFonts w:hint="eastAsia" w:ascii="楷体" w:hAnsi="楷体" w:eastAsia="楷体" w:cs="楷体"/>
                <w:snapToGrid w:val="0"/>
                <w:color w:val="auto"/>
                <w:spacing w:val="-9"/>
                <w:kern w:val="0"/>
                <w:sz w:val="24"/>
                <w:szCs w:val="24"/>
                <w:highlight w:val="none"/>
              </w:rPr>
              <w:t>开户名称：</w:t>
            </w:r>
            <w:r>
              <w:rPr>
                <w:rFonts w:hint="eastAsia" w:ascii="楷体" w:hAnsi="楷体" w:eastAsia="楷体" w:cs="楷体"/>
                <w:snapToGrid w:val="0"/>
                <w:color w:val="auto"/>
                <w:spacing w:val="-13"/>
                <w:kern w:val="0"/>
                <w:sz w:val="24"/>
                <w:szCs w:val="24"/>
                <w:highlight w:val="none"/>
              </w:rPr>
              <w:t>郑州大学第三附属医院</w:t>
            </w:r>
          </w:p>
        </w:tc>
        <w:tc>
          <w:tcPr>
            <w:tcW w:w="4116" w:type="dxa"/>
            <w:shd w:val="clear" w:color="auto" w:fill="auto"/>
            <w:noWrap w:val="0"/>
            <w:vAlign w:val="center"/>
          </w:tcPr>
          <w:p w14:paraId="0830FE7C">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eastAsia="zh-CN"/>
              </w:rPr>
            </w:pPr>
            <w:r>
              <w:rPr>
                <w:rFonts w:hint="eastAsia" w:ascii="楷体" w:hAnsi="楷体" w:eastAsia="楷体" w:cs="楷体"/>
                <w:snapToGrid w:val="0"/>
                <w:color w:val="auto"/>
                <w:spacing w:val="-5"/>
                <w:kern w:val="0"/>
                <w:sz w:val="24"/>
                <w:szCs w:val="24"/>
                <w:highlight w:val="none"/>
                <w:lang w:eastAsia="en-US"/>
              </w:rPr>
              <w:t>开户名称：</w:t>
            </w:r>
            <w:r>
              <w:rPr>
                <w:rFonts w:hint="eastAsia" w:ascii="楷体" w:hAnsi="楷体" w:eastAsia="楷体" w:cs="楷体"/>
                <w:snapToGrid w:val="0"/>
                <w:color w:val="auto"/>
                <w:spacing w:val="-5"/>
                <w:kern w:val="0"/>
                <w:sz w:val="24"/>
                <w:szCs w:val="24"/>
                <w:highlight w:val="none"/>
                <w:lang w:val="en-US" w:eastAsia="zh-CN"/>
              </w:rPr>
              <w:t>上海医用缝合针厂有限公司</w:t>
            </w:r>
          </w:p>
        </w:tc>
      </w:tr>
      <w:tr w14:paraId="7825CF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jc w:val="center"/>
        </w:trPr>
        <w:tc>
          <w:tcPr>
            <w:tcW w:w="4388" w:type="dxa"/>
            <w:shd w:val="clear" w:color="auto" w:fill="auto"/>
            <w:noWrap w:val="0"/>
            <w:vAlign w:val="center"/>
          </w:tcPr>
          <w:p w14:paraId="400D2F5B">
            <w:pPr>
              <w:widowControl/>
              <w:kinsoku w:val="0"/>
              <w:autoSpaceDE w:val="0"/>
              <w:autoSpaceDN w:val="0"/>
              <w:adjustRightInd w:val="0"/>
              <w:snapToGrid w:val="0"/>
              <w:spacing w:before="115" w:line="176" w:lineRule="auto"/>
              <w:ind w:left="5"/>
              <w:jc w:val="both"/>
              <w:textAlignment w:val="baseline"/>
              <w:rPr>
                <w:rFonts w:hint="default" w:ascii="楷体" w:hAnsi="楷体" w:eastAsia="楷体" w:cs="楷体"/>
                <w:snapToGrid w:val="0"/>
                <w:color w:val="auto"/>
                <w:kern w:val="0"/>
                <w:sz w:val="24"/>
                <w:szCs w:val="24"/>
                <w:highlight w:val="none"/>
                <w:lang w:val="en-US" w:eastAsia="zh-CN"/>
              </w:rPr>
            </w:pPr>
            <w:r>
              <w:rPr>
                <w:rFonts w:hint="eastAsia" w:ascii="楷体" w:hAnsi="楷体" w:eastAsia="楷体" w:cs="楷体"/>
                <w:snapToGrid w:val="0"/>
                <w:color w:val="auto"/>
                <w:spacing w:val="-9"/>
                <w:kern w:val="0"/>
                <w:sz w:val="24"/>
                <w:szCs w:val="24"/>
                <w:highlight w:val="none"/>
                <w:lang w:eastAsia="en-US"/>
              </w:rPr>
              <w:t>开户账号：</w:t>
            </w:r>
            <w:r>
              <w:rPr>
                <w:rFonts w:hint="eastAsia" w:ascii="楷体" w:hAnsi="楷体" w:eastAsia="楷体" w:cs="楷体"/>
                <w:snapToGrid w:val="0"/>
                <w:color w:val="auto"/>
                <w:spacing w:val="-9"/>
                <w:kern w:val="0"/>
                <w:sz w:val="24"/>
                <w:szCs w:val="24"/>
                <w:highlight w:val="none"/>
                <w:lang w:val="en-US" w:eastAsia="zh-CN"/>
              </w:rPr>
              <w:t>1702021109014403606</w:t>
            </w:r>
          </w:p>
        </w:tc>
        <w:tc>
          <w:tcPr>
            <w:tcW w:w="4116" w:type="dxa"/>
            <w:shd w:val="clear" w:color="auto" w:fill="auto"/>
            <w:noWrap w:val="0"/>
            <w:vAlign w:val="center"/>
          </w:tcPr>
          <w:p w14:paraId="5CC094B7">
            <w:pPr>
              <w:widowControl/>
              <w:kinsoku w:val="0"/>
              <w:autoSpaceDE w:val="0"/>
              <w:autoSpaceDN w:val="0"/>
              <w:adjustRightInd w:val="0"/>
              <w:snapToGrid w:val="0"/>
              <w:spacing w:before="114" w:line="223" w:lineRule="auto"/>
              <w:ind w:left="21"/>
              <w:jc w:val="both"/>
              <w:textAlignment w:val="baseline"/>
              <w:rPr>
                <w:rFonts w:hint="eastAsia" w:ascii="楷体" w:hAnsi="楷体" w:eastAsia="楷体" w:cs="楷体"/>
                <w:snapToGrid w:val="0"/>
                <w:color w:val="auto"/>
                <w:spacing w:val="-5"/>
                <w:kern w:val="0"/>
                <w:sz w:val="24"/>
                <w:szCs w:val="24"/>
                <w:highlight w:val="none"/>
                <w:lang w:eastAsia="en-US"/>
              </w:rPr>
            </w:pPr>
            <w:r>
              <w:rPr>
                <w:rFonts w:hint="eastAsia" w:ascii="楷体" w:hAnsi="楷体" w:eastAsia="楷体" w:cs="楷体"/>
                <w:snapToGrid w:val="0"/>
                <w:color w:val="auto"/>
                <w:spacing w:val="-5"/>
                <w:kern w:val="0"/>
                <w:sz w:val="24"/>
                <w:szCs w:val="24"/>
                <w:highlight w:val="none"/>
                <w:lang w:eastAsia="en-US"/>
              </w:rPr>
              <w:t>开户账号：</w:t>
            </w:r>
            <w:r>
              <w:rPr>
                <w:rFonts w:hint="eastAsia" w:ascii="楷体" w:hAnsi="楷体" w:eastAsia="楷体" w:cs="楷体"/>
                <w:snapToGrid w:val="0"/>
                <w:color w:val="auto"/>
                <w:spacing w:val="-5"/>
                <w:kern w:val="0"/>
                <w:sz w:val="24"/>
                <w:szCs w:val="24"/>
                <w:highlight w:val="none"/>
                <w:lang w:val="en-US" w:eastAsia="zh-CN"/>
              </w:rPr>
              <w:t>310066124018010015935</w:t>
            </w:r>
          </w:p>
        </w:tc>
      </w:tr>
    </w:tbl>
    <w:p w14:paraId="42FFE20E">
      <w:pPr>
        <w:rPr>
          <w:rFonts w:ascii="楷体" w:hAnsi="楷体" w:eastAsia="楷体"/>
          <w:color w:val="auto"/>
          <w:sz w:val="24"/>
          <w:highlight w:val="none"/>
        </w:rPr>
      </w:pPr>
      <w:r>
        <w:rPr>
          <w:rFonts w:hint="eastAsia" w:ascii="楷体" w:hAnsi="楷体" w:eastAsia="楷体"/>
          <w:color w:val="auto"/>
          <w:sz w:val="24"/>
          <w:highlight w:val="none"/>
        </w:rPr>
        <w:br w:type="page"/>
      </w:r>
    </w:p>
    <w:p w14:paraId="0D8C2361">
      <w:pPr>
        <w:spacing w:line="360" w:lineRule="auto"/>
        <w:jc w:val="center"/>
        <w:rPr>
          <w:rFonts w:ascii="楷体" w:hAnsi="楷体" w:eastAsia="楷体"/>
          <w:b/>
          <w:color w:val="auto"/>
          <w:sz w:val="24"/>
          <w:highlight w:val="none"/>
        </w:rPr>
      </w:pPr>
      <w:r>
        <w:rPr>
          <w:rFonts w:hint="eastAsia" w:ascii="楷体" w:hAnsi="楷体" w:eastAsia="楷体"/>
          <w:b/>
          <w:color w:val="auto"/>
          <w:sz w:val="24"/>
          <w:highlight w:val="none"/>
        </w:rPr>
        <w:t>第二部分 合同一般条款</w:t>
      </w:r>
    </w:p>
    <w:p w14:paraId="69A6A57C">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 xml:space="preserve">2.1 </w:t>
      </w:r>
      <w:r>
        <w:rPr>
          <w:rFonts w:ascii="楷体" w:hAnsi="楷体" w:eastAsia="楷体"/>
          <w:b/>
          <w:color w:val="auto"/>
          <w:sz w:val="24"/>
          <w:highlight w:val="none"/>
        </w:rPr>
        <w:t>定义</w:t>
      </w:r>
    </w:p>
    <w:p w14:paraId="5543B3FB">
      <w:pPr>
        <w:spacing w:line="360" w:lineRule="auto"/>
        <w:ind w:firstLine="240" w:firstLineChars="100"/>
        <w:jc w:val="left"/>
        <w:rPr>
          <w:rFonts w:ascii="楷体" w:hAnsi="楷体" w:eastAsia="楷体"/>
          <w:color w:val="auto"/>
          <w:sz w:val="24"/>
          <w:highlight w:val="none"/>
        </w:rPr>
      </w:pPr>
      <w:r>
        <w:rPr>
          <w:rFonts w:ascii="楷体" w:hAnsi="楷体" w:eastAsia="楷体"/>
          <w:color w:val="auto"/>
          <w:sz w:val="24"/>
          <w:highlight w:val="none"/>
        </w:rPr>
        <w:t>本合同中的下列</w:t>
      </w:r>
      <w:r>
        <w:rPr>
          <w:rFonts w:hint="eastAsia" w:ascii="楷体" w:hAnsi="楷体" w:eastAsia="楷体"/>
          <w:color w:val="auto"/>
          <w:sz w:val="24"/>
          <w:highlight w:val="none"/>
        </w:rPr>
        <w:t>词</w:t>
      </w:r>
      <w:r>
        <w:rPr>
          <w:rFonts w:ascii="楷体" w:hAnsi="楷体" w:eastAsia="楷体"/>
          <w:color w:val="auto"/>
          <w:sz w:val="24"/>
          <w:highlight w:val="none"/>
        </w:rPr>
        <w:t>语应</w:t>
      </w:r>
      <w:r>
        <w:rPr>
          <w:rFonts w:hint="eastAsia" w:ascii="楷体" w:hAnsi="楷体" w:eastAsia="楷体"/>
          <w:color w:val="auto"/>
          <w:sz w:val="24"/>
          <w:highlight w:val="none"/>
        </w:rPr>
        <w:t>按以下内容进行</w:t>
      </w:r>
      <w:r>
        <w:rPr>
          <w:rFonts w:ascii="楷体" w:hAnsi="楷体" w:eastAsia="楷体"/>
          <w:color w:val="auto"/>
          <w:sz w:val="24"/>
          <w:highlight w:val="none"/>
        </w:rPr>
        <w:t>解释：</w:t>
      </w:r>
    </w:p>
    <w:p w14:paraId="415FD64D">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.1</w:t>
      </w:r>
      <w:r>
        <w:rPr>
          <w:rFonts w:hint="eastAsia" w:ascii="楷体" w:hAnsi="楷体" w:eastAsia="楷体"/>
          <w:color w:val="auto"/>
          <w:sz w:val="24"/>
          <w:highlight w:val="none"/>
        </w:rPr>
        <w:t>.1</w:t>
      </w:r>
      <w:r>
        <w:rPr>
          <w:rFonts w:ascii="楷体" w:hAnsi="楷体" w:eastAsia="楷体"/>
          <w:color w:val="auto"/>
          <w:sz w:val="24"/>
          <w:highlight w:val="none"/>
        </w:rPr>
        <w:t xml:space="preserve"> “合同”系指采购人和中标供应商（</w:t>
      </w:r>
      <w:r>
        <w:rPr>
          <w:rFonts w:hint="eastAsia" w:ascii="楷体" w:hAnsi="楷体" w:eastAsia="楷体"/>
          <w:color w:val="auto"/>
          <w:sz w:val="24"/>
          <w:highlight w:val="none"/>
        </w:rPr>
        <w:t>中标人</w:t>
      </w:r>
      <w:r>
        <w:rPr>
          <w:rFonts w:ascii="楷体" w:hAnsi="楷体" w:eastAsia="楷体"/>
          <w:color w:val="auto"/>
          <w:sz w:val="24"/>
          <w:highlight w:val="none"/>
        </w:rPr>
        <w:t>）签订的载明双方当事人所达成的协议，并包括所有的附件、附录和构成合同的其他文件。</w:t>
      </w:r>
    </w:p>
    <w:p w14:paraId="011DF064">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1.2 “合同价”系指根据合同约定，中标供应商（</w:t>
      </w:r>
      <w:r>
        <w:rPr>
          <w:rFonts w:hint="eastAsia" w:ascii="楷体" w:hAnsi="楷体" w:eastAsia="楷体"/>
          <w:color w:val="auto"/>
          <w:sz w:val="24"/>
          <w:highlight w:val="none"/>
        </w:rPr>
        <w:t>中标</w:t>
      </w:r>
      <w:r>
        <w:rPr>
          <w:rFonts w:ascii="楷体" w:hAnsi="楷体" w:eastAsia="楷体"/>
          <w:color w:val="auto"/>
          <w:sz w:val="24"/>
          <w:highlight w:val="none"/>
        </w:rPr>
        <w:t>人）在完全履行合同义务后</w:t>
      </w:r>
      <w:r>
        <w:rPr>
          <w:rFonts w:hint="eastAsia" w:ascii="楷体" w:hAnsi="楷体" w:eastAsia="楷体"/>
          <w:color w:val="auto"/>
          <w:sz w:val="24"/>
          <w:highlight w:val="none"/>
        </w:rPr>
        <w:t>，</w:t>
      </w:r>
      <w:r>
        <w:rPr>
          <w:rFonts w:ascii="楷体" w:hAnsi="楷体" w:eastAsia="楷体"/>
          <w:color w:val="auto"/>
          <w:sz w:val="24"/>
          <w:highlight w:val="none"/>
        </w:rPr>
        <w:t>采购人应支付给中标供应商（</w:t>
      </w:r>
      <w:r>
        <w:rPr>
          <w:rFonts w:hint="eastAsia" w:ascii="楷体" w:hAnsi="楷体" w:eastAsia="楷体"/>
          <w:color w:val="auto"/>
          <w:sz w:val="24"/>
          <w:highlight w:val="none"/>
        </w:rPr>
        <w:t>中标</w:t>
      </w:r>
      <w:r>
        <w:rPr>
          <w:rFonts w:ascii="楷体" w:hAnsi="楷体" w:eastAsia="楷体"/>
          <w:color w:val="auto"/>
          <w:sz w:val="24"/>
          <w:highlight w:val="none"/>
        </w:rPr>
        <w:t>人）的价格。</w:t>
      </w:r>
    </w:p>
    <w:p w14:paraId="7B1CF813">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1.3 “货物”系指</w:t>
      </w:r>
      <w:r>
        <w:rPr>
          <w:rFonts w:hint="eastAsia" w:ascii="楷体" w:hAnsi="楷体" w:eastAsia="楷体"/>
          <w:color w:val="auto"/>
          <w:sz w:val="24"/>
          <w:highlight w:val="none"/>
        </w:rPr>
        <w:t>中标供应商（中标人）</w:t>
      </w:r>
      <w:r>
        <w:rPr>
          <w:rFonts w:ascii="楷体" w:hAnsi="楷体" w:eastAsia="楷体"/>
          <w:color w:val="auto"/>
          <w:sz w:val="24"/>
          <w:highlight w:val="none"/>
        </w:rPr>
        <w:t>根据合同约定应向采购人交付的一切</w:t>
      </w:r>
      <w:r>
        <w:rPr>
          <w:rFonts w:hint="eastAsia" w:ascii="楷体" w:hAnsi="楷体" w:eastAsia="楷体"/>
          <w:color w:val="auto"/>
          <w:sz w:val="24"/>
          <w:highlight w:val="none"/>
        </w:rPr>
        <w:t>各种形态和种类的物品，包括原材料、燃料、设备、</w:t>
      </w:r>
      <w:r>
        <w:rPr>
          <w:rFonts w:ascii="楷体" w:hAnsi="楷体" w:eastAsia="楷体"/>
          <w:color w:val="auto"/>
          <w:sz w:val="24"/>
          <w:highlight w:val="none"/>
        </w:rPr>
        <w:t>机械、仪表、备件</w:t>
      </w:r>
      <w:r>
        <w:rPr>
          <w:rFonts w:hint="eastAsia" w:ascii="楷体" w:hAnsi="楷体" w:eastAsia="楷体"/>
          <w:color w:val="auto"/>
          <w:sz w:val="24"/>
          <w:highlight w:val="none"/>
        </w:rPr>
        <w:t>、计算机软件、产品等</w:t>
      </w:r>
      <w:r>
        <w:rPr>
          <w:rFonts w:ascii="楷体" w:hAnsi="楷体" w:eastAsia="楷体"/>
          <w:color w:val="auto"/>
          <w:sz w:val="24"/>
          <w:highlight w:val="none"/>
        </w:rPr>
        <w:t>，并包括工具、手册等其他相关资料。</w:t>
      </w:r>
    </w:p>
    <w:p w14:paraId="7EC79512">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1.</w:t>
      </w:r>
      <w:r>
        <w:rPr>
          <w:rFonts w:hint="eastAsia" w:ascii="楷体" w:hAnsi="楷体" w:eastAsia="楷体"/>
          <w:color w:val="auto"/>
          <w:sz w:val="24"/>
          <w:highlight w:val="none"/>
        </w:rPr>
        <w:t>4</w:t>
      </w:r>
      <w:r>
        <w:rPr>
          <w:rFonts w:ascii="楷体" w:hAnsi="楷体" w:eastAsia="楷体"/>
          <w:color w:val="auto"/>
          <w:sz w:val="24"/>
          <w:highlight w:val="none"/>
        </w:rPr>
        <w:t xml:space="preserve"> “</w:t>
      </w:r>
      <w:r>
        <w:rPr>
          <w:rFonts w:hint="eastAsia" w:ascii="楷体" w:hAnsi="楷体" w:eastAsia="楷体"/>
          <w:color w:val="auto"/>
          <w:sz w:val="24"/>
          <w:highlight w:val="none"/>
        </w:rPr>
        <w:t>甲方</w:t>
      </w:r>
      <w:r>
        <w:rPr>
          <w:rFonts w:ascii="楷体" w:hAnsi="楷体" w:eastAsia="楷体"/>
          <w:color w:val="auto"/>
          <w:sz w:val="24"/>
          <w:highlight w:val="none"/>
        </w:rPr>
        <w:t>”系指与</w:t>
      </w:r>
      <w:r>
        <w:rPr>
          <w:rFonts w:hint="eastAsia" w:ascii="楷体" w:hAnsi="楷体" w:eastAsia="楷体"/>
          <w:color w:val="auto"/>
          <w:sz w:val="24"/>
          <w:highlight w:val="none"/>
        </w:rPr>
        <w:t>中标供应商（中标人）</w:t>
      </w:r>
      <w:r>
        <w:rPr>
          <w:rFonts w:ascii="楷体" w:hAnsi="楷体" w:eastAsia="楷体"/>
          <w:color w:val="auto"/>
          <w:sz w:val="24"/>
          <w:highlight w:val="none"/>
        </w:rPr>
        <w:t>签署合同的采购人</w:t>
      </w:r>
      <w:r>
        <w:rPr>
          <w:rFonts w:hint="eastAsia" w:ascii="楷体" w:hAnsi="楷体" w:eastAsia="楷体"/>
          <w:color w:val="auto"/>
          <w:sz w:val="24"/>
          <w:highlight w:val="none"/>
        </w:rPr>
        <w:t>；采购人委托采购代理机构代表其与乙方签订合同的，采购人的授权委托书作为合同附件。</w:t>
      </w:r>
    </w:p>
    <w:p w14:paraId="39B7C4EE">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1.</w:t>
      </w:r>
      <w:r>
        <w:rPr>
          <w:rFonts w:hint="eastAsia" w:ascii="楷体" w:hAnsi="楷体" w:eastAsia="楷体"/>
          <w:color w:val="auto"/>
          <w:sz w:val="24"/>
          <w:highlight w:val="none"/>
        </w:rPr>
        <w:t>5</w:t>
      </w:r>
      <w:r>
        <w:rPr>
          <w:rFonts w:ascii="楷体" w:hAnsi="楷体" w:eastAsia="楷体"/>
          <w:color w:val="auto"/>
          <w:sz w:val="24"/>
          <w:highlight w:val="none"/>
        </w:rPr>
        <w:t xml:space="preserve"> “乙方”系指根据合同约定交付货物的中标供应商（</w:t>
      </w:r>
      <w:r>
        <w:rPr>
          <w:rFonts w:hint="eastAsia" w:ascii="楷体" w:hAnsi="楷体" w:eastAsia="楷体"/>
          <w:color w:val="auto"/>
          <w:sz w:val="24"/>
          <w:highlight w:val="none"/>
        </w:rPr>
        <w:t>中标人</w:t>
      </w:r>
      <w:r>
        <w:rPr>
          <w:rFonts w:ascii="楷体" w:hAnsi="楷体" w:eastAsia="楷体"/>
          <w:color w:val="auto"/>
          <w:sz w:val="24"/>
          <w:highlight w:val="none"/>
        </w:rPr>
        <w:t>）</w:t>
      </w:r>
      <w:r>
        <w:rPr>
          <w:rFonts w:hint="eastAsia" w:ascii="楷体" w:hAnsi="楷体" w:eastAsia="楷体"/>
          <w:color w:val="auto"/>
          <w:sz w:val="24"/>
          <w:highlight w:val="none"/>
        </w:rPr>
        <w:t>；如采购文件中允许联合体投标的，该乙方指两个以上的自然人、法人或者其他组织组成一个联合体，以一个供应商（投标人）的身份共同参加政府采购的，联合体各方均应为乙方或者与乙方相同地位的合同当事人，并就合同约定的事项对甲方承担连带责任。</w:t>
      </w:r>
    </w:p>
    <w:p w14:paraId="6F2062CC">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1.</w:t>
      </w:r>
      <w:r>
        <w:rPr>
          <w:rFonts w:hint="eastAsia" w:ascii="楷体" w:hAnsi="楷体" w:eastAsia="楷体"/>
          <w:color w:val="auto"/>
          <w:sz w:val="24"/>
          <w:highlight w:val="none"/>
        </w:rPr>
        <w:t>6</w:t>
      </w:r>
      <w:r>
        <w:rPr>
          <w:rFonts w:ascii="楷体" w:hAnsi="楷体" w:eastAsia="楷体"/>
          <w:color w:val="auto"/>
          <w:sz w:val="24"/>
          <w:highlight w:val="none"/>
        </w:rPr>
        <w:t xml:space="preserve"> “现场”系指合同约定货物将要运至</w:t>
      </w:r>
      <w:r>
        <w:rPr>
          <w:rFonts w:hint="eastAsia" w:ascii="楷体" w:hAnsi="楷体" w:eastAsia="楷体"/>
          <w:color w:val="auto"/>
          <w:sz w:val="24"/>
          <w:highlight w:val="none"/>
        </w:rPr>
        <w:t>或者</w:t>
      </w:r>
      <w:r>
        <w:rPr>
          <w:rFonts w:ascii="楷体" w:hAnsi="楷体" w:eastAsia="楷体"/>
          <w:color w:val="auto"/>
          <w:sz w:val="24"/>
          <w:highlight w:val="none"/>
        </w:rPr>
        <w:t>安装的地点。</w:t>
      </w:r>
    </w:p>
    <w:p w14:paraId="23C45886">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w:t>
      </w:r>
      <w:r>
        <w:rPr>
          <w:rFonts w:ascii="楷体" w:hAnsi="楷体" w:eastAsia="楷体"/>
          <w:b/>
          <w:color w:val="auto"/>
          <w:sz w:val="24"/>
          <w:highlight w:val="none"/>
        </w:rPr>
        <w:t>2</w:t>
      </w:r>
      <w:r>
        <w:rPr>
          <w:rFonts w:hint="eastAsia" w:ascii="楷体" w:hAnsi="楷体" w:eastAsia="楷体"/>
          <w:b/>
          <w:color w:val="auto"/>
          <w:sz w:val="24"/>
          <w:highlight w:val="none"/>
        </w:rPr>
        <w:t xml:space="preserve"> </w:t>
      </w:r>
      <w:r>
        <w:rPr>
          <w:rFonts w:ascii="楷体" w:hAnsi="楷体" w:eastAsia="楷体"/>
          <w:b/>
          <w:color w:val="auto"/>
          <w:sz w:val="24"/>
          <w:highlight w:val="none"/>
        </w:rPr>
        <w:t>技术规范</w:t>
      </w:r>
    </w:p>
    <w:p w14:paraId="416534A3">
      <w:pPr>
        <w:spacing w:line="360" w:lineRule="auto"/>
        <w:ind w:firstLine="360" w:firstLineChars="150"/>
        <w:jc w:val="left"/>
        <w:rPr>
          <w:rFonts w:ascii="楷体" w:hAnsi="楷体" w:eastAsia="楷体"/>
          <w:color w:val="auto"/>
          <w:sz w:val="24"/>
          <w:highlight w:val="none"/>
        </w:rPr>
      </w:pPr>
      <w:r>
        <w:rPr>
          <w:rFonts w:ascii="楷体" w:hAnsi="楷体" w:eastAsia="楷体"/>
          <w:color w:val="auto"/>
          <w:sz w:val="24"/>
          <w:highlight w:val="none"/>
        </w:rPr>
        <w:t>货物所应遵守的技术规范应与</w:t>
      </w:r>
      <w:r>
        <w:rPr>
          <w:rFonts w:hint="eastAsia" w:ascii="楷体" w:hAnsi="楷体" w:eastAsia="楷体"/>
          <w:color w:val="auto"/>
          <w:sz w:val="24"/>
          <w:highlight w:val="none"/>
        </w:rPr>
        <w:t>采购</w:t>
      </w:r>
      <w:r>
        <w:rPr>
          <w:rFonts w:ascii="楷体" w:hAnsi="楷体" w:eastAsia="楷体"/>
          <w:color w:val="auto"/>
          <w:sz w:val="24"/>
          <w:highlight w:val="none"/>
        </w:rPr>
        <w:t>文件规定的技术规范和技术规范附件(如果有的话)及其技术规范偏差表(如果被甲方接受的话)相一致</w:t>
      </w:r>
      <w:r>
        <w:rPr>
          <w:rFonts w:hint="eastAsia" w:ascii="楷体" w:hAnsi="楷体" w:eastAsia="楷体"/>
          <w:color w:val="auto"/>
          <w:sz w:val="24"/>
          <w:highlight w:val="none"/>
        </w:rPr>
        <w:t>；</w:t>
      </w:r>
      <w:r>
        <w:rPr>
          <w:rFonts w:ascii="楷体" w:hAnsi="楷体" w:eastAsia="楷体"/>
          <w:color w:val="auto"/>
          <w:sz w:val="24"/>
          <w:highlight w:val="none"/>
        </w:rPr>
        <w:t>如果</w:t>
      </w:r>
      <w:r>
        <w:rPr>
          <w:rFonts w:hint="eastAsia" w:ascii="楷体" w:hAnsi="楷体" w:eastAsia="楷体"/>
          <w:color w:val="auto"/>
          <w:sz w:val="24"/>
          <w:highlight w:val="none"/>
        </w:rPr>
        <w:t>采购</w:t>
      </w:r>
      <w:r>
        <w:rPr>
          <w:rFonts w:ascii="楷体" w:hAnsi="楷体" w:eastAsia="楷体"/>
          <w:color w:val="auto"/>
          <w:sz w:val="24"/>
          <w:highlight w:val="none"/>
        </w:rPr>
        <w:t>文件中没有技术规范的相应说明，那么应以国家有关部门最新颁布的相应标准</w:t>
      </w:r>
      <w:r>
        <w:rPr>
          <w:rFonts w:hint="eastAsia" w:ascii="楷体" w:hAnsi="楷体" w:eastAsia="楷体"/>
          <w:color w:val="auto"/>
          <w:sz w:val="24"/>
          <w:highlight w:val="none"/>
        </w:rPr>
        <w:t>和</w:t>
      </w:r>
      <w:r>
        <w:rPr>
          <w:rFonts w:ascii="楷体" w:hAnsi="楷体" w:eastAsia="楷体"/>
          <w:color w:val="auto"/>
          <w:sz w:val="24"/>
          <w:highlight w:val="none"/>
        </w:rPr>
        <w:t>规范为准</w:t>
      </w:r>
      <w:r>
        <w:rPr>
          <w:rFonts w:hint="eastAsia" w:ascii="楷体" w:hAnsi="楷体" w:eastAsia="楷体"/>
          <w:color w:val="auto"/>
          <w:sz w:val="24"/>
          <w:highlight w:val="none"/>
        </w:rPr>
        <w:t>（含推荐性标准和规范）</w:t>
      </w:r>
      <w:r>
        <w:rPr>
          <w:rFonts w:ascii="楷体" w:hAnsi="楷体" w:eastAsia="楷体"/>
          <w:color w:val="auto"/>
          <w:sz w:val="24"/>
          <w:highlight w:val="none"/>
        </w:rPr>
        <w:t>。</w:t>
      </w:r>
    </w:p>
    <w:p w14:paraId="750DA2AA">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w:t>
      </w:r>
      <w:r>
        <w:rPr>
          <w:rFonts w:ascii="楷体" w:hAnsi="楷体" w:eastAsia="楷体"/>
          <w:b/>
          <w:color w:val="auto"/>
          <w:sz w:val="24"/>
          <w:highlight w:val="none"/>
        </w:rPr>
        <w:t>3</w:t>
      </w:r>
      <w:r>
        <w:rPr>
          <w:rFonts w:hint="eastAsia" w:ascii="楷体" w:hAnsi="楷体" w:eastAsia="楷体"/>
          <w:b/>
          <w:color w:val="auto"/>
          <w:sz w:val="24"/>
          <w:highlight w:val="none"/>
        </w:rPr>
        <w:t xml:space="preserve"> </w:t>
      </w:r>
      <w:r>
        <w:rPr>
          <w:rFonts w:ascii="楷体" w:hAnsi="楷体" w:eastAsia="楷体"/>
          <w:b/>
          <w:color w:val="auto"/>
          <w:sz w:val="24"/>
          <w:highlight w:val="none"/>
        </w:rPr>
        <w:t>知识产权</w:t>
      </w:r>
    </w:p>
    <w:p w14:paraId="0EF144FC">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2.3.1 乙</w:t>
      </w:r>
      <w:r>
        <w:rPr>
          <w:rFonts w:ascii="楷体" w:hAnsi="楷体" w:eastAsia="楷体"/>
          <w:color w:val="auto"/>
          <w:sz w:val="24"/>
          <w:highlight w:val="none"/>
        </w:rPr>
        <w:t>方应保证甲方在使用该货物或其任何一部分时不受任何第三方提出的侵犯其著作权、商标权、专利权等知识产权方面的起诉</w:t>
      </w:r>
      <w:r>
        <w:rPr>
          <w:rFonts w:hint="eastAsia" w:ascii="楷体" w:hAnsi="楷体" w:eastAsia="楷体"/>
          <w:color w:val="auto"/>
          <w:sz w:val="24"/>
          <w:highlight w:val="none"/>
        </w:rPr>
        <w:t>；</w:t>
      </w:r>
      <w:r>
        <w:rPr>
          <w:rFonts w:ascii="楷体" w:hAnsi="楷体" w:eastAsia="楷体"/>
          <w:color w:val="auto"/>
          <w:sz w:val="24"/>
          <w:highlight w:val="none"/>
        </w:rPr>
        <w:t>如果任何第三方提出侵权</w:t>
      </w:r>
      <w:r>
        <w:rPr>
          <w:rFonts w:hint="eastAsia" w:ascii="楷体" w:hAnsi="楷体" w:eastAsia="楷体"/>
          <w:color w:val="auto"/>
          <w:sz w:val="24"/>
          <w:highlight w:val="none"/>
        </w:rPr>
        <w:t>指控</w:t>
      </w:r>
      <w:r>
        <w:rPr>
          <w:rFonts w:ascii="楷体" w:hAnsi="楷体" w:eastAsia="楷体"/>
          <w:color w:val="auto"/>
          <w:sz w:val="24"/>
          <w:highlight w:val="none"/>
        </w:rPr>
        <w:t>，那么乙方须与该第三方交涉并承担由此发生的一切责任、费用和赔偿</w:t>
      </w:r>
      <w:r>
        <w:rPr>
          <w:rFonts w:hint="eastAsia" w:ascii="楷体" w:hAnsi="楷体" w:eastAsia="楷体"/>
          <w:color w:val="auto"/>
          <w:sz w:val="24"/>
          <w:highlight w:val="none"/>
        </w:rPr>
        <w:t>；</w:t>
      </w:r>
    </w:p>
    <w:p w14:paraId="1C7046A0">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2.3.2具有知识产权的计算机软件等货物的知识产权归属，</w:t>
      </w:r>
      <w:r>
        <w:rPr>
          <w:rFonts w:ascii="楷体" w:hAnsi="楷体" w:eastAsia="楷体"/>
          <w:color w:val="auto"/>
          <w:sz w:val="24"/>
          <w:highlight w:val="none"/>
        </w:rPr>
        <w:t>详见</w:t>
      </w:r>
      <w:r>
        <w:rPr>
          <w:rFonts w:ascii="楷体" w:hAnsi="楷体" w:eastAsia="楷体"/>
          <w:b/>
          <w:i/>
          <w:color w:val="auto"/>
          <w:sz w:val="24"/>
          <w:highlight w:val="none"/>
          <w:u w:val="single"/>
        </w:rPr>
        <w:t>合同专用条款</w:t>
      </w:r>
      <w:r>
        <w:rPr>
          <w:rFonts w:ascii="楷体" w:hAnsi="楷体" w:eastAsia="楷体"/>
          <w:color w:val="auto"/>
          <w:sz w:val="24"/>
          <w:highlight w:val="none"/>
        </w:rPr>
        <w:t>。</w:t>
      </w:r>
      <w:r>
        <w:rPr>
          <w:rFonts w:hint="eastAsia" w:ascii="楷体" w:hAnsi="楷体" w:eastAsia="楷体"/>
          <w:color w:val="auto"/>
          <w:sz w:val="24"/>
          <w:highlight w:val="none"/>
        </w:rPr>
        <w:t>如未约定的，则定制部分归属甲方所有，非定制部分归属乙方所有。</w:t>
      </w:r>
    </w:p>
    <w:p w14:paraId="245D464F">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2.4 包装和装运</w:t>
      </w:r>
    </w:p>
    <w:p w14:paraId="0585BC78">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2.4.1除</w:t>
      </w:r>
      <w:r>
        <w:rPr>
          <w:rFonts w:ascii="楷体" w:hAnsi="楷体" w:eastAsia="楷体"/>
          <w:b/>
          <w:i/>
          <w:color w:val="auto"/>
          <w:sz w:val="24"/>
          <w:highlight w:val="none"/>
          <w:u w:val="single"/>
        </w:rPr>
        <w:t>合同专用条款</w:t>
      </w:r>
      <w:r>
        <w:rPr>
          <w:rFonts w:hint="eastAsia" w:ascii="楷体" w:hAnsi="楷体" w:eastAsia="楷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如产品需冷链或其他特种方式运输的，乙方应当采用冷链及其他特种方式运输，以保证产品质量。由于包装不善所引起的货物锈蚀、损坏和损失等一切风险均由乙方承担。如运输完毕后，包装需要返还的，由乙方自行负责并承担全部费用。</w:t>
      </w:r>
    </w:p>
    <w:p w14:paraId="3FC4C2F1">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2.4.2 装运货物的要求和通知，详见</w:t>
      </w:r>
      <w:r>
        <w:rPr>
          <w:rFonts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14:paraId="2B863AB9">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2.5 履约检查和问题反馈</w:t>
      </w:r>
    </w:p>
    <w:p w14:paraId="48A6F919">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2.5</w:t>
      </w:r>
      <w:r>
        <w:rPr>
          <w:rFonts w:ascii="楷体" w:hAnsi="楷体" w:eastAsia="楷体"/>
          <w:color w:val="auto"/>
          <w:sz w:val="24"/>
          <w:highlight w:val="none"/>
        </w:rPr>
        <w:t>.1甲方</w:t>
      </w:r>
      <w:r>
        <w:rPr>
          <w:rFonts w:hint="eastAsia" w:ascii="楷体" w:hAnsi="楷体" w:eastAsia="楷体"/>
          <w:color w:val="auto"/>
          <w:sz w:val="24"/>
          <w:highlight w:val="none"/>
        </w:rPr>
        <w:t>有权</w:t>
      </w:r>
      <w:r>
        <w:rPr>
          <w:rFonts w:ascii="楷体" w:hAnsi="楷体" w:eastAsia="楷体"/>
          <w:color w:val="auto"/>
          <w:sz w:val="24"/>
          <w:highlight w:val="none"/>
        </w:rPr>
        <w:t>在其认为必要时</w:t>
      </w:r>
      <w:r>
        <w:rPr>
          <w:rFonts w:hint="eastAsia" w:ascii="楷体" w:hAnsi="楷体" w:eastAsia="楷体"/>
          <w:color w:val="auto"/>
          <w:sz w:val="24"/>
          <w:highlight w:val="none"/>
        </w:rPr>
        <w:t>，对乙方是否能够按照合同约定交付货物进行履约检查，以确保乙方所交付的货物能够依约满足甲方之项目需求，但不得因履约检查妨碍乙方的正常工作，乙方应予积极配合；</w:t>
      </w:r>
    </w:p>
    <w:p w14:paraId="529BC992">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2.5.2 合同履行期间，甲方有权将履行过程中出现的问题反馈给乙方，双方当事人应以书面形式约定需要完善和改进的内容。</w:t>
      </w:r>
    </w:p>
    <w:p w14:paraId="17E40F1E">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 xml:space="preserve">2.6 </w:t>
      </w:r>
      <w:r>
        <w:rPr>
          <w:rFonts w:ascii="楷体" w:hAnsi="楷体" w:eastAsia="楷体"/>
          <w:b/>
          <w:color w:val="auto"/>
          <w:sz w:val="24"/>
          <w:highlight w:val="none"/>
        </w:rPr>
        <w:t>结算方式和付款条件</w:t>
      </w:r>
    </w:p>
    <w:p w14:paraId="6126155A">
      <w:pPr>
        <w:spacing w:line="360" w:lineRule="auto"/>
        <w:jc w:val="left"/>
        <w:rPr>
          <w:rFonts w:ascii="楷体" w:hAnsi="楷体" w:eastAsia="楷体"/>
          <w:color w:val="auto"/>
          <w:sz w:val="24"/>
          <w:highlight w:val="none"/>
        </w:rPr>
      </w:pPr>
      <w:r>
        <w:rPr>
          <w:rFonts w:ascii="楷体" w:hAnsi="楷体" w:eastAsia="楷体"/>
          <w:color w:val="auto"/>
          <w:sz w:val="24"/>
          <w:highlight w:val="none"/>
        </w:rPr>
        <w:t>详见</w:t>
      </w:r>
      <w:r>
        <w:rPr>
          <w:rFonts w:ascii="楷体" w:hAnsi="楷体" w:eastAsia="楷体"/>
          <w:b/>
          <w:i/>
          <w:color w:val="auto"/>
          <w:sz w:val="24"/>
          <w:highlight w:val="none"/>
          <w:u w:val="single"/>
        </w:rPr>
        <w:t>合同专用条款</w:t>
      </w:r>
      <w:r>
        <w:rPr>
          <w:rFonts w:hint="eastAsia" w:ascii="楷体" w:hAnsi="楷体" w:eastAsia="楷体"/>
          <w:b/>
          <w:i/>
          <w:color w:val="auto"/>
          <w:sz w:val="24"/>
          <w:highlight w:val="none"/>
          <w:u w:val="single"/>
        </w:rPr>
        <w:t>和合同书</w:t>
      </w:r>
      <w:r>
        <w:rPr>
          <w:rFonts w:ascii="楷体" w:hAnsi="楷体" w:eastAsia="楷体"/>
          <w:color w:val="auto"/>
          <w:sz w:val="24"/>
          <w:highlight w:val="none"/>
        </w:rPr>
        <w:t>。</w:t>
      </w:r>
    </w:p>
    <w:p w14:paraId="0845BD51">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 xml:space="preserve">2.7 </w:t>
      </w:r>
      <w:r>
        <w:rPr>
          <w:rFonts w:ascii="楷体" w:hAnsi="楷体" w:eastAsia="楷体"/>
          <w:b/>
          <w:color w:val="auto"/>
          <w:sz w:val="24"/>
          <w:highlight w:val="none"/>
        </w:rPr>
        <w:t>技术资料和保密义务</w:t>
      </w:r>
    </w:p>
    <w:p w14:paraId="28FF9BFB">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2.7</w:t>
      </w:r>
      <w:r>
        <w:rPr>
          <w:rFonts w:ascii="楷体" w:hAnsi="楷体" w:eastAsia="楷体"/>
          <w:color w:val="auto"/>
          <w:sz w:val="24"/>
          <w:highlight w:val="none"/>
        </w:rPr>
        <w:t>.1</w:t>
      </w:r>
      <w:r>
        <w:rPr>
          <w:rFonts w:hint="eastAsia" w:ascii="楷体" w:hAnsi="楷体" w:eastAsia="楷体"/>
          <w:color w:val="auto"/>
          <w:sz w:val="24"/>
          <w:highlight w:val="none"/>
        </w:rPr>
        <w:t xml:space="preserve"> 乙方有权依据合同约定和项目需要，向甲方了解有关情况，甲方应予积极配合。</w:t>
      </w:r>
    </w:p>
    <w:p w14:paraId="13BFB497">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2.7.2 乙方有义务妥善保管和保护由甲方提供的前款信息和资料等。</w:t>
      </w:r>
    </w:p>
    <w:p w14:paraId="19ED17C6">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2.7</w:t>
      </w:r>
      <w:r>
        <w:rPr>
          <w:rFonts w:ascii="楷体" w:hAnsi="楷体" w:eastAsia="楷体"/>
          <w:color w:val="auto"/>
          <w:sz w:val="24"/>
          <w:highlight w:val="none"/>
        </w:rPr>
        <w:t>.</w:t>
      </w:r>
      <w:r>
        <w:rPr>
          <w:rFonts w:hint="eastAsia" w:ascii="楷体" w:hAnsi="楷体" w:eastAsia="楷体"/>
          <w:color w:val="auto"/>
          <w:sz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楷体" w:hAnsi="楷体" w:eastAsia="楷体"/>
          <w:color w:val="auto"/>
          <w:sz w:val="24"/>
          <w:highlight w:val="none"/>
        </w:rPr>
        <w:t>技术情报</w:t>
      </w:r>
      <w:r>
        <w:rPr>
          <w:rFonts w:hint="eastAsia" w:ascii="楷体" w:hAnsi="楷体" w:eastAsia="楷体"/>
          <w:color w:val="auto"/>
          <w:sz w:val="24"/>
          <w:highlight w:val="none"/>
        </w:rPr>
        <w:t>、</w:t>
      </w:r>
      <w:r>
        <w:rPr>
          <w:rFonts w:ascii="楷体" w:hAnsi="楷体" w:eastAsia="楷体"/>
          <w:color w:val="auto"/>
          <w:sz w:val="24"/>
          <w:highlight w:val="none"/>
        </w:rPr>
        <w:t>技术资料</w:t>
      </w:r>
      <w:r>
        <w:rPr>
          <w:rFonts w:hint="eastAsia" w:ascii="楷体" w:hAnsi="楷体" w:eastAsia="楷体"/>
          <w:color w:val="auto"/>
          <w:sz w:val="24"/>
          <w:highlight w:val="none"/>
        </w:rPr>
        <w:t>、商业秘密和商业信息等，并采取一切合理和必要措施和方式防止任何第三方接触到对方当事人的上述保密信息和资料。</w:t>
      </w:r>
    </w:p>
    <w:p w14:paraId="05A052E6">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 xml:space="preserve">.7.4 </w:t>
      </w:r>
      <w:r>
        <w:rPr>
          <w:rFonts w:hint="eastAsia" w:ascii="楷体" w:hAnsi="楷体" w:eastAsia="楷体"/>
          <w:color w:val="auto"/>
          <w:sz w:val="24"/>
          <w:highlight w:val="none"/>
        </w:rPr>
        <w:t>本合同约定的保密义务的期限为永久。</w:t>
      </w:r>
    </w:p>
    <w:p w14:paraId="312C57D5">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 xml:space="preserve">.7.5 </w:t>
      </w:r>
      <w:r>
        <w:rPr>
          <w:rFonts w:hint="eastAsia" w:ascii="楷体" w:hAnsi="楷体" w:eastAsia="楷体"/>
          <w:color w:val="auto"/>
          <w:sz w:val="24"/>
          <w:highlight w:val="none"/>
        </w:rPr>
        <w:t>乙方违反上述保密义务的，应向甲方赔偿全部损失，损失无法计算的，双方确认损失金额为【5】万元。</w:t>
      </w:r>
    </w:p>
    <w:p w14:paraId="04AE7863">
      <w:pPr>
        <w:spacing w:line="360" w:lineRule="auto"/>
        <w:jc w:val="left"/>
        <w:rPr>
          <w:rFonts w:ascii="楷体" w:hAnsi="楷体" w:eastAsia="楷体"/>
          <w:b/>
          <w:color w:val="auto"/>
          <w:sz w:val="24"/>
          <w:highlight w:val="none"/>
        </w:rPr>
      </w:pPr>
      <w:r>
        <w:rPr>
          <w:rFonts w:ascii="楷体" w:hAnsi="楷体" w:eastAsia="楷体"/>
          <w:b/>
          <w:color w:val="auto"/>
          <w:sz w:val="24"/>
          <w:highlight w:val="none"/>
        </w:rPr>
        <w:t>2.8 质量保证</w:t>
      </w:r>
    </w:p>
    <w:p w14:paraId="31B45BAA">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2.8.1 乙方应建立和完善履行合同的内部质量保证体系，并提供相关内部规章制度给甲方，以便甲方进行监督检查。</w:t>
      </w:r>
    </w:p>
    <w:p w14:paraId="2A576078">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2.8.2 乙方应保证履行合同的人员数量和素质、软件和硬件设备的配置、场地、环境和设施等满足全面履行合同的要求，并应接受甲方的监督检查。</w:t>
      </w:r>
    </w:p>
    <w:p w14:paraId="1D3ABA53">
      <w:pPr>
        <w:spacing w:line="360" w:lineRule="auto"/>
        <w:jc w:val="left"/>
        <w:rPr>
          <w:rFonts w:ascii="楷体" w:hAnsi="楷体" w:eastAsia="楷体"/>
          <w:b/>
          <w:color w:val="auto"/>
          <w:sz w:val="24"/>
          <w:highlight w:val="none"/>
        </w:rPr>
      </w:pPr>
      <w:r>
        <w:rPr>
          <w:rFonts w:ascii="楷体" w:hAnsi="楷体" w:eastAsia="楷体"/>
          <w:b/>
          <w:color w:val="auto"/>
          <w:sz w:val="24"/>
          <w:highlight w:val="none"/>
        </w:rPr>
        <w:t>2.9 货物的风险负担</w:t>
      </w:r>
    </w:p>
    <w:p w14:paraId="1253C31A">
      <w:pPr>
        <w:spacing w:line="360" w:lineRule="auto"/>
        <w:jc w:val="left"/>
        <w:rPr>
          <w:rFonts w:ascii="楷体" w:hAnsi="楷体" w:eastAsia="楷体"/>
          <w:b/>
          <w:color w:val="auto"/>
          <w:sz w:val="24"/>
          <w:highlight w:val="none"/>
        </w:rPr>
      </w:pPr>
      <w:r>
        <w:rPr>
          <w:rFonts w:hint="eastAsia" w:ascii="楷体" w:hAnsi="楷体" w:eastAsia="楷体"/>
          <w:color w:val="auto"/>
          <w:sz w:val="24"/>
          <w:highlight w:val="none"/>
        </w:rPr>
        <w:t>货物运抵交货地点，完成安装调试工作、交付甲方并最终验收合格前，其损毁、灭失的法律风险全部由乙方承担</w:t>
      </w:r>
      <w:r>
        <w:rPr>
          <w:rFonts w:ascii="楷体" w:hAnsi="楷体" w:eastAsia="楷体"/>
          <w:color w:val="auto"/>
          <w:sz w:val="24"/>
          <w:highlight w:val="none"/>
        </w:rPr>
        <w:t>。</w:t>
      </w:r>
    </w:p>
    <w:p w14:paraId="754C5473">
      <w:pPr>
        <w:spacing w:line="360" w:lineRule="auto"/>
        <w:jc w:val="left"/>
        <w:rPr>
          <w:rFonts w:ascii="楷体" w:hAnsi="楷体" w:eastAsia="楷体"/>
          <w:b/>
          <w:color w:val="auto"/>
          <w:sz w:val="24"/>
          <w:highlight w:val="none"/>
        </w:rPr>
      </w:pPr>
      <w:r>
        <w:rPr>
          <w:rFonts w:ascii="楷体" w:hAnsi="楷体" w:eastAsia="楷体"/>
          <w:b/>
          <w:color w:val="auto"/>
          <w:sz w:val="24"/>
          <w:highlight w:val="none"/>
        </w:rPr>
        <w:t>2.10 延迟交货</w:t>
      </w:r>
    </w:p>
    <w:p w14:paraId="10280C14">
      <w:pPr>
        <w:spacing w:line="360" w:lineRule="auto"/>
        <w:jc w:val="left"/>
        <w:rPr>
          <w:rFonts w:ascii="楷体" w:hAnsi="楷体" w:eastAsia="楷体"/>
          <w:color w:val="auto"/>
          <w:sz w:val="24"/>
          <w:highlight w:val="none"/>
        </w:rPr>
      </w:pPr>
      <w:r>
        <w:rPr>
          <w:rFonts w:ascii="楷体" w:hAnsi="楷体" w:eastAsia="楷体"/>
          <w:color w:val="auto"/>
          <w:sz w:val="24"/>
          <w:highlight w:val="none"/>
        </w:rPr>
        <w:t>在合同履行过程中，如果乙方遇到不能按时交付货物的情况，应及时以书面形式将不能按时</w:t>
      </w:r>
      <w:r>
        <w:rPr>
          <w:rFonts w:hint="eastAsia" w:ascii="楷体" w:hAnsi="楷体" w:eastAsia="楷体"/>
          <w:color w:val="auto"/>
          <w:sz w:val="24"/>
          <w:highlight w:val="none"/>
        </w:rPr>
        <w:t>交付货物</w:t>
      </w:r>
      <w:r>
        <w:rPr>
          <w:rFonts w:ascii="楷体" w:hAnsi="楷体" w:eastAsia="楷体"/>
          <w:color w:val="auto"/>
          <w:sz w:val="24"/>
          <w:highlight w:val="none"/>
        </w:rPr>
        <w:t>的理由、预期延误时间通知甲方</w:t>
      </w:r>
      <w:r>
        <w:rPr>
          <w:rFonts w:hint="eastAsia" w:ascii="楷体" w:hAnsi="楷体" w:eastAsia="楷体"/>
          <w:color w:val="auto"/>
          <w:sz w:val="24"/>
          <w:highlight w:val="none"/>
        </w:rPr>
        <w:t>；甲</w:t>
      </w:r>
      <w:r>
        <w:rPr>
          <w:rFonts w:ascii="楷体" w:hAnsi="楷体" w:eastAsia="楷体"/>
          <w:color w:val="auto"/>
          <w:sz w:val="24"/>
          <w:highlight w:val="none"/>
        </w:rPr>
        <w:t>方收到乙方通知后，认为其理由正当的，可以书面形式酌情同意乙方可以延长交货的具体时间。</w:t>
      </w:r>
    </w:p>
    <w:p w14:paraId="5A2196E0">
      <w:pPr>
        <w:spacing w:line="360" w:lineRule="auto"/>
        <w:jc w:val="left"/>
        <w:rPr>
          <w:rFonts w:ascii="楷体" w:hAnsi="楷体" w:eastAsia="楷体"/>
          <w:b/>
          <w:color w:val="auto"/>
          <w:sz w:val="24"/>
          <w:highlight w:val="none"/>
        </w:rPr>
      </w:pPr>
      <w:r>
        <w:rPr>
          <w:rFonts w:ascii="楷体" w:hAnsi="楷体" w:eastAsia="楷体"/>
          <w:b/>
          <w:color w:val="auto"/>
          <w:sz w:val="24"/>
          <w:highlight w:val="none"/>
        </w:rPr>
        <w:t>2.11 合同变更</w:t>
      </w:r>
    </w:p>
    <w:p w14:paraId="737406C5">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其他条款按本合同约定执行。</w:t>
      </w:r>
    </w:p>
    <w:p w14:paraId="579E9E35">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14DBD066">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 xml:space="preserve">2.12 </w:t>
      </w:r>
      <w:r>
        <w:rPr>
          <w:rFonts w:ascii="楷体" w:hAnsi="楷体" w:eastAsia="楷体"/>
          <w:b/>
          <w:color w:val="auto"/>
          <w:sz w:val="24"/>
          <w:highlight w:val="none"/>
        </w:rPr>
        <w:t>合同转让和分包</w:t>
      </w:r>
    </w:p>
    <w:p w14:paraId="5A5ABB2A">
      <w:pPr>
        <w:spacing w:line="360" w:lineRule="auto"/>
        <w:jc w:val="left"/>
        <w:rPr>
          <w:rFonts w:ascii="楷体" w:hAnsi="楷体" w:eastAsia="楷体"/>
          <w:color w:val="auto"/>
          <w:sz w:val="24"/>
          <w:highlight w:val="none"/>
        </w:rPr>
      </w:pPr>
      <w:r>
        <w:rPr>
          <w:rFonts w:ascii="楷体" w:hAnsi="楷体" w:eastAsia="楷体"/>
          <w:color w:val="auto"/>
          <w:sz w:val="24"/>
          <w:highlight w:val="none"/>
        </w:rPr>
        <w:t>合同的权利义务依法不</w:t>
      </w:r>
      <w:r>
        <w:rPr>
          <w:rFonts w:hint="eastAsia" w:ascii="楷体" w:hAnsi="楷体" w:eastAsia="楷体"/>
          <w:color w:val="auto"/>
          <w:sz w:val="24"/>
          <w:highlight w:val="none"/>
        </w:rPr>
        <w:t>得</w:t>
      </w:r>
      <w:r>
        <w:rPr>
          <w:rFonts w:ascii="楷体" w:hAnsi="楷体" w:eastAsia="楷体"/>
          <w:color w:val="auto"/>
          <w:sz w:val="24"/>
          <w:highlight w:val="none"/>
        </w:rPr>
        <w:t>转让</w:t>
      </w:r>
      <w:r>
        <w:rPr>
          <w:rFonts w:hint="eastAsia" w:ascii="楷体" w:hAnsi="楷体" w:eastAsia="楷体"/>
          <w:color w:val="auto"/>
          <w:sz w:val="24"/>
          <w:highlight w:val="none"/>
        </w:rPr>
        <w:t>，</w:t>
      </w:r>
      <w:r>
        <w:rPr>
          <w:rFonts w:ascii="楷体" w:hAnsi="楷体" w:eastAsia="楷体"/>
          <w:color w:val="auto"/>
          <w:sz w:val="24"/>
          <w:highlight w:val="none"/>
        </w:rPr>
        <w:t>但</w:t>
      </w:r>
      <w:r>
        <w:rPr>
          <w:rFonts w:hint="eastAsia" w:ascii="楷体" w:hAnsi="楷体" w:eastAsia="楷体"/>
          <w:color w:val="auto"/>
          <w:sz w:val="24"/>
          <w:highlight w:val="none"/>
        </w:rPr>
        <w:t>如</w:t>
      </w:r>
      <w:r>
        <w:rPr>
          <w:rFonts w:ascii="楷体" w:hAnsi="楷体" w:eastAsia="楷体"/>
          <w:color w:val="auto"/>
          <w:sz w:val="24"/>
          <w:highlight w:val="none"/>
        </w:rPr>
        <w:t>经甲方</w:t>
      </w:r>
      <w:r>
        <w:rPr>
          <w:rFonts w:hint="eastAsia" w:ascii="楷体" w:hAnsi="楷体" w:eastAsia="楷体"/>
          <w:color w:val="auto"/>
          <w:sz w:val="24"/>
          <w:highlight w:val="none"/>
        </w:rPr>
        <w:t>书面同意的，乙方可以依法采取分包方式履行合同，即：依法可以</w:t>
      </w:r>
      <w:r>
        <w:rPr>
          <w:rFonts w:ascii="楷体" w:hAnsi="楷体" w:eastAsia="楷体"/>
          <w:color w:val="auto"/>
          <w:sz w:val="24"/>
          <w:highlight w:val="none"/>
        </w:rPr>
        <w:t>将合同项下的部分非主体、非关键性工作分包给他人完成</w:t>
      </w:r>
      <w:r>
        <w:rPr>
          <w:rFonts w:hint="eastAsia" w:ascii="楷体" w:hAnsi="楷体" w:eastAsia="楷体"/>
          <w:color w:val="auto"/>
          <w:sz w:val="24"/>
          <w:highlight w:val="none"/>
        </w:rPr>
        <w:t>，</w:t>
      </w:r>
      <w:r>
        <w:rPr>
          <w:rFonts w:ascii="楷体" w:hAnsi="楷体" w:eastAsia="楷体"/>
          <w:color w:val="auto"/>
          <w:sz w:val="24"/>
          <w:highlight w:val="none"/>
        </w:rPr>
        <w:t>接受分包的人应当具备相应的资格条件，并不得再次分包</w:t>
      </w:r>
      <w:r>
        <w:rPr>
          <w:rFonts w:hint="eastAsia" w:ascii="楷体" w:hAnsi="楷体" w:eastAsia="楷体"/>
          <w:color w:val="auto"/>
          <w:sz w:val="24"/>
          <w:highlight w:val="none"/>
        </w:rPr>
        <w:t>，</w:t>
      </w:r>
      <w:r>
        <w:rPr>
          <w:rFonts w:ascii="楷体" w:hAnsi="楷体" w:eastAsia="楷体"/>
          <w:color w:val="auto"/>
          <w:sz w:val="24"/>
          <w:highlight w:val="none"/>
        </w:rPr>
        <w:t>且乙方应就分包项目向甲方负责</w:t>
      </w:r>
      <w:r>
        <w:rPr>
          <w:rFonts w:hint="eastAsia" w:ascii="楷体" w:hAnsi="楷体" w:eastAsia="楷体"/>
          <w:color w:val="auto"/>
          <w:sz w:val="24"/>
          <w:highlight w:val="none"/>
        </w:rPr>
        <w:t>，</w:t>
      </w:r>
      <w:r>
        <w:rPr>
          <w:rFonts w:ascii="楷体" w:hAnsi="楷体" w:eastAsia="楷体"/>
          <w:color w:val="auto"/>
          <w:sz w:val="24"/>
          <w:highlight w:val="none"/>
        </w:rPr>
        <w:t>并</w:t>
      </w:r>
      <w:r>
        <w:rPr>
          <w:rFonts w:hint="eastAsia" w:ascii="楷体" w:hAnsi="楷体" w:eastAsia="楷体"/>
          <w:color w:val="auto"/>
          <w:sz w:val="24"/>
          <w:highlight w:val="none"/>
        </w:rPr>
        <w:t>与分包供应商就分包项目向甲方承担连带责任。</w:t>
      </w:r>
    </w:p>
    <w:p w14:paraId="7E288527">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2.13</w:t>
      </w:r>
      <w:r>
        <w:rPr>
          <w:rFonts w:ascii="楷体" w:hAnsi="楷体" w:eastAsia="楷体"/>
          <w:b/>
          <w:color w:val="auto"/>
          <w:sz w:val="24"/>
          <w:highlight w:val="none"/>
        </w:rPr>
        <w:t xml:space="preserve"> 不可抗力</w:t>
      </w:r>
    </w:p>
    <w:p w14:paraId="695F2B95">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2.13</w:t>
      </w:r>
      <w:r>
        <w:rPr>
          <w:rFonts w:ascii="楷体" w:hAnsi="楷体" w:eastAsia="楷体"/>
          <w:color w:val="auto"/>
          <w:sz w:val="24"/>
          <w:highlight w:val="none"/>
        </w:rPr>
        <w:t>.1如果任何一方遭遇法律规定的不可抗力，致使合同履行受阻时，履行合同的期限应予延长，延长的期限应相当于不可抗力所影响的时间</w:t>
      </w:r>
      <w:r>
        <w:rPr>
          <w:rFonts w:hint="eastAsia" w:ascii="楷体" w:hAnsi="楷体" w:eastAsia="楷体"/>
          <w:color w:val="auto"/>
          <w:sz w:val="24"/>
          <w:highlight w:val="none"/>
        </w:rPr>
        <w:t>；</w:t>
      </w:r>
    </w:p>
    <w:p w14:paraId="19BC4659">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2.13.2 因不可抗力致使不能实现合同目的的，当事人可以解除合同；</w:t>
      </w:r>
    </w:p>
    <w:p w14:paraId="5A6F153C">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2.13.3 因</w:t>
      </w:r>
      <w:r>
        <w:rPr>
          <w:rFonts w:ascii="楷体" w:hAnsi="楷体" w:eastAsia="楷体"/>
          <w:color w:val="auto"/>
          <w:sz w:val="24"/>
          <w:highlight w:val="none"/>
        </w:rPr>
        <w:t>不可抗力致使合同有变更必要的，双方当事人应在</w:t>
      </w:r>
      <w:r>
        <w:rPr>
          <w:rFonts w:ascii="楷体" w:hAnsi="楷体" w:eastAsia="楷体"/>
          <w:b/>
          <w:i/>
          <w:color w:val="auto"/>
          <w:sz w:val="24"/>
          <w:highlight w:val="none"/>
          <w:u w:val="single"/>
        </w:rPr>
        <w:t>合同专用条款</w:t>
      </w:r>
      <w:r>
        <w:rPr>
          <w:rFonts w:ascii="楷体" w:hAnsi="楷体" w:eastAsia="楷体"/>
          <w:color w:val="auto"/>
          <w:sz w:val="24"/>
          <w:highlight w:val="none"/>
        </w:rPr>
        <w:t>约定时间内以书面形式变更合同</w:t>
      </w:r>
      <w:r>
        <w:rPr>
          <w:rFonts w:hint="eastAsia" w:ascii="楷体" w:hAnsi="楷体" w:eastAsia="楷体"/>
          <w:color w:val="auto"/>
          <w:sz w:val="24"/>
          <w:highlight w:val="none"/>
        </w:rPr>
        <w:t>；</w:t>
      </w:r>
    </w:p>
    <w:p w14:paraId="740FBF8C">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2.13</w:t>
      </w:r>
      <w:r>
        <w:rPr>
          <w:rFonts w:ascii="楷体" w:hAnsi="楷体" w:eastAsia="楷体"/>
          <w:color w:val="auto"/>
          <w:sz w:val="24"/>
          <w:highlight w:val="none"/>
        </w:rPr>
        <w:t>.</w:t>
      </w:r>
      <w:r>
        <w:rPr>
          <w:rFonts w:hint="eastAsia" w:ascii="楷体" w:hAnsi="楷体" w:eastAsia="楷体"/>
          <w:color w:val="auto"/>
          <w:sz w:val="24"/>
          <w:highlight w:val="none"/>
        </w:rPr>
        <w:t>4</w:t>
      </w:r>
      <w:r>
        <w:rPr>
          <w:rFonts w:ascii="楷体" w:hAnsi="楷体" w:eastAsia="楷体"/>
          <w:color w:val="auto"/>
          <w:sz w:val="24"/>
          <w:highlight w:val="none"/>
        </w:rPr>
        <w:t>受</w:t>
      </w:r>
      <w:r>
        <w:rPr>
          <w:rFonts w:hint="eastAsia" w:ascii="楷体" w:hAnsi="楷体" w:eastAsia="楷体"/>
          <w:color w:val="auto"/>
          <w:sz w:val="24"/>
          <w:highlight w:val="none"/>
        </w:rPr>
        <w:t>不可抗力</w:t>
      </w:r>
      <w:r>
        <w:rPr>
          <w:rFonts w:ascii="楷体" w:hAnsi="楷体" w:eastAsia="楷体"/>
          <w:color w:val="auto"/>
          <w:sz w:val="24"/>
          <w:highlight w:val="none"/>
        </w:rPr>
        <w:t>影响的一方在不可抗力发生后</w:t>
      </w:r>
      <w:r>
        <w:rPr>
          <w:rFonts w:hint="eastAsia" w:ascii="楷体" w:hAnsi="楷体" w:eastAsia="楷体"/>
          <w:color w:val="auto"/>
          <w:sz w:val="24"/>
          <w:highlight w:val="none"/>
        </w:rPr>
        <w:t>，</w:t>
      </w:r>
      <w:r>
        <w:rPr>
          <w:rFonts w:ascii="楷体" w:hAnsi="楷体" w:eastAsia="楷体"/>
          <w:color w:val="auto"/>
          <w:sz w:val="24"/>
          <w:highlight w:val="none"/>
        </w:rPr>
        <w:t>应在</w:t>
      </w:r>
      <w:r>
        <w:rPr>
          <w:rFonts w:ascii="楷体" w:hAnsi="楷体" w:eastAsia="楷体"/>
          <w:b/>
          <w:i/>
          <w:color w:val="auto"/>
          <w:sz w:val="24"/>
          <w:highlight w:val="none"/>
          <w:u w:val="single"/>
        </w:rPr>
        <w:t>合同专用条款</w:t>
      </w:r>
      <w:r>
        <w:rPr>
          <w:rFonts w:ascii="楷体" w:hAnsi="楷体" w:eastAsia="楷体"/>
          <w:color w:val="auto"/>
          <w:sz w:val="24"/>
          <w:highlight w:val="none"/>
        </w:rPr>
        <w:t>约定时间内以书面形式通知</w:t>
      </w:r>
      <w:r>
        <w:rPr>
          <w:rFonts w:hint="eastAsia" w:ascii="楷体" w:hAnsi="楷体" w:eastAsia="楷体"/>
          <w:color w:val="auto"/>
          <w:sz w:val="24"/>
          <w:highlight w:val="none"/>
        </w:rPr>
        <w:t>对</w:t>
      </w:r>
      <w:r>
        <w:rPr>
          <w:rFonts w:ascii="楷体" w:hAnsi="楷体" w:eastAsia="楷体"/>
          <w:color w:val="auto"/>
          <w:sz w:val="24"/>
          <w:highlight w:val="none"/>
        </w:rPr>
        <w:t>方当事人，并在</w:t>
      </w:r>
      <w:r>
        <w:rPr>
          <w:rFonts w:ascii="楷体" w:hAnsi="楷体" w:eastAsia="楷体"/>
          <w:b/>
          <w:i/>
          <w:color w:val="auto"/>
          <w:sz w:val="24"/>
          <w:highlight w:val="none"/>
          <w:u w:val="single"/>
        </w:rPr>
        <w:t>合同专用条款</w:t>
      </w:r>
      <w:r>
        <w:rPr>
          <w:rFonts w:ascii="楷体" w:hAnsi="楷体" w:eastAsia="楷体"/>
          <w:color w:val="auto"/>
          <w:sz w:val="24"/>
          <w:highlight w:val="none"/>
        </w:rPr>
        <w:t>约定时间内，将有关部门出具的证明文件送达</w:t>
      </w:r>
      <w:r>
        <w:rPr>
          <w:rFonts w:hint="eastAsia" w:ascii="楷体" w:hAnsi="楷体" w:eastAsia="楷体"/>
          <w:color w:val="auto"/>
          <w:sz w:val="24"/>
          <w:highlight w:val="none"/>
        </w:rPr>
        <w:t>对方当事人</w:t>
      </w:r>
      <w:r>
        <w:rPr>
          <w:rFonts w:ascii="楷体" w:hAnsi="楷体" w:eastAsia="楷体"/>
          <w:color w:val="auto"/>
          <w:sz w:val="24"/>
          <w:highlight w:val="none"/>
        </w:rPr>
        <w:t>。</w:t>
      </w:r>
    </w:p>
    <w:p w14:paraId="1A66D15B">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w:t>
      </w:r>
      <w:r>
        <w:rPr>
          <w:rFonts w:ascii="楷体" w:hAnsi="楷体" w:eastAsia="楷体"/>
          <w:b/>
          <w:color w:val="auto"/>
          <w:sz w:val="24"/>
          <w:highlight w:val="none"/>
        </w:rPr>
        <w:t>1</w:t>
      </w:r>
      <w:r>
        <w:rPr>
          <w:rFonts w:hint="eastAsia" w:ascii="楷体" w:hAnsi="楷体" w:eastAsia="楷体"/>
          <w:b/>
          <w:color w:val="auto"/>
          <w:sz w:val="24"/>
          <w:highlight w:val="none"/>
        </w:rPr>
        <w:t xml:space="preserve">4 </w:t>
      </w:r>
      <w:r>
        <w:rPr>
          <w:rFonts w:ascii="楷体" w:hAnsi="楷体" w:eastAsia="楷体"/>
          <w:b/>
          <w:color w:val="auto"/>
          <w:sz w:val="24"/>
          <w:highlight w:val="none"/>
        </w:rPr>
        <w:t>税费</w:t>
      </w:r>
    </w:p>
    <w:p w14:paraId="7D234E91">
      <w:pPr>
        <w:spacing w:line="360" w:lineRule="auto"/>
        <w:jc w:val="left"/>
        <w:rPr>
          <w:rFonts w:ascii="楷体" w:hAnsi="楷体" w:eastAsia="楷体"/>
          <w:color w:val="auto"/>
          <w:sz w:val="24"/>
          <w:highlight w:val="none"/>
        </w:rPr>
      </w:pPr>
      <w:r>
        <w:rPr>
          <w:rFonts w:ascii="楷体" w:hAnsi="楷体" w:eastAsia="楷体"/>
          <w:color w:val="auto"/>
          <w:sz w:val="24"/>
          <w:highlight w:val="none"/>
        </w:rPr>
        <w:t>与合同有关的一切税费</w:t>
      </w:r>
      <w:r>
        <w:rPr>
          <w:rFonts w:hint="eastAsia" w:ascii="楷体" w:hAnsi="楷体" w:eastAsia="楷体"/>
          <w:color w:val="auto"/>
          <w:sz w:val="24"/>
          <w:highlight w:val="none"/>
        </w:rPr>
        <w:t>，</w:t>
      </w:r>
      <w:r>
        <w:rPr>
          <w:rFonts w:ascii="楷体" w:hAnsi="楷体" w:eastAsia="楷体"/>
          <w:color w:val="auto"/>
          <w:sz w:val="24"/>
          <w:highlight w:val="none"/>
        </w:rPr>
        <w:t>均按照中华人民共和国法律的相关规定。</w:t>
      </w:r>
    </w:p>
    <w:p w14:paraId="228A2AE9">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w:t>
      </w:r>
      <w:r>
        <w:rPr>
          <w:rFonts w:ascii="楷体" w:hAnsi="楷体" w:eastAsia="楷体"/>
          <w:b/>
          <w:color w:val="auto"/>
          <w:sz w:val="24"/>
          <w:highlight w:val="none"/>
        </w:rPr>
        <w:t>1</w:t>
      </w:r>
      <w:r>
        <w:rPr>
          <w:rFonts w:hint="eastAsia" w:ascii="楷体" w:hAnsi="楷体" w:eastAsia="楷体"/>
          <w:b/>
          <w:color w:val="auto"/>
          <w:sz w:val="24"/>
          <w:highlight w:val="none"/>
        </w:rPr>
        <w:t xml:space="preserve">5 </w:t>
      </w:r>
      <w:r>
        <w:rPr>
          <w:rFonts w:ascii="楷体" w:hAnsi="楷体" w:eastAsia="楷体"/>
          <w:b/>
          <w:color w:val="auto"/>
          <w:sz w:val="24"/>
          <w:highlight w:val="none"/>
        </w:rPr>
        <w:t>乙方破产</w:t>
      </w:r>
    </w:p>
    <w:p w14:paraId="09D37199">
      <w:pPr>
        <w:spacing w:line="360" w:lineRule="auto"/>
        <w:jc w:val="left"/>
        <w:rPr>
          <w:rFonts w:ascii="楷体" w:hAnsi="楷体" w:eastAsia="楷体"/>
          <w:color w:val="auto"/>
          <w:sz w:val="24"/>
          <w:highlight w:val="none"/>
        </w:rPr>
      </w:pPr>
      <w:r>
        <w:rPr>
          <w:rFonts w:ascii="楷体" w:hAnsi="楷体" w:eastAsia="楷体"/>
          <w:color w:val="auto"/>
          <w:sz w:val="24"/>
          <w:highlight w:val="none"/>
        </w:rPr>
        <w:t>如果乙方破产导致合同无法履行时，甲方可以书面形式通知乙方终止合同且不给予乙方任何补偿和赔偿</w:t>
      </w:r>
      <w:r>
        <w:rPr>
          <w:rFonts w:hint="eastAsia" w:ascii="楷体" w:hAnsi="楷体" w:eastAsia="楷体"/>
          <w:color w:val="auto"/>
          <w:sz w:val="24"/>
          <w:highlight w:val="none"/>
        </w:rPr>
        <w:t>，但合同的</w:t>
      </w:r>
      <w:r>
        <w:rPr>
          <w:rFonts w:ascii="楷体" w:hAnsi="楷体" w:eastAsia="楷体"/>
          <w:color w:val="auto"/>
          <w:sz w:val="24"/>
          <w:highlight w:val="none"/>
        </w:rPr>
        <w:t>终止不损害或不影响甲方已经采取或将要采取的任何要求乙方支付违约金</w:t>
      </w:r>
      <w:r>
        <w:rPr>
          <w:rFonts w:hint="eastAsia" w:ascii="楷体" w:hAnsi="楷体" w:eastAsia="楷体"/>
          <w:color w:val="auto"/>
          <w:sz w:val="24"/>
          <w:highlight w:val="none"/>
        </w:rPr>
        <w:t>、</w:t>
      </w:r>
      <w:r>
        <w:rPr>
          <w:rFonts w:ascii="楷体" w:hAnsi="楷体" w:eastAsia="楷体"/>
          <w:color w:val="auto"/>
          <w:sz w:val="24"/>
          <w:highlight w:val="none"/>
        </w:rPr>
        <w:t>赔偿损失等的行动或补救措施的权利</w:t>
      </w:r>
      <w:r>
        <w:rPr>
          <w:rFonts w:hint="eastAsia" w:ascii="楷体" w:hAnsi="楷体" w:eastAsia="楷体"/>
          <w:color w:val="auto"/>
          <w:sz w:val="24"/>
          <w:highlight w:val="none"/>
        </w:rPr>
        <w:t>。</w:t>
      </w:r>
    </w:p>
    <w:p w14:paraId="74517170">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2.16 合同中止、终止</w:t>
      </w:r>
    </w:p>
    <w:p w14:paraId="267E93F5">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2.16.1 双方当事人不得擅自中止或者终止合同；</w:t>
      </w:r>
    </w:p>
    <w:p w14:paraId="52EA6D25">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87D8FED">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2.17 检验和验收</w:t>
      </w:r>
    </w:p>
    <w:p w14:paraId="40A0ADF3">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1</w:t>
      </w:r>
      <w:r>
        <w:rPr>
          <w:rFonts w:hint="eastAsia" w:ascii="楷体" w:hAnsi="楷体" w:eastAsia="楷体"/>
          <w:color w:val="auto"/>
          <w:sz w:val="24"/>
          <w:highlight w:val="none"/>
        </w:rPr>
        <w:t>7</w:t>
      </w:r>
      <w:r>
        <w:rPr>
          <w:rFonts w:ascii="楷体" w:hAnsi="楷体" w:eastAsia="楷体"/>
          <w:color w:val="auto"/>
          <w:sz w:val="24"/>
          <w:highlight w:val="none"/>
        </w:rPr>
        <w:t>.</w:t>
      </w:r>
      <w:r>
        <w:rPr>
          <w:rFonts w:hint="eastAsia" w:ascii="楷体" w:hAnsi="楷体" w:eastAsia="楷体"/>
          <w:color w:val="auto"/>
          <w:sz w:val="24"/>
          <w:highlight w:val="none"/>
        </w:rPr>
        <w:t>1货物交付前，乙方应对货物的质量、数量等方面进行详细、全面的检验，并向甲方出具证明货物符合合同约定的文件；货物交付时，</w:t>
      </w:r>
      <w:r>
        <w:rPr>
          <w:rFonts w:hint="eastAsia" w:ascii="楷体" w:hAnsi="楷体" w:eastAsia="楷体"/>
          <w:color w:val="auto"/>
          <w:sz w:val="24"/>
          <w:highlight w:val="none"/>
          <w:lang w:val="en-US" w:eastAsia="zh-CN"/>
        </w:rPr>
        <w:t>甲</w:t>
      </w:r>
      <w:r>
        <w:rPr>
          <w:rFonts w:hint="eastAsia" w:ascii="楷体" w:hAnsi="楷体" w:eastAsia="楷体"/>
          <w:color w:val="auto"/>
          <w:sz w:val="24"/>
          <w:highlight w:val="none"/>
        </w:rPr>
        <w:t>方在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约定时间内组织验收，并可依法邀请相关方参加，甲方应在该次验收通过后出具验收书。如货物无需安装调试的，该次验收为最终验收。</w:t>
      </w:r>
    </w:p>
    <w:p w14:paraId="7F9F75E9">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2.17.2</w:t>
      </w:r>
      <w:r>
        <w:rPr>
          <w:rFonts w:ascii="楷体" w:hAnsi="楷体" w:eastAsia="楷体"/>
          <w:color w:val="auto"/>
          <w:sz w:val="24"/>
          <w:highlight w:val="none"/>
        </w:rPr>
        <w:t xml:space="preserve"> </w:t>
      </w:r>
      <w:r>
        <w:rPr>
          <w:rFonts w:hint="eastAsia" w:ascii="楷体" w:hAnsi="楷体" w:eastAsia="楷体"/>
          <w:color w:val="auto"/>
          <w:sz w:val="24"/>
          <w:highlight w:val="none"/>
        </w:rPr>
        <w:t>如货物需要进行安装调试的，则2</w:t>
      </w:r>
      <w:r>
        <w:rPr>
          <w:rFonts w:ascii="楷体" w:hAnsi="楷体" w:eastAsia="楷体"/>
          <w:color w:val="auto"/>
          <w:sz w:val="24"/>
          <w:highlight w:val="none"/>
        </w:rPr>
        <w:t>.17.1</w:t>
      </w:r>
      <w:r>
        <w:rPr>
          <w:rFonts w:hint="eastAsia" w:ascii="楷体" w:hAnsi="楷体" w:eastAsia="楷体"/>
          <w:color w:val="auto"/>
          <w:sz w:val="24"/>
          <w:highlight w:val="none"/>
        </w:rPr>
        <w:t>条约定的验收为初步验收，乙方应按本合同约定的期限将设备安装、调试完毕，验收通过后，甲方应在该次验收通过后出具验收书。如货物需要进行安装调试且无须向相关行政机关办理审批、验收等手续，该次验收为最终验收。</w:t>
      </w:r>
    </w:p>
    <w:p w14:paraId="3D056128">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2.17.</w:t>
      </w:r>
      <w:r>
        <w:rPr>
          <w:rFonts w:ascii="楷体" w:hAnsi="楷体" w:eastAsia="楷体"/>
          <w:color w:val="auto"/>
          <w:sz w:val="24"/>
          <w:highlight w:val="none"/>
        </w:rPr>
        <w:t>3</w:t>
      </w:r>
      <w:r>
        <w:rPr>
          <w:rFonts w:hint="eastAsia" w:ascii="楷体" w:hAnsi="楷体" w:eastAsia="楷体"/>
          <w:color w:val="auto"/>
          <w:sz w:val="24"/>
          <w:highlight w:val="none"/>
        </w:rPr>
        <w:t>如乙方安装设备需要向相关行政机关办理审批、验收等手续的，由乙方负责办理并承担费用，甲方有权组织（包括依法邀请国家认可的质量检测机构参加）对乙方履约的验收，即：按照合同约定的技术、服务、安全标准，组织对每一项技术、服务、安全标准的履约情况的验收，由相关行政机关审批、验收通过并经甲方最终验收合格后，方视为最终验收合格，由甲方出具验收书。</w:t>
      </w:r>
    </w:p>
    <w:p w14:paraId="38A5F9C3">
      <w:pPr>
        <w:spacing w:line="360" w:lineRule="auto"/>
        <w:jc w:val="left"/>
        <w:rPr>
          <w:rFonts w:ascii="楷体" w:hAnsi="楷体" w:eastAsia="楷体"/>
          <w:i/>
          <w:color w:val="auto"/>
          <w:sz w:val="24"/>
          <w:highlight w:val="none"/>
        </w:rPr>
      </w:pPr>
      <w:r>
        <w:rPr>
          <w:rFonts w:hint="eastAsia" w:ascii="楷体" w:hAnsi="楷体" w:eastAsia="楷体"/>
          <w:color w:val="auto"/>
          <w:sz w:val="24"/>
          <w:highlight w:val="none"/>
        </w:rPr>
        <w:t>2.17.</w:t>
      </w:r>
      <w:r>
        <w:rPr>
          <w:rFonts w:ascii="楷体" w:hAnsi="楷体" w:eastAsia="楷体"/>
          <w:color w:val="auto"/>
          <w:sz w:val="24"/>
          <w:highlight w:val="none"/>
        </w:rPr>
        <w:t>4</w:t>
      </w:r>
      <w:r>
        <w:rPr>
          <w:rFonts w:hint="eastAsia" w:ascii="楷体" w:hAnsi="楷体" w:eastAsia="楷体"/>
          <w:color w:val="auto"/>
          <w:sz w:val="24"/>
          <w:highlight w:val="none"/>
        </w:rPr>
        <w:t xml:space="preserve"> 检验和验收标准、程序等具体内容以及前述验收书的效力详见</w:t>
      </w:r>
      <w:r>
        <w:rPr>
          <w:rFonts w:ascii="楷体" w:hAnsi="楷体" w:eastAsia="楷体"/>
          <w:b/>
          <w:i/>
          <w:color w:val="auto"/>
          <w:sz w:val="24"/>
          <w:highlight w:val="none"/>
          <w:u w:val="single"/>
        </w:rPr>
        <w:t>合同专用条款</w:t>
      </w:r>
      <w:r>
        <w:rPr>
          <w:rFonts w:hint="eastAsia" w:ascii="楷体" w:hAnsi="楷体" w:eastAsia="楷体"/>
          <w:i/>
          <w:color w:val="auto"/>
          <w:sz w:val="24"/>
          <w:highlight w:val="none"/>
        </w:rPr>
        <w:t>。</w:t>
      </w:r>
    </w:p>
    <w:p w14:paraId="18F98D3A">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2.17.</w:t>
      </w:r>
      <w:r>
        <w:rPr>
          <w:rFonts w:ascii="楷体" w:hAnsi="楷体" w:eastAsia="楷体"/>
          <w:color w:val="auto"/>
          <w:sz w:val="24"/>
          <w:highlight w:val="none"/>
        </w:rPr>
        <w:t>5</w:t>
      </w:r>
      <w:r>
        <w:rPr>
          <w:rFonts w:hint="eastAsia" w:ascii="楷体" w:hAnsi="楷体" w:eastAsia="楷体"/>
          <w:color w:val="auto"/>
          <w:sz w:val="24"/>
          <w:highlight w:val="none"/>
        </w:rPr>
        <w:t>甲方最终验收合格并不视为甲方对乙方所提供产品质量的认可，并不能减轻或免除乙方对所供货物应承担的任何质量责任或违约责任。</w:t>
      </w:r>
    </w:p>
    <w:p w14:paraId="0ECCD05A">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 xml:space="preserve">2.18 </w:t>
      </w:r>
      <w:r>
        <w:rPr>
          <w:rFonts w:ascii="楷体" w:hAnsi="楷体" w:eastAsia="楷体"/>
          <w:b/>
          <w:color w:val="auto"/>
          <w:sz w:val="24"/>
          <w:highlight w:val="none"/>
        </w:rPr>
        <w:t>通知和送达</w:t>
      </w:r>
    </w:p>
    <w:p w14:paraId="5291482D">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2.18.1 任何一方因履行合同而以合同第一部分尾部所列明的</w:t>
      </w:r>
      <w:r>
        <w:rPr>
          <w:rFonts w:hint="eastAsia" w:ascii="楷体" w:hAnsi="楷体" w:eastAsia="楷体"/>
          <w:color w:val="auto"/>
          <w:sz w:val="24"/>
          <w:highlight w:val="none"/>
          <w:u w:val="single"/>
        </w:rPr>
        <w:t xml:space="preserve">  联系方式和地址  </w:t>
      </w:r>
      <w:r>
        <w:rPr>
          <w:rFonts w:hint="eastAsia" w:ascii="楷体" w:hAnsi="楷体" w:eastAsia="楷体"/>
          <w:color w:val="auto"/>
          <w:sz w:val="24"/>
          <w:highlight w:val="none"/>
        </w:rPr>
        <w:t>发出的所有通知、文件、材料，均视为已向对方当事人送达；任何一方变更上述送达方式或者地址的，应于</w:t>
      </w:r>
      <w:r>
        <w:rPr>
          <w:rFonts w:hint="eastAsia" w:ascii="楷体" w:hAnsi="楷体" w:eastAsia="楷体"/>
          <w:color w:val="auto"/>
          <w:sz w:val="24"/>
          <w:highlight w:val="none"/>
          <w:u w:val="single"/>
        </w:rPr>
        <w:t xml:space="preserve"> 5 </w:t>
      </w:r>
      <w:r>
        <w:rPr>
          <w:rFonts w:hint="eastAsia" w:ascii="楷体" w:hAnsi="楷体" w:eastAsia="楷体"/>
          <w:color w:val="auto"/>
          <w:sz w:val="24"/>
          <w:highlight w:val="none"/>
        </w:rPr>
        <w:t>个工作日内书面通知对方当事人，在对方当事人收到有关变更通知之前，变更前的约定送达方式或者地址仍视为有效。</w:t>
      </w:r>
    </w:p>
    <w:p w14:paraId="38FFB027">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54F8B5DF">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2.18.</w:t>
      </w:r>
      <w:r>
        <w:rPr>
          <w:rFonts w:ascii="楷体" w:hAnsi="楷体" w:eastAsia="楷体"/>
          <w:color w:val="auto"/>
          <w:sz w:val="24"/>
          <w:highlight w:val="none"/>
        </w:rPr>
        <w:t>3</w:t>
      </w:r>
      <w:r>
        <w:rPr>
          <w:rFonts w:hint="eastAsia" w:ascii="楷体" w:hAnsi="楷体" w:eastAsia="楷体"/>
          <w:color w:val="auto"/>
          <w:sz w:val="24"/>
          <w:highlight w:val="none"/>
        </w:rPr>
        <w:t>本合同第2.18.1条约定的地址为本合同项下各种文书及发生争议时所涉诉讼文书的有效送达地址。上述送达地址适用于一审、二审、再审诉讼程序和执行程序。相关诉讼文书按上述地址进行送达，因无人签收、拒收等原因导致被退回的，退回之日即为送达之日。</w:t>
      </w:r>
    </w:p>
    <w:p w14:paraId="7BF16030">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 xml:space="preserve">2.19 </w:t>
      </w:r>
      <w:r>
        <w:rPr>
          <w:rFonts w:ascii="楷体" w:hAnsi="楷体" w:eastAsia="楷体"/>
          <w:b/>
          <w:color w:val="auto"/>
          <w:sz w:val="24"/>
          <w:highlight w:val="none"/>
        </w:rPr>
        <w:t>计量单位</w:t>
      </w:r>
    </w:p>
    <w:p w14:paraId="585FB20A">
      <w:pPr>
        <w:spacing w:line="360" w:lineRule="auto"/>
        <w:jc w:val="left"/>
        <w:rPr>
          <w:rFonts w:ascii="楷体" w:hAnsi="楷体" w:eastAsia="楷体"/>
          <w:color w:val="auto"/>
          <w:sz w:val="24"/>
          <w:highlight w:val="none"/>
        </w:rPr>
      </w:pPr>
      <w:r>
        <w:rPr>
          <w:rFonts w:ascii="楷体" w:hAnsi="楷体" w:eastAsia="楷体"/>
          <w:color w:val="auto"/>
          <w:sz w:val="24"/>
          <w:highlight w:val="none"/>
        </w:rPr>
        <w:t>除技术规范中另有规定外,合同的计量单位均使用国家法定计量单位。</w:t>
      </w:r>
    </w:p>
    <w:p w14:paraId="776CBB78">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2.20 合同使用的文字和</w:t>
      </w:r>
      <w:r>
        <w:rPr>
          <w:rFonts w:ascii="楷体" w:hAnsi="楷体" w:eastAsia="楷体"/>
          <w:b/>
          <w:color w:val="auto"/>
          <w:sz w:val="24"/>
          <w:highlight w:val="none"/>
        </w:rPr>
        <w:t>适用的法律</w:t>
      </w:r>
    </w:p>
    <w:p w14:paraId="7694E8BF">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2.20</w:t>
      </w:r>
      <w:r>
        <w:rPr>
          <w:rFonts w:ascii="楷体" w:hAnsi="楷体" w:eastAsia="楷体"/>
          <w:color w:val="auto"/>
          <w:sz w:val="24"/>
          <w:highlight w:val="none"/>
        </w:rPr>
        <w:t>.1</w:t>
      </w:r>
      <w:r>
        <w:rPr>
          <w:rFonts w:hint="eastAsia" w:ascii="楷体" w:hAnsi="楷体" w:eastAsia="楷体"/>
          <w:color w:val="auto"/>
          <w:sz w:val="24"/>
          <w:highlight w:val="none"/>
        </w:rPr>
        <w:t xml:space="preserve"> </w:t>
      </w:r>
      <w:r>
        <w:rPr>
          <w:rFonts w:ascii="楷体" w:hAnsi="楷体" w:eastAsia="楷体"/>
          <w:color w:val="auto"/>
          <w:sz w:val="24"/>
          <w:highlight w:val="none"/>
        </w:rPr>
        <w:t>合同使用汉语书就</w:t>
      </w:r>
      <w:r>
        <w:rPr>
          <w:rFonts w:hint="eastAsia" w:ascii="楷体" w:hAnsi="楷体" w:eastAsia="楷体"/>
          <w:color w:val="auto"/>
          <w:sz w:val="24"/>
          <w:highlight w:val="none"/>
        </w:rPr>
        <w:t>、</w:t>
      </w:r>
      <w:r>
        <w:rPr>
          <w:rFonts w:ascii="楷体" w:hAnsi="楷体" w:eastAsia="楷体"/>
          <w:color w:val="auto"/>
          <w:sz w:val="24"/>
          <w:highlight w:val="none"/>
        </w:rPr>
        <w:t>变更和解释</w:t>
      </w:r>
      <w:r>
        <w:rPr>
          <w:rFonts w:hint="eastAsia" w:ascii="楷体" w:hAnsi="楷体" w:eastAsia="楷体"/>
          <w:color w:val="auto"/>
          <w:sz w:val="24"/>
          <w:highlight w:val="none"/>
        </w:rPr>
        <w:t>；</w:t>
      </w:r>
    </w:p>
    <w:p w14:paraId="4DFF65FB">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2.20.2 合同适用</w:t>
      </w:r>
      <w:r>
        <w:rPr>
          <w:rFonts w:ascii="楷体" w:hAnsi="楷体" w:eastAsia="楷体"/>
          <w:color w:val="auto"/>
          <w:sz w:val="24"/>
          <w:highlight w:val="none"/>
        </w:rPr>
        <w:t>中华人民共和国法律。</w:t>
      </w:r>
    </w:p>
    <w:p w14:paraId="078A52F7">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2.22 合同份数</w:t>
      </w:r>
    </w:p>
    <w:p w14:paraId="31C90DD0">
      <w:pPr>
        <w:spacing w:line="360" w:lineRule="auto"/>
        <w:jc w:val="left"/>
        <w:rPr>
          <w:rFonts w:ascii="楷体" w:hAnsi="楷体" w:eastAsia="楷体"/>
          <w:color w:val="auto"/>
          <w:sz w:val="24"/>
          <w:highlight w:val="none"/>
        </w:rPr>
      </w:pPr>
      <w:r>
        <w:rPr>
          <w:rFonts w:ascii="楷体" w:hAnsi="楷体" w:eastAsia="楷体"/>
          <w:color w:val="auto"/>
          <w:sz w:val="24"/>
          <w:highlight w:val="none"/>
        </w:rPr>
        <w:t>合同份数按</w:t>
      </w:r>
      <w:r>
        <w:rPr>
          <w:rFonts w:ascii="楷体" w:hAnsi="楷体" w:eastAsia="楷体"/>
          <w:b/>
          <w:i/>
          <w:color w:val="auto"/>
          <w:sz w:val="24"/>
          <w:highlight w:val="none"/>
          <w:u w:val="single"/>
        </w:rPr>
        <w:t>合同专用条款</w:t>
      </w:r>
      <w:r>
        <w:rPr>
          <w:rFonts w:ascii="楷体" w:hAnsi="楷体" w:eastAsia="楷体"/>
          <w:color w:val="auto"/>
          <w:sz w:val="24"/>
          <w:highlight w:val="none"/>
        </w:rPr>
        <w:t>规定</w:t>
      </w:r>
      <w:r>
        <w:rPr>
          <w:rFonts w:hint="eastAsia" w:ascii="楷体" w:hAnsi="楷体" w:eastAsia="楷体"/>
          <w:color w:val="auto"/>
          <w:sz w:val="24"/>
          <w:highlight w:val="none"/>
        </w:rPr>
        <w:t>，</w:t>
      </w:r>
      <w:r>
        <w:rPr>
          <w:rFonts w:ascii="楷体" w:hAnsi="楷体" w:eastAsia="楷体"/>
          <w:color w:val="auto"/>
          <w:sz w:val="24"/>
          <w:highlight w:val="none"/>
        </w:rPr>
        <w:t>每份均具有同等法律效力</w:t>
      </w:r>
      <w:r>
        <w:rPr>
          <w:rFonts w:hint="eastAsia" w:ascii="楷体" w:hAnsi="楷体" w:eastAsia="楷体"/>
          <w:color w:val="auto"/>
          <w:sz w:val="24"/>
          <w:highlight w:val="none"/>
        </w:rPr>
        <w:t>。</w:t>
      </w:r>
    </w:p>
    <w:p w14:paraId="196A1567">
      <w:pPr>
        <w:spacing w:line="360" w:lineRule="auto"/>
        <w:jc w:val="left"/>
        <w:rPr>
          <w:rFonts w:ascii="楷体" w:hAnsi="楷体" w:eastAsia="楷体"/>
          <w:b/>
          <w:color w:val="auto"/>
          <w:sz w:val="24"/>
          <w:highlight w:val="none"/>
        </w:rPr>
      </w:pPr>
      <w:r>
        <w:rPr>
          <w:rFonts w:hint="eastAsia" w:ascii="楷体" w:hAnsi="楷体" w:eastAsia="楷体"/>
          <w:b/>
          <w:color w:val="auto"/>
          <w:sz w:val="24"/>
          <w:highlight w:val="none"/>
        </w:rPr>
        <w:t>2.2</w:t>
      </w:r>
      <w:r>
        <w:rPr>
          <w:rFonts w:ascii="楷体" w:hAnsi="楷体" w:eastAsia="楷体"/>
          <w:b/>
          <w:color w:val="auto"/>
          <w:sz w:val="24"/>
          <w:highlight w:val="none"/>
        </w:rPr>
        <w:t>3</w:t>
      </w:r>
      <w:r>
        <w:rPr>
          <w:rFonts w:hint="eastAsia" w:ascii="楷体" w:hAnsi="楷体" w:eastAsia="楷体"/>
          <w:b/>
          <w:color w:val="auto"/>
          <w:sz w:val="24"/>
          <w:highlight w:val="none"/>
        </w:rPr>
        <w:t xml:space="preserve"> 双方的权利和义务</w:t>
      </w:r>
    </w:p>
    <w:p w14:paraId="18067AA0">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.23.1</w:t>
      </w:r>
      <w:r>
        <w:rPr>
          <w:rFonts w:hint="eastAsia" w:ascii="楷体" w:hAnsi="楷体" w:eastAsia="楷体"/>
          <w:color w:val="auto"/>
          <w:sz w:val="24"/>
          <w:highlight w:val="none"/>
        </w:rPr>
        <w:t>甲方的权利和义务</w:t>
      </w:r>
    </w:p>
    <w:p w14:paraId="324412B7">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（1）甲方应按照本合同约定向乙方支付合同价款。</w:t>
      </w:r>
    </w:p>
    <w:p w14:paraId="23ABA6DD">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（2）甲方应履行必要的配合义务。</w:t>
      </w:r>
    </w:p>
    <w:p w14:paraId="615BAC2E">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w:t>
      </w:r>
      <w:r>
        <w:rPr>
          <w:rFonts w:ascii="楷体" w:hAnsi="楷体" w:eastAsia="楷体"/>
          <w:color w:val="auto"/>
          <w:sz w:val="24"/>
          <w:highlight w:val="none"/>
        </w:rPr>
        <w:t>.23.2</w:t>
      </w:r>
      <w:r>
        <w:rPr>
          <w:rFonts w:hint="eastAsia" w:ascii="楷体" w:hAnsi="楷体" w:eastAsia="楷体"/>
          <w:color w:val="auto"/>
          <w:sz w:val="24"/>
          <w:highlight w:val="none"/>
        </w:rPr>
        <w:t>的权利和义务</w:t>
      </w:r>
    </w:p>
    <w:p w14:paraId="1DD30FC5">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（1）乙方应按本合同约定向甲方提供本合同约定的货物及相关的技术资料。</w:t>
      </w:r>
    </w:p>
    <w:p w14:paraId="254389FD">
      <w:pPr>
        <w:spacing w:line="360" w:lineRule="auto"/>
        <w:jc w:val="left"/>
        <w:rPr>
          <w:rFonts w:ascii="楷体" w:hAnsi="楷体" w:eastAsia="楷体"/>
          <w:color w:val="auto"/>
          <w:sz w:val="24"/>
          <w:highlight w:val="none"/>
        </w:rPr>
      </w:pPr>
      <w:r>
        <w:rPr>
          <w:rFonts w:hint="eastAsia" w:ascii="楷体" w:hAnsi="楷体" w:eastAsia="楷体"/>
          <w:color w:val="auto"/>
          <w:sz w:val="24"/>
          <w:highlight w:val="none"/>
        </w:rPr>
        <w:t>（2）乙方指派【</w:t>
      </w:r>
      <w:r>
        <w:rPr>
          <w:rFonts w:hint="eastAsia" w:ascii="楷体" w:hAnsi="楷体" w:eastAsia="楷体"/>
          <w:color w:val="auto"/>
          <w:sz w:val="24"/>
          <w:highlight w:val="none"/>
          <w:lang w:val="en-US" w:eastAsia="zh-CN"/>
        </w:rPr>
        <w:t xml:space="preserve"> </w:t>
      </w:r>
      <w:r>
        <w:rPr>
          <w:rFonts w:hint="eastAsia" w:ascii="楷体" w:hAnsi="楷体" w:eastAsia="楷体" w:cs="楷体"/>
          <w:color w:val="auto"/>
          <w:spacing w:val="22"/>
          <w:sz w:val="24"/>
          <w:szCs w:val="24"/>
          <w:highlight w:val="none"/>
          <w:lang w:val="en-US" w:eastAsia="zh-CN"/>
        </w:rPr>
        <w:t>杨芳</w:t>
      </w:r>
      <w:r>
        <w:rPr>
          <w:rFonts w:hint="eastAsia" w:ascii="楷体" w:hAnsi="楷体" w:eastAsia="楷体"/>
          <w:color w:val="auto"/>
          <w:sz w:val="24"/>
          <w:highlight w:val="none"/>
          <w:lang w:val="en-US" w:eastAsia="zh-CN"/>
        </w:rPr>
        <w:t xml:space="preserve"> </w:t>
      </w:r>
      <w:r>
        <w:rPr>
          <w:rFonts w:hint="eastAsia" w:ascii="楷体" w:hAnsi="楷体" w:eastAsia="楷体"/>
          <w:color w:val="auto"/>
          <w:sz w:val="24"/>
          <w:highlight w:val="none"/>
        </w:rPr>
        <w:t>】（电话：【</w:t>
      </w:r>
      <w:r>
        <w:rPr>
          <w:rFonts w:hint="eastAsia" w:ascii="楷体" w:hAnsi="楷体" w:eastAsia="楷体"/>
          <w:color w:val="auto"/>
          <w:sz w:val="24"/>
          <w:highlight w:val="none"/>
          <w:lang w:val="en-US" w:eastAsia="zh-CN"/>
        </w:rPr>
        <w:t xml:space="preserve"> </w:t>
      </w:r>
      <w:r>
        <w:rPr>
          <w:rFonts w:hint="eastAsia" w:ascii="楷体" w:hAnsi="楷体" w:eastAsia="楷体" w:cs="楷体"/>
          <w:color w:val="auto"/>
          <w:spacing w:val="10"/>
          <w:sz w:val="24"/>
          <w:szCs w:val="24"/>
          <w:highlight w:val="none"/>
          <w:lang w:val="en-US" w:eastAsia="zh-CN"/>
        </w:rPr>
        <w:t>18116461093</w:t>
      </w:r>
      <w:r>
        <w:rPr>
          <w:rFonts w:hint="eastAsia" w:ascii="楷体" w:hAnsi="楷体" w:eastAsia="楷体"/>
          <w:color w:val="auto"/>
          <w:sz w:val="24"/>
          <w:highlight w:val="none"/>
          <w:lang w:val="en-US" w:eastAsia="zh-CN"/>
        </w:rPr>
        <w:t xml:space="preserve"> </w:t>
      </w:r>
      <w:r>
        <w:rPr>
          <w:rFonts w:hint="eastAsia" w:ascii="楷体" w:hAnsi="楷体" w:eastAsia="楷体"/>
          <w:color w:val="auto"/>
          <w:sz w:val="24"/>
          <w:highlight w:val="none"/>
        </w:rPr>
        <w:t>】）为乙方代表，负责合同执行，负责安排合同约定的全部工作，乙方代表行为视为乙方行为，乙方对乙方代表的行为全部予以认可，并自愿承担全部法律责任。若乙方变更履约代表，需提前七天征得甲方书面同意。</w:t>
      </w:r>
    </w:p>
    <w:p w14:paraId="47802828">
      <w:pPr>
        <w:jc w:val="left"/>
        <w:rPr>
          <w:rFonts w:ascii="楷体" w:hAnsi="楷体" w:eastAsia="楷体"/>
          <w:b/>
          <w:color w:val="auto"/>
          <w:sz w:val="24"/>
          <w:highlight w:val="none"/>
        </w:rPr>
      </w:pPr>
      <w:r>
        <w:rPr>
          <w:rFonts w:hint="eastAsia" w:ascii="楷体" w:hAnsi="楷体" w:eastAsia="楷体"/>
          <w:b/>
          <w:color w:val="auto"/>
          <w:sz w:val="24"/>
          <w:highlight w:val="none"/>
        </w:rPr>
        <w:br w:type="page"/>
      </w:r>
    </w:p>
    <w:p w14:paraId="5B3BDFEF">
      <w:pPr>
        <w:spacing w:line="360" w:lineRule="auto"/>
        <w:jc w:val="center"/>
        <w:rPr>
          <w:rFonts w:ascii="楷体" w:hAnsi="楷体" w:eastAsia="楷体"/>
          <w:b/>
          <w:color w:val="auto"/>
          <w:sz w:val="24"/>
          <w:highlight w:val="none"/>
        </w:rPr>
      </w:pPr>
      <w:r>
        <w:rPr>
          <w:rFonts w:hint="eastAsia" w:ascii="楷体" w:hAnsi="楷体" w:eastAsia="楷体"/>
          <w:b/>
          <w:color w:val="auto"/>
          <w:sz w:val="24"/>
          <w:highlight w:val="none"/>
        </w:rPr>
        <w:t>第三部分  合同专用条款</w:t>
      </w:r>
    </w:p>
    <w:p w14:paraId="6296C770">
      <w:pPr>
        <w:spacing w:line="360" w:lineRule="auto"/>
        <w:ind w:firstLine="600" w:firstLineChars="250"/>
        <w:jc w:val="left"/>
        <w:rPr>
          <w:rFonts w:ascii="楷体" w:hAnsi="楷体" w:eastAsia="楷体"/>
          <w:color w:val="auto"/>
          <w:sz w:val="24"/>
          <w:highlight w:val="none"/>
        </w:rPr>
      </w:pPr>
      <w:r>
        <w:rPr>
          <w:rFonts w:hint="eastAsia" w:ascii="楷体" w:hAnsi="楷体" w:eastAsia="楷体"/>
          <w:color w:val="auto"/>
          <w:sz w:val="24"/>
          <w:highlight w:val="none"/>
        </w:rPr>
        <w:t>本部分</w:t>
      </w:r>
      <w:r>
        <w:rPr>
          <w:rFonts w:ascii="楷体" w:hAnsi="楷体" w:eastAsia="楷体"/>
          <w:color w:val="auto"/>
          <w:sz w:val="24"/>
          <w:highlight w:val="none"/>
        </w:rPr>
        <w:t>是对</w:t>
      </w:r>
      <w:r>
        <w:rPr>
          <w:rFonts w:hint="eastAsia" w:ascii="楷体" w:hAnsi="楷体" w:eastAsia="楷体"/>
          <w:color w:val="auto"/>
          <w:sz w:val="24"/>
          <w:highlight w:val="none"/>
        </w:rPr>
        <w:t>前两</w:t>
      </w:r>
      <w:r>
        <w:rPr>
          <w:rFonts w:ascii="楷体" w:hAnsi="楷体" w:eastAsia="楷体"/>
          <w:color w:val="auto"/>
          <w:sz w:val="24"/>
          <w:highlight w:val="none"/>
        </w:rPr>
        <w:t>部分的补充和修改</w:t>
      </w:r>
      <w:r>
        <w:rPr>
          <w:rFonts w:hint="eastAsia" w:ascii="楷体" w:hAnsi="楷体" w:eastAsia="楷体"/>
          <w:color w:val="auto"/>
          <w:sz w:val="24"/>
          <w:highlight w:val="none"/>
        </w:rPr>
        <w:t>，</w:t>
      </w:r>
      <w:r>
        <w:rPr>
          <w:rFonts w:ascii="楷体" w:hAnsi="楷体" w:eastAsia="楷体"/>
          <w:color w:val="auto"/>
          <w:sz w:val="24"/>
          <w:highlight w:val="none"/>
        </w:rPr>
        <w:t>如果</w:t>
      </w:r>
      <w:r>
        <w:rPr>
          <w:rFonts w:hint="eastAsia" w:ascii="楷体" w:hAnsi="楷体" w:eastAsia="楷体"/>
          <w:color w:val="auto"/>
          <w:sz w:val="24"/>
          <w:highlight w:val="none"/>
        </w:rPr>
        <w:t>前两</w:t>
      </w:r>
      <w:r>
        <w:rPr>
          <w:rFonts w:ascii="楷体" w:hAnsi="楷体" w:eastAsia="楷体"/>
          <w:color w:val="auto"/>
          <w:sz w:val="24"/>
          <w:highlight w:val="none"/>
        </w:rPr>
        <w:t>部分和本部分的约定不一致</w:t>
      </w:r>
      <w:r>
        <w:rPr>
          <w:rFonts w:hint="eastAsia" w:ascii="楷体" w:hAnsi="楷体" w:eastAsia="楷体"/>
          <w:color w:val="auto"/>
          <w:sz w:val="24"/>
          <w:highlight w:val="none"/>
        </w:rPr>
        <w:t>，</w:t>
      </w:r>
      <w:r>
        <w:rPr>
          <w:rFonts w:ascii="楷体" w:hAnsi="楷体" w:eastAsia="楷体"/>
          <w:color w:val="auto"/>
          <w:sz w:val="24"/>
          <w:highlight w:val="none"/>
        </w:rPr>
        <w:t>应以本部分的约定为准</w:t>
      </w:r>
      <w:r>
        <w:rPr>
          <w:rFonts w:hint="eastAsia" w:ascii="楷体" w:hAnsi="楷体" w:eastAsia="楷体"/>
          <w:color w:val="auto"/>
          <w:sz w:val="24"/>
          <w:highlight w:val="none"/>
        </w:rPr>
        <w:t>。</w:t>
      </w:r>
      <w:r>
        <w:rPr>
          <w:rFonts w:ascii="楷体" w:hAnsi="楷体" w:eastAsia="楷体"/>
          <w:color w:val="auto"/>
          <w:sz w:val="24"/>
          <w:highlight w:val="none"/>
        </w:rPr>
        <w:t>本部分的条款号应与</w:t>
      </w:r>
      <w:r>
        <w:rPr>
          <w:rFonts w:hint="eastAsia" w:ascii="楷体" w:hAnsi="楷体" w:eastAsia="楷体"/>
          <w:color w:val="auto"/>
          <w:sz w:val="24"/>
          <w:highlight w:val="none"/>
        </w:rPr>
        <w:t>前两部分</w:t>
      </w:r>
      <w:r>
        <w:rPr>
          <w:rFonts w:ascii="楷体" w:hAnsi="楷体" w:eastAsia="楷体"/>
          <w:color w:val="auto"/>
          <w:sz w:val="24"/>
          <w:highlight w:val="none"/>
        </w:rPr>
        <w:t>的条款号保持对应</w:t>
      </w:r>
      <w:r>
        <w:rPr>
          <w:rFonts w:hint="eastAsia" w:ascii="楷体" w:hAnsi="楷体" w:eastAsia="楷体"/>
          <w:color w:val="auto"/>
          <w:sz w:val="24"/>
          <w:highlight w:val="none"/>
        </w:rPr>
        <w:t>；与前两部分</w:t>
      </w:r>
      <w:r>
        <w:rPr>
          <w:rFonts w:ascii="楷体" w:hAnsi="楷体" w:eastAsia="楷体"/>
          <w:color w:val="auto"/>
          <w:sz w:val="24"/>
          <w:highlight w:val="none"/>
        </w:rPr>
        <w:t>无对应关系的内容可另行编制条款号</w:t>
      </w:r>
      <w:r>
        <w:rPr>
          <w:rFonts w:hint="eastAsia" w:ascii="楷体" w:hAnsi="楷体" w:eastAsia="楷体"/>
          <w:color w:val="auto"/>
          <w:sz w:val="24"/>
          <w:highlight w:val="none"/>
        </w:rPr>
        <w:t>。</w:t>
      </w:r>
    </w:p>
    <w:tbl>
      <w:tblPr>
        <w:tblStyle w:val="1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76"/>
        <w:gridCol w:w="3407"/>
        <w:gridCol w:w="4179"/>
      </w:tblGrid>
      <w:tr w14:paraId="55778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left w:val="single" w:color="auto" w:sz="4" w:space="0"/>
              <w:right w:val="single" w:color="auto" w:sz="4" w:space="0"/>
            </w:tcBorders>
            <w:vAlign w:val="center"/>
          </w:tcPr>
          <w:p w14:paraId="1370858A">
            <w:pPr>
              <w:spacing w:line="360" w:lineRule="auto"/>
              <w:jc w:val="center"/>
              <w:rPr>
                <w:rFonts w:ascii="楷体" w:hAnsi="楷体" w:eastAsia="楷体"/>
                <w:b/>
                <w:color w:val="auto"/>
                <w:sz w:val="24"/>
                <w:highlight w:val="none"/>
              </w:rPr>
            </w:pPr>
            <w:r>
              <w:rPr>
                <w:rFonts w:ascii="楷体" w:hAnsi="楷体" w:eastAsia="楷体"/>
                <w:b/>
                <w:color w:val="auto"/>
                <w:sz w:val="24"/>
                <w:highlight w:val="none"/>
              </w:rPr>
              <w:t>条款号</w:t>
            </w:r>
          </w:p>
        </w:tc>
        <w:tc>
          <w:tcPr>
            <w:tcW w:w="2037" w:type="pct"/>
            <w:tcBorders>
              <w:left w:val="single" w:color="auto" w:sz="4" w:space="0"/>
            </w:tcBorders>
            <w:vAlign w:val="center"/>
          </w:tcPr>
          <w:p w14:paraId="7F048F27">
            <w:pPr>
              <w:spacing w:line="360" w:lineRule="auto"/>
              <w:jc w:val="center"/>
              <w:rPr>
                <w:rFonts w:ascii="楷体" w:hAnsi="楷体" w:eastAsia="楷体"/>
                <w:b/>
                <w:color w:val="auto"/>
                <w:sz w:val="24"/>
                <w:highlight w:val="none"/>
              </w:rPr>
            </w:pPr>
            <w:r>
              <w:rPr>
                <w:rFonts w:hint="eastAsia" w:ascii="楷体" w:hAnsi="楷体" w:eastAsia="楷体"/>
                <w:b/>
                <w:color w:val="auto"/>
                <w:sz w:val="24"/>
                <w:highlight w:val="none"/>
              </w:rPr>
              <w:t>内容</w:t>
            </w:r>
          </w:p>
        </w:tc>
        <w:tc>
          <w:tcPr>
            <w:tcW w:w="2498" w:type="pct"/>
            <w:vAlign w:val="center"/>
          </w:tcPr>
          <w:p w14:paraId="5FD6A2AD">
            <w:pPr>
              <w:spacing w:line="360" w:lineRule="auto"/>
              <w:jc w:val="center"/>
              <w:rPr>
                <w:rFonts w:ascii="楷体" w:hAnsi="楷体" w:eastAsia="楷体"/>
                <w:b/>
                <w:color w:val="auto"/>
                <w:sz w:val="24"/>
                <w:highlight w:val="none"/>
              </w:rPr>
            </w:pPr>
            <w:r>
              <w:rPr>
                <w:rFonts w:ascii="楷体" w:hAnsi="楷体" w:eastAsia="楷体"/>
                <w:b/>
                <w:color w:val="auto"/>
                <w:sz w:val="24"/>
                <w:highlight w:val="none"/>
              </w:rPr>
              <w:t>约定内容</w:t>
            </w:r>
          </w:p>
        </w:tc>
      </w:tr>
      <w:tr w14:paraId="2874A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left w:val="single" w:color="auto" w:sz="4" w:space="0"/>
              <w:right w:val="single" w:color="auto" w:sz="4" w:space="0"/>
            </w:tcBorders>
            <w:vAlign w:val="center"/>
          </w:tcPr>
          <w:p w14:paraId="12ADD815">
            <w:pPr>
              <w:jc w:val="center"/>
              <w:rPr>
                <w:rFonts w:ascii="楷体" w:hAnsi="楷体" w:eastAsia="楷体" w:cs="楷体"/>
                <w:bCs/>
                <w:color w:val="auto"/>
                <w:sz w:val="24"/>
                <w:highlight w:val="none"/>
              </w:rPr>
            </w:pPr>
            <w:r>
              <w:rPr>
                <w:rFonts w:hint="eastAsia" w:ascii="楷体" w:hAnsi="楷体" w:eastAsia="楷体" w:cs="楷体"/>
                <w:bCs/>
                <w:color w:val="auto"/>
                <w:sz w:val="24"/>
                <w:highlight w:val="none"/>
              </w:rPr>
              <w:t>1.5.1</w:t>
            </w:r>
          </w:p>
        </w:tc>
        <w:tc>
          <w:tcPr>
            <w:tcW w:w="2037" w:type="pct"/>
            <w:tcBorders>
              <w:left w:val="single" w:color="auto" w:sz="4" w:space="0"/>
            </w:tcBorders>
            <w:vAlign w:val="center"/>
          </w:tcPr>
          <w:p w14:paraId="44F5D63D">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货物交付期限</w:t>
            </w:r>
          </w:p>
        </w:tc>
        <w:tc>
          <w:tcPr>
            <w:tcW w:w="2498" w:type="pct"/>
            <w:vAlign w:val="center"/>
          </w:tcPr>
          <w:p w14:paraId="399E68C6">
            <w:pPr>
              <w:rPr>
                <w:rFonts w:ascii="楷体" w:hAnsi="楷体" w:eastAsia="楷体" w:cs="楷体"/>
                <w:bCs/>
                <w:color w:val="auto"/>
                <w:sz w:val="24"/>
                <w:highlight w:val="none"/>
              </w:rPr>
            </w:pPr>
            <w:r>
              <w:rPr>
                <w:rFonts w:hint="eastAsia" w:ascii="楷体" w:hAnsi="楷体" w:eastAsia="楷体" w:cs="楷体"/>
                <w:bCs/>
                <w:color w:val="auto"/>
                <w:sz w:val="24"/>
                <w:highlight w:val="none"/>
                <w:u w:val="single"/>
              </w:rPr>
              <w:t>本合同签订后[60]个日历日将全部货物运抵甲方指定交货地点，并办理相关交付手续。</w:t>
            </w:r>
          </w:p>
        </w:tc>
      </w:tr>
      <w:tr w14:paraId="69606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left w:val="single" w:color="auto" w:sz="4" w:space="0"/>
              <w:right w:val="single" w:color="auto" w:sz="4" w:space="0"/>
            </w:tcBorders>
            <w:vAlign w:val="center"/>
          </w:tcPr>
          <w:p w14:paraId="6E45DDD4">
            <w:pPr>
              <w:jc w:val="center"/>
              <w:rPr>
                <w:rFonts w:ascii="楷体" w:hAnsi="楷体" w:eastAsia="楷体" w:cs="楷体"/>
                <w:bCs/>
                <w:color w:val="auto"/>
                <w:sz w:val="24"/>
                <w:highlight w:val="none"/>
              </w:rPr>
            </w:pPr>
            <w:r>
              <w:rPr>
                <w:rFonts w:hint="eastAsia" w:ascii="楷体" w:hAnsi="楷体" w:eastAsia="楷体" w:cs="楷体"/>
                <w:bCs/>
                <w:color w:val="auto"/>
                <w:sz w:val="24"/>
                <w:highlight w:val="none"/>
              </w:rPr>
              <w:t>1.5.2</w:t>
            </w:r>
          </w:p>
        </w:tc>
        <w:tc>
          <w:tcPr>
            <w:tcW w:w="2037" w:type="pct"/>
            <w:tcBorders>
              <w:left w:val="single" w:color="auto" w:sz="4" w:space="0"/>
            </w:tcBorders>
            <w:vAlign w:val="center"/>
          </w:tcPr>
          <w:p w14:paraId="16E38DCF">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货物交付地点</w:t>
            </w:r>
          </w:p>
        </w:tc>
        <w:tc>
          <w:tcPr>
            <w:tcW w:w="2498" w:type="pct"/>
            <w:vAlign w:val="center"/>
          </w:tcPr>
          <w:p w14:paraId="6F703734">
            <w:pPr>
              <w:rPr>
                <w:rFonts w:ascii="楷体" w:hAnsi="楷体" w:eastAsia="楷体" w:cs="楷体"/>
                <w:bCs/>
                <w:color w:val="auto"/>
                <w:sz w:val="24"/>
                <w:highlight w:val="none"/>
              </w:rPr>
            </w:pPr>
            <w:r>
              <w:rPr>
                <w:rFonts w:hint="eastAsia" w:ascii="楷体" w:hAnsi="楷体" w:eastAsia="楷体" w:cs="楷体"/>
                <w:bCs/>
                <w:color w:val="auto"/>
                <w:sz w:val="24"/>
                <w:highlight w:val="none"/>
              </w:rPr>
              <w:t>甲方指定地点，具体送货地点以甲方指定位置为准。</w:t>
            </w:r>
          </w:p>
        </w:tc>
      </w:tr>
      <w:tr w14:paraId="64A59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4" w:type="pct"/>
            <w:tcBorders>
              <w:left w:val="single" w:color="auto" w:sz="4" w:space="0"/>
              <w:right w:val="single" w:color="auto" w:sz="4" w:space="0"/>
            </w:tcBorders>
            <w:vAlign w:val="center"/>
          </w:tcPr>
          <w:p w14:paraId="6077E5D6">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 xml:space="preserve">2.3.2 </w:t>
            </w:r>
          </w:p>
        </w:tc>
        <w:tc>
          <w:tcPr>
            <w:tcW w:w="2037" w:type="pct"/>
            <w:tcBorders>
              <w:left w:val="single" w:color="auto" w:sz="4" w:space="0"/>
            </w:tcBorders>
            <w:vAlign w:val="center"/>
          </w:tcPr>
          <w:p w14:paraId="5D56E78E">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具有知识产权货物的知识产权归属(如有)</w:t>
            </w:r>
          </w:p>
        </w:tc>
        <w:tc>
          <w:tcPr>
            <w:tcW w:w="2498" w:type="pct"/>
            <w:vAlign w:val="center"/>
          </w:tcPr>
          <w:p w14:paraId="71A45F18">
            <w:pPr>
              <w:rPr>
                <w:rFonts w:ascii="楷体" w:hAnsi="楷体" w:eastAsia="楷体" w:cs="楷体"/>
                <w:bCs/>
                <w:color w:val="auto"/>
                <w:sz w:val="24"/>
                <w:highlight w:val="none"/>
              </w:rPr>
            </w:pPr>
            <w:r>
              <w:rPr>
                <w:rFonts w:hint="eastAsia" w:ascii="楷体" w:hAnsi="楷体" w:eastAsia="楷体" w:cs="楷体"/>
                <w:bCs/>
                <w:color w:val="auto"/>
                <w:sz w:val="24"/>
                <w:highlight w:val="none"/>
              </w:rPr>
              <w:t>//</w:t>
            </w:r>
          </w:p>
        </w:tc>
      </w:tr>
      <w:tr w14:paraId="04501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464" w:type="pct"/>
            <w:tcBorders>
              <w:left w:val="single" w:color="auto" w:sz="4" w:space="0"/>
              <w:right w:val="single" w:color="auto" w:sz="4" w:space="0"/>
            </w:tcBorders>
            <w:vAlign w:val="center"/>
          </w:tcPr>
          <w:p w14:paraId="6BCEB5FC">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2.4.1</w:t>
            </w:r>
          </w:p>
        </w:tc>
        <w:tc>
          <w:tcPr>
            <w:tcW w:w="2037" w:type="pct"/>
            <w:tcBorders>
              <w:left w:val="single" w:color="auto" w:sz="4" w:space="0"/>
            </w:tcBorders>
            <w:vAlign w:val="center"/>
          </w:tcPr>
          <w:p w14:paraId="48CCE6FA">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货物包装要求（如有）</w:t>
            </w:r>
          </w:p>
        </w:tc>
        <w:tc>
          <w:tcPr>
            <w:tcW w:w="2498" w:type="pct"/>
            <w:vAlign w:val="center"/>
          </w:tcPr>
          <w:p w14:paraId="05C82F79">
            <w:pPr>
              <w:rPr>
                <w:rFonts w:ascii="楷体" w:hAnsi="楷体" w:eastAsia="楷体" w:cs="楷体"/>
                <w:bCs/>
                <w:color w:val="auto"/>
                <w:sz w:val="24"/>
                <w:highlight w:val="none"/>
              </w:rPr>
            </w:pPr>
            <w:r>
              <w:rPr>
                <w:rFonts w:hint="eastAsia" w:ascii="楷体" w:hAnsi="楷体" w:eastAsia="楷体" w:cs="楷体"/>
                <w:bCs/>
                <w:color w:val="auto"/>
                <w:sz w:val="24"/>
                <w:highlight w:val="none"/>
              </w:rPr>
              <w:t>符合国家相关标准，确保货物安全运抵交货地点</w:t>
            </w:r>
          </w:p>
        </w:tc>
      </w:tr>
      <w:tr w14:paraId="2E1D0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4" w:type="pct"/>
            <w:tcBorders>
              <w:left w:val="single" w:color="auto" w:sz="4" w:space="0"/>
              <w:right w:val="single" w:color="auto" w:sz="4" w:space="0"/>
            </w:tcBorders>
            <w:vAlign w:val="center"/>
          </w:tcPr>
          <w:p w14:paraId="0FD88B2C">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2.4.2</w:t>
            </w:r>
          </w:p>
        </w:tc>
        <w:tc>
          <w:tcPr>
            <w:tcW w:w="2037" w:type="pct"/>
            <w:tcBorders>
              <w:left w:val="single" w:color="auto" w:sz="4" w:space="0"/>
            </w:tcBorders>
            <w:vAlign w:val="center"/>
          </w:tcPr>
          <w:p w14:paraId="01184C37">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装运货物的要求和通知</w:t>
            </w:r>
          </w:p>
        </w:tc>
        <w:tc>
          <w:tcPr>
            <w:tcW w:w="2498" w:type="pct"/>
            <w:vAlign w:val="center"/>
          </w:tcPr>
          <w:p w14:paraId="3BE0AE48">
            <w:pPr>
              <w:rPr>
                <w:rFonts w:ascii="楷体" w:hAnsi="楷体" w:eastAsia="楷体" w:cs="楷体"/>
                <w:bCs/>
                <w:color w:val="auto"/>
                <w:sz w:val="24"/>
                <w:highlight w:val="none"/>
              </w:rPr>
            </w:pPr>
          </w:p>
        </w:tc>
      </w:tr>
      <w:tr w14:paraId="7A150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4" w:type="pct"/>
            <w:tcBorders>
              <w:left w:val="single" w:color="auto" w:sz="4" w:space="0"/>
              <w:right w:val="single" w:color="auto" w:sz="4" w:space="0"/>
            </w:tcBorders>
            <w:vAlign w:val="center"/>
          </w:tcPr>
          <w:p w14:paraId="1ADF4BB5">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2.6</w:t>
            </w:r>
          </w:p>
        </w:tc>
        <w:tc>
          <w:tcPr>
            <w:tcW w:w="2037" w:type="pct"/>
            <w:tcBorders>
              <w:left w:val="single" w:color="auto" w:sz="4" w:space="0"/>
            </w:tcBorders>
            <w:vAlign w:val="center"/>
          </w:tcPr>
          <w:p w14:paraId="5B656673">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结算方式和付款条件：</w:t>
            </w:r>
          </w:p>
        </w:tc>
        <w:tc>
          <w:tcPr>
            <w:tcW w:w="2498" w:type="pct"/>
            <w:vAlign w:val="center"/>
          </w:tcPr>
          <w:p w14:paraId="2B3D9372">
            <w:pPr>
              <w:rPr>
                <w:rFonts w:ascii="楷体" w:hAnsi="楷体" w:eastAsia="楷体" w:cs="楷体"/>
                <w:bCs/>
                <w:color w:val="auto"/>
                <w:sz w:val="24"/>
                <w:highlight w:val="none"/>
              </w:rPr>
            </w:pPr>
            <w:r>
              <w:rPr>
                <w:rFonts w:hint="eastAsia" w:ascii="楷体" w:hAnsi="楷体" w:eastAsia="楷体" w:cs="楷体"/>
                <w:bCs/>
                <w:color w:val="auto"/>
                <w:sz w:val="24"/>
                <w:highlight w:val="none"/>
              </w:rPr>
              <w:t>签订合同后，所供货物经甲方最终验收达到合同要求后，由乙方凭供货合同及《货物验收数量和质量验收单》、入库单和发票提出付款申请，办理资金支付手续，支付合同总价的100%。</w:t>
            </w:r>
          </w:p>
        </w:tc>
      </w:tr>
      <w:tr w14:paraId="78BD5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6" w:hRule="atLeast"/>
        </w:trPr>
        <w:tc>
          <w:tcPr>
            <w:tcW w:w="464" w:type="pct"/>
            <w:tcBorders>
              <w:left w:val="single" w:color="auto" w:sz="4" w:space="0"/>
              <w:right w:val="single" w:color="auto" w:sz="4" w:space="0"/>
            </w:tcBorders>
            <w:vAlign w:val="center"/>
          </w:tcPr>
          <w:p w14:paraId="2ADA0871">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2.8</w:t>
            </w:r>
          </w:p>
        </w:tc>
        <w:tc>
          <w:tcPr>
            <w:tcW w:w="2037" w:type="pct"/>
            <w:tcBorders>
              <w:left w:val="single" w:color="auto" w:sz="4" w:space="0"/>
            </w:tcBorders>
            <w:vAlign w:val="center"/>
          </w:tcPr>
          <w:p w14:paraId="03805539">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 xml:space="preserve">质量保证期限 </w:t>
            </w:r>
          </w:p>
        </w:tc>
        <w:tc>
          <w:tcPr>
            <w:tcW w:w="2498" w:type="pct"/>
            <w:vAlign w:val="center"/>
          </w:tcPr>
          <w:p w14:paraId="3A6DF804">
            <w:pPr>
              <w:rPr>
                <w:rFonts w:ascii="楷体" w:hAnsi="楷体" w:eastAsia="楷体" w:cs="楷体"/>
                <w:bCs/>
                <w:color w:val="auto"/>
                <w:sz w:val="24"/>
                <w:highlight w:val="none"/>
              </w:rPr>
            </w:pPr>
            <w:r>
              <w:rPr>
                <w:rFonts w:hint="eastAsia" w:ascii="楷体" w:hAnsi="楷体" w:eastAsia="楷体" w:cs="楷体"/>
                <w:bCs/>
                <w:color w:val="auto"/>
                <w:sz w:val="24"/>
                <w:highlight w:val="none"/>
              </w:rPr>
              <w:t>质量保证期限：60个月，自甲方最终验收通过之日起算。</w:t>
            </w:r>
          </w:p>
        </w:tc>
      </w:tr>
      <w:tr w14:paraId="48CC8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4" w:type="pct"/>
            <w:tcBorders>
              <w:left w:val="single" w:color="auto" w:sz="4" w:space="0"/>
              <w:right w:val="single" w:color="auto" w:sz="4" w:space="0"/>
            </w:tcBorders>
            <w:vAlign w:val="center"/>
          </w:tcPr>
          <w:p w14:paraId="4FD8963A">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2.13.3</w:t>
            </w:r>
          </w:p>
        </w:tc>
        <w:tc>
          <w:tcPr>
            <w:tcW w:w="2037" w:type="pct"/>
            <w:tcBorders>
              <w:left w:val="single" w:color="auto" w:sz="4" w:space="0"/>
            </w:tcBorders>
            <w:vAlign w:val="center"/>
          </w:tcPr>
          <w:p w14:paraId="5021C91E">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因不可抗力致使合同有变更必要的，双方当事人应在</w:t>
            </w:r>
            <w:r>
              <w:rPr>
                <w:rFonts w:hint="eastAsia" w:ascii="楷体" w:hAnsi="楷体" w:eastAsia="楷体" w:cs="楷体"/>
                <w:bCs/>
                <w:i/>
                <w:color w:val="auto"/>
                <w:sz w:val="24"/>
                <w:highlight w:val="none"/>
                <w:u w:val="single"/>
              </w:rPr>
              <w:t xml:space="preserve">    </w:t>
            </w:r>
            <w:r>
              <w:rPr>
                <w:rFonts w:hint="eastAsia" w:ascii="楷体" w:hAnsi="楷体" w:eastAsia="楷体" w:cs="楷体"/>
                <w:bCs/>
                <w:color w:val="auto"/>
                <w:sz w:val="24"/>
                <w:highlight w:val="none"/>
              </w:rPr>
              <w:t>时间内以书面形式变更合同；</w:t>
            </w:r>
          </w:p>
        </w:tc>
        <w:tc>
          <w:tcPr>
            <w:tcW w:w="2498" w:type="pct"/>
            <w:vAlign w:val="center"/>
          </w:tcPr>
          <w:p w14:paraId="73B120DA">
            <w:pPr>
              <w:rPr>
                <w:rFonts w:ascii="楷体" w:hAnsi="楷体" w:eastAsia="楷体" w:cs="楷体"/>
                <w:bCs/>
                <w:color w:val="auto"/>
                <w:sz w:val="24"/>
                <w:highlight w:val="none"/>
                <w:u w:val="single"/>
              </w:rPr>
            </w:pPr>
            <w:r>
              <w:rPr>
                <w:rFonts w:hint="eastAsia" w:ascii="楷体" w:hAnsi="楷体" w:eastAsia="楷体" w:cs="楷体"/>
                <w:bCs/>
                <w:color w:val="auto"/>
                <w:sz w:val="24"/>
                <w:highlight w:val="none"/>
                <w:u w:val="single"/>
              </w:rPr>
              <w:t>7日内</w:t>
            </w:r>
          </w:p>
        </w:tc>
      </w:tr>
      <w:tr w14:paraId="28087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4" w:type="pct"/>
            <w:tcBorders>
              <w:left w:val="single" w:color="auto" w:sz="4" w:space="0"/>
              <w:right w:val="single" w:color="auto" w:sz="4" w:space="0"/>
            </w:tcBorders>
            <w:vAlign w:val="center"/>
          </w:tcPr>
          <w:p w14:paraId="01DAA95F">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2.13.4</w:t>
            </w:r>
          </w:p>
        </w:tc>
        <w:tc>
          <w:tcPr>
            <w:tcW w:w="2037" w:type="pct"/>
            <w:tcBorders>
              <w:left w:val="single" w:color="auto" w:sz="4" w:space="0"/>
            </w:tcBorders>
            <w:vAlign w:val="center"/>
          </w:tcPr>
          <w:p w14:paraId="7BB3EDFF">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受不可抗力影响的一方在不可抗力发生后，应在</w:t>
            </w:r>
            <w:r>
              <w:rPr>
                <w:rFonts w:hint="eastAsia" w:ascii="楷体" w:hAnsi="楷体" w:eastAsia="楷体" w:cs="楷体"/>
                <w:bCs/>
                <w:i/>
                <w:color w:val="auto"/>
                <w:sz w:val="24"/>
                <w:highlight w:val="none"/>
                <w:u w:val="single"/>
              </w:rPr>
              <w:t xml:space="preserve">    </w:t>
            </w:r>
            <w:r>
              <w:rPr>
                <w:rFonts w:hint="eastAsia" w:ascii="楷体" w:hAnsi="楷体" w:eastAsia="楷体" w:cs="楷体"/>
                <w:bCs/>
                <w:color w:val="auto"/>
                <w:sz w:val="24"/>
                <w:highlight w:val="none"/>
              </w:rPr>
              <w:t>时间内以书面形式通知对方当事人，并在</w:t>
            </w:r>
            <w:r>
              <w:rPr>
                <w:rFonts w:hint="eastAsia" w:ascii="楷体" w:hAnsi="楷体" w:eastAsia="楷体" w:cs="楷体"/>
                <w:bCs/>
                <w:i/>
                <w:color w:val="auto"/>
                <w:sz w:val="24"/>
                <w:highlight w:val="none"/>
                <w:u w:val="single"/>
              </w:rPr>
              <w:t xml:space="preserve">    </w:t>
            </w:r>
            <w:r>
              <w:rPr>
                <w:rFonts w:hint="eastAsia" w:ascii="楷体" w:hAnsi="楷体" w:eastAsia="楷体" w:cs="楷体"/>
                <w:bCs/>
                <w:color w:val="auto"/>
                <w:sz w:val="24"/>
                <w:highlight w:val="none"/>
              </w:rPr>
              <w:t>时间内，将有关部门出具的证明文件送达对方当事人。</w:t>
            </w:r>
          </w:p>
        </w:tc>
        <w:tc>
          <w:tcPr>
            <w:tcW w:w="2498" w:type="pct"/>
            <w:vAlign w:val="center"/>
          </w:tcPr>
          <w:p w14:paraId="2CCB3C3D">
            <w:pPr>
              <w:rPr>
                <w:rFonts w:ascii="楷体" w:hAnsi="楷体" w:eastAsia="楷体" w:cs="楷体"/>
                <w:bCs/>
                <w:color w:val="auto"/>
                <w:sz w:val="24"/>
                <w:highlight w:val="none"/>
              </w:rPr>
            </w:pPr>
            <w:r>
              <w:rPr>
                <w:rFonts w:hint="eastAsia" w:ascii="楷体" w:hAnsi="楷体" w:eastAsia="楷体" w:cs="楷体"/>
                <w:bCs/>
                <w:color w:val="auto"/>
                <w:sz w:val="24"/>
                <w:highlight w:val="none"/>
                <w:u w:val="single"/>
              </w:rPr>
              <w:t>2日内</w:t>
            </w:r>
          </w:p>
        </w:tc>
      </w:tr>
      <w:tr w14:paraId="45A16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4" w:type="pct"/>
            <w:tcBorders>
              <w:left w:val="single" w:color="auto" w:sz="4" w:space="0"/>
              <w:right w:val="single" w:color="auto" w:sz="4" w:space="0"/>
            </w:tcBorders>
            <w:vAlign w:val="center"/>
          </w:tcPr>
          <w:p w14:paraId="0AEB18FB">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2.17.1</w:t>
            </w:r>
          </w:p>
        </w:tc>
        <w:tc>
          <w:tcPr>
            <w:tcW w:w="2037" w:type="pct"/>
            <w:tcBorders>
              <w:left w:val="single" w:color="auto" w:sz="4" w:space="0"/>
            </w:tcBorders>
            <w:vAlign w:val="center"/>
          </w:tcPr>
          <w:p w14:paraId="33A8D8E2">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货物交付时，</w:t>
            </w:r>
            <w:r>
              <w:rPr>
                <w:rFonts w:hint="eastAsia" w:ascii="楷体" w:hAnsi="楷体" w:eastAsia="楷体" w:cs="楷体"/>
                <w:bCs/>
                <w:color w:val="auto"/>
                <w:sz w:val="24"/>
                <w:highlight w:val="none"/>
                <w:lang w:val="en-US" w:eastAsia="zh-CN"/>
              </w:rPr>
              <w:t>甲</w:t>
            </w:r>
            <w:r>
              <w:rPr>
                <w:rFonts w:hint="eastAsia" w:ascii="楷体" w:hAnsi="楷体" w:eastAsia="楷体" w:cs="楷体"/>
                <w:bCs/>
                <w:color w:val="auto"/>
                <w:sz w:val="24"/>
                <w:highlight w:val="none"/>
              </w:rPr>
              <w:t>方在</w:t>
            </w:r>
            <w:r>
              <w:rPr>
                <w:rFonts w:hint="eastAsia" w:ascii="楷体" w:hAnsi="楷体" w:eastAsia="楷体" w:cs="楷体"/>
                <w:bCs/>
                <w:color w:val="auto"/>
                <w:sz w:val="24"/>
                <w:highlight w:val="none"/>
                <w:u w:val="single"/>
              </w:rPr>
              <w:t xml:space="preserve">    </w:t>
            </w:r>
            <w:r>
              <w:rPr>
                <w:rFonts w:hint="eastAsia" w:ascii="楷体" w:hAnsi="楷体" w:eastAsia="楷体" w:cs="楷体"/>
                <w:bCs/>
                <w:color w:val="auto"/>
                <w:sz w:val="24"/>
                <w:highlight w:val="none"/>
              </w:rPr>
              <w:t>时间内组织验收，并可依法邀请相关方参加，验收应出具验收书。</w:t>
            </w:r>
          </w:p>
        </w:tc>
        <w:tc>
          <w:tcPr>
            <w:tcW w:w="2498" w:type="pct"/>
            <w:vAlign w:val="center"/>
          </w:tcPr>
          <w:p w14:paraId="4EA40038">
            <w:pPr>
              <w:rPr>
                <w:rFonts w:ascii="楷体" w:hAnsi="楷体" w:eastAsia="楷体" w:cs="楷体"/>
                <w:bCs/>
                <w:color w:val="auto"/>
                <w:sz w:val="24"/>
                <w:highlight w:val="none"/>
                <w:u w:val="single"/>
              </w:rPr>
            </w:pPr>
            <w:r>
              <w:rPr>
                <w:rFonts w:hint="eastAsia" w:ascii="楷体" w:hAnsi="楷体" w:eastAsia="楷体" w:cs="楷体"/>
                <w:bCs/>
                <w:color w:val="auto"/>
                <w:sz w:val="24"/>
                <w:highlight w:val="none"/>
                <w:u w:val="single"/>
              </w:rPr>
              <w:t>5日内</w:t>
            </w:r>
          </w:p>
        </w:tc>
      </w:tr>
      <w:tr w14:paraId="5B140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4" w:type="pct"/>
            <w:tcBorders>
              <w:left w:val="single" w:color="auto" w:sz="4" w:space="0"/>
              <w:right w:val="single" w:color="auto" w:sz="4" w:space="0"/>
            </w:tcBorders>
            <w:vAlign w:val="center"/>
          </w:tcPr>
          <w:p w14:paraId="7FFEC0A4">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2.17.3</w:t>
            </w:r>
          </w:p>
        </w:tc>
        <w:tc>
          <w:tcPr>
            <w:tcW w:w="2037" w:type="pct"/>
            <w:tcBorders>
              <w:left w:val="single" w:color="auto" w:sz="4" w:space="0"/>
            </w:tcBorders>
            <w:vAlign w:val="center"/>
          </w:tcPr>
          <w:p w14:paraId="5B259494">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检验和验收标准、程序等具体内容以及前述验收书的效力（包括货物交付时、货物交付完后）</w:t>
            </w:r>
          </w:p>
        </w:tc>
        <w:tc>
          <w:tcPr>
            <w:tcW w:w="2498" w:type="pct"/>
            <w:vAlign w:val="center"/>
          </w:tcPr>
          <w:p w14:paraId="655927E6">
            <w:pPr>
              <w:rPr>
                <w:rFonts w:ascii="楷体" w:hAnsi="楷体" w:eastAsia="楷体" w:cs="楷体"/>
                <w:bCs/>
                <w:color w:val="auto"/>
                <w:sz w:val="24"/>
                <w:highlight w:val="none"/>
              </w:rPr>
            </w:pPr>
            <w:r>
              <w:rPr>
                <w:rFonts w:hint="eastAsia" w:ascii="楷体" w:hAnsi="楷体" w:eastAsia="楷体" w:cs="楷体"/>
                <w:bCs/>
                <w:color w:val="auto"/>
                <w:sz w:val="24"/>
                <w:highlight w:val="none"/>
              </w:rPr>
              <w:t>1. 检验和验收标准：按国家规定</w:t>
            </w:r>
          </w:p>
          <w:p w14:paraId="5B26DDBD">
            <w:pPr>
              <w:rPr>
                <w:rFonts w:ascii="楷体" w:hAnsi="楷体" w:eastAsia="楷体" w:cs="楷体"/>
                <w:bCs/>
                <w:color w:val="auto"/>
                <w:sz w:val="24"/>
                <w:highlight w:val="none"/>
              </w:rPr>
            </w:pPr>
            <w:r>
              <w:rPr>
                <w:rFonts w:hint="eastAsia" w:ascii="楷体" w:hAnsi="楷体" w:eastAsia="楷体" w:cs="楷体"/>
                <w:bCs/>
                <w:color w:val="auto"/>
                <w:sz w:val="24"/>
                <w:highlight w:val="none"/>
              </w:rPr>
              <w:t>2. 检验和验收程序：按国家规定</w:t>
            </w:r>
          </w:p>
          <w:p w14:paraId="541FC77C">
            <w:pPr>
              <w:rPr>
                <w:rFonts w:ascii="楷体" w:hAnsi="楷体" w:eastAsia="楷体" w:cs="楷体"/>
                <w:bCs/>
                <w:color w:val="auto"/>
                <w:sz w:val="24"/>
                <w:highlight w:val="none"/>
              </w:rPr>
            </w:pPr>
            <w:r>
              <w:rPr>
                <w:rFonts w:hint="eastAsia" w:ascii="楷体" w:hAnsi="楷体" w:eastAsia="楷体" w:cs="楷体"/>
                <w:bCs/>
                <w:color w:val="auto"/>
                <w:sz w:val="24"/>
                <w:highlight w:val="none"/>
              </w:rPr>
              <w:t>3. 验收书的效力：按国家规定</w:t>
            </w:r>
          </w:p>
        </w:tc>
      </w:tr>
      <w:tr w14:paraId="3EA9C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4" w:type="pct"/>
            <w:tcBorders>
              <w:top w:val="single" w:color="auto" w:sz="6" w:space="0"/>
              <w:left w:val="single" w:color="auto" w:sz="4" w:space="0"/>
              <w:bottom w:val="single" w:color="auto" w:sz="6" w:space="0"/>
              <w:right w:val="single" w:color="auto" w:sz="4" w:space="0"/>
            </w:tcBorders>
            <w:vAlign w:val="center"/>
          </w:tcPr>
          <w:p w14:paraId="2397C4A7">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2.22</w:t>
            </w:r>
          </w:p>
        </w:tc>
        <w:tc>
          <w:tcPr>
            <w:tcW w:w="2037" w:type="pct"/>
            <w:tcBorders>
              <w:top w:val="single" w:color="auto" w:sz="6" w:space="0"/>
              <w:left w:val="single" w:color="auto" w:sz="4" w:space="0"/>
              <w:bottom w:val="single" w:color="auto" w:sz="6" w:space="0"/>
              <w:right w:val="single" w:color="auto" w:sz="6" w:space="0"/>
            </w:tcBorders>
            <w:vAlign w:val="center"/>
          </w:tcPr>
          <w:p w14:paraId="7B77AD75">
            <w:pPr>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合同份数</w:t>
            </w:r>
          </w:p>
        </w:tc>
        <w:tc>
          <w:tcPr>
            <w:tcW w:w="2498" w:type="pct"/>
            <w:tcBorders>
              <w:top w:val="single" w:color="auto" w:sz="6" w:space="0"/>
              <w:left w:val="single" w:color="auto" w:sz="6" w:space="0"/>
              <w:bottom w:val="single" w:color="auto" w:sz="6" w:space="0"/>
              <w:right w:val="single" w:color="auto" w:sz="6" w:space="0"/>
            </w:tcBorders>
            <w:vAlign w:val="center"/>
          </w:tcPr>
          <w:p w14:paraId="7E34A56C">
            <w:pPr>
              <w:rPr>
                <w:rFonts w:ascii="楷体" w:hAnsi="楷体" w:eastAsia="楷体" w:cs="楷体"/>
                <w:bCs/>
                <w:color w:val="auto"/>
                <w:sz w:val="24"/>
                <w:highlight w:val="none"/>
              </w:rPr>
            </w:pPr>
            <w:r>
              <w:rPr>
                <w:rFonts w:hint="eastAsia" w:ascii="楷体" w:hAnsi="楷体" w:eastAsia="楷体" w:cs="楷体"/>
                <w:bCs/>
                <w:color w:val="auto"/>
                <w:sz w:val="24"/>
                <w:highlight w:val="none"/>
              </w:rPr>
              <w:t>本合同一式【</w:t>
            </w:r>
            <w:r>
              <w:rPr>
                <w:rFonts w:hint="eastAsia" w:ascii="楷体" w:hAnsi="楷体" w:eastAsia="楷体" w:cs="楷体"/>
                <w:bCs/>
                <w:color w:val="auto"/>
                <w:sz w:val="24"/>
                <w:highlight w:val="none"/>
                <w:lang w:val="en-US" w:eastAsia="zh-CN"/>
              </w:rPr>
              <w:t>6</w:t>
            </w:r>
            <w:r>
              <w:rPr>
                <w:rFonts w:hint="eastAsia" w:ascii="楷体" w:hAnsi="楷体" w:eastAsia="楷体" w:cs="楷体"/>
                <w:bCs/>
                <w:color w:val="auto"/>
                <w:sz w:val="24"/>
                <w:highlight w:val="none"/>
              </w:rPr>
              <w:t>】份，甲方执【</w:t>
            </w:r>
            <w:r>
              <w:rPr>
                <w:rFonts w:hint="eastAsia" w:ascii="楷体" w:hAnsi="楷体" w:eastAsia="楷体" w:cs="楷体"/>
                <w:bCs/>
                <w:color w:val="auto"/>
                <w:sz w:val="24"/>
                <w:highlight w:val="none"/>
                <w:lang w:val="en-US" w:eastAsia="zh-CN"/>
              </w:rPr>
              <w:t>4</w:t>
            </w:r>
            <w:r>
              <w:rPr>
                <w:rFonts w:hint="eastAsia" w:ascii="楷体" w:hAnsi="楷体" w:eastAsia="楷体" w:cs="楷体"/>
                <w:bCs/>
                <w:color w:val="auto"/>
                <w:sz w:val="24"/>
                <w:highlight w:val="none"/>
              </w:rPr>
              <w:t>】份，乙方执【2】份，具有同等法律效力。</w:t>
            </w:r>
          </w:p>
        </w:tc>
      </w:tr>
    </w:tbl>
    <w:p w14:paraId="4D7ECBFD">
      <w:pPr>
        <w:rPr>
          <w:color w:val="auto"/>
          <w:highlight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E1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A393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BA393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TMwZGEwMjRkMWIxZjAwNWRhNzQ4ZjFjNmFiZGIifQ=="/>
  </w:docVars>
  <w:rsids>
    <w:rsidRoot w:val="00BB1B51"/>
    <w:rsid w:val="00100955"/>
    <w:rsid w:val="003D671D"/>
    <w:rsid w:val="00532B47"/>
    <w:rsid w:val="00562C7E"/>
    <w:rsid w:val="007D3F73"/>
    <w:rsid w:val="00800A47"/>
    <w:rsid w:val="00BB1B51"/>
    <w:rsid w:val="00D4285C"/>
    <w:rsid w:val="00D70B58"/>
    <w:rsid w:val="00E613C5"/>
    <w:rsid w:val="00F13525"/>
    <w:rsid w:val="00F26B5D"/>
    <w:rsid w:val="014748F4"/>
    <w:rsid w:val="02FA25DD"/>
    <w:rsid w:val="03485583"/>
    <w:rsid w:val="05B314F7"/>
    <w:rsid w:val="07290D24"/>
    <w:rsid w:val="08701A9E"/>
    <w:rsid w:val="0DB60C93"/>
    <w:rsid w:val="130D0A48"/>
    <w:rsid w:val="13115FC9"/>
    <w:rsid w:val="1343316D"/>
    <w:rsid w:val="155F650F"/>
    <w:rsid w:val="17D9680D"/>
    <w:rsid w:val="19A47BA4"/>
    <w:rsid w:val="19F02F3D"/>
    <w:rsid w:val="1BC05D1A"/>
    <w:rsid w:val="205B4263"/>
    <w:rsid w:val="20B74A86"/>
    <w:rsid w:val="2110329F"/>
    <w:rsid w:val="23D5432C"/>
    <w:rsid w:val="25C5434C"/>
    <w:rsid w:val="264D0AF2"/>
    <w:rsid w:val="268353FC"/>
    <w:rsid w:val="27741D05"/>
    <w:rsid w:val="2E7D7A9A"/>
    <w:rsid w:val="32903F33"/>
    <w:rsid w:val="32E63068"/>
    <w:rsid w:val="3A3C2801"/>
    <w:rsid w:val="3A894007"/>
    <w:rsid w:val="3B2D009D"/>
    <w:rsid w:val="3B583D69"/>
    <w:rsid w:val="3CCA1062"/>
    <w:rsid w:val="3DA037A5"/>
    <w:rsid w:val="3E004557"/>
    <w:rsid w:val="3EF47905"/>
    <w:rsid w:val="416405D4"/>
    <w:rsid w:val="42286019"/>
    <w:rsid w:val="4248434D"/>
    <w:rsid w:val="42E303BC"/>
    <w:rsid w:val="442B729F"/>
    <w:rsid w:val="44A678F3"/>
    <w:rsid w:val="44ED4748"/>
    <w:rsid w:val="46830F95"/>
    <w:rsid w:val="47BC5870"/>
    <w:rsid w:val="4B2A036D"/>
    <w:rsid w:val="50111421"/>
    <w:rsid w:val="506B7C43"/>
    <w:rsid w:val="50ED2406"/>
    <w:rsid w:val="510B677D"/>
    <w:rsid w:val="56E2080F"/>
    <w:rsid w:val="57C96421"/>
    <w:rsid w:val="58A24059"/>
    <w:rsid w:val="5A7C74CF"/>
    <w:rsid w:val="5BAF23C4"/>
    <w:rsid w:val="5C3D2493"/>
    <w:rsid w:val="5D0006A0"/>
    <w:rsid w:val="5DB62C3D"/>
    <w:rsid w:val="621E4F23"/>
    <w:rsid w:val="62F40AB4"/>
    <w:rsid w:val="635C7B8C"/>
    <w:rsid w:val="689E250C"/>
    <w:rsid w:val="69124CA8"/>
    <w:rsid w:val="70923F61"/>
    <w:rsid w:val="72B143B4"/>
    <w:rsid w:val="77F14BB1"/>
    <w:rsid w:val="7BD5403F"/>
    <w:rsid w:val="7D515947"/>
    <w:rsid w:val="7D93291A"/>
    <w:rsid w:val="7DCF4ABD"/>
    <w:rsid w:val="7F1C3D32"/>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spacing w:after="120"/>
    </w:pPr>
    <w:rPr>
      <w:szCs w:val="20"/>
    </w:rPr>
  </w:style>
  <w:style w:type="paragraph" w:styleId="4">
    <w:name w:val="Date"/>
    <w:basedOn w:val="1"/>
    <w:next w:val="1"/>
    <w:qFormat/>
    <w:uiPriority w:val="0"/>
    <w:rPr>
      <w:szCs w:val="20"/>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qFormat/>
    <w:uiPriority w:val="99"/>
    <w:pPr>
      <w:spacing w:before="240" w:after="60" w:line="312" w:lineRule="auto"/>
      <w:jc w:val="center"/>
      <w:outlineLvl w:val="1"/>
    </w:pPr>
    <w:rPr>
      <w:rFonts w:ascii="Cambria" w:hAnsi="Cambria"/>
      <w:b/>
      <w:kern w:val="28"/>
      <w:sz w:val="32"/>
    </w:rPr>
  </w:style>
  <w:style w:type="paragraph" w:styleId="8">
    <w:name w:val="annotation subject"/>
    <w:basedOn w:val="2"/>
    <w:next w:val="2"/>
    <w:link w:val="17"/>
    <w:qFormat/>
    <w:uiPriority w:val="0"/>
    <w:rPr>
      <w:b/>
      <w:bCs/>
    </w:rPr>
  </w:style>
  <w:style w:type="paragraph" w:styleId="9">
    <w:name w:val="Body Text First Indent"/>
    <w:basedOn w:val="3"/>
    <w:qFormat/>
    <w:uiPriority w:val="0"/>
    <w:pPr>
      <w:spacing w:after="0" w:line="480" w:lineRule="exact"/>
      <w:ind w:firstLine="360"/>
    </w:pPr>
    <w:rPr>
      <w:rFonts w:ascii="宋体" w:hAnsi="宋体"/>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页眉 字符"/>
    <w:basedOn w:val="12"/>
    <w:link w:val="6"/>
    <w:qFormat/>
    <w:uiPriority w:val="0"/>
    <w:rPr>
      <w:rFonts w:ascii="Times New Roman" w:hAnsi="Times New Roman" w:eastAsia="宋体" w:cs="Times New Roman"/>
      <w:kern w:val="2"/>
      <w:sz w:val="18"/>
      <w:szCs w:val="18"/>
    </w:rPr>
  </w:style>
  <w:style w:type="character" w:customStyle="1" w:styleId="15">
    <w:name w:val="页脚 字符"/>
    <w:basedOn w:val="12"/>
    <w:link w:val="5"/>
    <w:qFormat/>
    <w:uiPriority w:val="0"/>
    <w:rPr>
      <w:rFonts w:ascii="Times New Roman" w:hAnsi="Times New Roman" w:eastAsia="宋体" w:cs="Times New Roman"/>
      <w:kern w:val="2"/>
      <w:sz w:val="18"/>
      <w:szCs w:val="18"/>
    </w:rPr>
  </w:style>
  <w:style w:type="character" w:customStyle="1" w:styleId="16">
    <w:name w:val="批注文字 字符"/>
    <w:basedOn w:val="12"/>
    <w:link w:val="2"/>
    <w:qFormat/>
    <w:uiPriority w:val="0"/>
    <w:rPr>
      <w:rFonts w:ascii="Times New Roman" w:hAnsi="Times New Roman" w:eastAsia="宋体" w:cs="Times New Roman"/>
      <w:kern w:val="2"/>
      <w:sz w:val="21"/>
      <w:szCs w:val="24"/>
    </w:rPr>
  </w:style>
  <w:style w:type="character" w:customStyle="1" w:styleId="17">
    <w:name w:val="批注主题 字符"/>
    <w:basedOn w:val="16"/>
    <w:link w:val="8"/>
    <w:qFormat/>
    <w:uiPriority w:val="0"/>
    <w:rPr>
      <w:rFonts w:ascii="Times New Roman" w:hAnsi="Times New Roman" w:eastAsia="宋体" w:cs="Times New Roman"/>
      <w:b/>
      <w:bCs/>
      <w:kern w:val="2"/>
      <w:sz w:val="21"/>
      <w:szCs w:val="24"/>
    </w:rPr>
  </w:style>
  <w:style w:type="paragraph" w:customStyle="1" w:styleId="1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8111</Words>
  <Characters>8887</Characters>
  <Lines>71</Lines>
  <Paragraphs>20</Paragraphs>
  <TotalTime>4</TotalTime>
  <ScaleCrop>false</ScaleCrop>
  <LinksUpToDate>false</LinksUpToDate>
  <CharactersWithSpaces>9122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2023-01-12T00:52:00Z</dcterms:created>
  <dc:creator>Administrator</dc:creator>
  <cp:lastModifiedBy>刘一林</cp:lastModifiedBy>
  <dcterms:modified xsi:type="dcterms:W3CDTF">2025-01-02T03:41:50Z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8588AE4A7BB04670AAA52274B4EB14DF_13</vt:lpwstr>
  </property>
  <property fmtid="{D5CDD505-2E9C-101B-9397-08002B2CF9AE}" pid="4" name="KSOTemplateDocerSaveRecord">
    <vt:lpwstr>eyJoZGlkIjoiZDk0MDE2NmUyY2YyNjI0M2U1Zjc3M2JlYzM3ZGY4MTEifQ==</vt:lpwstr>
  </property>
</Properties>
</file>