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945"/>
        <w:gridCol w:w="5671"/>
        <w:gridCol w:w="753"/>
        <w:gridCol w:w="474"/>
      </w:tblGrid>
      <w:tr w14:paraId="79517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dxa"/>
            <w:noWrap w:val="0"/>
            <w:vAlign w:val="center"/>
          </w:tcPr>
          <w:p w14:paraId="3B368C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bookmarkStart w:id="0" w:name="_GoBack" w:colFirst="3" w:colLast="4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14" w:type="dxa"/>
            <w:noWrap w:val="0"/>
            <w:vAlign w:val="center"/>
          </w:tcPr>
          <w:p w14:paraId="0DCAE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6291" w:type="dxa"/>
            <w:noWrap w:val="0"/>
            <w:vAlign w:val="center"/>
          </w:tcPr>
          <w:p w14:paraId="04653F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技术规格要求</w:t>
            </w:r>
          </w:p>
        </w:tc>
        <w:tc>
          <w:tcPr>
            <w:tcW w:w="795" w:type="dxa"/>
            <w:noWrap w:val="0"/>
            <w:vAlign w:val="center"/>
          </w:tcPr>
          <w:p w14:paraId="173CA6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477" w:type="dxa"/>
            <w:noWrap w:val="0"/>
            <w:vAlign w:val="center"/>
          </w:tcPr>
          <w:p w14:paraId="238D33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</w:tr>
      <w:tr w14:paraId="056D3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dxa"/>
            <w:noWrap w:val="0"/>
            <w:vAlign w:val="center"/>
          </w:tcPr>
          <w:p w14:paraId="4B5862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14" w:type="dxa"/>
            <w:noWrap w:val="0"/>
            <w:vAlign w:val="center"/>
          </w:tcPr>
          <w:p w14:paraId="1CD1EB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一体化压力式水位计</w:t>
            </w:r>
          </w:p>
        </w:tc>
        <w:tc>
          <w:tcPr>
            <w:tcW w:w="6291" w:type="dxa"/>
            <w:noWrap w:val="0"/>
            <w:vAlign w:val="center"/>
          </w:tcPr>
          <w:p w14:paraId="0EAEFD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（1）水位传感器仪器分辨力为1mm；水位变幅0-10m时,测量误差的绝对值小于或等于2cm;水位变幅大于10m时,测量误差的绝对值小于或等于量程的0.2%;重复性误差小于或等于1cm。</w:t>
            </w:r>
          </w:p>
          <w:p w14:paraId="1C72A1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（2）水温传感器仪器分辨力为0.1℃;测量误差的绝对值小于或等于0.5℃。</w:t>
            </w:r>
          </w:p>
          <w:p w14:paraId="5C47C6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（3）传感器稳定性应符合下列规定:水温变化范围±3℃内时,时间漂移量绝对值小于或等于1cm/10d；水温变化4℃-40℃时,温度漂移量绝对值小于或等于1cm;安装在现场的设备漂移量绝对值小于或等于2cm/a。</w:t>
            </w:r>
          </w:p>
          <w:p w14:paraId="3046B0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（4）传感器密封性与耐压性应符合下列规定:外壳防护等级符合IP68要求;含有通气管的设备保证能够自然承压,并同时隔离水汽；耐压满足水下装置的防水密封程度在1.5倍满量程水压力条件下保持1h,或在满量程的水柱压力条件下,保持10h后,仪器不漏水。</w:t>
            </w:r>
          </w:p>
          <w:p w14:paraId="53693F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（5）遥测终端机具有定时自报和查询应答功能,以及历史数据召回功能；支持远程操作,包括时间校正、参数修改,响应远程维护等;具备电池、充电器及其他设备工作状态的告警功能;具备在被测参数超限时，主动增加报送频度功能;具备根据设定条件或随机指令进行固态存储器数据写入、读取及上报的功能;具有数据自动补发功能;具备数据实时显示功能。</w:t>
            </w:r>
          </w:p>
          <w:p w14:paraId="393D11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（6）遥测终端机采用密封式结构,能防潮、防盐雾、防尘及防虫等,采用满足IP65等级及以上要求的防护结构；外表面无锈蚀、裂纹及涂敷层剥落等现象，文字标志清晰、完整,机械紧固部位无松动,各种电缆、气管、部件之间的接头可靠且方便装拆。</w:t>
            </w:r>
          </w:p>
          <w:p w14:paraId="52ACCF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（7）遥测终端机电源供电满足在一天测量6次、发送1次的工作状态下,工作周期不少于24个月。</w:t>
            </w:r>
          </w:p>
          <w:p w14:paraId="2C5C69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（8）固态存储器的存储介质采用非易失性的半导体内存，能存储不少于20000组监测数据。</w:t>
            </w:r>
          </w:p>
          <w:p w14:paraId="7351B3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（9）具有有较高的可靠性,平均无障碍工作时间大于或等于25000h。</w:t>
            </w:r>
          </w:p>
          <w:p w14:paraId="288CA7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（10）通讯模块与4G(含5G/北斗）等移动通信服务相适应。</w:t>
            </w:r>
          </w:p>
        </w:tc>
        <w:tc>
          <w:tcPr>
            <w:tcW w:w="795" w:type="dxa"/>
            <w:noWrap w:val="0"/>
            <w:vAlign w:val="center"/>
          </w:tcPr>
          <w:p w14:paraId="1C4D7A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477" w:type="dxa"/>
            <w:noWrap w:val="0"/>
            <w:vAlign w:val="center"/>
          </w:tcPr>
          <w:p w14:paraId="68732C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75</w:t>
            </w:r>
          </w:p>
        </w:tc>
      </w:tr>
      <w:bookmarkEnd w:id="0"/>
      <w:tr w14:paraId="77DD9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dxa"/>
            <w:noWrap w:val="0"/>
            <w:vAlign w:val="center"/>
          </w:tcPr>
          <w:p w14:paraId="6221CA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014" w:type="dxa"/>
            <w:noWrap w:val="0"/>
            <w:vAlign w:val="center"/>
          </w:tcPr>
          <w:p w14:paraId="7EAD08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便携式水位计</w:t>
            </w:r>
          </w:p>
        </w:tc>
        <w:tc>
          <w:tcPr>
            <w:tcW w:w="6291" w:type="dxa"/>
            <w:noWrap w:val="0"/>
            <w:vAlign w:val="center"/>
          </w:tcPr>
          <w:p w14:paraId="586764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（1）仪器分辨力小于1cm；水位变幅0-10m时,测量误差的绝对值小于或等于2cm;水位变幅大于10m时,测量误差的绝对值小于或等于量程的0.2%;重复性误差小于或等于1cm。</w:t>
            </w:r>
          </w:p>
          <w:p w14:paraId="61E36D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（2）传感器外壳防护等级符合IP68要求，保证能够自然承压,并同时隔离水汽。</w:t>
            </w:r>
          </w:p>
        </w:tc>
        <w:tc>
          <w:tcPr>
            <w:tcW w:w="795" w:type="dxa"/>
            <w:noWrap w:val="0"/>
            <w:vAlign w:val="center"/>
          </w:tcPr>
          <w:p w14:paraId="1B7417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477" w:type="dxa"/>
            <w:noWrap w:val="0"/>
            <w:vAlign w:val="center"/>
          </w:tcPr>
          <w:p w14:paraId="4ED28D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</w:tr>
      <w:tr w14:paraId="3CF80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dxa"/>
            <w:noWrap w:val="0"/>
            <w:vAlign w:val="center"/>
          </w:tcPr>
          <w:p w14:paraId="4B5440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014" w:type="dxa"/>
            <w:noWrap w:val="0"/>
            <w:vAlign w:val="center"/>
          </w:tcPr>
          <w:p w14:paraId="241BE2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便携式井深仪</w:t>
            </w:r>
          </w:p>
        </w:tc>
        <w:tc>
          <w:tcPr>
            <w:tcW w:w="6291" w:type="dxa"/>
            <w:noWrap w:val="0"/>
            <w:vAlign w:val="center"/>
          </w:tcPr>
          <w:p w14:paraId="2B4E37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（1）仪器分辨力小于1cm；井深测量误差小于或等于2cm；重复性误差小于或等于1cm。</w:t>
            </w:r>
          </w:p>
          <w:p w14:paraId="7D1E51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（2）传感器外壳防护等级符合IP68要求，保证能够自然承压,并同时隔离水汽。</w:t>
            </w:r>
          </w:p>
        </w:tc>
        <w:tc>
          <w:tcPr>
            <w:tcW w:w="795" w:type="dxa"/>
            <w:noWrap w:val="0"/>
            <w:vAlign w:val="center"/>
          </w:tcPr>
          <w:p w14:paraId="1D48DB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477" w:type="dxa"/>
            <w:noWrap w:val="0"/>
            <w:vAlign w:val="center"/>
          </w:tcPr>
          <w:p w14:paraId="4EEBA3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12</w:t>
            </w:r>
          </w:p>
        </w:tc>
      </w:tr>
      <w:tr w14:paraId="40CDE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dxa"/>
            <w:noWrap w:val="0"/>
            <w:vAlign w:val="center"/>
          </w:tcPr>
          <w:p w14:paraId="03D95B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014" w:type="dxa"/>
            <w:noWrap w:val="0"/>
            <w:vAlign w:val="center"/>
          </w:tcPr>
          <w:p w14:paraId="550676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highlight w:val="none"/>
                <w:lang w:val="en-US" w:eastAsia="zh-CN"/>
              </w:rPr>
              <w:t>设备运维服务需求</w:t>
            </w:r>
          </w:p>
        </w:tc>
        <w:tc>
          <w:tcPr>
            <w:tcW w:w="6291" w:type="dxa"/>
            <w:noWrap w:val="0"/>
            <w:vAlign w:val="center"/>
          </w:tcPr>
          <w:p w14:paraId="198407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（1）监测设备采用“采六发一”方式，每日8时、12时、16时、20时、24时、次日4时采集监测要素，次日8时发报一次；自动监测数据月到报率和交换率不低于95%。</w:t>
            </w:r>
          </w:p>
          <w:p w14:paraId="1FBDDF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（2）对出现故障的监测仪器及时进行处理，保证各监测站监测数据的正常采集和传输。监测设备发生故障时，在5个工作日内完成故障处理修复，不能修复的故障，使用备品备件更换设备。故障处置完成后填写故障处置记录表，及时记录故障处理方法、做好故障处置总结，并定期进行统计分析。及时记录故障处理情况并留存影像资料。</w:t>
            </w:r>
          </w:p>
          <w:p w14:paraId="610CD4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（3）如因不可抗力等因素无法在5日内完成故障处理，按照有关技术标准及时组织开展人工监测，人工补测在3日内按人工监测要求完成。</w:t>
            </w:r>
          </w:p>
          <w:p w14:paraId="31EB0E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95" w:type="dxa"/>
            <w:noWrap w:val="0"/>
            <w:vAlign w:val="center"/>
          </w:tcPr>
          <w:p w14:paraId="466ACE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477" w:type="dxa"/>
            <w:noWrap w:val="0"/>
            <w:vAlign w:val="center"/>
          </w:tcPr>
          <w:p w14:paraId="64379D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</w:tr>
    </w:tbl>
    <w:p w14:paraId="6F0BD4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27B71"/>
    <w:rsid w:val="38C2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2025-08-26T02:31:00Z</dcterms:created>
  <dc:creator>兴达咨询</dc:creator>
  <cp:lastModifiedBy>兴达咨询</cp:lastModifiedBy>
  <dcterms:modified xsi:type="dcterms:W3CDTF">2025-08-26T02:32:21Z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8D8085238BDB4FBE9DEFC114EFA77E63_11</vt:lpwstr>
  </property>
  <property fmtid="{D5CDD505-2E9C-101B-9397-08002B2CF9AE}" pid="4" name="KSOTemplateDocerSaveRecord">
    <vt:lpwstr>eyJoZGlkIjoiODM0YzQzMGFjMjUzMGYwODMwZjhmZTEzMTA0N2U0NTciLCJ1c2VySWQiOiI0NjMyMzE5MzAifQ==</vt:lpwstr>
  </property>
</Properties>
</file>