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4AFA53">
      <w:pPr>
        <w:pStyle w:val="8"/>
        <w:shd w:val="clear" w:color="auto" w:fill="auto"/>
        <w:bidi w:val="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电子合同</w:t>
      </w:r>
    </w:p>
    <w:p w14:paraId="7706C3F8">
      <w:pPr>
        <w:pStyle w:val="8"/>
        <w:shd w:val="clear" w:color="auto" w:fill="auto"/>
        <w:bidi w:val="0"/>
        <w:jc w:val="center"/>
        <w:rPr>
          <w:rFonts w:hint="eastAsia" w:eastAsiaTheme="minorEastAsia"/>
          <w:lang w:eastAsia="zh-CN"/>
        </w:rPr>
      </w:pPr>
      <w:bookmarkStart w:id="0" w:name="_GoBack"/>
      <w:bookmarkEnd w:id="0"/>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-28575</wp:posOffset>
            </wp:positionH>
            <wp:positionV relativeFrom="paragraph">
              <wp:posOffset>129540</wp:posOffset>
            </wp:positionV>
            <wp:extent cx="5269230" cy="7452360"/>
            <wp:effectExtent l="0" t="0" r="7620" b="15240"/>
            <wp:wrapTopAndBottom/>
            <wp:docPr id="1" name="图片 1" descr="C:/Users/2025/Desktop/微信图片_20251031164432.jpg微信图片_2025103116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2025/Desktop/微信图片_20251031164432.jpg微信图片_20251031164432"/>
                    <pic:cNvPicPr>
                      <a:picLocks noChangeAspect="1"/>
                    </pic:cNvPicPr>
                  </pic:nvPicPr>
                  <pic:blipFill>
                    <a:blip r:embed="rId4"/>
                    <a:srcRect l="30" r="30"/>
                    <a:stretch>
                      <a:fillRect/>
                    </a:stretch>
                  </pic:blipFill>
                  <pic:spPr>
                    <a:xfrm>
                      <a:off x="0" y="0"/>
                      <a:ext cx="5269230" cy="7452360"/>
                    </a:xfrm>
                    <a:prstGeom prst="rect">
                      <a:avLst/>
                    </a:prstGeom>
                  </pic:spPr>
                </pic:pic>
              </a:graphicData>
            </a:graphic>
          </wp:anchor>
        </w:drawing>
      </w:r>
    </w:p>
    <w:p w14:paraId="16301DFA">
      <w:pPr>
        <w:pStyle w:val="8"/>
        <w:shd w:val="clear" w:color="auto" w:fill="auto"/>
        <w:bidi w:val="0"/>
        <w:jc w:val="center"/>
        <w:rPr>
          <w:rFonts w:hint="eastAsia" w:ascii="方正仿宋_GB2312" w:hAnsi="方正仿宋_GB2312" w:eastAsia="方正仿宋_GB2312" w:cs="方正仿宋_GB2312"/>
          <w:color w:val="auto"/>
          <w:sz w:val="24"/>
          <w:szCs w:val="24"/>
          <w:highlight w:val="none"/>
          <w:shd w:val="clear" w:color="auto" w:fill="auto"/>
        </w:rPr>
      </w:pPr>
    </w:p>
    <w:p w14:paraId="627DA5F3">
      <w:pPr>
        <w:pStyle w:val="8"/>
        <w:shd w:val="clear" w:color="auto" w:fill="auto"/>
        <w:bidi w:val="0"/>
        <w:jc w:val="center"/>
        <w:rPr>
          <w:rFonts w:hint="eastAsia" w:ascii="方正仿宋_GB2312" w:hAnsi="方正仿宋_GB2312" w:eastAsia="方正仿宋_GB2312" w:cs="方正仿宋_GB2312"/>
          <w:color w:val="auto"/>
          <w:sz w:val="24"/>
          <w:szCs w:val="24"/>
          <w:highlight w:val="none"/>
          <w:shd w:val="clear" w:color="auto" w:fill="auto"/>
        </w:rPr>
      </w:pPr>
      <w:r>
        <w:rPr>
          <w:rFonts w:hint="eastAsia" w:ascii="方正仿宋_GB2312" w:hAnsi="方正仿宋_GB2312" w:eastAsia="方正仿宋_GB2312" w:cs="方正仿宋_GB2312"/>
          <w:color w:val="auto"/>
          <w:sz w:val="24"/>
          <w:szCs w:val="24"/>
          <w:highlight w:val="none"/>
          <w:shd w:val="clear" w:color="auto" w:fill="auto"/>
        </w:rPr>
        <w:t>河南中医药大学安保服务项目合同书</w:t>
      </w:r>
    </w:p>
    <w:p w14:paraId="56DCB06B">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lang w:val="en-US" w:eastAsia="zh-CN"/>
        </w:rPr>
      </w:pPr>
      <w:r>
        <w:rPr>
          <w:rFonts w:hint="eastAsia" w:ascii="方正仿宋_GB2312" w:hAnsi="方正仿宋_GB2312" w:eastAsia="方正仿宋_GB2312" w:cs="方正仿宋_GB2312"/>
          <w:color w:val="auto"/>
          <w:kern w:val="0"/>
          <w:sz w:val="24"/>
          <w:szCs w:val="24"/>
          <w:highlight w:val="none"/>
          <w:shd w:val="clear" w:color="auto" w:fill="auto"/>
        </w:rPr>
        <w:t>合同编号：豫财招标采购-</w:t>
      </w: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2025</w:t>
      </w:r>
      <w:r>
        <w:rPr>
          <w:rFonts w:hint="eastAsia" w:ascii="方正仿宋_GB2312" w:hAnsi="方正仿宋_GB2312" w:eastAsia="方正仿宋_GB2312" w:cs="方正仿宋_GB2312"/>
          <w:color w:val="auto"/>
          <w:kern w:val="0"/>
          <w:sz w:val="24"/>
          <w:szCs w:val="24"/>
          <w:highlight w:val="none"/>
          <w:shd w:val="clear" w:color="auto" w:fill="auto"/>
        </w:rPr>
        <w:t>-</w:t>
      </w: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891（包2）</w:t>
      </w:r>
    </w:p>
    <w:p w14:paraId="0C2E3B77">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项目名称：</w:t>
      </w: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河南中医药大学安保服务项目</w:t>
      </w:r>
    </w:p>
    <w:p w14:paraId="27DCC7BE">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lang w:val="en-US" w:eastAsia="zh-CN"/>
        </w:rPr>
      </w:pP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中标金额：</w:t>
      </w:r>
      <w:r>
        <w:rPr>
          <w:rFonts w:hint="eastAsia" w:ascii="方正仿宋_GB2312" w:hAnsi="方正仿宋_GB2312" w:eastAsia="方正仿宋_GB2312" w:cs="方正仿宋_GB2312"/>
          <w:color w:val="auto"/>
          <w:kern w:val="0"/>
          <w:sz w:val="24"/>
          <w:szCs w:val="24"/>
          <w:highlight w:val="none"/>
          <w:shd w:val="clear" w:color="auto" w:fill="auto"/>
        </w:rPr>
        <w:t>945,216.00</w:t>
      </w: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元</w:t>
      </w:r>
    </w:p>
    <w:p w14:paraId="2B5E9292">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使用单位：河南中医药大学</w:t>
      </w:r>
    </w:p>
    <w:p w14:paraId="19262757">
      <w:pPr>
        <w:widowControl/>
        <w:shd w:val="clear" w:color="auto" w:fill="auto"/>
        <w:spacing w:line="500" w:lineRule="exact"/>
        <w:ind w:firstLine="480" w:firstLineChars="200"/>
        <w:jc w:val="left"/>
        <w:rPr>
          <w:rFonts w:hint="default" w:ascii="方正仿宋_GB2312" w:hAnsi="方正仿宋_GB2312" w:eastAsia="方正仿宋_GB2312" w:cs="方正仿宋_GB2312"/>
          <w:color w:val="auto"/>
          <w:kern w:val="0"/>
          <w:sz w:val="24"/>
          <w:szCs w:val="24"/>
          <w:highlight w:val="none"/>
          <w:shd w:val="clear" w:color="auto" w:fill="auto"/>
          <w:lang w:val="en-US" w:eastAsia="zh-CN"/>
        </w:rPr>
      </w:pPr>
      <w:r>
        <w:rPr>
          <w:rFonts w:hint="eastAsia" w:ascii="方正仿宋_GB2312" w:hAnsi="方正仿宋_GB2312" w:eastAsia="方正仿宋_GB2312" w:cs="方正仿宋_GB2312"/>
          <w:color w:val="auto"/>
          <w:kern w:val="0"/>
          <w:sz w:val="24"/>
          <w:szCs w:val="24"/>
          <w:highlight w:val="none"/>
          <w:shd w:val="clear" w:color="auto" w:fill="auto"/>
        </w:rPr>
        <w:t>服务单位：河南华诚保安服务有限公司</w:t>
      </w:r>
    </w:p>
    <w:p w14:paraId="393229E0">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合同日期：   年  月  日</w:t>
      </w:r>
    </w:p>
    <w:p w14:paraId="7412CB8E">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甲方：河南中医药大学               （以下简称“甲方”）</w:t>
      </w:r>
    </w:p>
    <w:p w14:paraId="2C72FB7B">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乙方：河南华诚保安服务有限公司    （以下简称“乙方”）</w:t>
      </w:r>
    </w:p>
    <w:p w14:paraId="49801C35">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根据《中华人民共和国民法典》《保安服务管理条例》等相关法律法规，以及甲方河南中医药大学校园安全保卫工作的实际需要，在甲乙双方自愿、平等、协商一致的基础上，就甲方委托乙方为其提供保安服务事项，经公开招标及充分协商，签订本合同如下：</w:t>
      </w:r>
    </w:p>
    <w:p w14:paraId="01F36361">
      <w:pPr>
        <w:widowControl/>
        <w:shd w:val="clear" w:color="auto" w:fill="auto"/>
        <w:spacing w:line="500" w:lineRule="exact"/>
        <w:ind w:firstLine="480" w:firstLineChars="200"/>
        <w:jc w:val="left"/>
        <w:rPr>
          <w:rFonts w:hint="eastAsia" w:ascii="黑体" w:hAnsi="黑体" w:eastAsia="黑体" w:cs="黑体"/>
          <w:color w:val="auto"/>
          <w:kern w:val="0"/>
          <w:sz w:val="24"/>
          <w:szCs w:val="24"/>
          <w:highlight w:val="none"/>
          <w:shd w:val="clear" w:color="auto" w:fill="auto"/>
        </w:rPr>
      </w:pPr>
      <w:r>
        <w:rPr>
          <w:rFonts w:hint="eastAsia" w:ascii="黑体" w:hAnsi="黑体" w:eastAsia="黑体" w:cs="黑体"/>
          <w:color w:val="auto"/>
          <w:kern w:val="0"/>
          <w:sz w:val="24"/>
          <w:szCs w:val="24"/>
          <w:highlight w:val="none"/>
          <w:shd w:val="clear" w:color="auto" w:fill="auto"/>
        </w:rPr>
        <w:t>第一条服务</w:t>
      </w:r>
      <w:r>
        <w:rPr>
          <w:rFonts w:hint="eastAsia" w:ascii="黑体" w:hAnsi="黑体" w:eastAsia="黑体" w:cs="黑体"/>
          <w:color w:val="auto"/>
          <w:kern w:val="0"/>
          <w:sz w:val="24"/>
          <w:szCs w:val="24"/>
          <w:highlight w:val="none"/>
          <w:shd w:val="clear" w:color="auto" w:fill="auto"/>
          <w:lang w:val="en-US" w:eastAsia="zh-CN"/>
        </w:rPr>
        <w:t>地点</w:t>
      </w:r>
      <w:r>
        <w:rPr>
          <w:rFonts w:hint="eastAsia" w:ascii="黑体" w:hAnsi="黑体" w:eastAsia="黑体" w:cs="黑体"/>
          <w:color w:val="auto"/>
          <w:kern w:val="0"/>
          <w:sz w:val="24"/>
          <w:szCs w:val="24"/>
          <w:highlight w:val="none"/>
          <w:shd w:val="clear" w:color="auto" w:fill="auto"/>
        </w:rPr>
        <w:t>、内容</w:t>
      </w:r>
    </w:p>
    <w:p w14:paraId="6F3CA950">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2"/>
          <w:szCs w:val="22"/>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河南中医药大学东明路校区</w:t>
      </w:r>
    </w:p>
    <w:p w14:paraId="6FF8A5C9">
      <w:pPr>
        <w:widowControl/>
        <w:numPr>
          <w:ilvl w:val="0"/>
          <w:numId w:val="2"/>
        </w:numPr>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2"/>
          <w:szCs w:val="22"/>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校门管理工作；2.日常治安和消防巡逻检查工作；3.视频监控和消防监控值班、巡检工作；4.交通秩序管理工作：对校园大门口、路口、消防通道及道路沿线等乱停乱放的车辆规范管理，定期清理校园内无主废旧非机动车辆，引导行人、非机动车按交通规则行驶，劝阻不文明的交通行为等；5.校园环境秩序管理工作：劝阻无</w:t>
      </w: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牌车辆</w:t>
      </w:r>
      <w:r>
        <w:rPr>
          <w:rFonts w:hint="eastAsia" w:ascii="方正仿宋_GB2312" w:hAnsi="方正仿宋_GB2312" w:eastAsia="方正仿宋_GB2312" w:cs="方正仿宋_GB2312"/>
          <w:color w:val="auto"/>
          <w:kern w:val="0"/>
          <w:sz w:val="24"/>
          <w:szCs w:val="24"/>
          <w:highlight w:val="none"/>
          <w:shd w:val="clear" w:color="auto" w:fill="auto"/>
        </w:rPr>
        <w:t>、违规散发宣传品、堆物堆料、沿街晾挂等影响校容秩序的违规行为，协助开展校园安全检查、联合执法等工作；6.重点要害部位、点位盯守工作：负责甲方指定区域内重点点位的管控和盯守工作；7.校园治安、刑事案件的处置工作；8.校园突发事件的处置工作；9.校园义务消防队的各项工作；10.学校各类活动的安保工作；11.校园稳定工作；12.根据不同时期，在甲方的指挥下积极做好防汛、扫雪铲冰等相关工作；13.学校交办的其它工作任务和临时性值班、执勤任务。</w:t>
      </w:r>
    </w:p>
    <w:p w14:paraId="6CC29452">
      <w:pPr>
        <w:widowControl/>
        <w:numPr>
          <w:ilvl w:val="0"/>
          <w:numId w:val="0"/>
        </w:numPr>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lang w:val="en-US" w:eastAsia="zh-CN"/>
        </w:rPr>
      </w:pPr>
      <w:r>
        <w:rPr>
          <w:rFonts w:hint="eastAsia" w:ascii="方正仿宋_GB2312" w:hAnsi="方正仿宋_GB2312" w:eastAsia="方正仿宋_GB2312" w:cs="方正仿宋_GB2312"/>
          <w:color w:val="auto"/>
          <w:kern w:val="0"/>
          <w:sz w:val="24"/>
          <w:szCs w:val="24"/>
          <w:highlight w:val="none"/>
          <w:shd w:val="clear" w:color="auto" w:fill="auto"/>
        </w:rPr>
        <w:t>河南中医药大学东明路校区</w:t>
      </w: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保安设置人数</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1800"/>
        <w:gridCol w:w="1801"/>
        <w:gridCol w:w="1704"/>
        <w:gridCol w:w="1627"/>
      </w:tblGrid>
      <w:tr w14:paraId="70E10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704" w:type="dxa"/>
            <w:vAlign w:val="top"/>
            <mc:AlternateContent>
              <mc:Choice Requires="wpsCustomData">
                <wpsCustomData:diagonals>
                  <wpsCustomData:diagonal from="10000" to="30000">
                    <wpsCustomData:border w:val="single" w:color="auto" w:sz="4" w:space="0"/>
                  </wpsCustomData:diagonal>
                </wpsCustomData:diagonals>
              </mc:Choice>
            </mc:AlternateContent>
          </w:tcPr>
          <w:p w14:paraId="57EAE9AD">
            <w:pPr>
              <w:pStyle w:val="2"/>
              <w:snapToGrid w:val="0"/>
              <w:jc w:val="center"/>
              <w:rPr>
                <w:rFonts w:hint="eastAsia" w:ascii="仿宋" w:hAnsi="仿宋" w:eastAsia="仿宋" w:cs="仿宋"/>
                <w:b/>
                <w:bCs/>
                <w:lang w:val="en-US" w:eastAsia="zh-CN"/>
              </w:rPr>
            </w:pPr>
            <w:r>
              <w:rPr>
                <w:rFonts w:hint="eastAsia" w:ascii="仿宋" w:hAnsi="仿宋" w:eastAsia="仿宋" w:cs="仿宋"/>
                <w:b/>
                <w:bCs/>
                <w:lang w:val="en-US" w:eastAsia="zh-CN"/>
              </w:rPr>
              <w:t xml:space="preserve">  岗位</w:t>
            </w:r>
          </w:p>
          <w:p w14:paraId="240F2161">
            <w:pPr>
              <w:pStyle w:val="7"/>
              <mc:AlternateContent>
                <mc:Choice Requires="wpsCustomData">
                  <wpsCustomData:diagonalParaType/>
                </mc:Choice>
              </mc:AlternateContent>
              <w:rPr>
                <w:rFonts w:hint="eastAsia" w:ascii="仿宋" w:hAnsi="仿宋" w:eastAsia="仿宋" w:cs="仿宋"/>
                <w:b/>
                <w:bCs/>
                <w:lang w:val="en-US" w:eastAsia="zh-CN"/>
              </w:rPr>
            </w:pPr>
          </w:p>
          <w:p w14:paraId="2FC983D3">
            <w:pPr>
              <w:pStyle w:val="2"/>
              <w:jc w:val="center"/>
              <w:rPr>
                <w:rFonts w:hint="eastAsia" w:ascii="仿宋" w:hAnsi="仿宋" w:eastAsia="仿宋" w:cs="仿宋"/>
                <w:b/>
                <w:bCs/>
                <w:lang w:val="en-US" w:eastAsia="zh-CN"/>
              </w:rPr>
            </w:pPr>
            <w:r>
              <w:rPr>
                <w:rFonts w:hint="eastAsia" w:ascii="仿宋" w:hAnsi="仿宋" w:eastAsia="仿宋" w:cs="仿宋"/>
                <w:b/>
                <w:bCs/>
                <w:lang w:val="en-US" w:eastAsia="zh-CN"/>
              </w:rPr>
              <w:t>时间</w:t>
            </w:r>
          </w:p>
        </w:tc>
        <w:tc>
          <w:tcPr>
            <w:tcW w:w="1704" w:type="dxa"/>
            <w:vAlign w:val="top"/>
          </w:tcPr>
          <w:p w14:paraId="19DD2D96">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早班</w:t>
            </w:r>
          </w:p>
          <w:p w14:paraId="42612EEE">
            <w:pPr>
              <w:pStyle w:val="7"/>
              <w:keepNext w:val="0"/>
              <w:keepLines w:val="0"/>
              <w:pageBreakBefore w:val="0"/>
              <w:widowControl w:val="0"/>
              <w:kinsoku/>
              <w:wordWrap/>
              <w:overflowPunct/>
              <w:topLinePunct w:val="0"/>
              <w:bidi w:val="0"/>
              <w:snapToGrid/>
              <w:ind w:firstLine="0" w:firstLineChars="0"/>
              <w:textAlignment w:val="auto"/>
              <w:rPr>
                <w:rFonts w:hint="eastAsia" w:ascii="仿宋" w:hAnsi="仿宋" w:eastAsia="仿宋" w:cs="仿宋"/>
                <w:b/>
                <w:bCs/>
                <w:lang w:val="en-US" w:eastAsia="zh-CN"/>
              </w:rPr>
            </w:pPr>
            <w:r>
              <w:rPr>
                <w:rFonts w:hint="eastAsia" w:ascii="仿宋" w:hAnsi="仿宋" w:eastAsia="仿宋" w:cs="仿宋"/>
                <w:b/>
                <w:bCs/>
                <w:vertAlign w:val="baseline"/>
                <w:lang w:val="en-US" w:eastAsia="zh-CN"/>
              </w:rPr>
              <w:t>6:00—14:00</w:t>
            </w:r>
          </w:p>
        </w:tc>
        <w:tc>
          <w:tcPr>
            <w:tcW w:w="1704" w:type="dxa"/>
            <w:vAlign w:val="top"/>
          </w:tcPr>
          <w:p w14:paraId="021D49C4">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中班</w:t>
            </w:r>
          </w:p>
          <w:p w14:paraId="7E416EB4">
            <w:pPr>
              <w:pStyle w:val="7"/>
              <w:keepNext w:val="0"/>
              <w:keepLines w:val="0"/>
              <w:pageBreakBefore w:val="0"/>
              <w:widowControl w:val="0"/>
              <w:kinsoku/>
              <w:wordWrap/>
              <w:overflowPunct/>
              <w:topLinePunct w:val="0"/>
              <w:bidi w:val="0"/>
              <w:snapToGrid/>
              <w:ind w:firstLine="0" w:firstLineChars="0"/>
              <w:textAlignment w:val="auto"/>
              <w:rPr>
                <w:rFonts w:hint="eastAsia" w:ascii="仿宋" w:hAnsi="仿宋" w:eastAsia="仿宋" w:cs="仿宋"/>
                <w:b/>
                <w:bCs/>
                <w:lang w:val="en-US" w:eastAsia="zh-CN"/>
              </w:rPr>
            </w:pPr>
            <w:r>
              <w:rPr>
                <w:rFonts w:hint="eastAsia" w:ascii="仿宋" w:hAnsi="仿宋" w:eastAsia="仿宋" w:cs="仿宋"/>
                <w:b/>
                <w:bCs/>
                <w:vertAlign w:val="baseline"/>
                <w:lang w:val="en-US" w:eastAsia="zh-CN"/>
              </w:rPr>
              <w:t>14:00-22:00</w:t>
            </w:r>
          </w:p>
        </w:tc>
        <w:tc>
          <w:tcPr>
            <w:tcW w:w="1705" w:type="dxa"/>
            <w:vAlign w:val="top"/>
          </w:tcPr>
          <w:p w14:paraId="476842E9">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夜班</w:t>
            </w:r>
          </w:p>
          <w:p w14:paraId="6DA6B6BE">
            <w:pPr>
              <w:pStyle w:val="7"/>
              <w:keepNext w:val="0"/>
              <w:keepLines w:val="0"/>
              <w:pageBreakBefore w:val="0"/>
              <w:widowControl w:val="0"/>
              <w:kinsoku/>
              <w:wordWrap/>
              <w:overflowPunct/>
              <w:topLinePunct w:val="0"/>
              <w:bidi w:val="0"/>
              <w:snapToGrid/>
              <w:ind w:firstLine="0" w:firstLineChars="0"/>
              <w:textAlignment w:val="auto"/>
              <w:rPr>
                <w:rFonts w:hint="eastAsia" w:ascii="仿宋" w:hAnsi="仿宋" w:eastAsia="仿宋" w:cs="仿宋"/>
                <w:b/>
                <w:bCs/>
                <w:lang w:val="en-US" w:eastAsia="zh-CN"/>
              </w:rPr>
            </w:pPr>
            <w:r>
              <w:rPr>
                <w:rFonts w:hint="eastAsia" w:ascii="仿宋" w:hAnsi="仿宋" w:eastAsia="仿宋" w:cs="仿宋"/>
                <w:b/>
                <w:bCs/>
                <w:vertAlign w:val="baseline"/>
                <w:lang w:val="en-US" w:eastAsia="zh-CN"/>
              </w:rPr>
              <w:t>22:00:6:00</w:t>
            </w:r>
          </w:p>
        </w:tc>
        <w:tc>
          <w:tcPr>
            <w:tcW w:w="1705" w:type="dxa"/>
            <w:vAlign w:val="top"/>
          </w:tcPr>
          <w:p w14:paraId="0F16A96A">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合计</w:t>
            </w:r>
          </w:p>
          <w:p w14:paraId="20FFB0A6">
            <w:pPr>
              <w:pStyle w:val="7"/>
              <w:keepNext w:val="0"/>
              <w:keepLines w:val="0"/>
              <w:pageBreakBefore w:val="0"/>
              <w:widowControl w:val="0"/>
              <w:kinsoku/>
              <w:wordWrap/>
              <w:overflowPunct/>
              <w:topLinePunct w:val="0"/>
              <w:bidi w:val="0"/>
              <w:snapToGrid/>
              <w:ind w:firstLine="0" w:firstLineChars="0"/>
              <w:textAlignment w:val="auto"/>
              <w:rPr>
                <w:rFonts w:hint="eastAsia" w:ascii="仿宋" w:hAnsi="仿宋" w:eastAsia="仿宋" w:cs="仿宋"/>
                <w:b/>
                <w:bCs/>
                <w:lang w:val="en-US" w:eastAsia="zh-CN"/>
              </w:rPr>
            </w:pPr>
            <w:r>
              <w:rPr>
                <w:rFonts w:hint="eastAsia" w:ascii="仿宋" w:hAnsi="仿宋" w:eastAsia="仿宋" w:cs="仿宋"/>
                <w:b/>
                <w:bCs/>
                <w:vertAlign w:val="baseline"/>
                <w:lang w:val="en-US" w:eastAsia="zh-CN"/>
              </w:rPr>
              <w:t>24小时</w:t>
            </w:r>
          </w:p>
        </w:tc>
      </w:tr>
      <w:tr w14:paraId="4E34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14:paraId="107EA040">
            <w:pPr>
              <w:pStyle w:val="2"/>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家属院大门</w:t>
            </w:r>
          </w:p>
        </w:tc>
        <w:tc>
          <w:tcPr>
            <w:tcW w:w="1704" w:type="dxa"/>
            <w:vAlign w:val="top"/>
          </w:tcPr>
          <w:p w14:paraId="399306CE">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1704" w:type="dxa"/>
            <w:vAlign w:val="top"/>
          </w:tcPr>
          <w:p w14:paraId="1FDFDA0A">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1705" w:type="dxa"/>
            <w:vAlign w:val="top"/>
          </w:tcPr>
          <w:p w14:paraId="4DCE3084">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1705" w:type="dxa"/>
            <w:vAlign w:val="top"/>
          </w:tcPr>
          <w:p w14:paraId="14B6CB35">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r>
      <w:tr w14:paraId="066B1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14:paraId="1B515A90">
            <w:pPr>
              <w:pStyle w:val="2"/>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未来路大门</w:t>
            </w:r>
          </w:p>
        </w:tc>
        <w:tc>
          <w:tcPr>
            <w:tcW w:w="1704" w:type="dxa"/>
            <w:vAlign w:val="top"/>
          </w:tcPr>
          <w:p w14:paraId="77F22B75">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1704" w:type="dxa"/>
            <w:vAlign w:val="top"/>
          </w:tcPr>
          <w:p w14:paraId="55FE8207">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1705" w:type="dxa"/>
            <w:vAlign w:val="top"/>
          </w:tcPr>
          <w:p w14:paraId="05A85990">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1705" w:type="dxa"/>
            <w:vAlign w:val="top"/>
          </w:tcPr>
          <w:p w14:paraId="76ADCE04">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r>
      <w:tr w14:paraId="2C4D4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14:paraId="5BFC0661">
            <w:pPr>
              <w:pStyle w:val="2"/>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进修楼大门</w:t>
            </w:r>
          </w:p>
        </w:tc>
        <w:tc>
          <w:tcPr>
            <w:tcW w:w="1704" w:type="dxa"/>
            <w:vAlign w:val="top"/>
          </w:tcPr>
          <w:p w14:paraId="7F979202">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1704" w:type="dxa"/>
            <w:vAlign w:val="top"/>
          </w:tcPr>
          <w:p w14:paraId="316A89AD">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1705" w:type="dxa"/>
            <w:vAlign w:val="top"/>
          </w:tcPr>
          <w:p w14:paraId="48A4124F">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1705" w:type="dxa"/>
            <w:vAlign w:val="top"/>
          </w:tcPr>
          <w:p w14:paraId="746A32A1">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r>
      <w:tr w14:paraId="38BAE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14:paraId="15C85A7F">
            <w:pPr>
              <w:pStyle w:val="2"/>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视频监控室</w:t>
            </w:r>
          </w:p>
        </w:tc>
        <w:tc>
          <w:tcPr>
            <w:tcW w:w="1704" w:type="dxa"/>
            <w:vAlign w:val="top"/>
          </w:tcPr>
          <w:p w14:paraId="2B12EA63">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1704" w:type="dxa"/>
            <w:vAlign w:val="top"/>
          </w:tcPr>
          <w:p w14:paraId="5509F550">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1705" w:type="dxa"/>
            <w:vAlign w:val="top"/>
          </w:tcPr>
          <w:p w14:paraId="786DA766">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1705" w:type="dxa"/>
            <w:vAlign w:val="top"/>
          </w:tcPr>
          <w:p w14:paraId="36F2D749">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w:t>
            </w:r>
          </w:p>
        </w:tc>
      </w:tr>
      <w:tr w14:paraId="7B3A4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14:paraId="5ABBDFB5">
            <w:pPr>
              <w:pStyle w:val="2"/>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城北路大门</w:t>
            </w:r>
          </w:p>
        </w:tc>
        <w:tc>
          <w:tcPr>
            <w:tcW w:w="1704" w:type="dxa"/>
            <w:vAlign w:val="top"/>
          </w:tcPr>
          <w:p w14:paraId="7246FDEC">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1704" w:type="dxa"/>
            <w:vAlign w:val="top"/>
          </w:tcPr>
          <w:p w14:paraId="5C900F96">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1705" w:type="dxa"/>
            <w:vAlign w:val="top"/>
          </w:tcPr>
          <w:p w14:paraId="26FB4949">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1705" w:type="dxa"/>
            <w:vAlign w:val="top"/>
          </w:tcPr>
          <w:p w14:paraId="70443863">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r>
      <w:tr w14:paraId="2AB58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14:paraId="1404468C">
            <w:pPr>
              <w:pStyle w:val="2"/>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巡逻</w:t>
            </w:r>
          </w:p>
        </w:tc>
        <w:tc>
          <w:tcPr>
            <w:tcW w:w="1704" w:type="dxa"/>
            <w:vAlign w:val="top"/>
          </w:tcPr>
          <w:p w14:paraId="0FBAEDE8">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1704" w:type="dxa"/>
            <w:vAlign w:val="top"/>
          </w:tcPr>
          <w:p w14:paraId="67CBC48B">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1705" w:type="dxa"/>
            <w:vAlign w:val="top"/>
          </w:tcPr>
          <w:p w14:paraId="3B0D652E">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1705" w:type="dxa"/>
            <w:vAlign w:val="top"/>
          </w:tcPr>
          <w:p w14:paraId="7500CC0C">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r>
      <w:tr w14:paraId="0601A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14:paraId="70F6AEE7">
            <w:pPr>
              <w:pStyle w:val="2"/>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队长</w:t>
            </w:r>
          </w:p>
        </w:tc>
        <w:tc>
          <w:tcPr>
            <w:tcW w:w="1704" w:type="dxa"/>
            <w:vAlign w:val="top"/>
          </w:tcPr>
          <w:p w14:paraId="72B27418">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p>
        </w:tc>
        <w:tc>
          <w:tcPr>
            <w:tcW w:w="1704" w:type="dxa"/>
            <w:vAlign w:val="top"/>
          </w:tcPr>
          <w:p w14:paraId="42DBC295">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1705" w:type="dxa"/>
            <w:vAlign w:val="top"/>
          </w:tcPr>
          <w:p w14:paraId="5B48A499">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p>
        </w:tc>
        <w:tc>
          <w:tcPr>
            <w:tcW w:w="1705" w:type="dxa"/>
            <w:vAlign w:val="top"/>
          </w:tcPr>
          <w:p w14:paraId="29E00C57">
            <w:pPr>
              <w:pStyle w:val="2"/>
              <w:keepNext w:val="0"/>
              <w:keepLines w:val="0"/>
              <w:pageBreakBefore w:val="0"/>
              <w:widowControl w:val="0"/>
              <w:kinsoku/>
              <w:wordWrap/>
              <w:overflowPunct/>
              <w:topLinePunct w:val="0"/>
              <w:bidi w:val="0"/>
              <w:snapToGrid/>
              <w:ind w:firstLine="0" w:firstLineChars="0"/>
              <w:jc w:val="center"/>
              <w:textAlignment w:val="auto"/>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r>
    </w:tbl>
    <w:p w14:paraId="651A4923">
      <w:pPr>
        <w:widowControl/>
        <w:shd w:val="clear" w:color="auto" w:fill="auto"/>
        <w:spacing w:line="500" w:lineRule="exact"/>
        <w:ind w:firstLine="480" w:firstLineChars="200"/>
        <w:jc w:val="left"/>
        <w:rPr>
          <w:rFonts w:hint="eastAsia" w:ascii="黑体" w:hAnsi="黑体" w:eastAsia="黑体" w:cs="黑体"/>
          <w:color w:val="auto"/>
          <w:kern w:val="0"/>
          <w:sz w:val="24"/>
          <w:szCs w:val="24"/>
          <w:highlight w:val="none"/>
          <w:shd w:val="clear" w:color="auto" w:fill="auto"/>
        </w:rPr>
      </w:pPr>
      <w:r>
        <w:rPr>
          <w:rFonts w:hint="eastAsia" w:ascii="黑体" w:hAnsi="黑体" w:eastAsia="黑体" w:cs="黑体"/>
          <w:color w:val="auto"/>
          <w:kern w:val="0"/>
          <w:sz w:val="24"/>
          <w:szCs w:val="24"/>
          <w:highlight w:val="none"/>
          <w:shd w:val="clear" w:color="auto" w:fill="auto"/>
        </w:rPr>
        <w:t>第二条服务期限</w:t>
      </w:r>
    </w:p>
    <w:p w14:paraId="4EC09613">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1.自</w:t>
      </w: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2025</w:t>
      </w:r>
      <w:r>
        <w:rPr>
          <w:rFonts w:hint="eastAsia" w:ascii="方正仿宋_GB2312" w:hAnsi="方正仿宋_GB2312" w:eastAsia="方正仿宋_GB2312" w:cs="方正仿宋_GB2312"/>
          <w:color w:val="auto"/>
          <w:kern w:val="0"/>
          <w:sz w:val="24"/>
          <w:szCs w:val="24"/>
          <w:highlight w:val="none"/>
          <w:shd w:val="clear" w:color="auto" w:fill="auto"/>
        </w:rPr>
        <w:t>年</w:t>
      </w: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9</w:t>
      </w:r>
      <w:r>
        <w:rPr>
          <w:rFonts w:hint="eastAsia" w:ascii="方正仿宋_GB2312" w:hAnsi="方正仿宋_GB2312" w:eastAsia="方正仿宋_GB2312" w:cs="方正仿宋_GB2312"/>
          <w:color w:val="auto"/>
          <w:kern w:val="0"/>
          <w:sz w:val="24"/>
          <w:szCs w:val="24"/>
          <w:highlight w:val="none"/>
          <w:shd w:val="clear" w:color="auto" w:fill="auto"/>
        </w:rPr>
        <w:t>月</w:t>
      </w: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13</w:t>
      </w:r>
      <w:r>
        <w:rPr>
          <w:rFonts w:hint="eastAsia" w:ascii="方正仿宋_GB2312" w:hAnsi="方正仿宋_GB2312" w:eastAsia="方正仿宋_GB2312" w:cs="方正仿宋_GB2312"/>
          <w:color w:val="auto"/>
          <w:kern w:val="0"/>
          <w:sz w:val="24"/>
          <w:szCs w:val="24"/>
          <w:highlight w:val="none"/>
          <w:shd w:val="clear" w:color="auto" w:fill="auto"/>
        </w:rPr>
        <w:t>日起至</w:t>
      </w: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2026</w:t>
      </w:r>
      <w:r>
        <w:rPr>
          <w:rFonts w:hint="eastAsia" w:ascii="方正仿宋_GB2312" w:hAnsi="方正仿宋_GB2312" w:eastAsia="方正仿宋_GB2312" w:cs="方正仿宋_GB2312"/>
          <w:color w:val="auto"/>
          <w:kern w:val="0"/>
          <w:sz w:val="24"/>
          <w:szCs w:val="24"/>
          <w:highlight w:val="none"/>
          <w:shd w:val="clear" w:color="auto" w:fill="auto"/>
        </w:rPr>
        <w:t>年</w:t>
      </w: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9</w:t>
      </w:r>
      <w:r>
        <w:rPr>
          <w:rFonts w:hint="eastAsia" w:ascii="方正仿宋_GB2312" w:hAnsi="方正仿宋_GB2312" w:eastAsia="方正仿宋_GB2312" w:cs="方正仿宋_GB2312"/>
          <w:color w:val="auto"/>
          <w:kern w:val="0"/>
          <w:sz w:val="24"/>
          <w:szCs w:val="24"/>
          <w:highlight w:val="none"/>
          <w:shd w:val="clear" w:color="auto" w:fill="auto"/>
        </w:rPr>
        <w:t>月</w:t>
      </w: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12</w:t>
      </w:r>
      <w:r>
        <w:rPr>
          <w:rFonts w:hint="eastAsia" w:ascii="方正仿宋_GB2312" w:hAnsi="方正仿宋_GB2312" w:eastAsia="方正仿宋_GB2312" w:cs="方正仿宋_GB2312"/>
          <w:color w:val="auto"/>
          <w:kern w:val="0"/>
          <w:sz w:val="24"/>
          <w:szCs w:val="24"/>
          <w:highlight w:val="none"/>
          <w:shd w:val="clear" w:color="auto" w:fill="auto"/>
        </w:rPr>
        <w:t>日止。</w:t>
      </w:r>
    </w:p>
    <w:p w14:paraId="5F8A38D3">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2.乙方向甲方按合同约定提供服务，试用期为3个月。合同期内乙方安排的保安人员若不能满足甲方所需安全服务要求，或乙方配备的合格保安人员达不到合同岗位约定数量、擅自提高劳务服务价格（即保安人员服务费用）的，甲方有权随时在合同期限内（包括试用期内）终止本合同，由此所产生的各种损失由乙方承担（包括但不限于停止支付保安人员服务费用及要求乙方承担违约金等）。</w:t>
      </w:r>
    </w:p>
    <w:p w14:paraId="7A3695E6">
      <w:pPr>
        <w:widowControl/>
        <w:shd w:val="clear" w:color="auto" w:fill="auto"/>
        <w:spacing w:line="500" w:lineRule="exact"/>
        <w:ind w:firstLine="480" w:firstLineChars="200"/>
        <w:jc w:val="left"/>
        <w:rPr>
          <w:rFonts w:hint="eastAsia" w:ascii="黑体" w:hAnsi="黑体" w:eastAsia="黑体" w:cs="黑体"/>
          <w:color w:val="auto"/>
          <w:kern w:val="0"/>
          <w:sz w:val="24"/>
          <w:szCs w:val="24"/>
          <w:highlight w:val="none"/>
          <w:shd w:val="clear" w:color="auto" w:fill="auto"/>
        </w:rPr>
      </w:pPr>
      <w:r>
        <w:rPr>
          <w:rFonts w:hint="eastAsia" w:ascii="黑体" w:hAnsi="黑体" w:eastAsia="黑体" w:cs="黑体"/>
          <w:color w:val="auto"/>
          <w:kern w:val="0"/>
          <w:sz w:val="24"/>
          <w:szCs w:val="24"/>
          <w:highlight w:val="none"/>
          <w:shd w:val="clear" w:color="auto" w:fill="auto"/>
        </w:rPr>
        <w:t>第三条人事关系</w:t>
      </w:r>
    </w:p>
    <w:p w14:paraId="43CAFF7F">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保安人员为乙方公司雇员，与甲方不存在劳动或雇佣关系。乙方应按照国家法律规定办理安保人员的社保、保险等事项。</w:t>
      </w:r>
    </w:p>
    <w:p w14:paraId="3F7E6D58">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保安人员进行执勤过程中，本人致伤、致残、致亡的，或者导致他人财产、人身损害的，甲方不承担任何责任；如出现上述问题，乙方承担相应责任，并负责妥善处理善后工作；因公司原因造成的劳资纠纷，由公司承担全部责任。</w:t>
      </w:r>
    </w:p>
    <w:p w14:paraId="1E2B9778">
      <w:pPr>
        <w:widowControl/>
        <w:shd w:val="clear" w:color="auto" w:fill="auto"/>
        <w:spacing w:line="500" w:lineRule="exact"/>
        <w:ind w:firstLine="480" w:firstLineChars="200"/>
        <w:jc w:val="left"/>
        <w:rPr>
          <w:rFonts w:hint="eastAsia" w:ascii="黑体" w:hAnsi="黑体" w:eastAsia="黑体" w:cs="黑体"/>
          <w:color w:val="auto"/>
          <w:kern w:val="0"/>
          <w:sz w:val="24"/>
          <w:szCs w:val="24"/>
          <w:highlight w:val="none"/>
          <w:shd w:val="clear" w:color="auto" w:fill="auto"/>
        </w:rPr>
      </w:pPr>
      <w:r>
        <w:rPr>
          <w:rFonts w:hint="eastAsia" w:ascii="黑体" w:hAnsi="黑体" w:eastAsia="黑体" w:cs="黑体"/>
          <w:color w:val="auto"/>
          <w:kern w:val="0"/>
          <w:sz w:val="24"/>
          <w:szCs w:val="24"/>
          <w:highlight w:val="none"/>
          <w:shd w:val="clear" w:color="auto" w:fill="auto"/>
        </w:rPr>
        <w:t>第四条保安服务要求</w:t>
      </w:r>
    </w:p>
    <w:p w14:paraId="1290CC18">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1.乙方向甲方提供</w:t>
      </w: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24</w:t>
      </w:r>
      <w:r>
        <w:rPr>
          <w:rFonts w:hint="eastAsia" w:ascii="方正仿宋_GB2312" w:hAnsi="方正仿宋_GB2312" w:eastAsia="方正仿宋_GB2312" w:cs="方正仿宋_GB2312"/>
          <w:color w:val="auto"/>
          <w:kern w:val="0"/>
          <w:sz w:val="24"/>
          <w:szCs w:val="24"/>
          <w:highlight w:val="none"/>
          <w:shd w:val="clear" w:color="auto" w:fill="auto"/>
        </w:rPr>
        <w:t>名保安人员（其中东明路校区须提供具有建筑物消防员证或消防设施操作员中级证书的保安员</w:t>
      </w: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6</w:t>
      </w:r>
      <w:r>
        <w:rPr>
          <w:rFonts w:hint="eastAsia" w:ascii="方正仿宋_GB2312" w:hAnsi="方正仿宋_GB2312" w:eastAsia="方正仿宋_GB2312" w:cs="方正仿宋_GB2312"/>
          <w:color w:val="auto"/>
          <w:kern w:val="0"/>
          <w:sz w:val="24"/>
          <w:szCs w:val="24"/>
          <w:highlight w:val="none"/>
          <w:shd w:val="clear" w:color="auto" w:fill="auto"/>
        </w:rPr>
        <w:t>名）。保安人员需具备以下条件：岗位要求为男性，年龄18-45周岁，身高170厘米</w:t>
      </w: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以上</w:t>
      </w:r>
      <w:r>
        <w:rPr>
          <w:rFonts w:hint="eastAsia" w:ascii="方正仿宋_GB2312" w:hAnsi="方正仿宋_GB2312" w:eastAsia="方正仿宋_GB2312" w:cs="方正仿宋_GB2312"/>
          <w:color w:val="auto"/>
          <w:kern w:val="0"/>
          <w:sz w:val="24"/>
          <w:szCs w:val="24"/>
          <w:highlight w:val="none"/>
          <w:shd w:val="clear" w:color="auto" w:fill="auto"/>
        </w:rPr>
        <w:t>，女性保安员18-45周岁，身高160厘米以上，女性保安的比例根据岗位需要占比不能超过百分之三十。所有派遣保安员均要政治可靠，作风正派，身体健康，品行端正，无违法犯罪的经历，非学校周边居住人员，具备上岗资格；专职项目经理人要有三年以上保安队伍的管理经验。</w:t>
      </w:r>
    </w:p>
    <w:p w14:paraId="41AEDCA7">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2.所有队员基本信息、身份证明要在保卫处填写登记表备案并保证队伍的相对稳定。</w:t>
      </w:r>
    </w:p>
    <w:p w14:paraId="1F7D966B">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3.加强对保安队员的法纪教育和业务学习训练，每月整建制集中理论学习不少于4小时；规范化执勤、消防灭火、防暴训练等不少于4小时；有培训计划和培训记录，并作为保安队伍考核的凭证之一。</w:t>
      </w:r>
    </w:p>
    <w:p w14:paraId="2D21215A">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4.要求人员遵纪守法观念强，乙方有健全的组织机构和保安服务管理制度、岗位责任制度、保安员管理制度，能严格执行国家法律法规，自觉遵守甲、乙双方制定的各项规章制度。</w:t>
      </w:r>
    </w:p>
    <w:p w14:paraId="58874616">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5.保安队员住宿由甲方提供，饮食由保安公司或队员自行解决。</w:t>
      </w:r>
    </w:p>
    <w:p w14:paraId="15452EDE">
      <w:pPr>
        <w:widowControl/>
        <w:shd w:val="clear" w:color="auto" w:fill="auto"/>
        <w:spacing w:line="500" w:lineRule="exact"/>
        <w:ind w:firstLine="480" w:firstLineChars="200"/>
        <w:jc w:val="left"/>
        <w:rPr>
          <w:rFonts w:hint="eastAsia" w:ascii="黑体" w:hAnsi="黑体" w:eastAsia="黑体" w:cs="黑体"/>
          <w:color w:val="auto"/>
          <w:kern w:val="0"/>
          <w:sz w:val="24"/>
          <w:szCs w:val="24"/>
          <w:highlight w:val="none"/>
          <w:shd w:val="clear" w:color="auto" w:fill="auto"/>
        </w:rPr>
      </w:pPr>
      <w:r>
        <w:rPr>
          <w:rFonts w:hint="eastAsia" w:ascii="黑体" w:hAnsi="黑体" w:eastAsia="黑体" w:cs="黑体"/>
          <w:color w:val="auto"/>
          <w:kern w:val="0"/>
          <w:sz w:val="24"/>
          <w:szCs w:val="24"/>
          <w:highlight w:val="none"/>
          <w:shd w:val="clear" w:color="auto" w:fill="auto"/>
        </w:rPr>
        <w:t>第五条保安服务标准</w:t>
      </w:r>
    </w:p>
    <w:p w14:paraId="1180B556">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1.保安人员必须经过相关专业培训方可上岗，在执行勤务时，必须着统一的保安服装，佩戴相应执勤标识。</w:t>
      </w:r>
    </w:p>
    <w:p w14:paraId="2BAC8F79">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2.服从甲方的领导，认真学习政治、业务和法律知识，尽职尽责，为甲方提供高质量的保安服务；</w:t>
      </w:r>
    </w:p>
    <w:p w14:paraId="25EF072E">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3.必须遵纪守法，文明执勤，不得迟到、早退、脱岗、串岗，不得有法律、法规禁止的违法行为；</w:t>
      </w:r>
    </w:p>
    <w:p w14:paraId="20C3FD52">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4.在执勤中，如发现各种不安全隐患，除采取应急措施外，应立即报告甲方领导，并保卫校方师生人身、财产安全。</w:t>
      </w:r>
    </w:p>
    <w:p w14:paraId="73E45793">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5.工作人员名单及基本情况，更换工作人员应提前向甲方通报并说明情况；</w:t>
      </w:r>
    </w:p>
    <w:p w14:paraId="0B0CE6A3">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lang w:val="en-US" w:eastAsia="zh-CN"/>
        </w:rPr>
      </w:pPr>
      <w:r>
        <w:rPr>
          <w:rFonts w:hint="eastAsia" w:ascii="方正仿宋_GB2312" w:hAnsi="方正仿宋_GB2312" w:eastAsia="方正仿宋_GB2312" w:cs="方正仿宋_GB2312"/>
          <w:color w:val="auto"/>
          <w:kern w:val="0"/>
          <w:sz w:val="24"/>
          <w:szCs w:val="24"/>
          <w:highlight w:val="none"/>
          <w:shd w:val="clear" w:color="auto" w:fill="auto"/>
        </w:rPr>
        <w:t>6.乙方配备的保安人员遵守甲方的有关管理规定，接受甲方对服务工作及服务质量的监督评价与考核，做到忠于职守、遵纪守法、文明执勤。</w:t>
      </w:r>
    </w:p>
    <w:p w14:paraId="5856385D">
      <w:pPr>
        <w:widowControl/>
        <w:shd w:val="clear" w:color="auto" w:fill="auto"/>
        <w:spacing w:line="500" w:lineRule="exact"/>
        <w:ind w:firstLine="480" w:firstLineChars="200"/>
        <w:jc w:val="left"/>
        <w:rPr>
          <w:rFonts w:hint="eastAsia" w:ascii="黑体" w:hAnsi="黑体" w:eastAsia="黑体" w:cs="黑体"/>
          <w:color w:val="auto"/>
          <w:kern w:val="0"/>
          <w:sz w:val="24"/>
          <w:szCs w:val="24"/>
          <w:highlight w:val="none"/>
          <w:shd w:val="clear" w:color="auto" w:fill="auto"/>
        </w:rPr>
      </w:pPr>
      <w:r>
        <w:rPr>
          <w:rFonts w:hint="eastAsia" w:ascii="黑体" w:hAnsi="黑体" w:eastAsia="黑体" w:cs="黑体"/>
          <w:color w:val="auto"/>
          <w:kern w:val="0"/>
          <w:sz w:val="24"/>
          <w:szCs w:val="24"/>
          <w:highlight w:val="none"/>
          <w:shd w:val="clear" w:color="auto" w:fill="auto"/>
        </w:rPr>
        <w:t>第</w:t>
      </w:r>
      <w:r>
        <w:rPr>
          <w:rFonts w:hint="eastAsia" w:ascii="黑体" w:hAnsi="黑体" w:eastAsia="黑体" w:cs="黑体"/>
          <w:color w:val="auto"/>
          <w:kern w:val="0"/>
          <w:sz w:val="24"/>
          <w:szCs w:val="24"/>
          <w:highlight w:val="none"/>
          <w:shd w:val="clear" w:color="auto" w:fill="auto"/>
          <w:lang w:val="en-US" w:eastAsia="zh-CN"/>
        </w:rPr>
        <w:t>六</w:t>
      </w:r>
      <w:r>
        <w:rPr>
          <w:rFonts w:hint="eastAsia" w:ascii="黑体" w:hAnsi="黑体" w:eastAsia="黑体" w:cs="黑体"/>
          <w:color w:val="auto"/>
          <w:kern w:val="0"/>
          <w:sz w:val="24"/>
          <w:szCs w:val="24"/>
          <w:highlight w:val="none"/>
          <w:shd w:val="clear" w:color="auto" w:fill="auto"/>
        </w:rPr>
        <w:t>条双方权利义务</w:t>
      </w:r>
    </w:p>
    <w:p w14:paraId="6184BB4D">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（一）甲方权利义务</w:t>
      </w:r>
    </w:p>
    <w:p w14:paraId="7C752D71">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1、甲方按照合同规定的安全保卫服务内容，全权负责对保安人员的各项日常工作的部署安排，并对工作完成质量进行检查验收。乙方不得对甲方依据合同安排的工作进行任何形式的干涉。</w:t>
      </w:r>
    </w:p>
    <w:p w14:paraId="5D83DA0D">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2、甲方根据各岗位职责对所在岗位保安的工作质量和效果进行评价，有权独立对保安个人依法依规进行各类形式的奖励和处罚，有权独立确定保安人员的职务和岗位，有权处理不合格的保安人员并有权要求乙方及时调换，乙方不得以任何理由进行干涉和拒绝，必须无条件满足甲方要求。</w:t>
      </w:r>
    </w:p>
    <w:p w14:paraId="39C907B7">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3、保安人员实际发放的工资应由基础工资、奖励绩效工资及加班费构成。基础工资的标准及奖励绩效工资的比例应由甲方在乙方单人中标价总额基础上扣除乙方管理费、税金、经甲方确定的购买“基本社会保险”的费用基础上进行确定。乙方根据日常考核情况负责对每名保安人员工资标准、加班费的确定，负责保安人员岗位的调配、工作绩效的评定及人员的考核，负责制定甲方认可的保安人员值勤方案和日常管理制度。甲方对乙方确定的保安人员的工资和绩效有建议及监督权，乙方须无条件配合甲方。</w:t>
      </w:r>
    </w:p>
    <w:p w14:paraId="441BC2D1">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4、甲方有权根据工作需要，依法依规安排保安人员执行临时任务。保安个人和乙方不得以任何理由拒绝配合。</w:t>
      </w:r>
    </w:p>
    <w:p w14:paraId="0621F490">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5、甲方有权组织保安人员进行有关安全防范措施和相关规章制度的学习，保安须按照甲方制定的规章制度和要求生活和工作。根据情况，甲方有权要求乙方无条件按照甲方的要求配合处理保安执勤过程中发生的纠纷。</w:t>
      </w:r>
    </w:p>
    <w:p w14:paraId="22DB3B75">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6、甲方有权对不按甲方要求履行职责、违反保安守则或者有关规章制度的保安人员按照甲方的相关制度规定进行处罚，情节严重不符合甲方要求的，甲方有权利将此保安人员退回乙方并由乙方重新在甲方规定的时间内推荐新的保安人员，乙方须无条件配合。</w:t>
      </w:r>
    </w:p>
    <w:p w14:paraId="47DBFB58">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7、甲方不负责提供乙方保安人员的饮食及医疗等费用。</w:t>
      </w:r>
    </w:p>
    <w:p w14:paraId="2D792A6A">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8、甲方对乙方保安人员的一切个人行为所引起的法律后果不承担任何责任，由乙方自行负责解决处理。甲方对乙方保安人员在执行工作任务期间，违反甲方规定或保安守则，所引起的法律后果不承担任何责任，由乙方自行负责解决处理。</w:t>
      </w:r>
    </w:p>
    <w:p w14:paraId="06C4FEBE">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9、甲方应按照合同约定的服务费的标准、支付时间和支付方式向乙方支付保安服务费。</w:t>
      </w:r>
    </w:p>
    <w:p w14:paraId="65887A45">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10、甲方不得安排保安人员做违反法律法规的事情。</w:t>
      </w:r>
    </w:p>
    <w:p w14:paraId="76FB879D">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11、如有以下行为和违约责任，采购方有权立即终止合同，因此产生的损失由中标单位负全责，直至追究法律责任。</w:t>
      </w:r>
    </w:p>
    <w:p w14:paraId="0FC11FBE">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（1）泄露在保安服务中获知的国家秘密、商业秘密以及客户单位明确要求保密的信息的；</w:t>
      </w:r>
    </w:p>
    <w:p w14:paraId="0E099133">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（2）使用监控设备侵犯他人合法权益或者个人隐私的；</w:t>
      </w:r>
    </w:p>
    <w:p w14:paraId="25554478">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（3）删改或者扩散保安服务中形成的监控影像资料、报警记录的；</w:t>
      </w:r>
    </w:p>
    <w:p w14:paraId="62B8E2A5">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（4）指使、纵容保安员阻碍依法执行公务、参与追索债务、采用暴力或者以暴力相威胁的手段处置纠纷的；</w:t>
      </w:r>
    </w:p>
    <w:p w14:paraId="63B23445">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（5）对保安员疏于管理、教育和培训，发生保安员违法犯罪案件，造成严重后果的；</w:t>
      </w:r>
    </w:p>
    <w:p w14:paraId="019FE796">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（6）滥用职权，非法限制他人人身自由、搜查他人身体或者侮辱、殴打他人的；</w:t>
      </w:r>
    </w:p>
    <w:p w14:paraId="35E2B670">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（7）扣押、没收他人证件、财物的；</w:t>
      </w:r>
    </w:p>
    <w:p w14:paraId="159CF235">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（8）阻碍依法执行公务的；</w:t>
      </w:r>
    </w:p>
    <w:p w14:paraId="1B192BA9">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（9）有违反法律、行政法规的其他行为的。</w:t>
      </w:r>
    </w:p>
    <w:p w14:paraId="0F168901">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（二）乙方权利义务</w:t>
      </w:r>
    </w:p>
    <w:p w14:paraId="295B300D">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1、乙方必须在双方签订合同后，于年月日上午点之前将按照合同约定的符合条件并经甲方确定的保安人员送至甲方单位所在地上岗履职。乙方保安人员入职后必须服从甲方保卫处管理人员的直接指挥，但有权拒绝不合法的服务。</w:t>
      </w:r>
    </w:p>
    <w:p w14:paraId="2C27C90B">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2、乙方应对派驻甲方的保安人员进行上岗前身体检查，确保派驻甲方的保安人员身体健康并能胜任甲方所分配的工作。乙方负责承担保安人员在工作服务期间因自身疾病造成的一切病、伤、亡责任。</w:t>
      </w:r>
    </w:p>
    <w:p w14:paraId="5C09AFF2">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3、乙方中标后应向甲方提供选派保安人员的身份证原件、身份证复印件、个人简历、无违法犯罪记录证明、健康证明等资料，并保证所提供资料的真实性。乙方选派的保安人员须经过乙方的岗前专业培训（获得培训合格证〕，上岗后继续按照甲方要求对保安人员进行必要的教育和训练，保证其人员的素质满足甲方工作的要求，保证所提供保安人员必须无条件遵守甲方制定的规章制度并按照甲方的要求和标准开展工作。乙方必须密切联系甲方，征求意见，加强对保安人员的管理，按照甲方的要求和标准，定时或者不定时对保安人员履职情况进行抽查检查，发现问题及时改正，抽查检查时必须经甲方同意并由甲方指定的管理人员参加。</w:t>
      </w:r>
    </w:p>
    <w:p w14:paraId="0C20479F">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4、乙方须与所有保安人员按照相关法律规定签订劳动合同（劳动合同须报甲方备案），形成劳动用工法律关系，有关劳动争议以及其他一切争议或赔偿由乙方自行负责，与甲方无关。保安人员在执勤中，因工受伤、致残甚至牺牲（须经有关专门鉴定机构鉴定并出具鉴定结果〕，其医药费、抚恤金等费用由社会保险和商业保险按规定理赔，保安人员因病、伤、残、亡的合理开支超出保险理赔的部分，由乙方负担。</w:t>
      </w:r>
    </w:p>
    <w:p w14:paraId="14390579">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5、乙方负责按照与甲方约定的时间足额支付由甲方确定的每名保安人员的工资。</w:t>
      </w:r>
    </w:p>
    <w:p w14:paraId="1AF7E631">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6、乙方须承担因所提供的保安人员失职或不作为导致甲方校园内人员生命或者财产受到伤害损失的一切赔偿责任及其他所有后果。为了保护甲方人员的生命、财产安全，在防火、防盗、救灾和维护治安秩序中，造成甲方财产损失的，乙方可不予赔偿。构成治安或者刑事案件的，乙方需要按照公安、司法部门的裁决、判决执行。</w:t>
      </w:r>
    </w:p>
    <w:p w14:paraId="1D68DE57">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7、未经甲方同意，乙方不得抽调本项目保安人员出外勤，并确保本项目人员出勤率达到95%以上。</w:t>
      </w:r>
    </w:p>
    <w:p w14:paraId="735DEEDC">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8、对甲方认为不合格的保安人员，乙方须在接到甲方书面通知之次日撤回不合格人员，并在自撤走不合格人员之次日起3日内将新的符合条件的保安人员派到甲方。</w:t>
      </w:r>
    </w:p>
    <w:p w14:paraId="49E59714">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9、因执勤保安人员失职或不作为给甲方或第三方造成损失的，由乙方全额赔偿损。</w:t>
      </w:r>
    </w:p>
    <w:p w14:paraId="62CA122D">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10、乙方管理该项目人员必须保持手机24小时开机，确保甲方随时联系畅通。</w:t>
      </w:r>
    </w:p>
    <w:p w14:paraId="1E112D87">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11、甲乙双方签订的该保安服务协议自合同生效之日起，如乙方没能达到甲方要求的工作质量和标准或者保安人员违反法律、法规和甲方有关规定对甲方造成秩序、安全及其他不利影响和经济损失的，甲方有权终止与乙方的保安服务协议，乙方必须在甲方规定的时间内全部撤场。</w:t>
      </w:r>
    </w:p>
    <w:p w14:paraId="21C3FE2C">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12、在乙方缺少保安人员期间，甲方按实际出勤人数支付保安服务费，出勤人数</w:t>
      </w: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不得</w:t>
      </w:r>
      <w:r>
        <w:rPr>
          <w:rFonts w:hint="eastAsia" w:ascii="方正仿宋_GB2312" w:hAnsi="方正仿宋_GB2312" w:eastAsia="方正仿宋_GB2312" w:cs="方正仿宋_GB2312"/>
          <w:color w:val="auto"/>
          <w:kern w:val="0"/>
          <w:sz w:val="24"/>
          <w:szCs w:val="24"/>
          <w:highlight w:val="none"/>
          <w:shd w:val="clear" w:color="auto" w:fill="auto"/>
        </w:rPr>
        <w:t>低于合同约定95%的比例。保安人员一周内出勤人数低于95%，甲方有权将现场全部保安人员清退并拒绝向乙方支付任何费用，因此造成的一切后果均由乙方承担。</w:t>
      </w:r>
    </w:p>
    <w:p w14:paraId="3A6421DD">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13、乙方应对本合同之所有条款以及其他在谈判、本合同实施或履行过程中所得到的所有信息予以保密。该保密责任应在本合同到期及终止后依然有效。</w:t>
      </w:r>
    </w:p>
    <w:p w14:paraId="2F62215A">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14、乙方有义务将甲方的安全隐患告知甲方管理人员或者以书面形式递交，甲方就乙方提出的一些关于安全隐患的告知和书面报告应及时答复，积极改进。</w:t>
      </w:r>
    </w:p>
    <w:p w14:paraId="58F71F59">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15、乙方负责协调社会治安、交通、消防等政府部门关系，积极配合相关部门处理好发生在校内的治安案件、交通及火灾事故等。</w:t>
      </w:r>
    </w:p>
    <w:p w14:paraId="13164835">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16、乙方应派公司名管理人员（经理级别）常驻甲方解决相关问题。</w:t>
      </w:r>
    </w:p>
    <w:p w14:paraId="2ED00644">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17、中标单位应按《劳动合同法》的相关规定，如发生劳动争议，由中标单位负责，采购方不承担责任。</w:t>
      </w:r>
    </w:p>
    <w:p w14:paraId="4CD7ABA9">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18、乙方须向甲方大门执勤岗位提供素质高、形象好，身高1.80米以上，具有一定的语言表达和沟通能力，年龄在20-30周岁的复转军人担任。</w:t>
      </w:r>
    </w:p>
    <w:p w14:paraId="305961E9">
      <w:pPr>
        <w:widowControl/>
        <w:shd w:val="clear" w:color="auto" w:fill="auto"/>
        <w:spacing w:line="500" w:lineRule="exact"/>
        <w:ind w:firstLine="480" w:firstLineChars="200"/>
        <w:jc w:val="left"/>
        <w:rPr>
          <w:rFonts w:hint="eastAsia" w:ascii="黑体" w:hAnsi="黑体" w:eastAsia="黑体" w:cs="黑体"/>
          <w:color w:val="auto"/>
          <w:kern w:val="0"/>
          <w:sz w:val="24"/>
          <w:szCs w:val="24"/>
          <w:highlight w:val="none"/>
          <w:shd w:val="clear" w:color="auto" w:fill="auto"/>
          <w:lang w:val="en-US" w:eastAsia="zh-CN"/>
        </w:rPr>
      </w:pPr>
      <w:r>
        <w:rPr>
          <w:rFonts w:hint="eastAsia" w:ascii="黑体" w:hAnsi="黑体" w:eastAsia="黑体" w:cs="黑体"/>
          <w:color w:val="auto"/>
          <w:kern w:val="0"/>
          <w:sz w:val="24"/>
          <w:szCs w:val="24"/>
          <w:highlight w:val="none"/>
          <w:shd w:val="clear" w:color="auto" w:fill="auto"/>
          <w:lang w:val="en-US" w:eastAsia="zh-CN"/>
        </w:rPr>
        <w:t>第七条处罚措施（适用于本项目经理、队长、安保队员等相关人员）</w:t>
      </w:r>
    </w:p>
    <w:p w14:paraId="3C6097E8">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lang w:val="en-US" w:eastAsia="zh-CN"/>
        </w:rPr>
      </w:pP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行政处罚措施：甲方对违纪违规安保人员的行政处罚包括警告、免职、留用察看、开除、解除合同。其中，留用察看期限为1个月，期间按试用期待遇执行。期满后，根据被留用察看者表现，可作出留任原岗位、警告、免职、再次留用察看、开除、解除合同等相应处理决定。</w:t>
      </w:r>
    </w:p>
    <w:p w14:paraId="032B14AD">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lang w:val="en-US" w:eastAsia="zh-CN"/>
        </w:rPr>
      </w:pP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2工资扣发措施：甲方对违纪违规的乙方人员，可采取扣发工资的处罚手段。</w:t>
      </w:r>
    </w:p>
    <w:p w14:paraId="33FD0B21">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lang w:val="en-US" w:eastAsia="zh-CN"/>
        </w:rPr>
      </w:pP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3重复犯错处理：为减少员工重复犯错，对同一自然年度内犯相同错误者，每人每次扣除工资200-500元。</w:t>
      </w:r>
    </w:p>
    <w:p w14:paraId="1B37FA87">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lang w:val="en-US" w:eastAsia="zh-CN"/>
        </w:rPr>
      </w:pP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4着装及行为规范违规：未按甲方规定着装，或违反行为规范及制度的保安员，扣发100元。</w:t>
      </w:r>
    </w:p>
    <w:p w14:paraId="76B930C1">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lang w:val="en-US" w:eastAsia="zh-CN"/>
        </w:rPr>
      </w:pP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5恶劣行为处罚：上班时间带有酒气醉意、酗酒、赌博、打架等，保安员每次扣发500元。</w:t>
      </w:r>
    </w:p>
    <w:p w14:paraId="1E9DB93B">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lang w:val="en-US" w:eastAsia="zh-CN"/>
        </w:rPr>
      </w:pP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6.在岗不履职处罚：上岗期间，安保人员从事玩手机、看书、睡觉、迟到、早退、缺岗等与本职岗位无关事情，每人次扣发200元；同时，负责本项目的经理或队长每次扣发500元。</w:t>
      </w:r>
    </w:p>
    <w:p w14:paraId="78E40D08">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lang w:val="en-US" w:eastAsia="zh-CN"/>
        </w:rPr>
      </w:pP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7.包庇行为处理：有意包庇他人违规行为，视情节轻重扣发500-1000元；情形严重并造成甲方经济损失的，予以更换；因包庇行为致使甲方经济损失超5000元，或引发媒体报道、影响甲方声誉的，按更严重情形处理。</w:t>
      </w:r>
    </w:p>
    <w:p w14:paraId="44BBB5BE">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lang w:val="en-US" w:eastAsia="zh-CN"/>
        </w:rPr>
      </w:pP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8.工作延误处罚：未按岗位职责、部门分工、工作计划、方案、承诺事项或上级指令推进工作，造成工作延误或进度滞后，视情节轻重扣发2000-5000元。</w:t>
      </w:r>
    </w:p>
    <w:p w14:paraId="7FA356A4">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lang w:val="en-US" w:eastAsia="zh-CN"/>
        </w:rPr>
      </w:pP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9.工作流程违规处罚：未按甲方工作流程、程序、标准、要求及规章制度开展工作，根据造成后果的严重程度，每次扣发1000-3000元；情节严重者，予以通报。</w:t>
      </w:r>
    </w:p>
    <w:p w14:paraId="72A81FF5">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lang w:val="en-US" w:eastAsia="zh-CN"/>
        </w:rPr>
      </w:pP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10.影响团结及欺瞒行为处罚：在员工间散布流言蜚语，影响同事团结和工作氛围，且未通过正常渠道反映意见；或同一员工一年内犯此类错误2次；以及采用欺瞒、谎报、串谋等方式隐瞒工作失误或其他错误，视情节轻重扣发2000-5000元。</w:t>
      </w:r>
    </w:p>
    <w:p w14:paraId="0D6CFFAA">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lang w:val="en-US" w:eastAsia="zh-CN"/>
        </w:rPr>
      </w:pP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11.不礼貌及冲突行为处罚：对甲方单位不礼貌、态度恶劣，发生激烈争吵、斗殴，造成媒体报道等影响公司声誉的后果；或同一员工一年内犯此类错误2次，属严重违纪行为，视情节轻重扣发2000-5000元。</w:t>
      </w:r>
    </w:p>
    <w:p w14:paraId="2D7442E4">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lang w:val="en-US" w:eastAsia="zh-CN"/>
        </w:rPr>
      </w:pP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12.吃拿卡要行为处理：如发现对校内商户、施工单位存在吃拿卡要现象，首次责令当事人和队长退还财物，并处以5000元罚款；合同期内出现两次，甲方有权责令乙方更换项目经理或队长；出现三次，甲方有权单方解除合同。</w:t>
      </w:r>
    </w:p>
    <w:p w14:paraId="7AE68FA6">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lang w:val="en-US" w:eastAsia="zh-CN"/>
        </w:rPr>
      </w:pP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13.经理人值守及沟通要求：乙方专职经理人须保证每周7天值守甲方项目，手机24小时开机，确保甲方随时联系畅通。首次联系不到或未按甲方合理要求整改问题和工作，扣500元；若造成后果，扣除乙方服务费5000至20000元；出现严重后果，甲方可直接解除合同，并依法追究责任。</w:t>
      </w:r>
    </w:p>
    <w:p w14:paraId="796327B3">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lang w:val="en-US" w:eastAsia="zh-CN"/>
        </w:rPr>
      </w:pP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14.叠加处罚规定：以上涉及对项目经理或队长的罚款，相关人员需承担罚款金额1倍的处罚。各项处罚可叠加实施，若造成严重损失，甲方可直接解除合同。</w:t>
      </w:r>
    </w:p>
    <w:p w14:paraId="5030A503">
      <w:pPr>
        <w:widowControl/>
        <w:shd w:val="clear" w:color="auto" w:fill="auto"/>
        <w:spacing w:line="500" w:lineRule="exact"/>
        <w:ind w:firstLine="480" w:firstLineChars="200"/>
        <w:jc w:val="left"/>
        <w:rPr>
          <w:rFonts w:hint="eastAsia" w:ascii="黑体" w:hAnsi="黑体" w:eastAsia="黑体" w:cs="黑体"/>
          <w:color w:val="auto"/>
          <w:kern w:val="0"/>
          <w:sz w:val="24"/>
          <w:szCs w:val="24"/>
          <w:highlight w:val="none"/>
          <w:shd w:val="clear" w:color="auto" w:fill="auto"/>
        </w:rPr>
      </w:pPr>
      <w:r>
        <w:rPr>
          <w:rFonts w:hint="eastAsia" w:ascii="黑体" w:hAnsi="黑体" w:eastAsia="黑体" w:cs="黑体"/>
          <w:color w:val="auto"/>
          <w:kern w:val="0"/>
          <w:sz w:val="24"/>
          <w:szCs w:val="24"/>
          <w:highlight w:val="none"/>
          <w:shd w:val="clear" w:color="auto" w:fill="auto"/>
        </w:rPr>
        <w:t>第</w:t>
      </w:r>
      <w:r>
        <w:rPr>
          <w:rFonts w:hint="eastAsia" w:ascii="黑体" w:hAnsi="黑体" w:eastAsia="黑体" w:cs="黑体"/>
          <w:color w:val="auto"/>
          <w:kern w:val="0"/>
          <w:sz w:val="24"/>
          <w:szCs w:val="24"/>
          <w:highlight w:val="none"/>
          <w:shd w:val="clear" w:color="auto" w:fill="auto"/>
          <w:lang w:val="en-US" w:eastAsia="zh-CN"/>
        </w:rPr>
        <w:t>八</w:t>
      </w:r>
      <w:r>
        <w:rPr>
          <w:rFonts w:hint="eastAsia" w:ascii="黑体" w:hAnsi="黑体" w:eastAsia="黑体" w:cs="黑体"/>
          <w:color w:val="auto"/>
          <w:kern w:val="0"/>
          <w:sz w:val="24"/>
          <w:szCs w:val="24"/>
          <w:highlight w:val="none"/>
          <w:shd w:val="clear" w:color="auto" w:fill="auto"/>
        </w:rPr>
        <w:t>条服务费用及支付</w:t>
      </w:r>
    </w:p>
    <w:p w14:paraId="1CC6DFD6">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1、付款方式：采购方以月为单位向中标单位支付保安工资（劳务费）。</w:t>
      </w:r>
    </w:p>
    <w:p w14:paraId="02E68550">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2、学校每月对保安队伍进行月度考核（考核方式包括但不限于微信、考勤表、现场拍照和考核人员等方式），每月预留应付服务费总额的30%（￥XXX元，大写：XXX圆整）作为考核保证金，预留部分根据月考评结果分级发放。以月为单位，岗位考核合格率高于95%(含，合同)，全额发放月考核保证金；岗位考核合格率高于80%，按月考核保证金的70%发放；岗位考核合格率高于60%，按月考核保证金的50%发放；岗位考核合格率低于60%，扣除月考核保证金；出勤人数低于95%的比例达2次及以上的，甲方有权拒绝甲方继续提供服务，另外甲方将按本合同的第十一条和十五条内容考核具体情况直至整改满足甲方使用要求，因此造成的一切后果均由乙方承担。</w:t>
      </w:r>
    </w:p>
    <w:p w14:paraId="3F87BA79">
      <w:pPr>
        <w:widowControl/>
        <w:shd w:val="clear" w:color="auto" w:fill="auto"/>
        <w:spacing w:line="500" w:lineRule="exact"/>
        <w:ind w:firstLine="480" w:firstLineChars="200"/>
        <w:jc w:val="left"/>
        <w:rPr>
          <w:rFonts w:hint="eastAsia" w:ascii="黑体" w:hAnsi="黑体" w:eastAsia="黑体" w:cs="黑体"/>
          <w:color w:val="auto"/>
          <w:kern w:val="0"/>
          <w:sz w:val="24"/>
          <w:szCs w:val="24"/>
          <w:highlight w:val="none"/>
          <w:shd w:val="clear" w:color="auto" w:fill="auto"/>
        </w:rPr>
      </w:pPr>
      <w:r>
        <w:rPr>
          <w:rFonts w:hint="eastAsia" w:ascii="黑体" w:hAnsi="黑体" w:eastAsia="黑体" w:cs="黑体"/>
          <w:color w:val="auto"/>
          <w:kern w:val="0"/>
          <w:sz w:val="24"/>
          <w:szCs w:val="24"/>
          <w:highlight w:val="none"/>
          <w:shd w:val="clear" w:color="auto" w:fill="auto"/>
        </w:rPr>
        <w:t>第</w:t>
      </w:r>
      <w:r>
        <w:rPr>
          <w:rFonts w:hint="eastAsia" w:ascii="黑体" w:hAnsi="黑体" w:eastAsia="黑体" w:cs="黑体"/>
          <w:color w:val="auto"/>
          <w:kern w:val="0"/>
          <w:sz w:val="24"/>
          <w:szCs w:val="24"/>
          <w:highlight w:val="none"/>
          <w:shd w:val="clear" w:color="auto" w:fill="auto"/>
          <w:lang w:val="en-US" w:eastAsia="zh-CN"/>
        </w:rPr>
        <w:t>九</w:t>
      </w:r>
      <w:r>
        <w:rPr>
          <w:rFonts w:hint="eastAsia" w:ascii="黑体" w:hAnsi="黑体" w:eastAsia="黑体" w:cs="黑体"/>
          <w:color w:val="auto"/>
          <w:kern w:val="0"/>
          <w:sz w:val="24"/>
          <w:szCs w:val="24"/>
          <w:highlight w:val="none"/>
          <w:shd w:val="clear" w:color="auto" w:fill="auto"/>
        </w:rPr>
        <w:t>条违约责任及纠纷解决</w:t>
      </w:r>
    </w:p>
    <w:p w14:paraId="03BF5796">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1、在合同期间，并在合同规定责任区，因中标单位保安人员工作失误、失职而造成采购方财产损失和在采购方责任区内的人员人身伤害，经公安部门认定属实，确定责任大小，由中标单位赔偿采购方相应的经济损失。</w:t>
      </w:r>
    </w:p>
    <w:p w14:paraId="47394895">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2、根据国家有关规定，因下列原因造成的采购方损失，中标单位不负责赔偿：</w:t>
      </w:r>
    </w:p>
    <w:p w14:paraId="18C68F3D">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（1）因紧急避险造成的损失；</w:t>
      </w:r>
    </w:p>
    <w:p w14:paraId="363C417D">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（2）在紧急情况下从事对采购方或社会有益的工作而造成的损失；</w:t>
      </w:r>
    </w:p>
    <w:p w14:paraId="561FE2F5">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ascii="方正仿宋_GB2312" w:hAnsi="方正仿宋_GB2312" w:eastAsia="方正仿宋_GB2312" w:cs="方正仿宋_GB2312"/>
          <w:color w:val="auto"/>
          <w:kern w:val="0"/>
          <w:sz w:val="24"/>
          <w:szCs w:val="24"/>
          <w:highlight w:val="none"/>
          <w:shd w:val="clear" w:color="auto" w:fill="auto"/>
        </w:rPr>
        <w:t>（3）遭受不可抗拒的意外事故造成的损失；</w:t>
      </w:r>
    </w:p>
    <w:p w14:paraId="38129B98">
      <w:pPr>
        <w:widowControl/>
        <w:shd w:val="clear" w:color="auto" w:fill="auto"/>
        <w:spacing w:line="500" w:lineRule="exact"/>
        <w:ind w:firstLine="480" w:firstLineChars="200"/>
        <w:jc w:val="left"/>
        <w:rPr>
          <w:rFonts w:hint="eastAsia" w:ascii="黑体" w:hAnsi="黑体" w:eastAsia="黑体" w:cs="黑体"/>
          <w:color w:val="auto"/>
          <w:kern w:val="0"/>
          <w:sz w:val="24"/>
          <w:szCs w:val="24"/>
          <w:highlight w:val="none"/>
          <w:shd w:val="clear" w:color="auto" w:fill="auto"/>
          <w:lang w:val="en-US" w:eastAsia="zh-CN"/>
        </w:rPr>
      </w:pPr>
      <w:r>
        <w:rPr>
          <w:rFonts w:hint="eastAsia" w:ascii="黑体" w:hAnsi="黑体" w:eastAsia="黑体" w:cs="黑体"/>
          <w:color w:val="auto"/>
          <w:kern w:val="0"/>
          <w:sz w:val="24"/>
          <w:szCs w:val="24"/>
          <w:highlight w:val="none"/>
          <w:shd w:val="clear" w:color="auto" w:fill="auto"/>
          <w:lang w:val="en-US" w:eastAsia="zh-CN"/>
        </w:rPr>
        <w:t>第十条甲方单方解除权及乙方撤场义务</w:t>
      </w:r>
    </w:p>
    <w:p w14:paraId="1FCE959E">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lang w:val="en-US" w:eastAsia="zh-CN"/>
        </w:rPr>
      </w:pPr>
      <w:r>
        <w:rPr>
          <w:rFonts w:hint="eastAsia" w:ascii="方正仿宋_GB2312" w:hAnsi="方正仿宋_GB2312" w:eastAsia="方正仿宋_GB2312" w:cs="方正仿宋_GB2312"/>
          <w:color w:val="auto"/>
          <w:kern w:val="0"/>
          <w:sz w:val="24"/>
          <w:szCs w:val="24"/>
          <w:highlight w:val="none"/>
          <w:shd w:val="clear" w:color="auto" w:fill="auto"/>
        </w:rPr>
        <w:t>甲乙双方签订的该保安服务协议自合同生效之日起，如乙方没能达到甲方要求的工作质量和标准（例如人员不齐、工作态度消极等）或者保安人员违反法律、法规和甲方有关规定对甲方造成不利影响和经济损失的，甲方有权终止与乙方的保安服务协议，乙方必须在甲方规定的时间内全部撤场。</w:t>
      </w:r>
    </w:p>
    <w:p w14:paraId="7475D3EF">
      <w:pPr>
        <w:widowControl/>
        <w:shd w:val="clear" w:color="auto" w:fill="auto"/>
        <w:spacing w:line="500" w:lineRule="exact"/>
        <w:ind w:firstLine="480" w:firstLineChars="200"/>
        <w:jc w:val="left"/>
        <w:rPr>
          <w:rFonts w:hint="eastAsia" w:ascii="黑体" w:hAnsi="黑体" w:eastAsia="黑体" w:cs="黑体"/>
          <w:color w:val="auto"/>
          <w:kern w:val="0"/>
          <w:sz w:val="24"/>
          <w:szCs w:val="24"/>
          <w:highlight w:val="none"/>
          <w:shd w:val="clear" w:color="auto" w:fill="auto"/>
          <w:lang w:val="en-US" w:eastAsia="zh-CN"/>
        </w:rPr>
      </w:pPr>
      <w:r>
        <w:rPr>
          <w:rFonts w:hint="eastAsia" w:ascii="黑体" w:hAnsi="黑体" w:eastAsia="黑体" w:cs="黑体"/>
          <w:color w:val="auto"/>
          <w:kern w:val="0"/>
          <w:sz w:val="24"/>
          <w:szCs w:val="24"/>
          <w:highlight w:val="none"/>
          <w:shd w:val="clear" w:color="auto" w:fill="auto"/>
          <w:lang w:val="en-US" w:eastAsia="zh-CN"/>
        </w:rPr>
        <w:t>第十一条</w:t>
      </w:r>
      <w:r>
        <w:rPr>
          <w:rFonts w:hint="eastAsia" w:ascii="黑体" w:hAnsi="黑体" w:eastAsia="黑体" w:cs="黑体"/>
          <w:color w:val="auto"/>
          <w:kern w:val="0"/>
          <w:sz w:val="24"/>
          <w:szCs w:val="24"/>
          <w:highlight w:val="none"/>
          <w:shd w:val="clear" w:color="auto" w:fill="auto"/>
          <w:lang w:val="zh-TW" w:eastAsia="zh-TW"/>
        </w:rPr>
        <w:t>项目投入设备要求</w:t>
      </w:r>
    </w:p>
    <w:p w14:paraId="37BDBE02">
      <w:pPr>
        <w:widowControl/>
        <w:shd w:val="clear" w:color="auto" w:fill="auto"/>
        <w:spacing w:line="500" w:lineRule="exact"/>
        <w:ind w:firstLine="480" w:firstLineChars="200"/>
        <w:jc w:val="left"/>
        <w:rPr>
          <w:rFonts w:hint="eastAsia" w:ascii="方正仿宋_GB2312" w:hAnsi="方正仿宋_GB2312" w:eastAsia="方正仿宋_GB2312" w:cs="方正仿宋_GB2312"/>
          <w:color w:val="auto"/>
          <w:kern w:val="0"/>
          <w:sz w:val="24"/>
          <w:szCs w:val="24"/>
          <w:highlight w:val="none"/>
          <w:shd w:val="clear" w:color="auto" w:fill="auto"/>
          <w:lang w:val="zh-TW" w:eastAsia="zh-TW"/>
        </w:rPr>
      </w:pPr>
      <w:r>
        <w:rPr>
          <w:rFonts w:hint="eastAsia" w:ascii="方正仿宋_GB2312" w:hAnsi="方正仿宋_GB2312" w:eastAsia="方正仿宋_GB2312" w:cs="方正仿宋_GB2312"/>
          <w:color w:val="auto"/>
          <w:kern w:val="0"/>
          <w:sz w:val="24"/>
          <w:szCs w:val="24"/>
          <w:highlight w:val="none"/>
          <w:shd w:val="clear" w:color="auto" w:fill="auto"/>
          <w:lang w:val="zh-TW" w:eastAsia="zh-TW"/>
        </w:rPr>
        <w:t>本项目所需设备（具体清单详见附件）由乙方负责全额投入，</w:t>
      </w:r>
      <w:r>
        <w:rPr>
          <w:rFonts w:hint="eastAsia" w:ascii="方正仿宋_GB2312" w:hAnsi="方正仿宋_GB2312" w:eastAsia="方正仿宋_GB2312" w:cs="方正仿宋_GB2312"/>
          <w:b w:val="0"/>
          <w:bCs w:val="0"/>
          <w:color w:val="auto"/>
          <w:kern w:val="0"/>
          <w:sz w:val="24"/>
          <w:szCs w:val="24"/>
          <w:highlight w:val="none"/>
          <w:shd w:val="clear" w:color="auto" w:fill="auto"/>
          <w:lang w:val="zh-TW" w:eastAsia="zh-TW"/>
        </w:rPr>
        <w:t>其中龙子湖校区按清单全额配置，</w:t>
      </w:r>
      <w:r>
        <w:rPr>
          <w:rFonts w:hint="eastAsia" w:ascii="方正仿宋_GB2312" w:hAnsi="方正仿宋_GB2312" w:eastAsia="方正仿宋_GB2312" w:cs="方正仿宋_GB2312"/>
          <w:b/>
          <w:bCs/>
          <w:color w:val="auto"/>
          <w:kern w:val="0"/>
          <w:sz w:val="24"/>
          <w:szCs w:val="24"/>
          <w:highlight w:val="none"/>
          <w:shd w:val="clear" w:color="auto" w:fill="auto"/>
          <w:lang w:val="zh-TW" w:eastAsia="zh-TW"/>
        </w:rPr>
        <w:t>东明校区按清单数量减半配置，</w:t>
      </w:r>
      <w:r>
        <w:rPr>
          <w:rFonts w:hint="eastAsia" w:ascii="方正仿宋_GB2312" w:hAnsi="方正仿宋_GB2312" w:eastAsia="方正仿宋_GB2312" w:cs="方正仿宋_GB2312"/>
          <w:color w:val="auto"/>
          <w:kern w:val="0"/>
          <w:sz w:val="24"/>
          <w:szCs w:val="24"/>
          <w:highlight w:val="none"/>
          <w:shd w:val="clear" w:color="auto" w:fill="auto"/>
          <w:lang w:val="zh-TW" w:eastAsia="zh-TW"/>
        </w:rPr>
        <w:t>乙方负责</w:t>
      </w:r>
      <w:r>
        <w:rPr>
          <w:rFonts w:hint="eastAsia" w:ascii="方正仿宋_GB2312" w:hAnsi="方正仿宋_GB2312" w:eastAsia="方正仿宋_GB2312" w:cs="方正仿宋_GB2312"/>
          <w:color w:val="auto"/>
          <w:kern w:val="0"/>
          <w:sz w:val="24"/>
          <w:szCs w:val="24"/>
          <w:highlight w:val="none"/>
          <w:shd w:val="clear" w:color="auto" w:fill="auto"/>
          <w:lang w:val="zh-TW"/>
        </w:rPr>
        <w:t>对投入设备的维护维修，</w:t>
      </w:r>
      <w:r>
        <w:rPr>
          <w:rFonts w:hint="eastAsia" w:ascii="方正仿宋_GB2312" w:hAnsi="方正仿宋_GB2312" w:eastAsia="方正仿宋_GB2312" w:cs="方正仿宋_GB2312"/>
          <w:color w:val="auto"/>
          <w:kern w:val="0"/>
          <w:sz w:val="24"/>
          <w:szCs w:val="24"/>
          <w:highlight w:val="none"/>
          <w:shd w:val="clear" w:color="auto" w:fill="auto"/>
          <w:lang w:val="en-US" w:eastAsia="zh-CN"/>
        </w:rPr>
        <w:t>车辆</w:t>
      </w:r>
      <w:r>
        <w:rPr>
          <w:rFonts w:hint="eastAsia" w:ascii="方正仿宋_GB2312" w:hAnsi="方正仿宋_GB2312" w:eastAsia="方正仿宋_GB2312" w:cs="方正仿宋_GB2312"/>
          <w:color w:val="auto"/>
          <w:kern w:val="0"/>
          <w:sz w:val="24"/>
          <w:szCs w:val="24"/>
          <w:highlight w:val="none"/>
          <w:shd w:val="clear" w:color="auto" w:fill="auto"/>
          <w:lang w:val="zh-TW"/>
        </w:rPr>
        <w:t>出现的交通问题及其他安全问题均由乙方负责，</w:t>
      </w:r>
      <w:r>
        <w:rPr>
          <w:rFonts w:hint="eastAsia" w:ascii="方正仿宋_GB2312" w:hAnsi="方正仿宋_GB2312" w:eastAsia="方正仿宋_GB2312" w:cs="方正仿宋_GB2312"/>
          <w:color w:val="auto"/>
          <w:kern w:val="0"/>
          <w:sz w:val="24"/>
          <w:szCs w:val="24"/>
          <w:highlight w:val="none"/>
          <w:shd w:val="clear" w:color="auto" w:fill="auto"/>
          <w:lang w:val="zh-TW" w:eastAsia="zh-TW"/>
        </w:rPr>
        <w:t>甲方不负任何责任。甲方有权单方解除合同，并扣除全部履约保证金。</w:t>
      </w:r>
    </w:p>
    <w:tbl>
      <w:tblPr>
        <w:tblStyle w:val="17"/>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7"/>
        <w:gridCol w:w="990"/>
        <w:gridCol w:w="4441"/>
      </w:tblGrid>
      <w:tr w14:paraId="75B61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3327" w:type="dxa"/>
            <w:noWrap w:val="0"/>
            <w:vAlign w:val="top"/>
          </w:tcPr>
          <w:p w14:paraId="1D2A68D5">
            <w:pPr>
              <w:pStyle w:val="6"/>
              <w:shd w:val="clear" w:color="auto" w:fill="auto"/>
              <w:spacing w:before="0" w:line="560" w:lineRule="exact"/>
              <w:ind w:right="20"/>
              <w:jc w:val="center"/>
              <w:rPr>
                <w:rStyle w:val="25"/>
                <w:rFonts w:hint="eastAsia" w:ascii="方正仿宋_GB2312" w:hAnsi="方正仿宋_GB2312" w:eastAsia="方正仿宋_GB2312" w:cs="方正仿宋_GB2312"/>
                <w:b/>
                <w:bCs/>
                <w:color w:val="auto"/>
                <w:sz w:val="24"/>
                <w:szCs w:val="24"/>
                <w:highlight w:val="none"/>
                <w:shd w:val="clear" w:color="auto" w:fill="auto"/>
              </w:rPr>
            </w:pPr>
            <w:r>
              <w:rPr>
                <w:rStyle w:val="25"/>
                <w:rFonts w:hint="eastAsia" w:ascii="方正仿宋_GB2312" w:hAnsi="方正仿宋_GB2312" w:eastAsia="方正仿宋_GB2312" w:cs="方正仿宋_GB2312"/>
                <w:b/>
                <w:bCs/>
                <w:color w:val="auto"/>
                <w:sz w:val="24"/>
                <w:szCs w:val="24"/>
                <w:highlight w:val="none"/>
                <w:shd w:val="clear" w:color="auto" w:fill="auto"/>
              </w:rPr>
              <w:t>设备名称</w:t>
            </w:r>
          </w:p>
        </w:tc>
        <w:tc>
          <w:tcPr>
            <w:tcW w:w="990" w:type="dxa"/>
            <w:noWrap w:val="0"/>
            <w:vAlign w:val="top"/>
          </w:tcPr>
          <w:p w14:paraId="014CF29E">
            <w:pPr>
              <w:pStyle w:val="6"/>
              <w:shd w:val="clear" w:color="auto" w:fill="auto"/>
              <w:spacing w:before="0" w:line="560" w:lineRule="exact"/>
              <w:ind w:right="20"/>
              <w:jc w:val="center"/>
              <w:rPr>
                <w:rStyle w:val="25"/>
                <w:rFonts w:hint="eastAsia" w:ascii="方正仿宋_GB2312" w:hAnsi="方正仿宋_GB2312" w:eastAsia="方正仿宋_GB2312" w:cs="方正仿宋_GB2312"/>
                <w:b/>
                <w:bCs/>
                <w:color w:val="auto"/>
                <w:sz w:val="24"/>
                <w:szCs w:val="24"/>
                <w:highlight w:val="none"/>
                <w:shd w:val="clear" w:color="auto" w:fill="auto"/>
              </w:rPr>
            </w:pPr>
            <w:r>
              <w:rPr>
                <w:rStyle w:val="25"/>
                <w:rFonts w:hint="eastAsia" w:ascii="方正仿宋_GB2312" w:hAnsi="方正仿宋_GB2312" w:eastAsia="方正仿宋_GB2312" w:cs="方正仿宋_GB2312"/>
                <w:b/>
                <w:bCs/>
                <w:color w:val="auto"/>
                <w:sz w:val="24"/>
                <w:szCs w:val="24"/>
                <w:highlight w:val="none"/>
                <w:shd w:val="clear" w:color="auto" w:fill="auto"/>
              </w:rPr>
              <w:t>数量</w:t>
            </w:r>
          </w:p>
        </w:tc>
        <w:tc>
          <w:tcPr>
            <w:tcW w:w="4441" w:type="dxa"/>
            <w:noWrap w:val="0"/>
            <w:vAlign w:val="top"/>
          </w:tcPr>
          <w:p w14:paraId="3B2BC521">
            <w:pPr>
              <w:pStyle w:val="6"/>
              <w:shd w:val="clear" w:color="auto" w:fill="auto"/>
              <w:spacing w:before="0" w:line="560" w:lineRule="exact"/>
              <w:ind w:right="20"/>
              <w:jc w:val="center"/>
              <w:rPr>
                <w:rStyle w:val="25"/>
                <w:rFonts w:hint="eastAsia" w:ascii="方正仿宋_GB2312" w:hAnsi="方正仿宋_GB2312" w:eastAsia="方正仿宋_GB2312" w:cs="方正仿宋_GB2312"/>
                <w:b/>
                <w:bCs/>
                <w:color w:val="auto"/>
                <w:sz w:val="24"/>
                <w:szCs w:val="24"/>
                <w:highlight w:val="none"/>
                <w:shd w:val="clear" w:color="auto" w:fill="auto"/>
              </w:rPr>
            </w:pPr>
            <w:r>
              <w:rPr>
                <w:rStyle w:val="25"/>
                <w:rFonts w:hint="eastAsia" w:ascii="方正仿宋_GB2312" w:hAnsi="方正仿宋_GB2312" w:eastAsia="方正仿宋_GB2312" w:cs="方正仿宋_GB2312"/>
                <w:b/>
                <w:bCs/>
                <w:color w:val="auto"/>
                <w:sz w:val="24"/>
                <w:szCs w:val="24"/>
                <w:highlight w:val="none"/>
                <w:shd w:val="clear" w:color="auto" w:fill="auto"/>
              </w:rPr>
              <w:t>用途说明</w:t>
            </w:r>
          </w:p>
        </w:tc>
      </w:tr>
      <w:tr w14:paraId="3239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3327" w:type="dxa"/>
            <w:noWrap w:val="0"/>
            <w:vAlign w:val="top"/>
          </w:tcPr>
          <w:p w14:paraId="5BC05CB2">
            <w:pPr>
              <w:pStyle w:val="6"/>
              <w:shd w:val="clear" w:color="auto" w:fill="auto"/>
              <w:spacing w:before="0" w:line="560" w:lineRule="exact"/>
              <w:ind w:right="20"/>
              <w:rPr>
                <w:rFonts w:hint="eastAsia" w:ascii="方正仿宋_GB2312" w:hAnsi="方正仿宋_GB2312" w:eastAsia="方正仿宋_GB2312" w:cs="方正仿宋_GB2312"/>
                <w:color w:val="auto"/>
                <w:sz w:val="24"/>
                <w:szCs w:val="24"/>
                <w:highlight w:val="none"/>
                <w:shd w:val="clear" w:color="auto" w:fill="auto"/>
              </w:rPr>
            </w:pPr>
            <w:r>
              <w:rPr>
                <w:rStyle w:val="25"/>
                <w:rFonts w:hint="eastAsia" w:ascii="方正仿宋_GB2312" w:hAnsi="方正仿宋_GB2312" w:eastAsia="方正仿宋_GB2312" w:cs="方正仿宋_GB2312"/>
                <w:color w:val="auto"/>
                <w:sz w:val="24"/>
                <w:szCs w:val="24"/>
                <w:highlight w:val="none"/>
                <w:shd w:val="clear" w:color="auto" w:fill="auto"/>
              </w:rPr>
              <w:t xml:space="preserve">两轮巡逻电动车 </w:t>
            </w:r>
          </w:p>
        </w:tc>
        <w:tc>
          <w:tcPr>
            <w:tcW w:w="990" w:type="dxa"/>
            <w:noWrap w:val="0"/>
            <w:vAlign w:val="top"/>
          </w:tcPr>
          <w:p w14:paraId="46353B73">
            <w:pPr>
              <w:pStyle w:val="6"/>
              <w:shd w:val="clear" w:color="auto" w:fill="auto"/>
              <w:spacing w:before="0" w:line="560" w:lineRule="exact"/>
              <w:ind w:right="20"/>
              <w:jc w:val="left"/>
              <w:rPr>
                <w:rFonts w:hint="eastAsia" w:ascii="方正仿宋_GB2312" w:hAnsi="方正仿宋_GB2312" w:eastAsia="方正仿宋_GB2312" w:cs="方正仿宋_GB2312"/>
                <w:color w:val="auto"/>
                <w:sz w:val="24"/>
                <w:szCs w:val="24"/>
                <w:highlight w:val="none"/>
                <w:shd w:val="clear" w:color="auto" w:fill="auto"/>
              </w:rPr>
            </w:pPr>
            <w:r>
              <w:rPr>
                <w:rStyle w:val="25"/>
                <w:rFonts w:hint="eastAsia" w:ascii="方正仿宋_GB2312" w:hAnsi="方正仿宋_GB2312" w:eastAsia="方正仿宋_GB2312" w:cs="方正仿宋_GB2312"/>
                <w:color w:val="auto"/>
                <w:sz w:val="24"/>
                <w:szCs w:val="24"/>
                <w:highlight w:val="none"/>
                <w:shd w:val="clear" w:color="auto" w:fill="auto"/>
              </w:rPr>
              <w:t>10辆</w:t>
            </w:r>
          </w:p>
        </w:tc>
        <w:tc>
          <w:tcPr>
            <w:tcW w:w="4441" w:type="dxa"/>
            <w:noWrap w:val="0"/>
            <w:vAlign w:val="top"/>
          </w:tcPr>
          <w:p w14:paraId="49B6645D">
            <w:pPr>
              <w:pStyle w:val="6"/>
              <w:shd w:val="clear" w:color="auto" w:fill="auto"/>
              <w:spacing w:before="0" w:line="560" w:lineRule="exact"/>
              <w:ind w:right="20"/>
              <w:jc w:val="left"/>
              <w:rPr>
                <w:rFonts w:hint="eastAsia" w:ascii="方正仿宋_GB2312" w:hAnsi="方正仿宋_GB2312" w:eastAsia="方正仿宋_GB2312" w:cs="方正仿宋_GB2312"/>
                <w:color w:val="auto"/>
                <w:sz w:val="24"/>
                <w:szCs w:val="24"/>
                <w:highlight w:val="none"/>
                <w:shd w:val="clear" w:color="auto" w:fill="auto"/>
              </w:rPr>
            </w:pPr>
            <w:r>
              <w:rPr>
                <w:rStyle w:val="25"/>
                <w:rFonts w:hint="eastAsia" w:ascii="方正仿宋_GB2312" w:hAnsi="方正仿宋_GB2312" w:eastAsia="方正仿宋_GB2312" w:cs="方正仿宋_GB2312"/>
                <w:color w:val="auto"/>
                <w:sz w:val="24"/>
                <w:szCs w:val="24"/>
                <w:highlight w:val="none"/>
                <w:shd w:val="clear" w:color="auto" w:fill="auto"/>
              </w:rPr>
              <w:t>日常快速巡逻</w:t>
            </w:r>
          </w:p>
        </w:tc>
      </w:tr>
      <w:tr w14:paraId="4B63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3327" w:type="dxa"/>
            <w:noWrap w:val="0"/>
            <w:vAlign w:val="top"/>
          </w:tcPr>
          <w:p w14:paraId="4C7AFA56">
            <w:pPr>
              <w:pStyle w:val="6"/>
              <w:shd w:val="clear" w:color="auto" w:fill="auto"/>
              <w:spacing w:before="0" w:line="560" w:lineRule="exact"/>
              <w:ind w:right="20"/>
              <w:rPr>
                <w:rStyle w:val="25"/>
                <w:rFonts w:hint="eastAsia" w:ascii="方正仿宋_GB2312" w:hAnsi="方正仿宋_GB2312" w:eastAsia="方正仿宋_GB2312" w:cs="方正仿宋_GB2312"/>
                <w:color w:val="auto"/>
                <w:sz w:val="24"/>
                <w:szCs w:val="24"/>
                <w:highlight w:val="none"/>
                <w:shd w:val="clear" w:color="auto" w:fill="auto"/>
              </w:rPr>
            </w:pPr>
            <w:r>
              <w:rPr>
                <w:rStyle w:val="25"/>
                <w:rFonts w:hint="eastAsia" w:ascii="方正仿宋_GB2312" w:hAnsi="方正仿宋_GB2312" w:eastAsia="方正仿宋_GB2312" w:cs="方正仿宋_GB2312"/>
                <w:color w:val="auto"/>
                <w:sz w:val="24"/>
                <w:szCs w:val="24"/>
                <w:highlight w:val="none"/>
                <w:shd w:val="clear" w:color="auto" w:fill="auto"/>
              </w:rPr>
              <w:t>四轮巡逻车</w:t>
            </w:r>
          </w:p>
        </w:tc>
        <w:tc>
          <w:tcPr>
            <w:tcW w:w="990" w:type="dxa"/>
            <w:noWrap w:val="0"/>
            <w:vAlign w:val="top"/>
          </w:tcPr>
          <w:p w14:paraId="5D5F48AA">
            <w:pPr>
              <w:pStyle w:val="6"/>
              <w:shd w:val="clear" w:color="auto" w:fill="auto"/>
              <w:spacing w:before="0" w:line="560" w:lineRule="exact"/>
              <w:ind w:right="20"/>
              <w:jc w:val="left"/>
              <w:rPr>
                <w:rStyle w:val="25"/>
                <w:rFonts w:hint="eastAsia" w:ascii="方正仿宋_GB2312" w:hAnsi="方正仿宋_GB2312" w:eastAsia="方正仿宋_GB2312" w:cs="方正仿宋_GB2312"/>
                <w:color w:val="auto"/>
                <w:sz w:val="24"/>
                <w:szCs w:val="24"/>
                <w:highlight w:val="none"/>
                <w:shd w:val="clear" w:color="auto" w:fill="auto"/>
              </w:rPr>
            </w:pPr>
            <w:r>
              <w:rPr>
                <w:rStyle w:val="25"/>
                <w:rFonts w:hint="eastAsia" w:ascii="方正仿宋_GB2312" w:hAnsi="方正仿宋_GB2312" w:eastAsia="方正仿宋_GB2312" w:cs="方正仿宋_GB2312"/>
                <w:color w:val="auto"/>
                <w:sz w:val="24"/>
                <w:szCs w:val="24"/>
                <w:highlight w:val="none"/>
                <w:shd w:val="clear" w:color="auto" w:fill="auto"/>
                <w:lang w:val="en-US" w:eastAsia="zh-CN"/>
              </w:rPr>
              <w:t>2</w:t>
            </w:r>
            <w:r>
              <w:rPr>
                <w:rStyle w:val="25"/>
                <w:rFonts w:hint="eastAsia" w:ascii="方正仿宋_GB2312" w:hAnsi="方正仿宋_GB2312" w:eastAsia="方正仿宋_GB2312" w:cs="方正仿宋_GB2312"/>
                <w:color w:val="auto"/>
                <w:sz w:val="24"/>
                <w:szCs w:val="24"/>
                <w:highlight w:val="none"/>
                <w:shd w:val="clear" w:color="auto" w:fill="auto"/>
              </w:rPr>
              <w:t>辆</w:t>
            </w:r>
          </w:p>
        </w:tc>
        <w:tc>
          <w:tcPr>
            <w:tcW w:w="4441" w:type="dxa"/>
            <w:noWrap w:val="0"/>
            <w:vAlign w:val="top"/>
          </w:tcPr>
          <w:p w14:paraId="71FA600A">
            <w:pPr>
              <w:pStyle w:val="6"/>
              <w:shd w:val="clear" w:color="auto" w:fill="auto"/>
              <w:spacing w:before="0" w:line="560" w:lineRule="exact"/>
              <w:ind w:right="20"/>
              <w:jc w:val="left"/>
              <w:rPr>
                <w:rStyle w:val="25"/>
                <w:rFonts w:hint="eastAsia" w:ascii="方正仿宋_GB2312" w:hAnsi="方正仿宋_GB2312" w:eastAsia="方正仿宋_GB2312" w:cs="方正仿宋_GB2312"/>
                <w:color w:val="auto"/>
                <w:sz w:val="24"/>
                <w:szCs w:val="24"/>
                <w:highlight w:val="none"/>
                <w:shd w:val="clear" w:color="auto" w:fill="auto"/>
              </w:rPr>
            </w:pPr>
            <w:r>
              <w:rPr>
                <w:rStyle w:val="25"/>
                <w:rFonts w:hint="eastAsia" w:ascii="方正仿宋_GB2312" w:hAnsi="方正仿宋_GB2312" w:eastAsia="方正仿宋_GB2312" w:cs="方正仿宋_GB2312"/>
                <w:color w:val="auto"/>
                <w:sz w:val="24"/>
                <w:szCs w:val="24"/>
                <w:highlight w:val="none"/>
                <w:shd w:val="clear" w:color="auto" w:fill="auto"/>
              </w:rPr>
              <w:t>大型活动保障，日常校内巡逻</w:t>
            </w:r>
            <w:r>
              <w:rPr>
                <w:rStyle w:val="25"/>
                <w:rFonts w:hint="eastAsia" w:ascii="方正仿宋_GB2312" w:hAnsi="方正仿宋_GB2312" w:eastAsia="方正仿宋_GB2312" w:cs="方正仿宋_GB2312"/>
                <w:color w:val="auto"/>
                <w:sz w:val="24"/>
                <w:szCs w:val="24"/>
                <w:highlight w:val="none"/>
                <w:shd w:val="clear" w:color="auto" w:fill="auto"/>
                <w:lang w:eastAsia="zh-CN"/>
              </w:rPr>
              <w:t>。</w:t>
            </w:r>
          </w:p>
        </w:tc>
      </w:tr>
      <w:tr w14:paraId="15714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3327" w:type="dxa"/>
            <w:noWrap w:val="0"/>
            <w:vAlign w:val="top"/>
          </w:tcPr>
          <w:p w14:paraId="25260651">
            <w:pPr>
              <w:pStyle w:val="6"/>
              <w:shd w:val="clear" w:color="auto" w:fill="auto"/>
              <w:spacing w:before="0" w:line="560" w:lineRule="exact"/>
              <w:ind w:right="20"/>
              <w:rPr>
                <w:rStyle w:val="25"/>
                <w:rFonts w:hint="eastAsia" w:ascii="方正仿宋_GB2312" w:hAnsi="方正仿宋_GB2312" w:eastAsia="方正仿宋_GB2312" w:cs="方正仿宋_GB2312"/>
                <w:color w:val="auto"/>
                <w:sz w:val="24"/>
                <w:szCs w:val="24"/>
                <w:highlight w:val="none"/>
                <w:shd w:val="clear" w:color="auto" w:fill="auto"/>
              </w:rPr>
            </w:pPr>
            <w:r>
              <w:rPr>
                <w:rStyle w:val="25"/>
                <w:rFonts w:hint="eastAsia" w:ascii="方正仿宋_GB2312" w:hAnsi="方正仿宋_GB2312" w:eastAsia="方正仿宋_GB2312" w:cs="方正仿宋_GB2312"/>
                <w:color w:val="auto"/>
                <w:sz w:val="24"/>
                <w:szCs w:val="24"/>
                <w:highlight w:val="none"/>
                <w:shd w:val="clear" w:color="auto" w:fill="auto"/>
              </w:rPr>
              <w:t xml:space="preserve">网络流量对讲机 </w:t>
            </w:r>
          </w:p>
        </w:tc>
        <w:tc>
          <w:tcPr>
            <w:tcW w:w="990" w:type="dxa"/>
            <w:noWrap w:val="0"/>
            <w:vAlign w:val="top"/>
          </w:tcPr>
          <w:p w14:paraId="0454B29A">
            <w:pPr>
              <w:pStyle w:val="6"/>
              <w:shd w:val="clear" w:color="auto" w:fill="auto"/>
              <w:spacing w:before="0" w:line="560" w:lineRule="exact"/>
              <w:ind w:right="20"/>
              <w:jc w:val="left"/>
              <w:rPr>
                <w:rStyle w:val="25"/>
                <w:rFonts w:hint="eastAsia" w:ascii="方正仿宋_GB2312" w:hAnsi="方正仿宋_GB2312" w:eastAsia="方正仿宋_GB2312" w:cs="方正仿宋_GB2312"/>
                <w:color w:val="auto"/>
                <w:sz w:val="24"/>
                <w:szCs w:val="24"/>
                <w:highlight w:val="none"/>
                <w:shd w:val="clear" w:color="auto" w:fill="auto"/>
              </w:rPr>
            </w:pPr>
            <w:r>
              <w:rPr>
                <w:rStyle w:val="25"/>
                <w:rFonts w:hint="eastAsia" w:ascii="方正仿宋_GB2312" w:hAnsi="方正仿宋_GB2312" w:eastAsia="方正仿宋_GB2312" w:cs="方正仿宋_GB2312"/>
                <w:color w:val="auto"/>
                <w:sz w:val="24"/>
                <w:szCs w:val="24"/>
                <w:highlight w:val="none"/>
                <w:shd w:val="clear" w:color="auto" w:fill="auto"/>
              </w:rPr>
              <w:t>50部</w:t>
            </w:r>
          </w:p>
        </w:tc>
        <w:tc>
          <w:tcPr>
            <w:tcW w:w="4441" w:type="dxa"/>
            <w:noWrap w:val="0"/>
            <w:vAlign w:val="top"/>
          </w:tcPr>
          <w:p w14:paraId="02AC0518">
            <w:pPr>
              <w:pStyle w:val="6"/>
              <w:shd w:val="clear" w:color="auto" w:fill="auto"/>
              <w:spacing w:before="0" w:line="560" w:lineRule="exact"/>
              <w:ind w:right="20"/>
              <w:jc w:val="left"/>
              <w:rPr>
                <w:rStyle w:val="25"/>
                <w:rFonts w:hint="eastAsia" w:ascii="方正仿宋_GB2312" w:hAnsi="方正仿宋_GB2312" w:eastAsia="方正仿宋_GB2312" w:cs="方正仿宋_GB2312"/>
                <w:color w:val="auto"/>
                <w:sz w:val="24"/>
                <w:szCs w:val="24"/>
                <w:highlight w:val="none"/>
                <w:shd w:val="clear" w:color="auto" w:fill="auto"/>
              </w:rPr>
            </w:pPr>
            <w:r>
              <w:rPr>
                <w:rStyle w:val="25"/>
                <w:rFonts w:hint="eastAsia" w:ascii="方正仿宋_GB2312" w:hAnsi="方正仿宋_GB2312" w:eastAsia="方正仿宋_GB2312" w:cs="方正仿宋_GB2312"/>
                <w:color w:val="auto"/>
                <w:sz w:val="24"/>
                <w:szCs w:val="24"/>
                <w:highlight w:val="none"/>
                <w:shd w:val="clear" w:color="auto" w:fill="auto"/>
              </w:rPr>
              <w:t xml:space="preserve">实时通讯、跨区域联动 </w:t>
            </w:r>
          </w:p>
        </w:tc>
      </w:tr>
      <w:tr w14:paraId="3035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3327" w:type="dxa"/>
            <w:noWrap w:val="0"/>
            <w:vAlign w:val="top"/>
          </w:tcPr>
          <w:p w14:paraId="389B6369">
            <w:pPr>
              <w:pStyle w:val="6"/>
              <w:shd w:val="clear" w:color="auto" w:fill="auto"/>
              <w:spacing w:before="0" w:line="560" w:lineRule="exact"/>
              <w:ind w:right="20"/>
              <w:rPr>
                <w:rStyle w:val="25"/>
                <w:rFonts w:hint="eastAsia" w:ascii="方正仿宋_GB2312" w:hAnsi="方正仿宋_GB2312" w:eastAsia="方正仿宋_GB2312" w:cs="方正仿宋_GB2312"/>
                <w:color w:val="auto"/>
                <w:sz w:val="24"/>
                <w:szCs w:val="24"/>
                <w:highlight w:val="none"/>
                <w:shd w:val="clear" w:color="auto" w:fill="auto"/>
              </w:rPr>
            </w:pPr>
            <w:r>
              <w:rPr>
                <w:rStyle w:val="25"/>
                <w:rFonts w:hint="eastAsia" w:ascii="方正仿宋_GB2312" w:hAnsi="方正仿宋_GB2312" w:eastAsia="方正仿宋_GB2312" w:cs="方正仿宋_GB2312"/>
                <w:color w:val="auto"/>
                <w:sz w:val="24"/>
                <w:szCs w:val="24"/>
                <w:highlight w:val="none"/>
                <w:shd w:val="clear" w:color="auto" w:fill="auto"/>
              </w:rPr>
              <w:t xml:space="preserve">可联网执法记录仪 </w:t>
            </w:r>
          </w:p>
        </w:tc>
        <w:tc>
          <w:tcPr>
            <w:tcW w:w="990" w:type="dxa"/>
            <w:noWrap w:val="0"/>
            <w:vAlign w:val="top"/>
          </w:tcPr>
          <w:p w14:paraId="0998B132">
            <w:pPr>
              <w:pStyle w:val="6"/>
              <w:shd w:val="clear" w:color="auto" w:fill="auto"/>
              <w:spacing w:before="0" w:line="560" w:lineRule="exact"/>
              <w:ind w:right="20"/>
              <w:jc w:val="left"/>
              <w:rPr>
                <w:rStyle w:val="25"/>
                <w:rFonts w:hint="eastAsia" w:ascii="方正仿宋_GB2312" w:hAnsi="方正仿宋_GB2312" w:eastAsia="方正仿宋_GB2312" w:cs="方正仿宋_GB2312"/>
                <w:color w:val="auto"/>
                <w:sz w:val="24"/>
                <w:szCs w:val="24"/>
                <w:highlight w:val="none"/>
                <w:shd w:val="clear" w:color="auto" w:fill="auto"/>
              </w:rPr>
            </w:pPr>
            <w:r>
              <w:rPr>
                <w:rStyle w:val="25"/>
                <w:rFonts w:hint="eastAsia" w:ascii="方正仿宋_GB2312" w:hAnsi="方正仿宋_GB2312" w:eastAsia="方正仿宋_GB2312" w:cs="方正仿宋_GB2312"/>
                <w:color w:val="auto"/>
                <w:sz w:val="24"/>
                <w:szCs w:val="24"/>
                <w:highlight w:val="none"/>
                <w:shd w:val="clear" w:color="auto" w:fill="auto"/>
              </w:rPr>
              <w:t>20台</w:t>
            </w:r>
          </w:p>
        </w:tc>
        <w:tc>
          <w:tcPr>
            <w:tcW w:w="4441" w:type="dxa"/>
            <w:noWrap w:val="0"/>
            <w:vAlign w:val="top"/>
          </w:tcPr>
          <w:p w14:paraId="1418431C">
            <w:pPr>
              <w:pStyle w:val="6"/>
              <w:shd w:val="clear" w:color="auto" w:fill="auto"/>
              <w:spacing w:before="0" w:line="560" w:lineRule="exact"/>
              <w:ind w:right="20"/>
              <w:jc w:val="left"/>
              <w:rPr>
                <w:rStyle w:val="25"/>
                <w:rFonts w:hint="eastAsia" w:ascii="方正仿宋_GB2312" w:hAnsi="方正仿宋_GB2312" w:eastAsia="方正仿宋_GB2312" w:cs="方正仿宋_GB2312"/>
                <w:color w:val="auto"/>
                <w:sz w:val="24"/>
                <w:szCs w:val="24"/>
                <w:highlight w:val="none"/>
                <w:shd w:val="clear" w:color="auto" w:fill="auto"/>
              </w:rPr>
            </w:pPr>
            <w:r>
              <w:rPr>
                <w:rStyle w:val="25"/>
                <w:rFonts w:hint="eastAsia" w:ascii="方正仿宋_GB2312" w:hAnsi="方正仿宋_GB2312" w:eastAsia="方正仿宋_GB2312" w:cs="方正仿宋_GB2312"/>
                <w:color w:val="auto"/>
                <w:sz w:val="24"/>
                <w:szCs w:val="24"/>
                <w:highlight w:val="none"/>
                <w:shd w:val="clear" w:color="auto" w:fill="auto"/>
              </w:rPr>
              <w:t xml:space="preserve">全过程留痕、规范执勤行为  </w:t>
            </w:r>
          </w:p>
        </w:tc>
      </w:tr>
      <w:tr w14:paraId="6192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3327" w:type="dxa"/>
            <w:noWrap w:val="0"/>
            <w:vAlign w:val="top"/>
          </w:tcPr>
          <w:p w14:paraId="427979F1">
            <w:pPr>
              <w:pStyle w:val="6"/>
              <w:shd w:val="clear" w:color="auto" w:fill="auto"/>
              <w:spacing w:before="0" w:line="560" w:lineRule="exact"/>
              <w:ind w:right="20"/>
              <w:rPr>
                <w:rStyle w:val="25"/>
                <w:rFonts w:hint="eastAsia" w:ascii="方正仿宋_GB2312" w:hAnsi="方正仿宋_GB2312" w:eastAsia="方正仿宋_GB2312" w:cs="方正仿宋_GB2312"/>
                <w:color w:val="auto"/>
                <w:sz w:val="24"/>
                <w:szCs w:val="24"/>
                <w:highlight w:val="none"/>
                <w:shd w:val="clear" w:color="auto" w:fill="auto"/>
              </w:rPr>
            </w:pPr>
            <w:r>
              <w:rPr>
                <w:rStyle w:val="25"/>
                <w:rFonts w:hint="eastAsia" w:ascii="方正仿宋_GB2312" w:hAnsi="方正仿宋_GB2312" w:eastAsia="方正仿宋_GB2312" w:cs="方正仿宋_GB2312"/>
                <w:color w:val="auto"/>
                <w:sz w:val="24"/>
                <w:szCs w:val="24"/>
                <w:highlight w:val="none"/>
                <w:shd w:val="clear" w:color="auto" w:fill="auto"/>
              </w:rPr>
              <w:t>LED强光手电（带警灯）</w:t>
            </w:r>
          </w:p>
        </w:tc>
        <w:tc>
          <w:tcPr>
            <w:tcW w:w="990" w:type="dxa"/>
            <w:noWrap w:val="0"/>
            <w:vAlign w:val="top"/>
          </w:tcPr>
          <w:p w14:paraId="373A9C3A">
            <w:pPr>
              <w:pStyle w:val="6"/>
              <w:shd w:val="clear" w:color="auto" w:fill="auto"/>
              <w:spacing w:before="0" w:line="560" w:lineRule="exact"/>
              <w:ind w:right="20"/>
              <w:jc w:val="left"/>
              <w:rPr>
                <w:rStyle w:val="25"/>
                <w:rFonts w:hint="eastAsia" w:ascii="方正仿宋_GB2312" w:hAnsi="方正仿宋_GB2312" w:eastAsia="方正仿宋_GB2312" w:cs="方正仿宋_GB2312"/>
                <w:color w:val="auto"/>
                <w:sz w:val="24"/>
                <w:szCs w:val="24"/>
                <w:highlight w:val="none"/>
                <w:shd w:val="clear" w:color="auto" w:fill="auto"/>
              </w:rPr>
            </w:pPr>
            <w:r>
              <w:rPr>
                <w:rStyle w:val="25"/>
                <w:rFonts w:hint="eastAsia" w:ascii="方正仿宋_GB2312" w:hAnsi="方正仿宋_GB2312" w:eastAsia="方正仿宋_GB2312" w:cs="方正仿宋_GB2312"/>
                <w:color w:val="auto"/>
                <w:sz w:val="24"/>
                <w:szCs w:val="24"/>
                <w:highlight w:val="none"/>
                <w:shd w:val="clear" w:color="auto" w:fill="auto"/>
              </w:rPr>
              <w:t>50个</w:t>
            </w:r>
          </w:p>
        </w:tc>
        <w:tc>
          <w:tcPr>
            <w:tcW w:w="4441" w:type="dxa"/>
            <w:noWrap w:val="0"/>
            <w:vAlign w:val="top"/>
          </w:tcPr>
          <w:p w14:paraId="386655DD">
            <w:pPr>
              <w:pStyle w:val="6"/>
              <w:shd w:val="clear" w:color="auto" w:fill="auto"/>
              <w:spacing w:before="0" w:line="560" w:lineRule="exact"/>
              <w:ind w:right="20"/>
              <w:jc w:val="left"/>
              <w:rPr>
                <w:rStyle w:val="25"/>
                <w:rFonts w:hint="eastAsia" w:ascii="方正仿宋_GB2312" w:hAnsi="方正仿宋_GB2312" w:eastAsia="方正仿宋_GB2312" w:cs="方正仿宋_GB2312"/>
                <w:color w:val="auto"/>
                <w:sz w:val="24"/>
                <w:szCs w:val="24"/>
                <w:highlight w:val="none"/>
                <w:shd w:val="clear" w:color="auto" w:fill="auto"/>
              </w:rPr>
            </w:pPr>
            <w:r>
              <w:rPr>
                <w:rStyle w:val="25"/>
                <w:rFonts w:hint="eastAsia" w:ascii="方正仿宋_GB2312" w:hAnsi="方正仿宋_GB2312" w:eastAsia="方正仿宋_GB2312" w:cs="方正仿宋_GB2312"/>
                <w:color w:val="auto"/>
                <w:sz w:val="24"/>
                <w:szCs w:val="24"/>
                <w:highlight w:val="none"/>
                <w:shd w:val="clear" w:color="auto" w:fill="auto"/>
              </w:rPr>
              <w:t xml:space="preserve">夜间巡逻照明及警示 </w:t>
            </w:r>
          </w:p>
        </w:tc>
      </w:tr>
      <w:tr w14:paraId="7A76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3327" w:type="dxa"/>
            <w:noWrap w:val="0"/>
            <w:vAlign w:val="top"/>
          </w:tcPr>
          <w:p w14:paraId="0A159878">
            <w:pPr>
              <w:pStyle w:val="6"/>
              <w:shd w:val="clear" w:color="auto" w:fill="auto"/>
              <w:spacing w:before="0" w:line="560" w:lineRule="exact"/>
              <w:ind w:right="20"/>
              <w:rPr>
                <w:rStyle w:val="25"/>
                <w:rFonts w:hint="eastAsia" w:ascii="方正仿宋_GB2312" w:hAnsi="方正仿宋_GB2312" w:eastAsia="方正仿宋_GB2312" w:cs="方正仿宋_GB2312"/>
                <w:color w:val="auto"/>
                <w:sz w:val="24"/>
                <w:szCs w:val="24"/>
                <w:highlight w:val="none"/>
                <w:shd w:val="clear" w:color="auto" w:fill="auto"/>
              </w:rPr>
            </w:pPr>
            <w:r>
              <w:rPr>
                <w:rStyle w:val="25"/>
                <w:rFonts w:hint="eastAsia" w:ascii="方正仿宋_GB2312" w:hAnsi="方正仿宋_GB2312" w:eastAsia="方正仿宋_GB2312" w:cs="方正仿宋_GB2312"/>
                <w:color w:val="auto"/>
                <w:sz w:val="24"/>
                <w:szCs w:val="24"/>
                <w:highlight w:val="none"/>
                <w:shd w:val="clear" w:color="auto" w:fill="auto"/>
              </w:rPr>
              <w:t>防护装备</w:t>
            </w:r>
          </w:p>
        </w:tc>
        <w:tc>
          <w:tcPr>
            <w:tcW w:w="990" w:type="dxa"/>
            <w:noWrap w:val="0"/>
            <w:vAlign w:val="top"/>
          </w:tcPr>
          <w:p w14:paraId="0A7C1086">
            <w:pPr>
              <w:pStyle w:val="6"/>
              <w:shd w:val="clear" w:color="auto" w:fill="auto"/>
              <w:spacing w:before="0" w:line="560" w:lineRule="exact"/>
              <w:ind w:right="20"/>
              <w:jc w:val="left"/>
              <w:rPr>
                <w:rStyle w:val="25"/>
                <w:rFonts w:hint="eastAsia" w:ascii="方正仿宋_GB2312" w:hAnsi="方正仿宋_GB2312" w:eastAsia="方正仿宋_GB2312" w:cs="方正仿宋_GB2312"/>
                <w:color w:val="auto"/>
                <w:sz w:val="24"/>
                <w:szCs w:val="24"/>
                <w:highlight w:val="none"/>
                <w:shd w:val="clear" w:color="auto" w:fill="auto"/>
              </w:rPr>
            </w:pPr>
            <w:r>
              <w:rPr>
                <w:rStyle w:val="25"/>
                <w:rFonts w:hint="eastAsia" w:ascii="方正仿宋_GB2312" w:hAnsi="方正仿宋_GB2312" w:eastAsia="方正仿宋_GB2312" w:cs="方正仿宋_GB2312"/>
                <w:color w:val="auto"/>
                <w:sz w:val="24"/>
                <w:szCs w:val="24"/>
                <w:highlight w:val="none"/>
                <w:shd w:val="clear" w:color="auto" w:fill="auto"/>
                <w:lang w:val="en-US" w:eastAsia="zh-CN"/>
              </w:rPr>
              <w:t>2</w:t>
            </w:r>
            <w:r>
              <w:rPr>
                <w:rStyle w:val="25"/>
                <w:rFonts w:hint="eastAsia" w:ascii="方正仿宋_GB2312" w:hAnsi="方正仿宋_GB2312" w:eastAsia="方正仿宋_GB2312" w:cs="方正仿宋_GB2312"/>
                <w:color w:val="auto"/>
                <w:sz w:val="24"/>
                <w:szCs w:val="24"/>
                <w:highlight w:val="none"/>
                <w:shd w:val="clear" w:color="auto" w:fill="auto"/>
              </w:rPr>
              <w:t>0套</w:t>
            </w:r>
          </w:p>
        </w:tc>
        <w:tc>
          <w:tcPr>
            <w:tcW w:w="4441" w:type="dxa"/>
            <w:noWrap w:val="0"/>
            <w:vAlign w:val="top"/>
          </w:tcPr>
          <w:p w14:paraId="5B24D0DB">
            <w:pPr>
              <w:pStyle w:val="6"/>
              <w:shd w:val="clear" w:color="auto" w:fill="auto"/>
              <w:spacing w:before="0" w:line="560" w:lineRule="exact"/>
              <w:ind w:right="20"/>
              <w:jc w:val="left"/>
              <w:rPr>
                <w:rStyle w:val="25"/>
                <w:rFonts w:hint="eastAsia" w:ascii="方正仿宋_GB2312" w:hAnsi="方正仿宋_GB2312" w:eastAsia="方正仿宋_GB2312" w:cs="方正仿宋_GB2312"/>
                <w:color w:val="auto"/>
                <w:sz w:val="24"/>
                <w:szCs w:val="24"/>
                <w:highlight w:val="none"/>
                <w:shd w:val="clear" w:color="auto" w:fill="auto"/>
              </w:rPr>
            </w:pPr>
            <w:r>
              <w:rPr>
                <w:rStyle w:val="25"/>
                <w:rFonts w:hint="eastAsia" w:ascii="方正仿宋_GB2312" w:hAnsi="方正仿宋_GB2312" w:eastAsia="方正仿宋_GB2312" w:cs="方正仿宋_GB2312"/>
                <w:color w:val="auto"/>
                <w:sz w:val="24"/>
                <w:szCs w:val="24"/>
                <w:highlight w:val="none"/>
                <w:shd w:val="clear" w:color="auto" w:fill="auto"/>
              </w:rPr>
              <w:t xml:space="preserve">反恐防爆及基础安全保障    </w:t>
            </w:r>
          </w:p>
        </w:tc>
      </w:tr>
    </w:tbl>
    <w:p w14:paraId="5CA1E675">
      <w:pPr>
        <w:widowControl/>
        <w:shd w:val="clear" w:color="auto" w:fill="auto"/>
        <w:spacing w:line="500" w:lineRule="exact"/>
        <w:ind w:firstLine="480" w:firstLineChars="200"/>
        <w:jc w:val="left"/>
        <w:rPr>
          <w:rFonts w:hint="eastAsia" w:ascii="黑体" w:hAnsi="黑体" w:eastAsia="黑体" w:cs="黑体"/>
          <w:color w:val="auto"/>
          <w:kern w:val="0"/>
          <w:sz w:val="24"/>
          <w:szCs w:val="24"/>
          <w:highlight w:val="none"/>
          <w:shd w:val="clear" w:color="auto" w:fill="auto"/>
        </w:rPr>
      </w:pPr>
      <w:r>
        <w:rPr>
          <w:rFonts w:hint="eastAsia" w:ascii="黑体" w:hAnsi="黑体" w:eastAsia="黑体" w:cs="黑体"/>
          <w:color w:val="auto"/>
          <w:kern w:val="0"/>
          <w:sz w:val="24"/>
          <w:szCs w:val="24"/>
          <w:highlight w:val="none"/>
          <w:shd w:val="clear" w:color="auto" w:fill="auto"/>
          <w:lang w:val="en-US" w:eastAsia="zh-CN"/>
        </w:rPr>
        <w:t>第十二条</w:t>
      </w:r>
      <w:r>
        <w:rPr>
          <w:rFonts w:hint="eastAsia" w:ascii="黑体" w:hAnsi="黑体" w:eastAsia="黑体" w:cs="黑体"/>
          <w:color w:val="auto"/>
          <w:kern w:val="0"/>
          <w:sz w:val="24"/>
          <w:szCs w:val="24"/>
          <w:highlight w:val="none"/>
          <w:shd w:val="clear" w:color="auto" w:fill="auto"/>
        </w:rPr>
        <w:t>履约保证金</w:t>
      </w:r>
    </w:p>
    <w:p w14:paraId="591BBFCD">
      <w:pPr>
        <w:widowControl/>
        <w:shd w:val="clear" w:color="auto" w:fill="auto"/>
        <w:spacing w:line="500" w:lineRule="exact"/>
        <w:ind w:firstLine="420" w:firstLineChars="200"/>
        <w:jc w:val="left"/>
        <w:rPr>
          <w:rFonts w:hint="eastAsia" w:ascii="方正仿宋_GB2312" w:hAnsi="方正仿宋_GB2312" w:eastAsia="方正仿宋_GB2312" w:cs="方正仿宋_GB2312"/>
          <w:color w:val="auto"/>
          <w:kern w:val="0"/>
          <w:sz w:val="24"/>
          <w:szCs w:val="24"/>
          <w:highlight w:val="none"/>
          <w:shd w:val="clear" w:color="auto" w:fill="auto"/>
        </w:rPr>
      </w:pPr>
      <w:r>
        <w:rPr>
          <w:rFonts w:hint="eastAsia" w:eastAsia="黑体"/>
          <w:lang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28575</wp:posOffset>
            </wp:positionV>
            <wp:extent cx="5380990" cy="7610475"/>
            <wp:effectExtent l="0" t="0" r="10160" b="9525"/>
            <wp:wrapTopAndBottom/>
            <wp:docPr id="2" name="图片 2" descr="华诚-河南中医院大学安保服务项目合同书20250913-20260912(1)_1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华诚-河南中医院大学安保服务项目合同书20250913-20260912(1)_12_01"/>
                    <pic:cNvPicPr>
                      <a:picLocks noChangeAspect="1"/>
                    </pic:cNvPicPr>
                  </pic:nvPicPr>
                  <pic:blipFill>
                    <a:blip r:embed="rId5"/>
                    <a:stretch>
                      <a:fillRect/>
                    </a:stretch>
                  </pic:blipFill>
                  <pic:spPr>
                    <a:xfrm>
                      <a:off x="0" y="0"/>
                      <a:ext cx="5380990" cy="7610475"/>
                    </a:xfrm>
                    <a:prstGeom prst="rect">
                      <a:avLst/>
                    </a:prstGeom>
                  </pic:spPr>
                </pic:pic>
              </a:graphicData>
            </a:graphic>
          </wp:anchor>
        </w:drawing>
      </w:r>
    </w:p>
    <w:p w14:paraId="35766DFA">
      <w:pPr>
        <w:tabs>
          <w:tab w:val="left" w:pos="620"/>
        </w:tabs>
      </w:pPr>
    </w:p>
    <w:p w14:paraId="54D68FCB">
      <w:pPr>
        <w:pStyle w:val="2"/>
      </w:pPr>
    </w:p>
    <w:p w14:paraId="31448A97">
      <w:pPr>
        <w:pStyle w:val="7"/>
      </w:pPr>
    </w:p>
    <w:p w14:paraId="3146F799"/>
    <w:p w14:paraId="6E3A2344">
      <w:pPr>
        <w:pStyle w:val="2"/>
        <w:rPr>
          <w:rFonts w:hint="eastAsia" w:eastAsia="宋体"/>
          <w:lang w:eastAsia="zh-CN"/>
        </w:rPr>
      </w:pPr>
      <w:r>
        <w:rPr>
          <w:rFonts w:hint="eastAsia" w:eastAsia="宋体"/>
          <w:lang w:eastAsia="zh-CN"/>
        </w:rPr>
        <w:drawing>
          <wp:inline distT="0" distB="0" distL="114300" distR="114300">
            <wp:extent cx="5269230" cy="7452360"/>
            <wp:effectExtent l="0" t="0" r="7620" b="15240"/>
            <wp:docPr id="4" name="图片 4" descr="华诚-河南中医院大学安保服务项目合同书20250913-2026091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华诚-河南中医院大学安保服务项目合同书20250913-20260912_13"/>
                    <pic:cNvPicPr>
                      <a:picLocks noChangeAspect="1"/>
                    </pic:cNvPicPr>
                  </pic:nvPicPr>
                  <pic:blipFill>
                    <a:blip r:embed="rId6"/>
                    <a:stretch>
                      <a:fillRect/>
                    </a:stretch>
                  </pic:blipFill>
                  <pic:spPr>
                    <a:xfrm>
                      <a:off x="0" y="0"/>
                      <a:ext cx="5269230" cy="7452360"/>
                    </a:xfrm>
                    <a:prstGeom prst="rect">
                      <a:avLst/>
                    </a:prstGeom>
                  </pic:spPr>
                </pic:pic>
              </a:graphicData>
            </a:graphic>
          </wp:inline>
        </w:drawing>
      </w:r>
      <w:r>
        <w:rPr>
          <w:rFonts w:hint="eastAsia" w:eastAsia="宋体"/>
          <w:lang w:eastAsia="zh-CN"/>
        </w:rPr>
        <w:drawing>
          <wp:inline distT="0" distB="0" distL="114300" distR="114300">
            <wp:extent cx="5269230" cy="7452360"/>
            <wp:effectExtent l="0" t="0" r="7620" b="15240"/>
            <wp:docPr id="3" name="图片 3" descr="华诚-河南中医院大学安保服务项目合同书20250913-20260912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华诚-河南中医院大学安保服务项目合同书20250913-20260912_14"/>
                    <pic:cNvPicPr>
                      <a:picLocks noChangeAspect="1"/>
                    </pic:cNvPicPr>
                  </pic:nvPicPr>
                  <pic:blipFill>
                    <a:blip r:embed="rId7"/>
                    <a:stretch>
                      <a:fillRect/>
                    </a:stretch>
                  </pic:blipFill>
                  <pic:spPr>
                    <a:xfrm>
                      <a:off x="0" y="0"/>
                      <a:ext cx="5269230" cy="745236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大标宋简体">
    <w:altName w:val="微软雅黑"/>
    <w:panose1 w:val="02010601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0B6B5F"/>
    <w:multiLevelType w:val="multilevel"/>
    <w:tmpl w:val="B40B6B5F"/>
    <w:lvl w:ilvl="0" w:tentative="0">
      <w:start w:val="1"/>
      <w:numFmt w:val="decimal"/>
      <w:suff w:val="nothing"/>
      <w:lvlText w:val="第%1章 "/>
      <w:lvlJc w:val="left"/>
      <w:pPr>
        <w:ind w:left="0" w:firstLine="0"/>
      </w:pPr>
      <w:rPr>
        <w:rFonts w:hint="eastAsia" w:ascii="方正大标宋简体" w:eastAsia="方正大标宋简体"/>
        <w:b w:val="0"/>
        <w:i w:val="0"/>
        <w:shadow/>
        <w:emboss w:val="0"/>
        <w:imprint w:val="0"/>
        <w:sz w:val="36"/>
        <w:szCs w:val="36"/>
      </w:rPr>
    </w:lvl>
    <w:lvl w:ilvl="1" w:tentative="0">
      <w:start w:val="1"/>
      <w:numFmt w:val="decimal"/>
      <w:suff w:val="nothing"/>
      <w:lvlText w:val="    %2、"/>
      <w:lvlJc w:val="left"/>
      <w:pPr>
        <w:ind w:left="0" w:firstLine="0"/>
      </w:pPr>
      <w:rPr>
        <w:rFonts w:hint="eastAsia" w:ascii="黑体" w:eastAsia="黑体"/>
        <w:b/>
        <w:i w:val="0"/>
        <w:sz w:val="30"/>
        <w:szCs w:val="30"/>
      </w:rPr>
    </w:lvl>
    <w:lvl w:ilvl="2" w:tentative="0">
      <w:start w:val="1"/>
      <w:numFmt w:val="decimal"/>
      <w:suff w:val="nothing"/>
      <w:lvlText w:val="    %2.%3 "/>
      <w:lvlJc w:val="left"/>
      <w:pPr>
        <w:ind w:left="459" w:firstLine="0"/>
      </w:pPr>
      <w:rPr>
        <w:rFonts w:cs="方正大标宋简体"/>
        <w:b w:val="0"/>
        <w:bCs w:val="0"/>
        <w:i w:val="0"/>
        <w:iCs w:val="0"/>
        <w:caps w:val="0"/>
        <w:smallCaps w:val="0"/>
        <w:strike w:val="0"/>
        <w:dstrike w:val="0"/>
        <w:outline w:val="0"/>
        <w:shadow w:val="0"/>
        <w:emboss w:val="0"/>
        <w:imprint w:val="0"/>
        <w:vanish w:val="0"/>
        <w:color w:val="000000"/>
        <w:spacing w:val="0"/>
        <w:position w:val="0"/>
        <w:u w:val="none"/>
        <w:vertAlign w:val="baseline"/>
      </w:rPr>
    </w:lvl>
    <w:lvl w:ilvl="3" w:tentative="0">
      <w:start w:val="1"/>
      <w:numFmt w:val="decimal"/>
      <w:suff w:val="nothing"/>
      <w:lvlText w:val="    %2.%3.%4  "/>
      <w:lvlJc w:val="left"/>
      <w:pPr>
        <w:ind w:left="0" w:firstLine="0"/>
      </w:pPr>
      <w:rPr>
        <w:rFonts w:hint="eastAsia" w:ascii="仿宋_GB2312" w:eastAsia="仿宋_GB2312"/>
        <w:b/>
        <w:i w:val="0"/>
        <w:sz w:val="28"/>
        <w:szCs w:val="28"/>
      </w:rPr>
    </w:lvl>
    <w:lvl w:ilvl="4" w:tentative="0">
      <w:start w:val="1"/>
      <w:numFmt w:val="none"/>
      <w:pStyle w:val="12"/>
      <w:suff w:val="nothing"/>
      <w:lvlText w:val=""/>
      <w:lvlJc w:val="left"/>
      <w:pPr>
        <w:ind w:left="0" w:firstLine="0"/>
      </w:pPr>
      <w:rPr>
        <w:rFonts w:hint="eastAsia"/>
      </w:rPr>
    </w:lvl>
    <w:lvl w:ilvl="5" w:tentative="0">
      <w:start w:val="1"/>
      <w:numFmt w:val="none"/>
      <w:pStyle w:val="13"/>
      <w:suff w:val="nothing"/>
      <w:lvlText w:val=""/>
      <w:lvlJc w:val="left"/>
      <w:pPr>
        <w:ind w:left="0" w:firstLine="0"/>
      </w:pPr>
      <w:rPr>
        <w:rFonts w:hint="eastAsia"/>
      </w:rPr>
    </w:lvl>
    <w:lvl w:ilvl="6" w:tentative="0">
      <w:start w:val="1"/>
      <w:numFmt w:val="none"/>
      <w:pStyle w:val="14"/>
      <w:suff w:val="nothing"/>
      <w:lvlText w:val=""/>
      <w:lvlJc w:val="left"/>
      <w:pPr>
        <w:ind w:left="0" w:firstLine="0"/>
      </w:pPr>
      <w:rPr>
        <w:rFonts w:hint="eastAsia"/>
      </w:rPr>
    </w:lvl>
    <w:lvl w:ilvl="7" w:tentative="0">
      <w:start w:val="1"/>
      <w:numFmt w:val="none"/>
      <w:pStyle w:val="15"/>
      <w:suff w:val="nothing"/>
      <w:lvlText w:val=""/>
      <w:lvlJc w:val="left"/>
      <w:pPr>
        <w:ind w:left="0" w:firstLine="0"/>
      </w:pPr>
      <w:rPr>
        <w:rFonts w:hint="eastAsia"/>
      </w:rPr>
    </w:lvl>
    <w:lvl w:ilvl="8" w:tentative="0">
      <w:start w:val="1"/>
      <w:numFmt w:val="none"/>
      <w:pStyle w:val="16"/>
      <w:suff w:val="nothing"/>
      <w:lvlText w:val=""/>
      <w:lvlJc w:val="left"/>
      <w:pPr>
        <w:ind w:left="0" w:firstLine="0"/>
      </w:pPr>
      <w:rPr>
        <w:rFonts w:hint="eastAsia"/>
      </w:rPr>
    </w:lvl>
  </w:abstractNum>
  <w:abstractNum w:abstractNumId="1">
    <w:nsid w:val="CD9B0378"/>
    <w:multiLevelType w:val="singleLevel"/>
    <w:tmpl w:val="CD9B0378"/>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782A07"/>
    <w:rsid w:val="0102351D"/>
    <w:rsid w:val="01C31BB3"/>
    <w:rsid w:val="032103C2"/>
    <w:rsid w:val="03896D91"/>
    <w:rsid w:val="03914CEF"/>
    <w:rsid w:val="077D1FA6"/>
    <w:rsid w:val="08F149A5"/>
    <w:rsid w:val="0B8F7F7B"/>
    <w:rsid w:val="0C81667B"/>
    <w:rsid w:val="0E711E69"/>
    <w:rsid w:val="0E9216EA"/>
    <w:rsid w:val="0E9C48BB"/>
    <w:rsid w:val="10F75259"/>
    <w:rsid w:val="125578CF"/>
    <w:rsid w:val="12D229AD"/>
    <w:rsid w:val="12DE040E"/>
    <w:rsid w:val="12EB1929"/>
    <w:rsid w:val="156C1118"/>
    <w:rsid w:val="171B3E81"/>
    <w:rsid w:val="17F06906"/>
    <w:rsid w:val="180371F9"/>
    <w:rsid w:val="18A137CE"/>
    <w:rsid w:val="1B764745"/>
    <w:rsid w:val="1BE91782"/>
    <w:rsid w:val="1C113799"/>
    <w:rsid w:val="1CF76EA5"/>
    <w:rsid w:val="1E062DF7"/>
    <w:rsid w:val="1F2B3DF2"/>
    <w:rsid w:val="21CE7D7F"/>
    <w:rsid w:val="22A1504B"/>
    <w:rsid w:val="24F27052"/>
    <w:rsid w:val="255A39D9"/>
    <w:rsid w:val="26132E71"/>
    <w:rsid w:val="27782A07"/>
    <w:rsid w:val="2872170B"/>
    <w:rsid w:val="2A7F1E31"/>
    <w:rsid w:val="2B9D1C89"/>
    <w:rsid w:val="2EDC77E4"/>
    <w:rsid w:val="310E0ADD"/>
    <w:rsid w:val="322B003D"/>
    <w:rsid w:val="3232483C"/>
    <w:rsid w:val="35C20647"/>
    <w:rsid w:val="37642B96"/>
    <w:rsid w:val="3B21645B"/>
    <w:rsid w:val="3BD74F66"/>
    <w:rsid w:val="3C2A5EFE"/>
    <w:rsid w:val="3ED163C8"/>
    <w:rsid w:val="424F14EE"/>
    <w:rsid w:val="42CF3A63"/>
    <w:rsid w:val="45F3528C"/>
    <w:rsid w:val="47C543D3"/>
    <w:rsid w:val="48E153E1"/>
    <w:rsid w:val="49697EAB"/>
    <w:rsid w:val="496B2686"/>
    <w:rsid w:val="4AAB4505"/>
    <w:rsid w:val="4C0854F2"/>
    <w:rsid w:val="4C087162"/>
    <w:rsid w:val="50B82D29"/>
    <w:rsid w:val="538057B3"/>
    <w:rsid w:val="54950C70"/>
    <w:rsid w:val="565D1FD4"/>
    <w:rsid w:val="57314C11"/>
    <w:rsid w:val="57C92714"/>
    <w:rsid w:val="581577ED"/>
    <w:rsid w:val="58FC775A"/>
    <w:rsid w:val="5A6F5E50"/>
    <w:rsid w:val="5AF31824"/>
    <w:rsid w:val="613A4EFB"/>
    <w:rsid w:val="62D24A40"/>
    <w:rsid w:val="65F42463"/>
    <w:rsid w:val="679069DB"/>
    <w:rsid w:val="680A2374"/>
    <w:rsid w:val="6A0A5879"/>
    <w:rsid w:val="6D4006F6"/>
    <w:rsid w:val="6DD0610A"/>
    <w:rsid w:val="6FBB77C3"/>
    <w:rsid w:val="706E3F67"/>
    <w:rsid w:val="710C42F7"/>
    <w:rsid w:val="71EE5E8D"/>
    <w:rsid w:val="7233221C"/>
    <w:rsid w:val="73B85112"/>
    <w:rsid w:val="74513448"/>
    <w:rsid w:val="75A673ED"/>
    <w:rsid w:val="76A52E09"/>
    <w:rsid w:val="779B00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宋体"/>
      <w:kern w:val="2"/>
      <w:sz w:val="21"/>
      <w:szCs w:val="24"/>
      <w:lang w:val="en-US" w:eastAsia="zh-CN" w:bidi="ar-SA"/>
    </w:rPr>
  </w:style>
  <w:style w:type="paragraph" w:styleId="8">
    <w:name w:val="heading 1"/>
    <w:basedOn w:val="1"/>
    <w:next w:val="1"/>
    <w:link w:val="23"/>
    <w:qFormat/>
    <w:uiPriority w:val="0"/>
    <w:pPr>
      <w:keepNext/>
      <w:keepLines/>
      <w:tabs>
        <w:tab w:val="left" w:pos="620"/>
      </w:tabs>
      <w:spacing w:before="120" w:beforeLines="0" w:beforeAutospacing="0" w:after="120" w:afterLines="0" w:afterAutospacing="0" w:line="240" w:lineRule="auto"/>
      <w:jc w:val="center"/>
      <w:outlineLvl w:val="0"/>
    </w:pPr>
    <w:rPr>
      <w:rFonts w:ascii="黑体" w:hAnsi="黑体" w:eastAsia="黑体" w:cs="宋体"/>
      <w:b/>
      <w:kern w:val="44"/>
      <w:sz w:val="28"/>
      <w:szCs w:val="22"/>
    </w:rPr>
  </w:style>
  <w:style w:type="paragraph" w:styleId="9">
    <w:name w:val="heading 2"/>
    <w:basedOn w:val="1"/>
    <w:next w:val="1"/>
    <w:link w:val="20"/>
    <w:semiHidden/>
    <w:unhideWhenUsed/>
    <w:qFormat/>
    <w:uiPriority w:val="0"/>
    <w:pPr>
      <w:keepNext/>
      <w:keepLines/>
      <w:tabs>
        <w:tab w:val="left" w:pos="620"/>
      </w:tabs>
      <w:spacing w:before="140" w:beforeLines="0" w:beforeAutospacing="0" w:after="140" w:afterLines="0" w:afterAutospacing="0" w:line="360" w:lineRule="auto"/>
      <w:jc w:val="center"/>
      <w:outlineLvl w:val="1"/>
    </w:pPr>
    <w:rPr>
      <w:rFonts w:ascii="宋体" w:hAnsi="宋体" w:eastAsia="宋体" w:cs="宋体"/>
      <w:b/>
      <w:kern w:val="2"/>
      <w:sz w:val="28"/>
      <w:szCs w:val="22"/>
      <w:lang w:eastAsia="zh-CN"/>
    </w:rPr>
  </w:style>
  <w:style w:type="paragraph" w:styleId="10">
    <w:name w:val="heading 3"/>
    <w:basedOn w:val="1"/>
    <w:next w:val="1"/>
    <w:link w:val="21"/>
    <w:semiHidden/>
    <w:unhideWhenUsed/>
    <w:qFormat/>
    <w:uiPriority w:val="0"/>
    <w:pPr>
      <w:keepNext/>
      <w:keepLines/>
      <w:tabs>
        <w:tab w:val="left" w:pos="620"/>
      </w:tabs>
      <w:spacing w:before="260" w:beforeLines="0" w:beforeAutospacing="0" w:after="260" w:afterLines="0" w:afterAutospacing="0" w:line="360" w:lineRule="auto"/>
      <w:jc w:val="center"/>
      <w:outlineLvl w:val="2"/>
    </w:pPr>
    <w:rPr>
      <w:rFonts w:ascii="宋体" w:hAnsi="宋体" w:eastAsia="宋体" w:cs="宋体"/>
      <w:b/>
      <w:kern w:val="2"/>
      <w:sz w:val="28"/>
      <w:szCs w:val="22"/>
      <w:lang w:eastAsia="zh-CN"/>
    </w:rPr>
  </w:style>
  <w:style w:type="paragraph" w:styleId="11">
    <w:name w:val="heading 4"/>
    <w:basedOn w:val="1"/>
    <w:next w:val="1"/>
    <w:link w:val="22"/>
    <w:semiHidden/>
    <w:unhideWhenUsed/>
    <w:qFormat/>
    <w:uiPriority w:val="0"/>
    <w:pPr>
      <w:keepNext/>
      <w:keepLines/>
      <w:tabs>
        <w:tab w:val="left" w:pos="620"/>
      </w:tabs>
      <w:spacing w:before="160" w:beforeLines="0" w:beforeAutospacing="0" w:after="170" w:afterLines="0" w:afterAutospacing="0" w:line="372" w:lineRule="auto"/>
      <w:jc w:val="center"/>
      <w:outlineLvl w:val="3"/>
    </w:pPr>
    <w:rPr>
      <w:rFonts w:ascii="宋体" w:hAnsi="宋体" w:eastAsia="宋体" w:cs="Times New Roman"/>
      <w:b/>
      <w:kern w:val="2"/>
      <w:sz w:val="28"/>
      <w:szCs w:val="22"/>
      <w:lang w:eastAsia="zh-CN"/>
    </w:rPr>
  </w:style>
  <w:style w:type="paragraph" w:styleId="12">
    <w:name w:val="heading 5"/>
    <w:basedOn w:val="1"/>
    <w:next w:val="1"/>
    <w:link w:val="24"/>
    <w:semiHidden/>
    <w:unhideWhenUsed/>
    <w:qFormat/>
    <w:uiPriority w:val="0"/>
    <w:pPr>
      <w:keepNext/>
      <w:keepLines/>
      <w:numPr>
        <w:ilvl w:val="4"/>
        <w:numId w:val="1"/>
      </w:numPr>
      <w:tabs>
        <w:tab w:val="left" w:pos="620"/>
      </w:tabs>
      <w:adjustRightInd w:val="0"/>
      <w:spacing w:before="240" w:after="240" w:line="360" w:lineRule="auto"/>
      <w:ind w:firstLine="0" w:firstLineChars="0"/>
      <w:jc w:val="left"/>
      <w:outlineLvl w:val="4"/>
    </w:pPr>
    <w:rPr>
      <w:rFonts w:ascii="黑体" w:hAnsi="黑体" w:eastAsia="黑体" w:cs="宋体"/>
      <w:b/>
      <w:bCs/>
      <w:color w:val="000000"/>
      <w:kern w:val="2"/>
      <w:sz w:val="24"/>
      <w:szCs w:val="28"/>
      <w:lang w:val="zh-TW" w:eastAsia="zh-TW"/>
    </w:rPr>
  </w:style>
  <w:style w:type="paragraph" w:styleId="13">
    <w:name w:val="heading 6"/>
    <w:basedOn w:val="1"/>
    <w:next w:val="1"/>
    <w:semiHidden/>
    <w:unhideWhenUsed/>
    <w:qFormat/>
    <w:uiPriority w:val="0"/>
    <w:pPr>
      <w:keepNext/>
      <w:keepLines/>
      <w:numPr>
        <w:ilvl w:val="5"/>
        <w:numId w:val="1"/>
      </w:numPr>
      <w:tabs>
        <w:tab w:val="left" w:pos="620"/>
      </w:tabs>
      <w:snapToGrid w:val="0"/>
      <w:spacing w:before="240" w:beforeLines="0" w:beforeAutospacing="0" w:after="240" w:afterLines="0" w:afterAutospacing="0" w:line="360" w:lineRule="auto"/>
      <w:jc w:val="center"/>
      <w:outlineLvl w:val="5"/>
    </w:pPr>
    <w:rPr>
      <w:rFonts w:ascii="宋体" w:hAnsi="宋体" w:eastAsia="宋体" w:cs="Times New Roman"/>
      <w:b/>
      <w:color w:val="000000"/>
      <w:kern w:val="2"/>
      <w:sz w:val="28"/>
      <w:szCs w:val="21"/>
      <w:lang w:val="zh-TW" w:eastAsia="zh-TW"/>
    </w:rPr>
  </w:style>
  <w:style w:type="paragraph" w:styleId="14">
    <w:name w:val="heading 7"/>
    <w:basedOn w:val="1"/>
    <w:next w:val="1"/>
    <w:semiHidden/>
    <w:unhideWhenUsed/>
    <w:qFormat/>
    <w:uiPriority w:val="0"/>
    <w:pPr>
      <w:keepNext/>
      <w:keepLines/>
      <w:numPr>
        <w:ilvl w:val="6"/>
        <w:numId w:val="1"/>
      </w:numPr>
      <w:tabs>
        <w:tab w:val="left" w:pos="620"/>
      </w:tabs>
      <w:spacing w:before="240" w:beforeLines="0" w:beforeAutospacing="0" w:after="64" w:afterLines="0" w:afterAutospacing="0" w:line="317" w:lineRule="auto"/>
      <w:outlineLvl w:val="6"/>
    </w:pPr>
    <w:rPr>
      <w:b/>
      <w:sz w:val="24"/>
    </w:rPr>
  </w:style>
  <w:style w:type="paragraph" w:styleId="15">
    <w:name w:val="heading 8"/>
    <w:basedOn w:val="1"/>
    <w:next w:val="1"/>
    <w:semiHidden/>
    <w:unhideWhenUsed/>
    <w:qFormat/>
    <w:uiPriority w:val="0"/>
    <w:pPr>
      <w:keepNext/>
      <w:keepLines/>
      <w:numPr>
        <w:ilvl w:val="7"/>
        <w:numId w:val="1"/>
      </w:numPr>
      <w:tabs>
        <w:tab w:val="left" w:pos="620"/>
      </w:tabs>
      <w:spacing w:before="240" w:beforeLines="0" w:beforeAutospacing="0" w:after="64" w:afterLines="0" w:afterAutospacing="0" w:line="317" w:lineRule="auto"/>
      <w:outlineLvl w:val="7"/>
    </w:pPr>
    <w:rPr>
      <w:rFonts w:ascii="Arial" w:hAnsi="Arial" w:eastAsia="黑体"/>
      <w:sz w:val="24"/>
    </w:rPr>
  </w:style>
  <w:style w:type="paragraph" w:styleId="16">
    <w:name w:val="heading 9"/>
    <w:basedOn w:val="1"/>
    <w:next w:val="1"/>
    <w:semiHidden/>
    <w:unhideWhenUsed/>
    <w:qFormat/>
    <w:uiPriority w:val="0"/>
    <w:pPr>
      <w:keepNext/>
      <w:keepLines/>
      <w:numPr>
        <w:ilvl w:val="8"/>
        <w:numId w:val="1"/>
      </w:numPr>
      <w:tabs>
        <w:tab w:val="left" w:pos="620"/>
      </w:tabs>
      <w:spacing w:before="240" w:beforeLines="0" w:beforeAutospacing="0" w:after="64" w:afterLines="0" w:afterAutospacing="0" w:line="317" w:lineRule="auto"/>
      <w:outlineLvl w:val="8"/>
    </w:pPr>
    <w:rPr>
      <w:rFonts w:ascii="Arial" w:hAnsi="Arial" w:eastAsia="黑体"/>
      <w:sz w:val="21"/>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customStyle="1" w:styleId="2">
    <w:name w:val="Default"/>
    <w:basedOn w:val="3"/>
    <w:next w:val="7"/>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3">
    <w:name w:val="Body Text 2"/>
    <w:basedOn w:val="1"/>
    <w:next w:val="4"/>
    <w:qFormat/>
    <w:uiPriority w:val="0"/>
    <w:pPr>
      <w:widowControl w:val="0"/>
      <w:pBdr>
        <w:top w:val="none" w:color="auto" w:sz="0" w:space="0"/>
        <w:left w:val="none" w:color="auto" w:sz="0" w:space="0"/>
        <w:bottom w:val="none" w:color="auto" w:sz="0" w:space="0"/>
        <w:right w:val="none" w:color="auto" w:sz="0" w:space="0"/>
        <w:between w:val="none" w:color="auto" w:sz="0" w:space="0"/>
      </w:pBdr>
      <w:spacing w:after="120" w:line="480" w:lineRule="auto"/>
    </w:pPr>
    <w:rPr>
      <w:rFonts w:hint="default" w:ascii="Times New Roman" w:hAnsi="Times New Roman" w:eastAsia="宋体" w:cs="Times New Roman"/>
      <w:color w:val="auto"/>
      <w:szCs w:val="24"/>
    </w:rPr>
  </w:style>
  <w:style w:type="paragraph" w:styleId="4">
    <w:name w:val="footer"/>
    <w:basedOn w:val="1"/>
    <w:next w:val="5"/>
    <w:qFormat/>
    <w:uiPriority w:val="99"/>
    <w:pPr>
      <w:tabs>
        <w:tab w:val="center" w:pos="4153"/>
        <w:tab w:val="right" w:pos="8306"/>
      </w:tabs>
    </w:pPr>
    <w:rPr>
      <w:rFonts w:hint="default" w:ascii="宋体" w:hAnsi="宋体" w:eastAsia="宋体" w:cs="Times New Roman"/>
      <w:kern w:val="0"/>
      <w:sz w:val="18"/>
      <w:szCs w:val="18"/>
    </w:rPr>
  </w:style>
  <w:style w:type="paragraph" w:styleId="5">
    <w:name w:val="List Continue"/>
    <w:basedOn w:val="1"/>
    <w:next w:val="6"/>
    <w:qFormat/>
    <w:uiPriority w:val="0"/>
    <w:pPr>
      <w:widowControl w:val="0"/>
      <w:pBdr>
        <w:top w:val="none" w:color="auto" w:sz="0" w:space="0"/>
        <w:left w:val="none" w:color="auto" w:sz="0" w:space="0"/>
        <w:bottom w:val="none" w:color="auto" w:sz="0" w:space="0"/>
        <w:right w:val="none" w:color="auto" w:sz="0" w:space="0"/>
        <w:between w:val="none" w:color="auto" w:sz="0" w:space="0"/>
      </w:pBdr>
      <w:spacing w:after="120"/>
      <w:ind w:left="420"/>
    </w:pPr>
    <w:rPr>
      <w:rFonts w:hint="default" w:ascii="Times New Roman" w:hAnsi="Times New Roman" w:eastAsia="楷体_GB2312" w:cs="Times New Roman"/>
      <w:color w:val="auto"/>
      <w:sz w:val="32"/>
      <w:szCs w:val="20"/>
      <w:lang w:val="en-US" w:eastAsia="zh-CN"/>
    </w:rPr>
  </w:style>
  <w:style w:type="paragraph" w:styleId="6">
    <w:name w:val="Body Text"/>
    <w:basedOn w:val="1"/>
    <w:next w:val="1"/>
    <w:qFormat/>
    <w:uiPriority w:val="0"/>
    <w:pPr>
      <w:widowControl w:val="0"/>
      <w:pBdr>
        <w:top w:val="none" w:color="auto" w:sz="0" w:space="0"/>
        <w:left w:val="none" w:color="auto" w:sz="0" w:space="0"/>
        <w:bottom w:val="none" w:color="auto" w:sz="0" w:space="0"/>
        <w:right w:val="none" w:color="auto" w:sz="0" w:space="0"/>
        <w:between w:val="none" w:color="auto" w:sz="0" w:space="0"/>
      </w:pBdr>
      <w:tabs>
        <w:tab w:val="left" w:pos="567"/>
      </w:tabs>
      <w:spacing w:before="120" w:line="22" w:lineRule="atLeast"/>
    </w:pPr>
    <w:rPr>
      <w:rFonts w:hint="default" w:ascii="宋体" w:hAnsi="宋体" w:eastAsia="宋体" w:cs="Times New Roman"/>
      <w:color w:val="auto"/>
      <w:sz w:val="24"/>
      <w:szCs w:val="24"/>
    </w:rPr>
  </w:style>
  <w:style w:type="paragraph" w:styleId="7">
    <w:name w:val="table of figures"/>
    <w:basedOn w:val="1"/>
    <w:next w:val="1"/>
    <w:qFormat/>
    <w:uiPriority w:val="0"/>
    <w:pPr>
      <w:ind w:left="200" w:leftChars="200" w:hanging="200" w:hangingChars="200"/>
    </w:pPr>
    <w:rPr>
      <w:rFonts w:ascii="Times New Roman" w:hAnsi="Times New Roman" w:eastAsia="宋体" w:cs="Times New Roman"/>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
    <w:name w:val="标题 2 Char"/>
    <w:basedOn w:val="19"/>
    <w:link w:val="9"/>
    <w:autoRedefine/>
    <w:qFormat/>
    <w:uiPriority w:val="0"/>
    <w:rPr>
      <w:rFonts w:ascii="宋体" w:hAnsi="宋体" w:eastAsia="宋体" w:cs="宋体"/>
      <w:b/>
      <w:kern w:val="2"/>
      <w:sz w:val="28"/>
      <w:szCs w:val="22"/>
      <w:lang w:eastAsia="zh-CN"/>
    </w:rPr>
  </w:style>
  <w:style w:type="character" w:customStyle="1" w:styleId="21">
    <w:name w:val="标题 3 Char"/>
    <w:link w:val="10"/>
    <w:autoRedefine/>
    <w:qFormat/>
    <w:uiPriority w:val="0"/>
    <w:rPr>
      <w:rFonts w:hint="eastAsia" w:ascii="宋体" w:hAnsi="宋体" w:eastAsia="宋体" w:cs="宋体"/>
      <w:b/>
      <w:color w:val="000000"/>
      <w:kern w:val="2"/>
      <w:sz w:val="28"/>
      <w:szCs w:val="22"/>
      <w:lang w:val="en-US" w:eastAsia="zh-CN" w:bidi="zh-CN"/>
    </w:rPr>
  </w:style>
  <w:style w:type="character" w:customStyle="1" w:styleId="22">
    <w:name w:val="标题 4 Char"/>
    <w:link w:val="11"/>
    <w:autoRedefine/>
    <w:qFormat/>
    <w:uiPriority w:val="0"/>
    <w:rPr>
      <w:rFonts w:hint="default" w:ascii="宋体" w:hAnsi="宋体" w:eastAsia="宋体" w:cs="Times New Roman"/>
      <w:b/>
      <w:color w:val="000000"/>
      <w:kern w:val="2"/>
      <w:sz w:val="28"/>
      <w:szCs w:val="22"/>
      <w:lang w:val="zh-TW" w:eastAsia="zh-CN" w:bidi="zh-CN"/>
    </w:rPr>
  </w:style>
  <w:style w:type="character" w:customStyle="1" w:styleId="23">
    <w:name w:val="标题 1 Char"/>
    <w:link w:val="8"/>
    <w:qFormat/>
    <w:uiPriority w:val="0"/>
    <w:rPr>
      <w:rFonts w:ascii="黑体" w:hAnsi="黑体" w:eastAsia="黑体" w:cs="宋体"/>
      <w:b/>
      <w:kern w:val="44"/>
      <w:sz w:val="28"/>
      <w:szCs w:val="22"/>
    </w:rPr>
  </w:style>
  <w:style w:type="character" w:customStyle="1" w:styleId="24">
    <w:name w:val="标题 5 Char"/>
    <w:link w:val="12"/>
    <w:autoRedefine/>
    <w:qFormat/>
    <w:uiPriority w:val="0"/>
    <w:rPr>
      <w:rFonts w:hint="default" w:ascii="黑体" w:hAnsi="黑体" w:eastAsia="黑体" w:cs="宋体"/>
      <w:b/>
      <w:bCs/>
      <w:color w:val="000000"/>
      <w:kern w:val="2"/>
      <w:sz w:val="24"/>
      <w:szCs w:val="28"/>
      <w:lang w:val="zh-TW" w:eastAsia="zh-TW"/>
    </w:rPr>
  </w:style>
  <w:style w:type="character" w:customStyle="1" w:styleId="25">
    <w:name w:val="正文文本 Char1"/>
    <w:semiHidden/>
    <w:qFormat/>
    <w:uiPriority w:val="99"/>
    <w:rPr>
      <w:rFonts w:ascii="Times New Roman" w:hAnsi="Times New Roman" w:eastAsia="宋体" w:cs="Times New Roman"/>
      <w:szCs w:val="24"/>
    </w:rPr>
  </w:style>
  <w:style w:type="paragraph" w:customStyle="1" w:styleId="26">
    <w:name w:val="无间隔1"/>
    <w:next w:val="1"/>
    <w:qFormat/>
    <w:uiPriority w:val="1"/>
    <w:pPr>
      <w:widowControl w:val="0"/>
      <w:jc w:val="both"/>
    </w:pPr>
    <w:rPr>
      <w:rFonts w:ascii="Times New Roman" w:hAnsi="Times New Roman" w:eastAsia="宋体" w:cs="Calibri"/>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6668</Words>
  <Characters>6898</Characters>
  <Lines>0</Lines>
  <Paragraphs>0</Paragraphs>
  <TotalTime>1</TotalTime>
  <ScaleCrop>false</ScaleCrop>
  <LinksUpToDate>false</LinksUpToDate>
  <CharactersWithSpaces>6937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2025-09-09T03:31:00Z</dcterms:created>
  <dc:creator>劉   sir</dc:creator>
  <cp:lastModifiedBy>章丹</cp:lastModifiedBy>
  <dcterms:modified xsi:type="dcterms:W3CDTF">2025-10-31T08:45:06Z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A23B0F07CAB240228266A964FC8E40A5_13</vt:lpwstr>
  </property>
  <property fmtid="{D5CDD505-2E9C-101B-9397-08002B2CF9AE}" pid="4" name="KSOTemplateDocerSaveRecord">
    <vt:lpwstr>eyJoZGlkIjoiNTc5MGNmZTQzZTIyYjZmZjgwMzcxZDQ1NDkxMTU4ZmIiLCJ1c2VySWQiOiI0MjM0MTc0NDUifQ==</vt:lpwstr>
  </property>
</Properties>
</file>