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48F888">
      <w:pPr>
        <w:spacing w:before="93" w:after="93" w:line="360" w:lineRule="auto"/>
        <w:rPr>
          <w:rFonts w:hint="eastAsia" w:ascii="宋体" w:hAnsi="宋体" w:cs="宋体"/>
          <w:color w:val="auto"/>
          <w:sz w:val="24"/>
          <w:highlight w:val="none"/>
        </w:rPr>
      </w:pPr>
      <w:r>
        <w:rPr>
          <w:rFonts w:hint="eastAsia" w:ascii="宋体" w:hAnsi="宋体" w:cs="宋体"/>
          <w:color w:val="auto"/>
          <w:sz w:val="24"/>
          <w:highlight w:val="none"/>
        </w:rPr>
        <w:drawing>
          <wp:inline distT="0" distB="0" distL="114300" distR="114300">
            <wp:extent cx="6180455" cy="8739505"/>
            <wp:effectExtent l="0" t="0" r="6985" b="8255"/>
            <wp:docPr id="4" name="图片 4" descr="0486_0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86_001_01"/>
                    <pic:cNvPicPr>
                      <a:picLocks noChangeAspect="1"/>
                    </pic:cNvPicPr>
                  </pic:nvPicPr>
                  <pic:blipFill>
                    <a:blip r:embed="rId7"/>
                    <a:stretch>
                      <a:fillRect/>
                    </a:stretch>
                  </pic:blipFill>
                  <pic:spPr>
                    <a:xfrm>
                      <a:off x="0" y="0"/>
                      <a:ext cx="6180455" cy="8739505"/>
                    </a:xfrm>
                    <a:prstGeom prst="rect">
                      <a:avLst/>
                    </a:prstGeom>
                  </pic:spPr>
                </pic:pic>
              </a:graphicData>
            </a:graphic>
          </wp:inline>
        </w:drawing>
      </w:r>
    </w:p>
    <w:p w14:paraId="086C594B">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 本合同总金额人民币大写：</w:t>
      </w:r>
      <w:r>
        <w:rPr>
          <w:rFonts w:hint="eastAsia" w:ascii="宋体" w:hAnsi="宋体" w:cs="宋体"/>
          <w:b/>
          <w:color w:val="auto"/>
          <w:sz w:val="24"/>
          <w:highlight w:val="none"/>
          <w:u w:val="single"/>
          <w:lang w:val="en-US" w:eastAsia="zh-CN"/>
        </w:rPr>
        <w:t>壹仟叁佰肆拾伍万元整</w:t>
      </w:r>
      <w:r>
        <w:rPr>
          <w:rFonts w:hint="eastAsia" w:ascii="宋体" w:hAnsi="宋体" w:cs="宋体"/>
          <w:color w:val="auto"/>
          <w:sz w:val="24"/>
          <w:highlight w:val="none"/>
        </w:rPr>
        <w:t>（RMB：</w:t>
      </w:r>
      <w:r>
        <w:rPr>
          <w:rFonts w:hint="eastAsia" w:ascii="宋体" w:hAnsi="宋体" w:cs="宋体"/>
          <w:b/>
          <w:color w:val="auto"/>
          <w:sz w:val="24"/>
          <w:highlight w:val="none"/>
          <w:u w:val="single"/>
          <w:lang w:val="en-US" w:eastAsia="zh-CN"/>
        </w:rPr>
        <w:t>13450000</w:t>
      </w:r>
      <w:r>
        <w:rPr>
          <w:rFonts w:hint="eastAsia" w:ascii="宋体" w:hAnsi="宋体" w:cs="宋体"/>
          <w:b/>
          <w:color w:val="auto"/>
          <w:sz w:val="24"/>
          <w:highlight w:val="none"/>
          <w:u w:val="single"/>
        </w:rPr>
        <w:t>元</w:t>
      </w:r>
      <w:r>
        <w:rPr>
          <w:rFonts w:hint="eastAsia" w:ascii="宋体" w:hAnsi="宋体" w:cs="宋体"/>
          <w:color w:val="auto"/>
          <w:sz w:val="24"/>
          <w:highlight w:val="none"/>
        </w:rPr>
        <w:t>）。</w:t>
      </w:r>
    </w:p>
    <w:p w14:paraId="4DA5FE39">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4A717223">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 乙方负责办理合同所涉及的进口货物海关免税手续，甲方协助乙方办理进口免税相关事项，提供与其享受免关税待遇相关的证明文件资料，费用已包括在合同总金额内。</w:t>
      </w:r>
    </w:p>
    <w:p w14:paraId="6AE88878">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 本合同执行期间合同总金额不变。甲方无须另向乙方支付本合同规定之外的其他任何费用。</w:t>
      </w:r>
    </w:p>
    <w:p w14:paraId="4DFD4393">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 乙方所供货物若与合同要求不相符时，甲方有权拒收，并拒付该部分货物的货款。</w:t>
      </w:r>
    </w:p>
    <w:p w14:paraId="7FB71ACC">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 履约保证金：</w:t>
      </w:r>
    </w:p>
    <w:p w14:paraId="1DAF85A3">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79AA6EBA">
      <w:pPr>
        <w:spacing w:before="93" w:after="93" w:line="360" w:lineRule="auto"/>
        <w:ind w:left="479" w:leftChars="228"/>
        <w:rPr>
          <w:rFonts w:hint="eastAsia" w:ascii="宋体" w:hAnsi="宋体" w:cs="宋体"/>
          <w:color w:val="auto"/>
          <w:sz w:val="24"/>
          <w:highlight w:val="none"/>
        </w:rPr>
      </w:pPr>
      <w:r>
        <w:rPr>
          <w:rFonts w:hint="eastAsia" w:ascii="宋体" w:hAnsi="宋体" w:cs="宋体"/>
          <w:color w:val="auto"/>
          <w:sz w:val="24"/>
          <w:highlight w:val="none"/>
        </w:rPr>
        <w:t>交纳方式：中标人在领取中标通知书后签订合同前将履约保证金汇（存）入采购方指定银行帐户：</w:t>
      </w:r>
    </w:p>
    <w:p w14:paraId="36F00A1F">
      <w:pPr>
        <w:spacing w:before="93" w:after="93" w:line="360" w:lineRule="auto"/>
        <w:ind w:firstLine="480" w:firstLineChars="200"/>
        <w:rPr>
          <w:color w:val="auto"/>
          <w:sz w:val="24"/>
          <w:highlight w:val="none"/>
        </w:rPr>
      </w:pPr>
      <w:r>
        <w:rPr>
          <w:rFonts w:ascii="宋体" w:hAnsi="宋体"/>
          <w:color w:val="auto"/>
          <w:sz w:val="24"/>
          <w:highlight w:val="none"/>
        </w:rPr>
        <w:t>开户名称：河南中医</w:t>
      </w:r>
      <w:r>
        <w:rPr>
          <w:rFonts w:hint="eastAsia" w:ascii="宋体" w:hAnsi="宋体"/>
          <w:color w:val="auto"/>
          <w:sz w:val="24"/>
          <w:highlight w:val="none"/>
        </w:rPr>
        <w:t>药大学</w:t>
      </w:r>
    </w:p>
    <w:p w14:paraId="5B0B3F7D">
      <w:pPr>
        <w:spacing w:before="93" w:after="93" w:line="360" w:lineRule="auto"/>
        <w:ind w:firstLine="480" w:firstLineChars="200"/>
        <w:rPr>
          <w:color w:val="auto"/>
          <w:sz w:val="24"/>
          <w:highlight w:val="none"/>
        </w:rPr>
      </w:pPr>
      <w:r>
        <w:rPr>
          <w:rFonts w:ascii="宋体" w:hAnsi="宋体"/>
          <w:color w:val="auto"/>
          <w:sz w:val="24"/>
          <w:highlight w:val="none"/>
        </w:rPr>
        <w:t>账</w:t>
      </w:r>
      <w:r>
        <w:rPr>
          <w:color w:val="auto"/>
          <w:sz w:val="24"/>
          <w:highlight w:val="none"/>
        </w:rPr>
        <w:t xml:space="preserve">  号：1702020609200014257</w:t>
      </w:r>
    </w:p>
    <w:p w14:paraId="4DDF36B8">
      <w:pPr>
        <w:spacing w:before="93" w:after="93" w:line="360" w:lineRule="auto"/>
        <w:ind w:firstLine="480" w:firstLineChars="200"/>
        <w:rPr>
          <w:rFonts w:hint="eastAsia" w:ascii="宋体" w:hAnsi="宋体"/>
          <w:color w:val="auto"/>
          <w:sz w:val="24"/>
          <w:highlight w:val="none"/>
        </w:rPr>
      </w:pPr>
      <w:r>
        <w:rPr>
          <w:rFonts w:ascii="宋体" w:hAnsi="宋体"/>
          <w:color w:val="auto"/>
          <w:sz w:val="24"/>
          <w:highlight w:val="none"/>
        </w:rPr>
        <w:t>开户行：工商银行花园路支行</w:t>
      </w:r>
      <w:r>
        <w:rPr>
          <w:rFonts w:hint="eastAsia" w:ascii="宋体" w:hAnsi="宋体"/>
          <w:color w:val="auto"/>
          <w:sz w:val="24"/>
          <w:highlight w:val="none"/>
        </w:rPr>
        <w:t>（请注明中标通知书中的合同编号）</w:t>
      </w:r>
    </w:p>
    <w:p w14:paraId="39AC3D36">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二、货物质量标准</w:t>
      </w:r>
    </w:p>
    <w:p w14:paraId="119310F8">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67D581F7">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 乙方提供的货物必须为全新的、未使用过的原厂原包装产品（含零部件、配件、随机工具、技术文件等），且进货渠道合法。</w:t>
      </w:r>
    </w:p>
    <w:p w14:paraId="243B58AD">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 乙方提供的货物必须包装外观完好、无破损，货物洁净完好、无划痕、无凹陷、无退色、无锈迹。</w:t>
      </w:r>
    </w:p>
    <w:p w14:paraId="544F71AE">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 乙方提供的货物不符合合同规定的质量要求的，甲方有权拒绝接受该货物，乙方应更换被拒绝的货物，并达到合同规定的质量要求，所造成的损失由乙方承担。必要时甲方有权解除合同。</w:t>
      </w:r>
    </w:p>
    <w:p w14:paraId="1315119D">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 因货物的质量问题发生争议，由河南省商检部门进行质量鉴定。货物符合质量标准的，鉴定费由甲方承担；货物不符合质量标准的，鉴定费由乙方承担。</w:t>
      </w:r>
    </w:p>
    <w:p w14:paraId="2A7FDBC3">
      <w:pPr>
        <w:spacing w:before="93" w:after="93" w:line="360" w:lineRule="auto"/>
        <w:ind w:firstLine="482" w:firstLineChars="200"/>
        <w:rPr>
          <w:rFonts w:ascii="宋体" w:hAnsi="Courier New" w:cs="宋体"/>
          <w:b/>
          <w:color w:val="auto"/>
          <w:sz w:val="24"/>
          <w:highlight w:val="none"/>
        </w:rPr>
      </w:pPr>
      <w:r>
        <w:rPr>
          <w:rFonts w:hint="eastAsia" w:ascii="宋体" w:hAnsi="宋体" w:cs="宋体"/>
          <w:b/>
          <w:color w:val="auto"/>
          <w:sz w:val="24"/>
          <w:highlight w:val="none"/>
        </w:rPr>
        <w:t>三、货物包装、交货</w:t>
      </w:r>
    </w:p>
    <w:p w14:paraId="6DF77D2C">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 包装</w:t>
      </w:r>
    </w:p>
    <w:p w14:paraId="411B537B">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⑴ 合同货物的包装必须与运输方式相适应，应有良好的防湿、防锈、防潮、防雨、防腐及防碰撞的措施。凡由于不适当的包装而造成货物在运输过程中有任何损坏、丢失等由乙方负责。</w:t>
      </w:r>
    </w:p>
    <w:p w14:paraId="58848BAA">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⑵ 包装应足以承受整个过程中的运输、转运、装卸、储存等，充分考虑到运输途中的各种情况（如暴露于恶劣气候等），以及露天存放的需要。</w:t>
      </w:r>
    </w:p>
    <w:p w14:paraId="68053924">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 交货</w:t>
      </w:r>
    </w:p>
    <w:p w14:paraId="32344CD2">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⑴ 乙方交货时间：合同生效后</w:t>
      </w:r>
      <w:r>
        <w:rPr>
          <w:rFonts w:hint="eastAsia"/>
          <w:color w:val="auto"/>
          <w:sz w:val="24"/>
          <w:highlight w:val="none"/>
          <w:lang w:val="en-US" w:eastAsia="zh-CN"/>
        </w:rPr>
        <w:t>40</w:t>
      </w:r>
      <w:r>
        <w:rPr>
          <w:rFonts w:hint="eastAsia" w:ascii="宋体" w:hAnsi="宋体"/>
          <w:color w:val="auto"/>
          <w:sz w:val="24"/>
          <w:highlight w:val="none"/>
        </w:rPr>
        <w:t>日内全部交货。交货完毕后及时提交货物验收申请</w:t>
      </w:r>
      <w:r>
        <w:rPr>
          <w:rFonts w:hint="eastAsia" w:ascii="宋体" w:hAnsi="宋体" w:cs="宋体"/>
          <w:color w:val="auto"/>
          <w:sz w:val="24"/>
          <w:highlight w:val="none"/>
        </w:rPr>
        <w:t>（货物经验收合格的，交货日期以甲方收到乙方验收申请函日期为准；验收不合格的，交货日期以实际验收合格日期为准）。</w:t>
      </w:r>
      <w:r>
        <w:rPr>
          <w:rFonts w:hint="eastAsia" w:ascii="宋体" w:hAnsi="宋体"/>
          <w:color w:val="auto"/>
          <w:sz w:val="24"/>
          <w:highlight w:val="none"/>
        </w:rPr>
        <w:t>即</w:t>
      </w:r>
      <w:r>
        <w:rPr>
          <w:rFonts w:ascii="宋体" w:hAnsi="宋体"/>
          <w:color w:val="auto"/>
          <w:sz w:val="24"/>
          <w:highlight w:val="none"/>
        </w:rPr>
        <w:t>在</w:t>
      </w:r>
      <w:r>
        <w:rPr>
          <w:rFonts w:hint="eastAsia"/>
          <w:b/>
          <w:color w:val="auto"/>
          <w:sz w:val="24"/>
          <w:highlight w:val="none"/>
          <w:u w:val="single"/>
          <w:lang w:val="en-US" w:eastAsia="zh-CN"/>
        </w:rPr>
        <w:t>2025</w:t>
      </w:r>
      <w:r>
        <w:rPr>
          <w:rFonts w:ascii="宋体" w:hAnsi="宋体"/>
          <w:color w:val="auto"/>
          <w:sz w:val="24"/>
          <w:highlight w:val="none"/>
        </w:rPr>
        <w:t>年</w:t>
      </w:r>
      <w:r>
        <w:rPr>
          <w:rFonts w:hint="eastAsia"/>
          <w:b/>
          <w:color w:val="auto"/>
          <w:sz w:val="24"/>
          <w:highlight w:val="none"/>
          <w:u w:val="single"/>
          <w:lang w:val="en-US" w:eastAsia="zh-CN"/>
        </w:rPr>
        <w:t>12</w:t>
      </w:r>
      <w:r>
        <w:rPr>
          <w:rFonts w:ascii="宋体" w:hAnsi="宋体"/>
          <w:color w:val="auto"/>
          <w:sz w:val="24"/>
          <w:highlight w:val="none"/>
        </w:rPr>
        <w:t>月</w:t>
      </w:r>
      <w:r>
        <w:rPr>
          <w:rFonts w:hint="eastAsia"/>
          <w:b/>
          <w:color w:val="auto"/>
          <w:sz w:val="24"/>
          <w:highlight w:val="none"/>
          <w:u w:val="single"/>
          <w:lang w:val="en-US" w:eastAsia="zh-CN"/>
        </w:rPr>
        <w:t>31</w:t>
      </w:r>
      <w:r>
        <w:rPr>
          <w:rFonts w:ascii="宋体" w:hAnsi="宋体"/>
          <w:color w:val="auto"/>
          <w:sz w:val="24"/>
          <w:highlight w:val="none"/>
        </w:rPr>
        <w:t>日前完成全部</w:t>
      </w:r>
      <w:r>
        <w:rPr>
          <w:rFonts w:hint="eastAsia" w:ascii="宋体" w:hAnsi="宋体"/>
          <w:color w:val="auto"/>
          <w:sz w:val="24"/>
          <w:highlight w:val="none"/>
        </w:rPr>
        <w:t>仪器设备的</w:t>
      </w:r>
      <w:r>
        <w:rPr>
          <w:rFonts w:ascii="宋体" w:hAnsi="宋体"/>
          <w:color w:val="auto"/>
          <w:sz w:val="24"/>
          <w:highlight w:val="none"/>
        </w:rPr>
        <w:t>安装调试</w:t>
      </w:r>
      <w:r>
        <w:rPr>
          <w:rFonts w:hint="eastAsia" w:ascii="宋体" w:hAnsi="宋体"/>
          <w:color w:val="auto"/>
          <w:sz w:val="24"/>
          <w:highlight w:val="none"/>
        </w:rPr>
        <w:t>，并</w:t>
      </w:r>
      <w:r>
        <w:rPr>
          <w:rFonts w:ascii="宋体" w:hAnsi="宋体"/>
          <w:color w:val="auto"/>
          <w:sz w:val="24"/>
          <w:highlight w:val="none"/>
        </w:rPr>
        <w:t>交付使用</w:t>
      </w:r>
      <w:r>
        <w:rPr>
          <w:color w:val="auto"/>
          <w:sz w:val="24"/>
          <w:highlight w:val="none"/>
        </w:rPr>
        <w:t>(</w:t>
      </w:r>
      <w:r>
        <w:rPr>
          <w:rFonts w:ascii="宋体" w:hAnsi="宋体"/>
          <w:color w:val="auto"/>
          <w:sz w:val="24"/>
          <w:highlight w:val="none"/>
        </w:rPr>
        <w:t>如由于采购人的原因造成合同延迟签订或验收的，时间顺延</w:t>
      </w:r>
      <w:r>
        <w:rPr>
          <w:color w:val="auto"/>
          <w:sz w:val="24"/>
          <w:highlight w:val="none"/>
        </w:rPr>
        <w:t>)</w:t>
      </w:r>
      <w:r>
        <w:rPr>
          <w:rFonts w:ascii="宋体" w:hAnsi="宋体"/>
          <w:color w:val="auto"/>
          <w:sz w:val="24"/>
          <w:highlight w:val="none"/>
        </w:rPr>
        <w:t>。</w:t>
      </w:r>
      <w:r>
        <w:rPr>
          <w:rFonts w:hint="eastAsia" w:ascii="宋体" w:hAnsi="宋体"/>
          <w:color w:val="auto"/>
          <w:sz w:val="24"/>
          <w:highlight w:val="none"/>
        </w:rPr>
        <w:t>乙方逾期交付物品，则每迟交一周货物应向甲方支付货款总额</w:t>
      </w:r>
      <w:r>
        <w:rPr>
          <w:rFonts w:hint="eastAsia"/>
          <w:color w:val="auto"/>
          <w:sz w:val="24"/>
          <w:highlight w:val="none"/>
        </w:rPr>
        <w:t>5%</w:t>
      </w:r>
      <w:r>
        <w:rPr>
          <w:rFonts w:hint="eastAsia" w:ascii="宋体" w:hAnsi="宋体"/>
          <w:color w:val="auto"/>
          <w:sz w:val="24"/>
          <w:highlight w:val="none"/>
        </w:rPr>
        <w:t>违约金，不足一周按一周计算。</w:t>
      </w:r>
    </w:p>
    <w:p w14:paraId="6B2F7E0A">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⑵ 根据所购货物情况，甲方确定是否在发货前对所供货物进行检查，以保证所发货物与合同一致。所需费用由乙方承担。</w:t>
      </w:r>
    </w:p>
    <w:p w14:paraId="7F10BA88">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⑶ 乙方交货地点：河南中医药大学指定地点。</w:t>
      </w:r>
    </w:p>
    <w:p w14:paraId="4426BBDC">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⑷ 合同货物抵达甲方后，由甲乙双方一同清点货物数量，开箱检验表面状况，核对规格型号。并负责解决开箱检验清点发现的问题和赔偿。</w:t>
      </w:r>
    </w:p>
    <w:p w14:paraId="55588998">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⑸ 乙方应将合同货物的产品序列号、用户手册、技术资料（包括详细装箱单、质量证书、设备说明书、使用手册和其它相关技术资料）及配件、随机工具等一并交付给甲方。</w:t>
      </w:r>
    </w:p>
    <w:p w14:paraId="3E67058D">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⑹ 专用工具及备品、备件应分别包装，并在包装箱外加以注明其用处。</w:t>
      </w:r>
    </w:p>
    <w:p w14:paraId="18A5F39B">
      <w:pPr>
        <w:spacing w:before="93" w:after="93"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四、合同货物的安装、调试</w:t>
      </w:r>
    </w:p>
    <w:p w14:paraId="2855B255">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 乙方负责合同项下货物的安装调试至能够正常开机使用，且与合同要求的各项技术指标一致，符合各项安全标准，一切费用由乙方负责。</w:t>
      </w:r>
    </w:p>
    <w:p w14:paraId="54632474">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 乙方安装时须对各安装场地内的其它设备、设施有良好保护措施。</w:t>
      </w:r>
    </w:p>
    <w:p w14:paraId="28259742">
      <w:pPr>
        <w:spacing w:before="93" w:after="93"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五、安全责任</w:t>
      </w:r>
    </w:p>
    <w:p w14:paraId="200B778A">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乙方在安装、调试合同货物过程中要严格执行国家有关人身安全及防火安全的规定，做好各项防护措施，防止各类事故的发生，若造成人身伤害及货物损坏事故等，则由乙方负全部责任。</w:t>
      </w:r>
    </w:p>
    <w:p w14:paraId="0BC2BDDB">
      <w:pPr>
        <w:spacing w:before="93" w:after="93"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六、货物的验收</w:t>
      </w:r>
    </w:p>
    <w:p w14:paraId="28056832">
      <w:pPr>
        <w:spacing w:before="93" w:after="93" w:line="360" w:lineRule="auto"/>
        <w:ind w:firstLine="480" w:firstLineChars="200"/>
        <w:rPr>
          <w:rFonts w:hint="eastAsia" w:ascii="宋体" w:hAnsi="宋体"/>
          <w:color w:val="auto"/>
          <w:sz w:val="24"/>
          <w:highlight w:val="none"/>
        </w:rPr>
      </w:pPr>
      <w:r>
        <w:rPr>
          <w:rFonts w:hint="eastAsia"/>
          <w:color w:val="auto"/>
          <w:sz w:val="24"/>
          <w:highlight w:val="none"/>
        </w:rPr>
        <w:t xml:space="preserve">1.  </w:t>
      </w:r>
      <w:r>
        <w:rPr>
          <w:rFonts w:hint="eastAsia" w:ascii="宋体" w:hAnsi="宋体"/>
          <w:color w:val="auto"/>
          <w:sz w:val="24"/>
          <w:highlight w:val="none"/>
        </w:rPr>
        <w:t>在甲方验收前，乙方应提交合同货物验收报告、每台仪器设备制造厂商出具的明细装箱单、每台仪器设备制造厂商出具的出厂质量证书、每台仪器设备制造厂商出具的使用说明书。</w:t>
      </w:r>
    </w:p>
    <w:p w14:paraId="5BBA6EDF">
      <w:pPr>
        <w:spacing w:before="93" w:after="93" w:line="360" w:lineRule="auto"/>
        <w:ind w:right="-82" w:rightChars="-39" w:firstLine="480" w:firstLineChars="200"/>
        <w:rPr>
          <w:rFonts w:hint="eastAsia" w:ascii="宋体" w:hAnsi="宋体"/>
          <w:color w:val="auto"/>
          <w:sz w:val="24"/>
          <w:highlight w:val="none"/>
        </w:rPr>
      </w:pPr>
      <w:r>
        <w:rPr>
          <w:rFonts w:hint="eastAsia"/>
          <w:color w:val="auto"/>
          <w:sz w:val="24"/>
          <w:highlight w:val="none"/>
        </w:rPr>
        <w:t>2.</w:t>
      </w:r>
      <w:r>
        <w:rPr>
          <w:rFonts w:hint="eastAsia" w:ascii="宋体" w:hAnsi="宋体"/>
          <w:color w:val="auto"/>
          <w:sz w:val="24"/>
          <w:highlight w:val="none"/>
        </w:rPr>
        <w:t xml:space="preserve"> 乙方应在甲方验收前，向甲方提供按本合同的技术规格、技术规范要求进行的测试报告和验收报告，验收以招投标文件、合同技术规格、产品相应的技术说明为标准。</w:t>
      </w:r>
    </w:p>
    <w:p w14:paraId="3E60C4A7">
      <w:pPr>
        <w:spacing w:before="93" w:after="93" w:line="360" w:lineRule="auto"/>
        <w:ind w:right="-82" w:rightChars="-39" w:firstLine="480" w:firstLineChars="200"/>
        <w:rPr>
          <w:rFonts w:hint="eastAsia" w:ascii="宋体" w:hAnsi="宋体"/>
          <w:color w:val="auto"/>
          <w:sz w:val="24"/>
          <w:highlight w:val="none"/>
        </w:rPr>
      </w:pPr>
      <w:r>
        <w:rPr>
          <w:rFonts w:hint="eastAsia" w:ascii="宋体" w:hAnsi="宋体"/>
          <w:color w:val="auto"/>
          <w:sz w:val="24"/>
          <w:highlight w:val="none"/>
        </w:rPr>
        <w:t>3. 合同货物（系统）交货（完工）并完成操作培训，甲方使用单位</w:t>
      </w:r>
      <w:r>
        <w:rPr>
          <w:rFonts w:hint="eastAsia" w:ascii="宋体" w:hAnsi="宋体"/>
          <w:color w:val="auto"/>
          <w:sz w:val="24"/>
          <w:highlight w:val="none"/>
          <w:lang w:val="en-US" w:eastAsia="zh-CN"/>
        </w:rPr>
        <w:t>或第三方</w:t>
      </w:r>
      <w:r>
        <w:rPr>
          <w:rFonts w:hint="eastAsia" w:ascii="宋体" w:hAnsi="宋体"/>
          <w:color w:val="auto"/>
          <w:sz w:val="24"/>
          <w:highlight w:val="none"/>
        </w:rPr>
        <w:t>验收。验收应在甲乙双方共同参加下进行。</w:t>
      </w:r>
    </w:p>
    <w:p w14:paraId="4D19B1DA">
      <w:pPr>
        <w:spacing w:before="93" w:after="93" w:line="360" w:lineRule="auto"/>
        <w:ind w:right="-82" w:rightChars="-39" w:firstLine="480" w:firstLineChars="200"/>
        <w:rPr>
          <w:rFonts w:hint="eastAsia" w:ascii="宋体" w:hAnsi="宋体"/>
          <w:color w:val="auto"/>
          <w:sz w:val="24"/>
          <w:highlight w:val="none"/>
        </w:rPr>
      </w:pPr>
      <w:r>
        <w:rPr>
          <w:rFonts w:hint="eastAsia" w:ascii="宋体" w:hAnsi="宋体"/>
          <w:color w:val="auto"/>
          <w:sz w:val="24"/>
          <w:highlight w:val="none"/>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348DBE0D">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 如果合同货物运输和安装调试过程中因事故造成货物短缺、损坏，乙方应及时安排换装，以保证合同货物安装调试的成功完成。换货的相关费用由乙方承担。</w:t>
      </w:r>
    </w:p>
    <w:p w14:paraId="3CE0EE3E">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 国内产品或合资厂的产品必须具备出厂合格证。</w:t>
      </w:r>
    </w:p>
    <w:p w14:paraId="09E973CC">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7. 进口产品必须具备省级（或相当于省级）商检部门的检验证明，进口免税设备需要同时准备免税证明、报关单、外贸合同。</w:t>
      </w:r>
    </w:p>
    <w:p w14:paraId="426533EB">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8. 乙方保证合同项下提供的货物不侵犯任何第三方的专利、商标或版权。否则，乙方须承担对第三方的专利或版权的侵权责任并承担因此而发生的所有费用。</w:t>
      </w:r>
    </w:p>
    <w:p w14:paraId="67C9919B">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9. 合同货物验收未能通过的，乙方负责及时整改。若整改后仍未能合格的，甲方依法追究其经济及法律责任。</w:t>
      </w:r>
    </w:p>
    <w:p w14:paraId="58FA68D6">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 验收合格后双方共同签署验收报告，验收合格日期以最后的签字日为准。</w:t>
      </w:r>
    </w:p>
    <w:p w14:paraId="4D14EC35">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七、培训</w:t>
      </w:r>
    </w:p>
    <w:p w14:paraId="0D1E81E2">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30701F04">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八、 付款方式</w:t>
      </w:r>
    </w:p>
    <w:p w14:paraId="0D3068C5">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中标的货物安装调试，采购方组织有关人员</w:t>
      </w:r>
      <w:r>
        <w:rPr>
          <w:rFonts w:hint="eastAsia" w:ascii="宋体" w:hAnsi="宋体" w:cs="宋体"/>
          <w:color w:val="auto"/>
          <w:sz w:val="24"/>
          <w:highlight w:val="none"/>
          <w:lang w:val="en-US" w:eastAsia="zh-CN"/>
        </w:rPr>
        <w:t>或第三方</w:t>
      </w:r>
      <w:r>
        <w:rPr>
          <w:rFonts w:hint="eastAsia" w:ascii="宋体" w:hAnsi="宋体" w:cs="宋体"/>
          <w:color w:val="auto"/>
          <w:sz w:val="24"/>
          <w:highlight w:val="none"/>
        </w:rPr>
        <w:t>验收，验收合格后采购方支付合同价的总额。</w:t>
      </w:r>
    </w:p>
    <w:p w14:paraId="18C1F354">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申请付款时必须提交以下文件和资料：1、资金支付申请书；2、由甲方签字的验收报告；3、教学、科研设备需开具增值税专用发票，其他货物、服务需开具增值税普通发票。</w:t>
      </w:r>
    </w:p>
    <w:p w14:paraId="42CA2145">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具体步骤：乙方填写《资金支付申请书》、开具抬头为甲方的发票，并送交甲方；甲方填写《验收报告》，乙方凭《资金支付申请书》和《验收报告》由甲方支付货款。</w:t>
      </w:r>
    </w:p>
    <w:p w14:paraId="2911C970">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九、质保期限</w:t>
      </w:r>
    </w:p>
    <w:p w14:paraId="0DD403B4">
      <w:pPr>
        <w:spacing w:before="93" w:after="93" w:line="360" w:lineRule="auto"/>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本合同货物整机</w:t>
      </w:r>
      <w:r>
        <w:rPr>
          <w:rFonts w:hint="eastAsia" w:ascii="宋体" w:hAnsi="宋体" w:cs="宋体"/>
          <w:bCs/>
          <w:color w:val="auto"/>
          <w:sz w:val="24"/>
          <w:highlight w:val="none"/>
        </w:rPr>
        <w:t>免费质保期</w:t>
      </w:r>
      <w:r>
        <w:rPr>
          <w:rFonts w:hint="eastAsia" w:ascii="宋体" w:hAnsi="宋体" w:cs="宋体"/>
          <w:b/>
          <w:bCs/>
          <w:color w:val="auto"/>
          <w:sz w:val="24"/>
          <w:highlight w:val="none"/>
          <w:lang w:val="en-US" w:eastAsia="zh-CN"/>
        </w:rPr>
        <w:t>2</w:t>
      </w:r>
      <w:r>
        <w:rPr>
          <w:rFonts w:hint="eastAsia" w:ascii="宋体" w:hAnsi="宋体" w:cs="宋体"/>
          <w:bCs/>
          <w:color w:val="auto"/>
          <w:sz w:val="24"/>
          <w:highlight w:val="none"/>
        </w:rPr>
        <w:t>年</w:t>
      </w:r>
      <w:r>
        <w:rPr>
          <w:rFonts w:hint="eastAsia" w:ascii="宋体" w:hAnsi="宋体" w:cs="宋体"/>
          <w:color w:val="auto"/>
          <w:sz w:val="24"/>
          <w:highlight w:val="none"/>
        </w:rPr>
        <w:t>。质保期自甲乙双方在设备验收报告签字之日起计算。</w:t>
      </w:r>
    </w:p>
    <w:p w14:paraId="2452B6C6">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十、售后服务</w:t>
      </w:r>
      <w:r>
        <w:rPr>
          <w:rFonts w:hint="eastAsia" w:ascii="宋体" w:hAnsi="宋体" w:cs="宋体"/>
          <w:b/>
          <w:color w:val="auto"/>
          <w:sz w:val="24"/>
          <w:highlight w:val="none"/>
        </w:rPr>
        <w:tab/>
      </w:r>
    </w:p>
    <w:p w14:paraId="5B4EA5B6">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Cs w:val="21"/>
          <w:highlight w:val="none"/>
        </w:rPr>
        <w:t xml:space="preserve"> </w:t>
      </w:r>
      <w:r>
        <w:rPr>
          <w:rFonts w:hint="eastAsia" w:ascii="宋体" w:hAnsi="宋体" w:cs="宋体"/>
          <w:color w:val="auto"/>
          <w:sz w:val="24"/>
          <w:highlight w:val="none"/>
        </w:rPr>
        <w:t>乙方须指派专人负责与甲方联系售后服务事宜（联系人：</w:t>
      </w:r>
      <w:r>
        <w:rPr>
          <w:rFonts w:hint="eastAsia" w:ascii="宋体" w:hAnsi="宋体" w:cs="宋体"/>
          <w:b/>
          <w:color w:val="auto"/>
          <w:sz w:val="24"/>
          <w:highlight w:val="none"/>
          <w:lang w:val="en-US" w:eastAsia="zh-CN"/>
        </w:rPr>
        <w:t>梁爱兰</w:t>
      </w:r>
      <w:r>
        <w:rPr>
          <w:rFonts w:hint="eastAsia" w:ascii="宋体" w:hAnsi="宋体" w:cs="宋体"/>
          <w:color w:val="auto"/>
          <w:sz w:val="24"/>
          <w:highlight w:val="none"/>
        </w:rPr>
        <w:t>，电话：</w:t>
      </w:r>
      <w:r>
        <w:rPr>
          <w:rFonts w:hint="eastAsia" w:ascii="宋体" w:hAnsi="宋体" w:cs="宋体"/>
          <w:b/>
          <w:color w:val="auto"/>
          <w:sz w:val="24"/>
          <w:highlight w:val="none"/>
        </w:rPr>
        <w:t>13728504294</w:t>
      </w:r>
      <w:r>
        <w:rPr>
          <w:rFonts w:hint="eastAsia" w:ascii="宋体" w:hAnsi="宋体" w:cs="宋体"/>
          <w:color w:val="auto"/>
          <w:sz w:val="24"/>
          <w:highlight w:val="none"/>
        </w:rPr>
        <w:t xml:space="preserve">）。 </w:t>
      </w:r>
    </w:p>
    <w:p w14:paraId="6DCEF364">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 质保期内，乙方负责对其提供的货物上门进行硬件维修、软件维护和升级等免费服务，甲方不再支付任何费用，但人为因素或自然灾害造成的损坏除外。</w:t>
      </w:r>
    </w:p>
    <w:p w14:paraId="5081336B">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 质保期内，乙方在接到甲方系统故障或问题告知后，</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2B21DE63">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4EDF171B">
      <w:pPr>
        <w:spacing w:before="93" w:after="93"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十一、索赔</w:t>
      </w:r>
    </w:p>
    <w:p w14:paraId="2A9CA906">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 甲方如对乙方所提供的货物有异议，甲方有权根据有关检验结果向乙方提出索赔。</w:t>
      </w:r>
    </w:p>
    <w:p w14:paraId="20D6C272">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 在合同执行期间，如果乙方对甲方提出的索赔和差异负有责任，乙方应按照甲方同意的下列一种或多种方式解决索赔事宜：</w:t>
      </w:r>
    </w:p>
    <w:p w14:paraId="6BEA9371">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⑴ 乙方同意退货，并按合同规定的同种货币将货款退还给甲方，并承担由此发生的一切损失和费用。</w:t>
      </w:r>
    </w:p>
    <w:p w14:paraId="5F55AE11">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⑵ 根据货物低劣程度、损坏程度以及甲方所遭受损失的数额甲乙双方商定降低货物的价格。</w:t>
      </w:r>
    </w:p>
    <w:p w14:paraId="68BB9C7B">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⑶ 用符合规格、质量和性能要求的新零件、部件或货物来更换有缺陷的部分或修补缺陷的部分，乙方应承担一切费用和风险并负有甲方所发生的一切直接费用。同时，延长质量保证期。</w:t>
      </w:r>
    </w:p>
    <w:p w14:paraId="50A43393">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 如果在甲方发出索赔通知后</w:t>
      </w:r>
      <w:r>
        <w:rPr>
          <w:rFonts w:hint="eastAsia" w:ascii="宋体" w:hAnsi="宋体"/>
          <w:color w:val="auto"/>
          <w:sz w:val="24"/>
          <w:highlight w:val="none"/>
          <w:shd w:val="clear" w:color="auto" w:fill="FFFFFF"/>
        </w:rPr>
        <w:t>30</w:t>
      </w:r>
      <w:r>
        <w:rPr>
          <w:rFonts w:hint="eastAsia" w:ascii="宋体" w:hAnsi="宋体"/>
          <w:color w:val="auto"/>
          <w:sz w:val="24"/>
          <w:highlight w:val="none"/>
        </w:rPr>
        <w:t>天内，乙方未作答复，上述索赔应视为已被乙方接受。甲方将从合同款项中扣回索赔金额。如果这些金额不足以补偿索赔金额，甲方有权向乙方提出不足部分的补偿。</w:t>
      </w:r>
    </w:p>
    <w:p w14:paraId="115D061B">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十二、违约责任</w:t>
      </w:r>
    </w:p>
    <w:p w14:paraId="4D7DA0FA">
      <w:pPr>
        <w:spacing w:before="93" w:after="93" w:line="360" w:lineRule="auto"/>
        <w:ind w:firstLine="480" w:firstLineChars="200"/>
        <w:rPr>
          <w:rFonts w:hint="eastAsia" w:ascii="宋体" w:hAnsi="宋体"/>
          <w:color w:val="auto"/>
          <w:sz w:val="24"/>
          <w:highlight w:val="none"/>
        </w:rPr>
      </w:pPr>
      <w:r>
        <w:rPr>
          <w:rFonts w:hint="eastAsia" w:ascii="宋体" w:hAnsi="宋体" w:cs="宋体"/>
          <w:color w:val="auto"/>
          <w:sz w:val="24"/>
          <w:highlight w:val="none"/>
        </w:rPr>
        <w:t>1. 乙方未能交付货物，则向甲方支付合同总额20%的违约金</w:t>
      </w:r>
      <w:r>
        <w:rPr>
          <w:rFonts w:hint="eastAsia" w:ascii="宋体" w:hAnsi="宋体"/>
          <w:color w:val="auto"/>
          <w:sz w:val="24"/>
          <w:highlight w:val="none"/>
        </w:rPr>
        <w:t>，同时履约保证金不予退还。</w:t>
      </w:r>
    </w:p>
    <w:p w14:paraId="312C1C27">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 乙方交付的货物与投标文件或合同不相符的，甲方有权拒收，乙方向甲方支付合同总额30%的违约金，同时履约保证金不予退还。</w:t>
      </w:r>
    </w:p>
    <w:p w14:paraId="15771689">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 甲方无正当理由拒收货物，拒付货款的，则向乙方支付合同总额10%的违约金。</w:t>
      </w:r>
    </w:p>
    <w:p w14:paraId="275EF67C">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2668D7C8">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 甲方逾期付款，则每延迟一周付款甲方应向乙方支付货款总额0.5%违约金，违约金总额不超过合同总价的5%（不可抗力除外）。</w:t>
      </w:r>
    </w:p>
    <w:p w14:paraId="4A82B38C">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2BE0753D">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7.若乙方提出换货，则按第十二条第2款执行。</w:t>
      </w:r>
    </w:p>
    <w:p w14:paraId="29C3E42F">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十三、争端的解决</w:t>
      </w:r>
    </w:p>
    <w:p w14:paraId="5DC4C5E4">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1.凡与本合同有关而引起的一切争执和分歧，甲乙双方通过友好协商解决或提交河南省政府采购管理部门调解，如协商或调解不成，任何一方可以向郑州仲裁委员会申请仲裁裁决。</w:t>
      </w:r>
    </w:p>
    <w:p w14:paraId="5AB1C634">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2.在进行仲裁期间，除提交仲裁机构的事项外，合同其他部分应继续履行。</w:t>
      </w:r>
    </w:p>
    <w:p w14:paraId="0988B8F4">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十四、</w:t>
      </w:r>
      <w:r>
        <w:rPr>
          <w:rFonts w:hint="eastAsia" w:ascii="宋体" w:hAnsi="宋体" w:cs="宋体"/>
          <w:b/>
          <w:bCs/>
          <w:color w:val="auto"/>
          <w:sz w:val="24"/>
          <w:highlight w:val="none"/>
        </w:rPr>
        <w:t>合同组成</w:t>
      </w:r>
    </w:p>
    <w:p w14:paraId="3947B01D">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bCs/>
          <w:color w:val="auto"/>
          <w:sz w:val="24"/>
          <w:highlight w:val="none"/>
        </w:rPr>
        <w:t>本项目</w:t>
      </w:r>
      <w:r>
        <w:rPr>
          <w:rFonts w:hint="eastAsia" w:ascii="宋体" w:hAnsi="宋体" w:cs="宋体"/>
          <w:color w:val="auto"/>
          <w:sz w:val="24"/>
          <w:highlight w:val="none"/>
        </w:rPr>
        <w:t>招标文件、投标文件及下列附件等均为本合同的有效组成部分，与本合同具有同样法律效力。</w:t>
      </w:r>
    </w:p>
    <w:p w14:paraId="2AA53D0A">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 中标通知书（附件1）；</w:t>
      </w:r>
    </w:p>
    <w:p w14:paraId="780EBF82">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 </w:t>
      </w:r>
      <w:r>
        <w:rPr>
          <w:rFonts w:hint="eastAsia" w:ascii="宋体" w:hAnsi="宋体" w:cs="宋体"/>
          <w:bCs/>
          <w:color w:val="auto"/>
          <w:sz w:val="24"/>
          <w:highlight w:val="none"/>
        </w:rPr>
        <w:t>中标货物分项报价一览表</w:t>
      </w:r>
      <w:r>
        <w:rPr>
          <w:rFonts w:hint="eastAsia" w:ascii="宋体" w:hAnsi="宋体" w:cs="宋体"/>
          <w:color w:val="auto"/>
          <w:sz w:val="24"/>
          <w:highlight w:val="none"/>
        </w:rPr>
        <w:t>（附件2）；</w:t>
      </w:r>
    </w:p>
    <w:p w14:paraId="5006EE6B">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 中标货物制造商</w:t>
      </w:r>
      <w:r>
        <w:rPr>
          <w:rFonts w:hint="eastAsia" w:ascii="宋体" w:hAnsi="宋体" w:cs="宋体"/>
          <w:bCs/>
          <w:color w:val="auto"/>
          <w:sz w:val="24"/>
          <w:highlight w:val="none"/>
        </w:rPr>
        <w:t>配置清单</w:t>
      </w:r>
      <w:r>
        <w:rPr>
          <w:rFonts w:hint="eastAsia" w:ascii="宋体" w:hAnsi="宋体" w:cs="宋体"/>
          <w:color w:val="auto"/>
          <w:sz w:val="24"/>
          <w:highlight w:val="none"/>
        </w:rPr>
        <w:t>（附件3）；</w:t>
      </w:r>
    </w:p>
    <w:p w14:paraId="145C2C08">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 中标货物技术参数及配置表（附件4）； </w:t>
      </w:r>
    </w:p>
    <w:p w14:paraId="7AF3E307">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 供货商质量保障及服务表（附件5）；</w:t>
      </w:r>
    </w:p>
    <w:p w14:paraId="275B2A1E">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 中</w:t>
      </w:r>
      <w:r>
        <w:rPr>
          <w:rFonts w:ascii="宋体" w:hAnsi="宋体"/>
          <w:color w:val="auto"/>
          <w:sz w:val="24"/>
          <w:highlight w:val="none"/>
        </w:rPr>
        <w:t>标</w:t>
      </w:r>
      <w:r>
        <w:rPr>
          <w:rFonts w:hint="eastAsia" w:ascii="宋体" w:hAnsi="宋体"/>
          <w:color w:val="auto"/>
          <w:sz w:val="24"/>
          <w:highlight w:val="none"/>
        </w:rPr>
        <w:t>货物安装培训计划表（附件6）；</w:t>
      </w:r>
    </w:p>
    <w:p w14:paraId="3815C46E">
      <w:pPr>
        <w:pageBreakBefore w:val="0"/>
        <w:widowControl w:val="0"/>
        <w:kinsoku/>
        <w:wordWrap/>
        <w:overflowPunct/>
        <w:topLinePunct w:val="0"/>
        <w:autoSpaceDE/>
        <w:autoSpaceDN/>
        <w:bidi w:val="0"/>
        <w:adjustRightInd/>
        <w:snapToGrid/>
        <w:spacing w:before="93" w:after="93" w:line="480" w:lineRule="auto"/>
        <w:ind w:firstLine="480" w:firstLineChars="200"/>
        <w:textAlignment w:val="auto"/>
        <w:rPr>
          <w:rFonts w:hint="eastAsia" w:ascii="宋体" w:hAnsi="Courier New" w:cs="宋体"/>
          <w:color w:val="auto"/>
          <w:sz w:val="24"/>
          <w:highlight w:val="none"/>
        </w:rPr>
      </w:pPr>
      <w:r>
        <w:rPr>
          <w:rFonts w:hint="eastAsia" w:ascii="宋体" w:hAnsi="宋体" w:cs="宋体"/>
          <w:color w:val="auto"/>
          <w:sz w:val="24"/>
          <w:highlight w:val="none"/>
        </w:rPr>
        <w:t>7. 中标货物制造商售后服务承诺（附件</w:t>
      </w:r>
      <w:r>
        <w:rPr>
          <w:rFonts w:hint="eastAsia" w:ascii="宋体" w:hAnsi="Courier New" w:cs="宋体"/>
          <w:color w:val="auto"/>
          <w:sz w:val="24"/>
          <w:highlight w:val="none"/>
        </w:rPr>
        <w:t>7）；</w:t>
      </w:r>
    </w:p>
    <w:p w14:paraId="5A775A18">
      <w:pPr>
        <w:pStyle w:val="2"/>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val="0"/>
          <w:bCs w:val="0"/>
          <w:color w:val="auto"/>
          <w:kern w:val="2"/>
          <w:sz w:val="24"/>
          <w:szCs w:val="24"/>
          <w:highlight w:val="none"/>
          <w:lang w:val="en-US" w:eastAsia="zh-CN" w:bidi="ar-SA"/>
        </w:rPr>
      </w:pPr>
      <w:r>
        <w:rPr>
          <w:rFonts w:hint="eastAsia"/>
          <w:lang w:val="en-US" w:eastAsia="zh-CN"/>
        </w:rPr>
        <w:t xml:space="preserve">   </w:t>
      </w:r>
      <w:r>
        <w:rPr>
          <w:rFonts w:hint="eastAsia" w:ascii="宋体" w:hAnsi="宋体" w:eastAsia="宋体" w:cs="宋体"/>
          <w:b w:val="0"/>
          <w:bCs w:val="0"/>
          <w:lang w:val="en-US" w:eastAsia="zh-CN"/>
        </w:rPr>
        <w:t xml:space="preserve">8. </w:t>
      </w:r>
      <w:r>
        <w:rPr>
          <w:rFonts w:hint="eastAsia" w:ascii="宋体" w:hAnsi="宋体" w:eastAsia="宋体" w:cs="宋体"/>
          <w:b w:val="0"/>
          <w:bCs w:val="0"/>
          <w:color w:val="auto"/>
          <w:kern w:val="2"/>
          <w:sz w:val="24"/>
          <w:szCs w:val="24"/>
          <w:highlight w:val="none"/>
          <w:lang w:val="en-US" w:eastAsia="zh-CN" w:bidi="ar-SA"/>
        </w:rPr>
        <w:t>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3C8E3604">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十五、合同解除和终止</w:t>
      </w:r>
    </w:p>
    <w:p w14:paraId="1EFB44B9">
      <w:pPr>
        <w:spacing w:before="93" w:after="93"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 甲乙双方各自完成合同规定的责任和义务，合同自然终止。</w:t>
      </w:r>
    </w:p>
    <w:p w14:paraId="4F9907FE">
      <w:pPr>
        <w:spacing w:before="93" w:after="93"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 如果一方严重违反合同，并在收到对方违约通知书后在</w:t>
      </w:r>
      <w:r>
        <w:rPr>
          <w:rFonts w:hint="eastAsia" w:ascii="宋体" w:hAnsi="宋体"/>
          <w:color w:val="auto"/>
          <w:sz w:val="24"/>
          <w:highlight w:val="none"/>
          <w:shd w:val="clear" w:color="auto" w:fill="FFFFFF"/>
        </w:rPr>
        <w:t>30</w:t>
      </w:r>
      <w:r>
        <w:rPr>
          <w:rFonts w:hint="eastAsia" w:ascii="宋体" w:hAnsi="宋体"/>
          <w:color w:val="auto"/>
          <w:sz w:val="24"/>
          <w:highlight w:val="none"/>
        </w:rPr>
        <w:t>天内或在指定期限内仍未能改正违约的，另一方可立即终止本合同。</w:t>
      </w:r>
    </w:p>
    <w:p w14:paraId="3237B0F8">
      <w:pPr>
        <w:spacing w:before="93" w:after="93"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十六、其它</w:t>
      </w:r>
    </w:p>
    <w:p w14:paraId="4E20C6B8">
      <w:pPr>
        <w:keepNext w:val="0"/>
        <w:keepLines w:val="0"/>
        <w:pageBreakBefore w:val="0"/>
        <w:widowControl w:val="0"/>
        <w:kinsoku/>
        <w:wordWrap/>
        <w:overflowPunct/>
        <w:topLinePunct w:val="0"/>
        <w:autoSpaceDE/>
        <w:autoSpaceDN/>
        <w:bidi w:val="0"/>
        <w:adjustRightInd/>
        <w:snapToGrid/>
        <w:spacing w:before="93" w:after="93" w:line="48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1. 本合同乙方不得将本合同全部或部分分包给他人。乙方在任何情况下都不得全部或部分转让其应履行的合同义务。</w:t>
      </w:r>
    </w:p>
    <w:p w14:paraId="6C371D9D">
      <w:pPr>
        <w:keepNext w:val="0"/>
        <w:keepLines w:val="0"/>
        <w:pageBreakBefore w:val="0"/>
        <w:widowControl w:val="0"/>
        <w:kinsoku/>
        <w:wordWrap/>
        <w:overflowPunct/>
        <w:topLinePunct w:val="0"/>
        <w:autoSpaceDE/>
        <w:autoSpaceDN/>
        <w:bidi w:val="0"/>
        <w:adjustRightInd/>
        <w:snapToGrid/>
        <w:spacing w:before="93" w:after="93" w:line="48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2. 合同若有变更须经甲乙双方签字确认。</w:t>
      </w:r>
    </w:p>
    <w:p w14:paraId="0FCA884F">
      <w:pPr>
        <w:keepNext w:val="0"/>
        <w:keepLines w:val="0"/>
        <w:pageBreakBefore w:val="0"/>
        <w:widowControl w:val="0"/>
        <w:kinsoku/>
        <w:wordWrap/>
        <w:overflowPunct/>
        <w:topLinePunct w:val="0"/>
        <w:autoSpaceDE/>
        <w:autoSpaceDN/>
        <w:bidi w:val="0"/>
        <w:adjustRightInd/>
        <w:snapToGrid/>
        <w:spacing w:before="93" w:after="93" w:line="48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3．在执行本合同的过程中，所有经双方签署确认的文件（包括会议纪要、补充协议、合同修改书、往来信函等）均为本合同的有效组成部分，其生效日期为双方签字盖章或确认之日期。</w:t>
      </w:r>
    </w:p>
    <w:p w14:paraId="1ED99A2C">
      <w:pPr>
        <w:keepNext w:val="0"/>
        <w:keepLines w:val="0"/>
        <w:pageBreakBefore w:val="0"/>
        <w:widowControl w:val="0"/>
        <w:kinsoku/>
        <w:wordWrap/>
        <w:overflowPunct/>
        <w:topLinePunct w:val="0"/>
        <w:autoSpaceDE/>
        <w:autoSpaceDN/>
        <w:bidi w:val="0"/>
        <w:adjustRightInd/>
        <w:snapToGrid/>
        <w:spacing w:before="93" w:after="93" w:line="432"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4. 本合同经甲方、乙方法定代表人或授权代理人签字、盖章后生效，生效日以最后一个签字日为准。</w:t>
      </w:r>
    </w:p>
    <w:p w14:paraId="54C19709">
      <w:pPr>
        <w:keepNext w:val="0"/>
        <w:keepLines w:val="0"/>
        <w:pageBreakBefore w:val="0"/>
        <w:widowControl w:val="0"/>
        <w:kinsoku/>
        <w:wordWrap/>
        <w:overflowPunct/>
        <w:topLinePunct w:val="0"/>
        <w:autoSpaceDE/>
        <w:autoSpaceDN/>
        <w:bidi w:val="0"/>
        <w:adjustRightInd/>
        <w:snapToGrid/>
        <w:spacing w:before="93" w:after="93" w:line="432"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5.乙方承诺负责本合同货物的报废回收事宜。</w:t>
      </w:r>
    </w:p>
    <w:p w14:paraId="5AE7B2AB">
      <w:pPr>
        <w:keepNext w:val="0"/>
        <w:keepLines w:val="0"/>
        <w:pageBreakBefore w:val="0"/>
        <w:widowControl w:val="0"/>
        <w:kinsoku/>
        <w:wordWrap/>
        <w:overflowPunct/>
        <w:topLinePunct w:val="0"/>
        <w:autoSpaceDE/>
        <w:autoSpaceDN/>
        <w:bidi w:val="0"/>
        <w:adjustRightInd/>
        <w:snapToGrid/>
        <w:spacing w:before="93" w:after="93" w:line="432"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6. 本合同一式十份，其中甲方八份、乙方二份。</w:t>
      </w:r>
    </w:p>
    <w:p w14:paraId="02CBD9A9">
      <w:pPr>
        <w:keepNext w:val="0"/>
        <w:keepLines w:val="0"/>
        <w:pageBreakBefore w:val="0"/>
        <w:widowControl w:val="0"/>
        <w:kinsoku/>
        <w:wordWrap/>
        <w:overflowPunct/>
        <w:topLinePunct w:val="0"/>
        <w:autoSpaceDE/>
        <w:autoSpaceDN/>
        <w:bidi w:val="0"/>
        <w:adjustRightInd/>
        <w:snapToGrid/>
        <w:spacing w:before="93" w:after="93" w:line="432"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7. 本合同合计</w:t>
      </w:r>
      <w:r>
        <w:rPr>
          <w:rFonts w:hint="eastAsia" w:ascii="宋体" w:hAnsi="宋体" w:cs="宋体"/>
          <w:b/>
          <w:bCs/>
          <w:color w:val="auto"/>
          <w:sz w:val="24"/>
          <w:highlight w:val="none"/>
          <w:u w:val="single"/>
          <w:lang w:val="en-US" w:eastAsia="zh-CN"/>
        </w:rPr>
        <w:t>27</w:t>
      </w:r>
      <w:r>
        <w:rPr>
          <w:rFonts w:hint="eastAsia" w:ascii="宋体" w:hAnsi="宋体" w:cs="宋体"/>
          <w:color w:val="auto"/>
          <w:sz w:val="24"/>
          <w:highlight w:val="none"/>
        </w:rPr>
        <w:t>页A4纸张，缺页、缺签字日期之合同为无效合同。</w:t>
      </w:r>
    </w:p>
    <w:p w14:paraId="125CF624">
      <w:pPr>
        <w:spacing w:beforeLines="0" w:afterLines="0" w:line="240" w:lineRule="auto"/>
        <w:rPr>
          <w:rFonts w:hint="eastAsia" w:ascii="宋体" w:hAnsi="宋体" w:eastAsia="宋体"/>
          <w:b/>
          <w:color w:val="auto"/>
          <w:sz w:val="24"/>
          <w:highlight w:val="none"/>
          <w:lang w:eastAsia="zh-CN"/>
        </w:rPr>
      </w:pPr>
      <w:r>
        <w:rPr>
          <w:rFonts w:hint="eastAsia" w:ascii="宋体" w:hAnsi="宋体" w:cs="宋体"/>
          <w:color w:val="auto"/>
          <w:sz w:val="24"/>
          <w:highlight w:val="none"/>
        </w:rPr>
        <w:t>8. 合同正式签订后，乙方应在两日内向甲方提供合同网络备案所需要的电子和纸</w:t>
      </w:r>
      <w:r>
        <w:rPr>
          <w:rFonts w:hint="eastAsia" w:ascii="宋体" w:hAnsi="宋体" w:eastAsia="宋体"/>
          <w:b/>
          <w:color w:val="auto"/>
          <w:sz w:val="24"/>
          <w:highlight w:val="none"/>
          <w:lang w:eastAsia="zh-CN"/>
        </w:rPr>
        <w:drawing>
          <wp:inline distT="0" distB="0" distL="114300" distR="114300">
            <wp:extent cx="5754370" cy="8136890"/>
            <wp:effectExtent l="0" t="0" r="6350" b="1270"/>
            <wp:docPr id="8" name="图片 8" descr="0486_00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86_001_09"/>
                    <pic:cNvPicPr>
                      <a:picLocks noChangeAspect="1"/>
                    </pic:cNvPicPr>
                  </pic:nvPicPr>
                  <pic:blipFill>
                    <a:blip r:embed="rId8"/>
                    <a:stretch>
                      <a:fillRect/>
                    </a:stretch>
                  </pic:blipFill>
                  <pic:spPr>
                    <a:xfrm>
                      <a:off x="0" y="0"/>
                      <a:ext cx="5754370" cy="8136890"/>
                    </a:xfrm>
                    <a:prstGeom prst="rect">
                      <a:avLst/>
                    </a:prstGeom>
                  </pic:spPr>
                </pic:pic>
              </a:graphicData>
            </a:graphic>
          </wp:inline>
        </w:drawing>
      </w:r>
    </w:p>
    <w:p w14:paraId="6D727B06">
      <w:pPr>
        <w:rPr>
          <w:rFonts w:hint="eastAsia" w:ascii="宋体" w:hAnsi="宋体"/>
          <w:b/>
          <w:color w:val="auto"/>
          <w:sz w:val="24"/>
          <w:highlight w:val="none"/>
        </w:rPr>
      </w:pPr>
      <w:r>
        <w:rPr>
          <w:rFonts w:hint="eastAsia" w:ascii="宋体" w:hAnsi="宋体"/>
          <w:b/>
          <w:color w:val="auto"/>
          <w:sz w:val="24"/>
          <w:highlight w:val="none"/>
        </w:rPr>
        <w:br w:type="page"/>
      </w:r>
    </w:p>
    <w:p w14:paraId="7FBE8458">
      <w:pPr>
        <w:spacing w:before="93" w:after="93" w:line="360" w:lineRule="auto"/>
        <w:rPr>
          <w:rFonts w:hint="eastAsia" w:ascii="宋体" w:hAnsi="宋体"/>
          <w:b/>
          <w:color w:val="auto"/>
          <w:sz w:val="24"/>
          <w:highlight w:val="none"/>
        </w:rPr>
      </w:pPr>
      <w:r>
        <w:rPr>
          <w:rFonts w:hint="eastAsia" w:ascii="宋体" w:hAnsi="宋体"/>
          <w:b/>
          <w:color w:val="auto"/>
          <w:sz w:val="24"/>
          <w:highlight w:val="none"/>
        </w:rPr>
        <w:t>附件</w:t>
      </w:r>
      <w:r>
        <w:rPr>
          <w:rFonts w:hint="eastAsia"/>
          <w:b/>
          <w:color w:val="auto"/>
          <w:sz w:val="24"/>
          <w:highlight w:val="none"/>
        </w:rPr>
        <w:t>1</w:t>
      </w:r>
      <w:r>
        <w:rPr>
          <w:rFonts w:hint="eastAsia" w:ascii="宋体" w:hAnsi="宋体"/>
          <w:b/>
          <w:color w:val="auto"/>
          <w:sz w:val="24"/>
          <w:highlight w:val="none"/>
        </w:rPr>
        <w:t>：</w:t>
      </w:r>
    </w:p>
    <w:p w14:paraId="65856AB2">
      <w:pPr>
        <w:spacing w:before="93" w:after="93" w:line="360" w:lineRule="auto"/>
        <w:rPr>
          <w:rFonts w:hint="eastAsia" w:ascii="宋体" w:hAnsi="宋体"/>
          <w:b/>
          <w:color w:val="auto"/>
          <w:sz w:val="24"/>
          <w:highlight w:val="none"/>
        </w:rPr>
      </w:pPr>
      <w:r>
        <w:rPr>
          <w:rFonts w:hint="eastAsia" w:ascii="宋体" w:hAnsi="宋体"/>
          <w:b/>
          <w:color w:val="auto"/>
          <w:sz w:val="24"/>
          <w:highlight w:val="none"/>
        </w:rPr>
        <w:t>中标通知书（扫描）</w:t>
      </w:r>
    </w:p>
    <w:p w14:paraId="06F3FF96">
      <w:pPr>
        <w:spacing w:before="93" w:after="93" w:line="440" w:lineRule="exact"/>
        <w:rPr>
          <w:rFonts w:hint="eastAsia" w:ascii="宋体" w:hAnsi="宋体" w:cs="宋体"/>
          <w:b/>
          <w:color w:val="auto"/>
          <w:sz w:val="24"/>
          <w:highlight w:val="green"/>
        </w:rPr>
      </w:pPr>
    </w:p>
    <w:p w14:paraId="2A1865E5">
      <w:pPr>
        <w:pStyle w:val="2"/>
        <w:rPr>
          <w:rFonts w:hint="eastAsia" w:eastAsia="宋体"/>
          <w:lang w:eastAsia="zh-CN"/>
        </w:rPr>
        <w:sectPr>
          <w:footerReference r:id="rId5" w:type="default"/>
          <w:pgSz w:w="11906" w:h="16838"/>
          <w:pgMar w:top="1247" w:right="1417" w:bottom="1247" w:left="1417" w:header="851" w:footer="992" w:gutter="0"/>
          <w:pgNumType w:fmt="decimal"/>
          <w:cols w:space="720" w:num="1"/>
          <w:docGrid w:type="lines" w:linePitch="312" w:charSpace="0"/>
        </w:sectPr>
      </w:pPr>
      <w:r>
        <w:rPr>
          <w:rFonts w:hint="eastAsia" w:eastAsia="宋体"/>
          <w:lang w:eastAsia="zh-CN"/>
        </w:rPr>
        <w:drawing>
          <wp:inline distT="0" distB="0" distL="114300" distR="114300">
            <wp:extent cx="5263515" cy="7440295"/>
            <wp:effectExtent l="0" t="0" r="13335" b="8255"/>
            <wp:docPr id="1" name="图片 1" descr="中标通知书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标通知书 (1)_01"/>
                    <pic:cNvPicPr>
                      <a:picLocks noChangeAspect="1"/>
                    </pic:cNvPicPr>
                  </pic:nvPicPr>
                  <pic:blipFill>
                    <a:blip r:embed="rId9"/>
                    <a:stretch>
                      <a:fillRect/>
                    </a:stretch>
                  </pic:blipFill>
                  <pic:spPr>
                    <a:xfrm>
                      <a:off x="0" y="0"/>
                      <a:ext cx="5263515" cy="7440295"/>
                    </a:xfrm>
                    <a:prstGeom prst="rect">
                      <a:avLst/>
                    </a:prstGeom>
                  </pic:spPr>
                </pic:pic>
              </a:graphicData>
            </a:graphic>
          </wp:inline>
        </w:drawing>
      </w:r>
    </w:p>
    <w:p w14:paraId="2535E1DE">
      <w:pPr>
        <w:spacing w:before="93" w:after="93" w:line="440" w:lineRule="exact"/>
        <w:rPr>
          <w:rFonts w:hint="eastAsia" w:ascii="宋体" w:hAnsi="宋体" w:cs="宋体"/>
          <w:b/>
          <w:color w:val="auto"/>
          <w:sz w:val="24"/>
          <w:highlight w:val="none"/>
        </w:rPr>
      </w:pPr>
      <w:r>
        <w:rPr>
          <w:rFonts w:hint="eastAsia" w:ascii="宋体" w:hAnsi="宋体" w:cs="宋体"/>
          <w:b/>
          <w:color w:val="auto"/>
          <w:sz w:val="24"/>
          <w:highlight w:val="none"/>
        </w:rPr>
        <w:t>附件2</w:t>
      </w:r>
    </w:p>
    <w:p w14:paraId="58FF749A">
      <w:pPr>
        <w:spacing w:before="93" w:after="93" w:line="440" w:lineRule="exact"/>
        <w:rPr>
          <w:rFonts w:hint="eastAsia" w:ascii="楷体_GB2312" w:hAnsi="宋体" w:cs="宋体"/>
          <w:color w:val="auto"/>
          <w:sz w:val="24"/>
          <w:highlight w:val="none"/>
        </w:rPr>
      </w:pPr>
      <w:r>
        <w:rPr>
          <w:rFonts w:hint="eastAsia" w:ascii="宋体" w:hAnsi="宋体" w:cs="宋体"/>
          <w:b/>
          <w:bCs/>
          <w:color w:val="auto"/>
          <w:sz w:val="24"/>
          <w:highlight w:val="none"/>
        </w:rPr>
        <w:t>投标货物分项报价一览表</w:t>
      </w:r>
    </w:p>
    <w:tbl>
      <w:tblPr>
        <w:tblStyle w:val="7"/>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056"/>
        <w:gridCol w:w="1656"/>
        <w:gridCol w:w="606"/>
        <w:gridCol w:w="606"/>
        <w:gridCol w:w="816"/>
        <w:gridCol w:w="1414"/>
        <w:gridCol w:w="1480"/>
        <w:gridCol w:w="812"/>
        <w:gridCol w:w="812"/>
        <w:gridCol w:w="691"/>
        <w:gridCol w:w="1314"/>
        <w:gridCol w:w="1241"/>
        <w:gridCol w:w="606"/>
      </w:tblGrid>
      <w:tr w14:paraId="2A42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5C4B450E">
            <w:pPr>
              <w:spacing w:before="93" w:after="93" w:line="440" w:lineRule="exact"/>
              <w:rPr>
                <w:rFonts w:hint="eastAsia" w:ascii="宋体" w:hAnsi="宋体"/>
                <w:color w:val="auto"/>
                <w:szCs w:val="21"/>
                <w:highlight w:val="none"/>
              </w:rPr>
            </w:pPr>
            <w:r>
              <w:rPr>
                <w:rFonts w:hint="eastAsia" w:ascii="宋体" w:hAnsi="宋体"/>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5894542B">
            <w:pPr>
              <w:spacing w:before="93" w:after="93"/>
              <w:jc w:val="center"/>
              <w:rPr>
                <w:rFonts w:hint="eastAsia" w:ascii="宋体" w:hAnsi="宋体"/>
                <w:color w:val="auto"/>
                <w:szCs w:val="21"/>
                <w:highlight w:val="none"/>
              </w:rPr>
            </w:pPr>
            <w:r>
              <w:rPr>
                <w:rFonts w:hint="eastAsia" w:ascii="宋体" w:hAnsi="宋体"/>
                <w:color w:val="auto"/>
                <w:szCs w:val="21"/>
                <w:highlight w:val="none"/>
              </w:rPr>
              <w:t>货物名称</w:t>
            </w:r>
          </w:p>
        </w:tc>
        <w:tc>
          <w:tcPr>
            <w:tcW w:w="1056" w:type="dxa"/>
            <w:tcBorders>
              <w:top w:val="single" w:color="auto" w:sz="4" w:space="0"/>
              <w:left w:val="single" w:color="auto" w:sz="4" w:space="0"/>
              <w:bottom w:val="single" w:color="auto" w:sz="4" w:space="0"/>
              <w:right w:val="single" w:color="auto" w:sz="4" w:space="0"/>
            </w:tcBorders>
            <w:vAlign w:val="center"/>
          </w:tcPr>
          <w:p w14:paraId="54528407">
            <w:pPr>
              <w:widowControl/>
              <w:spacing w:before="93" w:after="93"/>
              <w:jc w:val="center"/>
              <w:rPr>
                <w:rFonts w:hint="eastAsia" w:ascii="宋体" w:hAnsi="宋体"/>
                <w:color w:val="auto"/>
                <w:kern w:val="0"/>
                <w:szCs w:val="21"/>
                <w:highlight w:val="none"/>
              </w:rPr>
            </w:pPr>
            <w:r>
              <w:rPr>
                <w:rFonts w:hint="eastAsia" w:ascii="宋体" w:hAnsi="宋体"/>
                <w:color w:val="auto"/>
                <w:szCs w:val="21"/>
                <w:highlight w:val="none"/>
              </w:rPr>
              <w:t>型号规格</w:t>
            </w:r>
          </w:p>
        </w:tc>
        <w:tc>
          <w:tcPr>
            <w:tcW w:w="1656" w:type="dxa"/>
            <w:tcBorders>
              <w:top w:val="single" w:color="auto" w:sz="4" w:space="0"/>
              <w:left w:val="single" w:color="auto" w:sz="4" w:space="0"/>
              <w:bottom w:val="single" w:color="auto" w:sz="4" w:space="0"/>
              <w:right w:val="single" w:color="auto" w:sz="4" w:space="0"/>
            </w:tcBorders>
            <w:vAlign w:val="center"/>
          </w:tcPr>
          <w:p w14:paraId="29BBC694">
            <w:pPr>
              <w:widowControl/>
              <w:spacing w:before="93" w:after="93"/>
              <w:jc w:val="center"/>
              <w:rPr>
                <w:rFonts w:hint="eastAsia" w:ascii="宋体" w:hAnsi="宋体"/>
                <w:color w:val="auto"/>
                <w:kern w:val="0"/>
                <w:szCs w:val="21"/>
                <w:highlight w:val="none"/>
              </w:rPr>
            </w:pPr>
            <w:r>
              <w:rPr>
                <w:rFonts w:hint="eastAsia" w:ascii="宋体" w:hAnsi="宋体"/>
                <w:color w:val="auto"/>
                <w:kern w:val="0"/>
                <w:szCs w:val="21"/>
                <w:highlight w:val="none"/>
              </w:rPr>
              <w:t>制造商</w:t>
            </w:r>
          </w:p>
        </w:tc>
        <w:tc>
          <w:tcPr>
            <w:tcW w:w="606" w:type="dxa"/>
            <w:tcBorders>
              <w:top w:val="single" w:color="auto" w:sz="4" w:space="0"/>
              <w:left w:val="single" w:color="auto" w:sz="4" w:space="0"/>
              <w:bottom w:val="single" w:color="auto" w:sz="4" w:space="0"/>
              <w:right w:val="single" w:color="auto" w:sz="4" w:space="0"/>
            </w:tcBorders>
            <w:vAlign w:val="center"/>
          </w:tcPr>
          <w:p w14:paraId="781A3F26">
            <w:pPr>
              <w:widowControl/>
              <w:spacing w:before="93" w:after="93"/>
              <w:jc w:val="center"/>
              <w:rPr>
                <w:rFonts w:hint="eastAsia" w:ascii="宋体" w:hAnsi="宋体"/>
                <w:color w:val="auto"/>
                <w:kern w:val="0"/>
                <w:szCs w:val="21"/>
                <w:highlight w:val="none"/>
              </w:rPr>
            </w:pPr>
            <w:r>
              <w:rPr>
                <w:rFonts w:hint="eastAsia" w:ascii="宋体" w:hAnsi="宋体"/>
                <w:color w:val="auto"/>
                <w:kern w:val="0"/>
                <w:szCs w:val="21"/>
                <w:highlight w:val="none"/>
              </w:rPr>
              <w:t>产</w:t>
            </w:r>
          </w:p>
          <w:p w14:paraId="77484E95">
            <w:pPr>
              <w:widowControl/>
              <w:spacing w:before="93" w:after="93"/>
              <w:jc w:val="center"/>
              <w:rPr>
                <w:rFonts w:hint="eastAsia" w:ascii="宋体" w:hAnsi="宋体"/>
                <w:color w:val="auto"/>
                <w:kern w:val="0"/>
                <w:szCs w:val="21"/>
                <w:highlight w:val="none"/>
              </w:rPr>
            </w:pPr>
            <w:r>
              <w:rPr>
                <w:rFonts w:hint="eastAsia" w:ascii="宋体" w:hAnsi="宋体"/>
                <w:color w:val="auto"/>
                <w:kern w:val="0"/>
                <w:szCs w:val="21"/>
                <w:highlight w:val="none"/>
              </w:rPr>
              <w:t>地</w:t>
            </w:r>
          </w:p>
        </w:tc>
        <w:tc>
          <w:tcPr>
            <w:tcW w:w="606" w:type="dxa"/>
            <w:tcBorders>
              <w:top w:val="single" w:color="auto" w:sz="4" w:space="0"/>
              <w:left w:val="single" w:color="auto" w:sz="4" w:space="0"/>
              <w:bottom w:val="single" w:color="auto" w:sz="4" w:space="0"/>
              <w:right w:val="single" w:color="auto" w:sz="4" w:space="0"/>
            </w:tcBorders>
            <w:vAlign w:val="center"/>
          </w:tcPr>
          <w:p w14:paraId="39CAB54C">
            <w:pPr>
              <w:spacing w:before="93" w:after="93"/>
              <w:jc w:val="center"/>
              <w:rPr>
                <w:rFonts w:hint="eastAsia" w:ascii="宋体" w:hAnsi="宋体"/>
                <w:color w:val="auto"/>
                <w:szCs w:val="21"/>
                <w:highlight w:val="none"/>
              </w:rPr>
            </w:pPr>
            <w:r>
              <w:rPr>
                <w:rFonts w:hint="eastAsia" w:ascii="宋体" w:hAnsi="宋体"/>
                <w:color w:val="auto"/>
                <w:szCs w:val="21"/>
                <w:highlight w:val="none"/>
              </w:rPr>
              <w:t>单</w:t>
            </w:r>
          </w:p>
          <w:p w14:paraId="747CF2DF">
            <w:pPr>
              <w:spacing w:before="93" w:after="93"/>
              <w:jc w:val="center"/>
              <w:rPr>
                <w:rFonts w:hint="eastAsia" w:ascii="宋体" w:hAnsi="宋体"/>
                <w:color w:val="auto"/>
                <w:szCs w:val="21"/>
                <w:highlight w:val="none"/>
              </w:rPr>
            </w:pPr>
            <w:r>
              <w:rPr>
                <w:rFonts w:hint="eastAsia" w:ascii="宋体" w:hAnsi="宋体"/>
                <w:color w:val="auto"/>
                <w:szCs w:val="21"/>
                <w:highlight w:val="none"/>
              </w:rPr>
              <w:t>位</w:t>
            </w:r>
          </w:p>
        </w:tc>
        <w:tc>
          <w:tcPr>
            <w:tcW w:w="816" w:type="dxa"/>
            <w:tcBorders>
              <w:top w:val="single" w:color="auto" w:sz="4" w:space="0"/>
              <w:left w:val="single" w:color="auto" w:sz="4" w:space="0"/>
              <w:bottom w:val="single" w:color="auto" w:sz="4" w:space="0"/>
              <w:right w:val="single" w:color="auto" w:sz="4" w:space="0"/>
            </w:tcBorders>
            <w:vAlign w:val="center"/>
          </w:tcPr>
          <w:p w14:paraId="0E320AF1">
            <w:pPr>
              <w:spacing w:before="93" w:after="93"/>
              <w:jc w:val="center"/>
              <w:rPr>
                <w:rFonts w:hint="eastAsia" w:ascii="宋体" w:hAnsi="宋体"/>
                <w:color w:val="auto"/>
                <w:szCs w:val="21"/>
                <w:highlight w:val="none"/>
              </w:rPr>
            </w:pPr>
            <w:r>
              <w:rPr>
                <w:rFonts w:hint="eastAsia" w:ascii="宋体" w:hAnsi="宋体"/>
                <w:color w:val="auto"/>
                <w:szCs w:val="21"/>
                <w:highlight w:val="none"/>
              </w:rPr>
              <w:t>数量</w:t>
            </w:r>
          </w:p>
        </w:tc>
        <w:tc>
          <w:tcPr>
            <w:tcW w:w="1414" w:type="dxa"/>
            <w:tcBorders>
              <w:top w:val="single" w:color="auto" w:sz="4" w:space="0"/>
              <w:left w:val="single" w:color="auto" w:sz="4" w:space="0"/>
              <w:bottom w:val="single" w:color="auto" w:sz="4" w:space="0"/>
              <w:right w:val="single" w:color="auto" w:sz="4" w:space="0"/>
            </w:tcBorders>
            <w:vAlign w:val="center"/>
          </w:tcPr>
          <w:p w14:paraId="40ADBFF8">
            <w:pPr>
              <w:spacing w:before="93" w:after="93"/>
              <w:jc w:val="center"/>
              <w:rPr>
                <w:rFonts w:hint="eastAsia" w:ascii="宋体" w:hAnsi="宋体"/>
                <w:color w:val="auto"/>
                <w:szCs w:val="21"/>
                <w:highlight w:val="none"/>
              </w:rPr>
            </w:pPr>
            <w:r>
              <w:rPr>
                <w:rFonts w:hint="eastAsia" w:ascii="宋体" w:hAnsi="宋体"/>
                <w:color w:val="auto"/>
                <w:szCs w:val="21"/>
                <w:highlight w:val="none"/>
              </w:rPr>
              <w:t>单价（RMB）</w:t>
            </w:r>
          </w:p>
        </w:tc>
        <w:tc>
          <w:tcPr>
            <w:tcW w:w="1480" w:type="dxa"/>
            <w:tcBorders>
              <w:top w:val="single" w:color="auto" w:sz="4" w:space="0"/>
              <w:left w:val="single" w:color="auto" w:sz="4" w:space="0"/>
              <w:bottom w:val="single" w:color="auto" w:sz="4" w:space="0"/>
              <w:right w:val="single" w:color="auto" w:sz="4" w:space="0"/>
            </w:tcBorders>
            <w:vAlign w:val="center"/>
          </w:tcPr>
          <w:p w14:paraId="0ED81B71">
            <w:pPr>
              <w:spacing w:before="93" w:after="93"/>
              <w:jc w:val="center"/>
              <w:rPr>
                <w:rFonts w:hint="eastAsia" w:ascii="宋体" w:hAnsi="宋体"/>
                <w:color w:val="auto"/>
                <w:szCs w:val="21"/>
                <w:highlight w:val="none"/>
              </w:rPr>
            </w:pPr>
            <w:r>
              <w:rPr>
                <w:rFonts w:hint="eastAsia" w:ascii="宋体" w:hAnsi="宋体"/>
                <w:color w:val="auto"/>
                <w:szCs w:val="21"/>
                <w:highlight w:val="none"/>
              </w:rPr>
              <w:t>小计（RMB）</w:t>
            </w:r>
          </w:p>
        </w:tc>
        <w:tc>
          <w:tcPr>
            <w:tcW w:w="812" w:type="dxa"/>
            <w:tcBorders>
              <w:top w:val="single" w:color="auto" w:sz="4" w:space="0"/>
              <w:left w:val="single" w:color="auto" w:sz="4" w:space="0"/>
              <w:bottom w:val="single" w:color="auto" w:sz="4" w:space="0"/>
              <w:right w:val="single" w:color="auto" w:sz="4" w:space="0"/>
            </w:tcBorders>
            <w:vAlign w:val="center"/>
          </w:tcPr>
          <w:p w14:paraId="2B63C8DE">
            <w:pPr>
              <w:spacing w:before="93" w:after="93"/>
              <w:ind w:right="-107" w:rightChars="-51"/>
              <w:jc w:val="center"/>
              <w:rPr>
                <w:rFonts w:hint="eastAsia" w:ascii="宋体" w:hAnsi="宋体"/>
                <w:color w:val="auto"/>
                <w:szCs w:val="21"/>
                <w:highlight w:val="none"/>
              </w:rPr>
            </w:pPr>
            <w:r>
              <w:rPr>
                <w:rFonts w:hint="eastAsia" w:ascii="宋体" w:hAnsi="宋体"/>
                <w:color w:val="auto"/>
                <w:szCs w:val="21"/>
                <w:highlight w:val="none"/>
              </w:rPr>
              <w:t>运输及</w:t>
            </w:r>
          </w:p>
          <w:p w14:paraId="4A3707FB">
            <w:pPr>
              <w:spacing w:before="93" w:after="93"/>
              <w:ind w:right="-107" w:rightChars="-51"/>
              <w:jc w:val="center"/>
              <w:rPr>
                <w:rFonts w:hint="eastAsia" w:ascii="宋体" w:hAnsi="宋体"/>
                <w:color w:val="auto"/>
                <w:szCs w:val="21"/>
                <w:highlight w:val="none"/>
              </w:rPr>
            </w:pPr>
            <w:r>
              <w:rPr>
                <w:rFonts w:hint="eastAsia" w:ascii="宋体" w:hAnsi="宋体"/>
                <w:color w:val="auto"/>
                <w:szCs w:val="21"/>
                <w:highlight w:val="none"/>
              </w:rPr>
              <w:t>保险费</w:t>
            </w:r>
          </w:p>
        </w:tc>
        <w:tc>
          <w:tcPr>
            <w:tcW w:w="812" w:type="dxa"/>
            <w:tcBorders>
              <w:top w:val="single" w:color="auto" w:sz="4" w:space="0"/>
              <w:left w:val="single" w:color="auto" w:sz="4" w:space="0"/>
              <w:bottom w:val="single" w:color="auto" w:sz="4" w:space="0"/>
              <w:right w:val="single" w:color="auto" w:sz="4" w:space="0"/>
            </w:tcBorders>
            <w:vAlign w:val="center"/>
          </w:tcPr>
          <w:p w14:paraId="4ACF9C9D">
            <w:pPr>
              <w:spacing w:before="93" w:after="93"/>
              <w:ind w:right="-107" w:rightChars="-51"/>
              <w:jc w:val="center"/>
              <w:rPr>
                <w:rFonts w:hint="eastAsia" w:ascii="宋体" w:hAnsi="宋体"/>
                <w:color w:val="auto"/>
                <w:szCs w:val="21"/>
                <w:highlight w:val="none"/>
              </w:rPr>
            </w:pPr>
            <w:r>
              <w:rPr>
                <w:rFonts w:hint="eastAsia" w:ascii="宋体" w:hAnsi="宋体"/>
                <w:color w:val="auto"/>
                <w:szCs w:val="21"/>
                <w:highlight w:val="none"/>
              </w:rPr>
              <w:t>技术</w:t>
            </w:r>
          </w:p>
          <w:p w14:paraId="031B2AF4">
            <w:pPr>
              <w:spacing w:before="93" w:after="93"/>
              <w:ind w:right="-107" w:rightChars="-51"/>
              <w:jc w:val="center"/>
              <w:rPr>
                <w:rFonts w:hint="eastAsia" w:ascii="宋体" w:hAnsi="宋体"/>
                <w:color w:val="auto"/>
                <w:szCs w:val="21"/>
                <w:highlight w:val="none"/>
              </w:rPr>
            </w:pPr>
            <w:r>
              <w:rPr>
                <w:rFonts w:hint="eastAsia" w:ascii="宋体" w:hAnsi="宋体"/>
                <w:color w:val="auto"/>
                <w:szCs w:val="21"/>
                <w:highlight w:val="none"/>
              </w:rPr>
              <w:t>服务费</w:t>
            </w:r>
          </w:p>
        </w:tc>
        <w:tc>
          <w:tcPr>
            <w:tcW w:w="691" w:type="dxa"/>
            <w:tcBorders>
              <w:top w:val="single" w:color="auto" w:sz="4" w:space="0"/>
              <w:left w:val="single" w:color="auto" w:sz="4" w:space="0"/>
              <w:bottom w:val="single" w:color="auto" w:sz="4" w:space="0"/>
              <w:right w:val="single" w:color="auto" w:sz="4" w:space="0"/>
            </w:tcBorders>
            <w:vAlign w:val="center"/>
          </w:tcPr>
          <w:p w14:paraId="25A72A98">
            <w:pPr>
              <w:spacing w:before="93" w:after="93"/>
              <w:jc w:val="center"/>
              <w:rPr>
                <w:rFonts w:hint="eastAsia" w:ascii="宋体" w:hAnsi="宋体"/>
                <w:color w:val="auto"/>
                <w:szCs w:val="21"/>
                <w:highlight w:val="none"/>
              </w:rPr>
            </w:pPr>
            <w:r>
              <w:rPr>
                <w:rFonts w:hint="eastAsia" w:ascii="宋体" w:hAnsi="宋体"/>
                <w:color w:val="auto"/>
                <w:szCs w:val="21"/>
                <w:highlight w:val="none"/>
              </w:rPr>
              <w:t>税费</w:t>
            </w:r>
          </w:p>
        </w:tc>
        <w:tc>
          <w:tcPr>
            <w:tcW w:w="1314" w:type="dxa"/>
            <w:tcBorders>
              <w:top w:val="single" w:color="auto" w:sz="4" w:space="0"/>
              <w:left w:val="single" w:color="auto" w:sz="4" w:space="0"/>
              <w:bottom w:val="single" w:color="auto" w:sz="4" w:space="0"/>
              <w:right w:val="single" w:color="auto" w:sz="4" w:space="0"/>
            </w:tcBorders>
            <w:vAlign w:val="center"/>
          </w:tcPr>
          <w:p w14:paraId="37401FD1">
            <w:pPr>
              <w:spacing w:before="93" w:after="93"/>
              <w:jc w:val="center"/>
              <w:rPr>
                <w:rFonts w:hint="eastAsia" w:ascii="宋体" w:hAnsi="宋体"/>
                <w:color w:val="auto"/>
                <w:szCs w:val="21"/>
                <w:highlight w:val="none"/>
              </w:rPr>
            </w:pPr>
            <w:r>
              <w:rPr>
                <w:rFonts w:hint="eastAsia" w:ascii="宋体" w:hAnsi="宋体"/>
                <w:color w:val="auto"/>
                <w:szCs w:val="21"/>
                <w:highlight w:val="none"/>
              </w:rPr>
              <w:t>交货日期</w:t>
            </w:r>
          </w:p>
        </w:tc>
        <w:tc>
          <w:tcPr>
            <w:tcW w:w="1241" w:type="dxa"/>
            <w:tcBorders>
              <w:top w:val="single" w:color="auto" w:sz="4" w:space="0"/>
              <w:left w:val="single" w:color="auto" w:sz="4" w:space="0"/>
              <w:bottom w:val="single" w:color="auto" w:sz="4" w:space="0"/>
              <w:right w:val="single" w:color="auto" w:sz="4" w:space="0"/>
            </w:tcBorders>
            <w:vAlign w:val="center"/>
          </w:tcPr>
          <w:p w14:paraId="12FB129F">
            <w:pPr>
              <w:spacing w:before="93" w:after="93"/>
              <w:jc w:val="center"/>
              <w:rPr>
                <w:rFonts w:hint="eastAsia" w:ascii="宋体" w:hAnsi="宋体"/>
                <w:color w:val="auto"/>
                <w:szCs w:val="21"/>
                <w:highlight w:val="none"/>
              </w:rPr>
            </w:pPr>
            <w:r>
              <w:rPr>
                <w:rFonts w:hint="eastAsia" w:ascii="宋体" w:hAnsi="宋体"/>
                <w:color w:val="auto"/>
                <w:szCs w:val="21"/>
                <w:highlight w:val="none"/>
              </w:rPr>
              <w:t>交货地（港）</w:t>
            </w:r>
          </w:p>
        </w:tc>
        <w:tc>
          <w:tcPr>
            <w:tcW w:w="606" w:type="dxa"/>
            <w:tcBorders>
              <w:top w:val="single" w:color="auto" w:sz="4" w:space="0"/>
              <w:left w:val="single" w:color="auto" w:sz="4" w:space="0"/>
              <w:bottom w:val="single" w:color="auto" w:sz="4" w:space="0"/>
              <w:right w:val="single" w:color="auto" w:sz="4" w:space="0"/>
            </w:tcBorders>
          </w:tcPr>
          <w:p w14:paraId="1929FE12">
            <w:pPr>
              <w:spacing w:before="93" w:after="93"/>
              <w:jc w:val="center"/>
              <w:rPr>
                <w:rFonts w:hint="eastAsia" w:ascii="宋体" w:hAnsi="宋体"/>
                <w:color w:val="auto"/>
                <w:szCs w:val="21"/>
                <w:highlight w:val="none"/>
              </w:rPr>
            </w:pPr>
            <w:r>
              <w:rPr>
                <w:rFonts w:hint="eastAsia" w:ascii="宋体" w:hAnsi="宋体"/>
                <w:color w:val="auto"/>
                <w:szCs w:val="21"/>
                <w:highlight w:val="none"/>
              </w:rPr>
              <w:t>备</w:t>
            </w:r>
          </w:p>
          <w:p w14:paraId="27CE3B79">
            <w:pPr>
              <w:spacing w:before="93" w:after="93"/>
              <w:jc w:val="center"/>
              <w:rPr>
                <w:rFonts w:hint="eastAsia" w:ascii="宋体" w:hAnsi="宋体"/>
                <w:color w:val="auto"/>
                <w:szCs w:val="21"/>
                <w:highlight w:val="none"/>
              </w:rPr>
            </w:pPr>
            <w:r>
              <w:rPr>
                <w:rFonts w:hint="eastAsia" w:ascii="宋体" w:hAnsi="宋体"/>
                <w:color w:val="auto"/>
                <w:szCs w:val="21"/>
                <w:highlight w:val="none"/>
              </w:rPr>
              <w:t>注</w:t>
            </w:r>
          </w:p>
        </w:tc>
      </w:tr>
      <w:tr w14:paraId="4F98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073D51F8">
            <w:pPr>
              <w:spacing w:before="93" w:after="93"/>
              <w:jc w:val="center"/>
              <w:rPr>
                <w:rFonts w:hint="eastAsia" w:ascii="宋体" w:hAnsi="宋体"/>
                <w:color w:val="auto"/>
                <w:szCs w:val="21"/>
                <w:highlight w:val="none"/>
              </w:rPr>
            </w:pPr>
            <w:r>
              <w:rPr>
                <w:rFonts w:hint="eastAsia" w:ascii="宋体" w:hAnsi="宋体"/>
                <w:color w:val="auto"/>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3555BB36">
            <w:pPr>
              <w:widowControl/>
              <w:spacing w:before="93" w:after="93"/>
              <w:jc w:val="center"/>
              <w:rPr>
                <w:rFonts w:hint="eastAsia" w:ascii="宋体" w:hAnsi="宋体" w:cs="Times New Roman"/>
                <w:b/>
                <w:color w:val="auto"/>
                <w:szCs w:val="21"/>
                <w:highlight w:val="none"/>
                <w:lang w:val="en-US" w:eastAsia="zh-CN"/>
              </w:rPr>
            </w:pPr>
            <w:r>
              <w:rPr>
                <w:rFonts w:hint="eastAsia" w:ascii="宋体" w:hAnsi="宋体" w:cs="Times New Roman"/>
                <w:b/>
                <w:color w:val="auto"/>
                <w:szCs w:val="21"/>
                <w:highlight w:val="none"/>
                <w:lang w:val="en-US" w:eastAsia="zh-CN"/>
              </w:rPr>
              <w:t>磁共振成像系统</w:t>
            </w:r>
          </w:p>
        </w:tc>
        <w:tc>
          <w:tcPr>
            <w:tcW w:w="1056" w:type="dxa"/>
            <w:tcBorders>
              <w:top w:val="single" w:color="auto" w:sz="4" w:space="0"/>
              <w:left w:val="single" w:color="auto" w:sz="4" w:space="0"/>
              <w:bottom w:val="single" w:color="auto" w:sz="4" w:space="0"/>
              <w:right w:val="single" w:color="auto" w:sz="4" w:space="0"/>
            </w:tcBorders>
            <w:vAlign w:val="center"/>
          </w:tcPr>
          <w:p w14:paraId="7B003092">
            <w:pPr>
              <w:widowControl/>
              <w:spacing w:before="93" w:after="93"/>
              <w:jc w:val="center"/>
              <w:rPr>
                <w:rFonts w:hint="eastAsia" w:ascii="宋体" w:hAnsi="宋体" w:cs="Times New Roman"/>
                <w:b/>
                <w:color w:val="auto"/>
                <w:szCs w:val="21"/>
                <w:highlight w:val="none"/>
                <w:lang w:val="en-US" w:eastAsia="zh-CN"/>
              </w:rPr>
            </w:pPr>
            <w:r>
              <w:rPr>
                <w:rFonts w:hint="eastAsia" w:ascii="宋体" w:hAnsi="宋体" w:cs="Times New Roman"/>
                <w:b/>
                <w:color w:val="auto"/>
                <w:szCs w:val="21"/>
                <w:highlight w:val="none"/>
                <w:lang w:val="en-US" w:eastAsia="zh-CN"/>
              </w:rPr>
              <w:t>BioSpec 7T</w:t>
            </w:r>
          </w:p>
        </w:tc>
        <w:tc>
          <w:tcPr>
            <w:tcW w:w="1656" w:type="dxa"/>
            <w:tcBorders>
              <w:top w:val="single" w:color="auto" w:sz="4" w:space="0"/>
              <w:left w:val="single" w:color="auto" w:sz="4" w:space="0"/>
              <w:bottom w:val="single" w:color="auto" w:sz="4" w:space="0"/>
              <w:right w:val="single" w:color="auto" w:sz="4" w:space="0"/>
            </w:tcBorders>
            <w:vAlign w:val="center"/>
          </w:tcPr>
          <w:p w14:paraId="3730A8AA">
            <w:pPr>
              <w:widowControl/>
              <w:spacing w:before="93" w:after="93"/>
              <w:jc w:val="center"/>
              <w:rPr>
                <w:rFonts w:hint="eastAsia" w:ascii="宋体" w:hAnsi="宋体" w:cs="Times New Roman"/>
                <w:b/>
                <w:color w:val="auto"/>
                <w:szCs w:val="21"/>
                <w:highlight w:val="none"/>
                <w:lang w:val="en-US" w:eastAsia="zh-CN"/>
              </w:rPr>
            </w:pPr>
            <w:r>
              <w:rPr>
                <w:rFonts w:hint="eastAsia" w:ascii="宋体" w:hAnsi="宋体" w:cs="Times New Roman"/>
                <w:b/>
                <w:color w:val="auto"/>
                <w:szCs w:val="21"/>
                <w:highlight w:val="none"/>
                <w:lang w:val="en-US" w:eastAsia="zh-CN"/>
              </w:rPr>
              <w:t>Bruker Biospin GmbH &amp; Co.KG</w:t>
            </w:r>
          </w:p>
        </w:tc>
        <w:tc>
          <w:tcPr>
            <w:tcW w:w="606" w:type="dxa"/>
            <w:tcBorders>
              <w:top w:val="single" w:color="auto" w:sz="4" w:space="0"/>
              <w:left w:val="single" w:color="auto" w:sz="4" w:space="0"/>
              <w:bottom w:val="single" w:color="auto" w:sz="4" w:space="0"/>
              <w:right w:val="single" w:color="auto" w:sz="4" w:space="0"/>
            </w:tcBorders>
            <w:vAlign w:val="center"/>
          </w:tcPr>
          <w:p w14:paraId="7FAF61DB">
            <w:pPr>
              <w:spacing w:before="93" w:after="93"/>
              <w:jc w:val="center"/>
              <w:rPr>
                <w:rFonts w:hint="eastAsia" w:ascii="宋体" w:hAnsi="宋体" w:eastAsia="宋体"/>
                <w:b/>
                <w:color w:val="auto"/>
                <w:szCs w:val="21"/>
                <w:highlight w:val="none"/>
                <w:lang w:eastAsia="zh-CN"/>
              </w:rPr>
            </w:pPr>
            <w:r>
              <w:rPr>
                <w:rFonts w:hint="eastAsia" w:ascii="宋体" w:hAnsi="宋体"/>
                <w:b/>
                <w:bCs/>
                <w:color w:val="auto"/>
                <w:szCs w:val="21"/>
                <w:highlight w:val="none"/>
                <w:lang w:val="en-US" w:eastAsia="zh-CN"/>
              </w:rPr>
              <w:t>德国</w:t>
            </w:r>
          </w:p>
        </w:tc>
        <w:tc>
          <w:tcPr>
            <w:tcW w:w="606" w:type="dxa"/>
            <w:tcBorders>
              <w:top w:val="single" w:color="auto" w:sz="4" w:space="0"/>
              <w:left w:val="single" w:color="auto" w:sz="4" w:space="0"/>
              <w:bottom w:val="single" w:color="auto" w:sz="4" w:space="0"/>
              <w:right w:val="single" w:color="auto" w:sz="4" w:space="0"/>
            </w:tcBorders>
            <w:vAlign w:val="center"/>
          </w:tcPr>
          <w:p w14:paraId="4D4A5088">
            <w:pPr>
              <w:spacing w:before="93" w:after="93"/>
              <w:jc w:val="center"/>
              <w:rPr>
                <w:rFonts w:hint="eastAsia" w:ascii="宋体" w:hAnsi="宋体" w:eastAsia="宋体"/>
                <w:b/>
                <w:color w:val="auto"/>
                <w:szCs w:val="21"/>
                <w:highlight w:val="none"/>
                <w:lang w:eastAsia="zh-CN"/>
              </w:rPr>
            </w:pPr>
            <w:r>
              <w:rPr>
                <w:rFonts w:hint="eastAsia" w:ascii="宋体" w:hAnsi="宋体"/>
                <w:b/>
                <w:color w:val="auto"/>
                <w:szCs w:val="21"/>
                <w:highlight w:val="none"/>
                <w:lang w:val="en-US" w:eastAsia="zh-CN"/>
              </w:rPr>
              <w:t>套</w:t>
            </w:r>
          </w:p>
        </w:tc>
        <w:tc>
          <w:tcPr>
            <w:tcW w:w="816" w:type="dxa"/>
            <w:tcBorders>
              <w:top w:val="single" w:color="auto" w:sz="4" w:space="0"/>
              <w:left w:val="single" w:color="auto" w:sz="4" w:space="0"/>
              <w:bottom w:val="single" w:color="auto" w:sz="4" w:space="0"/>
              <w:right w:val="single" w:color="auto" w:sz="4" w:space="0"/>
            </w:tcBorders>
            <w:vAlign w:val="center"/>
          </w:tcPr>
          <w:p w14:paraId="1A9E2C24">
            <w:pPr>
              <w:spacing w:before="93" w:after="93"/>
              <w:jc w:val="center"/>
              <w:rPr>
                <w:rFonts w:hint="eastAsia" w:ascii="宋体" w:hAnsi="宋体" w:eastAsia="宋体"/>
                <w:b/>
                <w:color w:val="auto"/>
                <w:szCs w:val="21"/>
                <w:highlight w:val="none"/>
                <w:lang w:eastAsia="zh-CN"/>
              </w:rPr>
            </w:pPr>
            <w:r>
              <w:rPr>
                <w:rFonts w:hint="eastAsia" w:ascii="宋体" w:hAnsi="宋体"/>
                <w:b/>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2FBC461D">
            <w:pPr>
              <w:widowControl/>
              <w:spacing w:before="93" w:after="93"/>
              <w:jc w:val="center"/>
              <w:rPr>
                <w:rFonts w:hint="default" w:ascii="宋体" w:hAnsi="宋体" w:eastAsia="宋体"/>
                <w:b/>
                <w:color w:val="auto"/>
                <w:kern w:val="0"/>
                <w:szCs w:val="21"/>
                <w:highlight w:val="none"/>
                <w:lang w:val="en-US" w:eastAsia="zh-CN"/>
              </w:rPr>
            </w:pPr>
            <w:r>
              <w:rPr>
                <w:rFonts w:hint="eastAsia" w:ascii="宋体" w:hAnsi="宋体"/>
                <w:b/>
                <w:color w:val="auto"/>
                <w:szCs w:val="21"/>
                <w:highlight w:val="none"/>
                <w:lang w:val="en-US" w:eastAsia="zh-CN"/>
              </w:rPr>
              <w:t>13450000</w:t>
            </w:r>
          </w:p>
        </w:tc>
        <w:tc>
          <w:tcPr>
            <w:tcW w:w="1480" w:type="dxa"/>
            <w:tcBorders>
              <w:top w:val="single" w:color="auto" w:sz="4" w:space="0"/>
              <w:left w:val="single" w:color="auto" w:sz="4" w:space="0"/>
              <w:bottom w:val="single" w:color="auto" w:sz="4" w:space="0"/>
              <w:right w:val="single" w:color="auto" w:sz="4" w:space="0"/>
            </w:tcBorders>
            <w:vAlign w:val="center"/>
          </w:tcPr>
          <w:p w14:paraId="2FAFAC23">
            <w:pPr>
              <w:spacing w:before="93" w:after="93"/>
              <w:jc w:val="center"/>
              <w:rPr>
                <w:rFonts w:hint="eastAsia" w:ascii="宋体" w:hAnsi="宋体"/>
                <w:b/>
                <w:color w:val="auto"/>
                <w:szCs w:val="21"/>
                <w:highlight w:val="none"/>
              </w:rPr>
            </w:pPr>
            <w:r>
              <w:rPr>
                <w:rFonts w:hint="eastAsia" w:ascii="宋体" w:hAnsi="宋体"/>
                <w:b/>
                <w:color w:val="auto"/>
                <w:szCs w:val="21"/>
                <w:highlight w:val="none"/>
                <w:lang w:val="en-US" w:eastAsia="zh-CN"/>
              </w:rPr>
              <w:t>13450000</w:t>
            </w:r>
          </w:p>
        </w:tc>
        <w:tc>
          <w:tcPr>
            <w:tcW w:w="812" w:type="dxa"/>
            <w:tcBorders>
              <w:top w:val="single" w:color="auto" w:sz="4" w:space="0"/>
              <w:left w:val="single" w:color="auto" w:sz="4" w:space="0"/>
              <w:bottom w:val="single" w:color="auto" w:sz="4" w:space="0"/>
              <w:right w:val="single" w:color="auto" w:sz="4" w:space="0"/>
            </w:tcBorders>
            <w:vAlign w:val="center"/>
          </w:tcPr>
          <w:p w14:paraId="11B47874">
            <w:pPr>
              <w:spacing w:before="93" w:after="93"/>
              <w:ind w:right="-107" w:rightChars="-51"/>
              <w:jc w:val="center"/>
              <w:rPr>
                <w:rFonts w:hint="eastAsia" w:ascii="宋体" w:hAnsi="宋体"/>
                <w:bCs/>
                <w:color w:val="auto"/>
                <w:szCs w:val="21"/>
                <w:highlight w:val="none"/>
              </w:rPr>
            </w:pPr>
            <w:r>
              <w:rPr>
                <w:rFonts w:hint="eastAsia" w:ascii="宋体" w:hAnsi="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DBBEE21">
            <w:pPr>
              <w:spacing w:before="93" w:after="93"/>
              <w:ind w:right="-107" w:rightChars="-51"/>
              <w:jc w:val="center"/>
              <w:rPr>
                <w:rFonts w:hint="eastAsia" w:ascii="宋体" w:hAnsi="宋体"/>
                <w:bCs/>
                <w:color w:val="auto"/>
                <w:szCs w:val="21"/>
                <w:highlight w:val="none"/>
              </w:rPr>
            </w:pPr>
            <w:r>
              <w:rPr>
                <w:rFonts w:hint="eastAsia" w:ascii="宋体" w:hAnsi="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02C48E46">
            <w:pPr>
              <w:spacing w:before="93" w:after="93"/>
              <w:jc w:val="center"/>
              <w:rPr>
                <w:rFonts w:hint="eastAsia" w:ascii="宋体" w:hAnsi="宋体" w:eastAsia="宋体"/>
                <w:bCs/>
                <w:color w:val="auto"/>
                <w:szCs w:val="21"/>
                <w:highlight w:val="none"/>
                <w:lang w:eastAsia="zh-CN"/>
              </w:rPr>
            </w:pPr>
            <w:r>
              <w:rPr>
                <w:rFonts w:hint="eastAsia" w:ascii="宋体" w:hAnsi="宋体"/>
                <w:b/>
                <w:color w:val="auto"/>
                <w:szCs w:val="21"/>
                <w:highlight w:val="none"/>
                <w:lang w:val="en-US" w:eastAsia="zh-CN"/>
              </w:rPr>
              <w:t>免税</w:t>
            </w:r>
          </w:p>
        </w:tc>
        <w:tc>
          <w:tcPr>
            <w:tcW w:w="1314" w:type="dxa"/>
            <w:tcBorders>
              <w:top w:val="single" w:color="auto" w:sz="4" w:space="0"/>
              <w:left w:val="single" w:color="auto" w:sz="4" w:space="0"/>
              <w:bottom w:val="single" w:color="auto" w:sz="4" w:space="0"/>
              <w:right w:val="single" w:color="auto" w:sz="4" w:space="0"/>
            </w:tcBorders>
            <w:vAlign w:val="center"/>
          </w:tcPr>
          <w:p w14:paraId="162DF4AB">
            <w:pPr>
              <w:spacing w:before="93" w:after="93"/>
              <w:jc w:val="center"/>
              <w:rPr>
                <w:rFonts w:hint="eastAsia" w:ascii="宋体" w:hAnsi="宋体"/>
                <w:color w:val="auto"/>
                <w:szCs w:val="21"/>
                <w:highlight w:val="none"/>
              </w:rPr>
            </w:pPr>
            <w:r>
              <w:rPr>
                <w:rFonts w:hint="eastAsia" w:ascii="宋体" w:hAnsi="宋体"/>
                <w:color w:val="auto"/>
                <w:szCs w:val="21"/>
                <w:highlight w:val="none"/>
              </w:rPr>
              <w:t>合同签订之日起</w:t>
            </w:r>
            <w:r>
              <w:rPr>
                <w:rFonts w:hint="eastAsia" w:ascii="宋体" w:hAnsi="宋体"/>
                <w:color w:val="auto"/>
                <w:szCs w:val="21"/>
                <w:highlight w:val="none"/>
                <w:lang w:val="en-US" w:eastAsia="zh-CN"/>
              </w:rPr>
              <w:t>40</w:t>
            </w:r>
            <w:r>
              <w:rPr>
                <w:rFonts w:hint="eastAsia" w:ascii="宋体" w:hAnsi="宋体"/>
                <w:color w:val="auto"/>
                <w:szCs w:val="21"/>
                <w:highlight w:val="none"/>
              </w:rPr>
              <w:t>日历天</w:t>
            </w:r>
          </w:p>
        </w:tc>
        <w:tc>
          <w:tcPr>
            <w:tcW w:w="1241" w:type="dxa"/>
            <w:tcBorders>
              <w:top w:val="single" w:color="auto" w:sz="4" w:space="0"/>
              <w:left w:val="single" w:color="auto" w:sz="4" w:space="0"/>
              <w:bottom w:val="single" w:color="auto" w:sz="4" w:space="0"/>
              <w:right w:val="single" w:color="auto" w:sz="4" w:space="0"/>
            </w:tcBorders>
            <w:vAlign w:val="center"/>
          </w:tcPr>
          <w:p w14:paraId="05D20680">
            <w:pPr>
              <w:spacing w:before="93" w:after="93"/>
              <w:jc w:val="center"/>
              <w:rPr>
                <w:rFonts w:hint="eastAsia" w:ascii="宋体" w:hAnsi="宋体"/>
                <w:color w:val="auto"/>
                <w:szCs w:val="21"/>
                <w:highlight w:val="none"/>
              </w:rPr>
            </w:pPr>
            <w:r>
              <w:rPr>
                <w:rFonts w:hint="eastAsia" w:ascii="宋体" w:hAnsi="宋体"/>
                <w:color w:val="auto"/>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2B1E8A76">
            <w:pPr>
              <w:spacing w:before="93" w:after="93"/>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无</w:t>
            </w:r>
          </w:p>
        </w:tc>
      </w:tr>
      <w:tr w14:paraId="6515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38377CFF">
            <w:pPr>
              <w:spacing w:before="93" w:after="93"/>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c>
          <w:tcPr>
            <w:tcW w:w="1573" w:type="dxa"/>
            <w:tcBorders>
              <w:top w:val="single" w:color="auto" w:sz="4" w:space="0"/>
              <w:left w:val="single" w:color="auto" w:sz="4" w:space="0"/>
              <w:bottom w:val="single" w:color="auto" w:sz="4" w:space="0"/>
              <w:right w:val="single" w:color="auto" w:sz="4" w:space="0"/>
            </w:tcBorders>
            <w:vAlign w:val="center"/>
          </w:tcPr>
          <w:p w14:paraId="7910F127">
            <w:pPr>
              <w:spacing w:before="93" w:after="93"/>
              <w:jc w:val="center"/>
              <w:rPr>
                <w:rFonts w:hint="eastAsia" w:ascii="宋体" w:hAnsi="宋体"/>
                <w:b/>
                <w:color w:val="auto"/>
                <w:szCs w:val="21"/>
                <w:highlight w:val="none"/>
              </w:rPr>
            </w:pPr>
            <w:r>
              <w:rPr>
                <w:rFonts w:hint="eastAsia" w:ascii="宋体" w:hAnsi="宋体"/>
                <w:b/>
                <w:color w:val="auto"/>
                <w:szCs w:val="21"/>
                <w:highlight w:val="none"/>
              </w:rPr>
              <w:t>备品备件</w:t>
            </w:r>
          </w:p>
          <w:p w14:paraId="314C6B43">
            <w:pPr>
              <w:widowControl/>
              <w:spacing w:before="93" w:after="93"/>
              <w:jc w:val="center"/>
              <w:rPr>
                <w:rFonts w:hint="eastAsia" w:ascii="宋体" w:hAnsi="宋体" w:cs="Times New Roman"/>
                <w:b/>
                <w:color w:val="auto"/>
                <w:szCs w:val="21"/>
                <w:highlight w:val="none"/>
                <w:lang w:val="en-US" w:eastAsia="zh-CN"/>
              </w:rPr>
            </w:pPr>
            <w:r>
              <w:rPr>
                <w:rFonts w:hint="eastAsia" w:ascii="宋体" w:hAnsi="宋体"/>
                <w:b/>
                <w:color w:val="auto"/>
                <w:szCs w:val="21"/>
                <w:highlight w:val="none"/>
              </w:rPr>
              <w:t>及其他</w:t>
            </w:r>
          </w:p>
        </w:tc>
        <w:tc>
          <w:tcPr>
            <w:tcW w:w="2712" w:type="dxa"/>
            <w:gridSpan w:val="2"/>
            <w:tcBorders>
              <w:top w:val="single" w:color="auto" w:sz="4" w:space="0"/>
              <w:left w:val="single" w:color="auto" w:sz="4" w:space="0"/>
              <w:bottom w:val="single" w:color="auto" w:sz="4" w:space="0"/>
              <w:right w:val="single" w:color="auto" w:sz="4" w:space="0"/>
            </w:tcBorders>
            <w:vAlign w:val="center"/>
          </w:tcPr>
          <w:p w14:paraId="6718F9A5">
            <w:pPr>
              <w:spacing w:before="93" w:after="93"/>
              <w:rPr>
                <w:rFonts w:hint="eastAsia" w:ascii="宋体" w:hAnsi="宋体"/>
                <w:b/>
                <w:bCs/>
                <w:color w:val="auto"/>
                <w:kern w:val="0"/>
                <w:szCs w:val="21"/>
                <w:highlight w:val="none"/>
              </w:rPr>
            </w:pPr>
            <w:r>
              <w:rPr>
                <w:rFonts w:hint="eastAsia" w:ascii="宋体" w:hAnsi="宋体"/>
                <w:b/>
                <w:bCs/>
                <w:color w:val="auto"/>
                <w:kern w:val="0"/>
                <w:szCs w:val="21"/>
                <w:highlight w:val="none"/>
              </w:rPr>
              <w:t>配件</w:t>
            </w:r>
          </w:p>
          <w:p w14:paraId="6E3D408C">
            <w:pPr>
              <w:spacing w:before="93" w:after="93"/>
              <w:rPr>
                <w:rFonts w:hint="eastAsia" w:ascii="宋体" w:hAnsi="宋体"/>
                <w:b/>
                <w:bCs/>
                <w:color w:val="auto"/>
                <w:kern w:val="0"/>
                <w:szCs w:val="21"/>
                <w:highlight w:val="none"/>
              </w:rPr>
            </w:pPr>
            <w:r>
              <w:rPr>
                <w:rFonts w:hint="eastAsia" w:ascii="宋体" w:hAnsi="宋体"/>
                <w:b/>
                <w:bCs/>
                <w:color w:val="auto"/>
                <w:kern w:val="0"/>
                <w:szCs w:val="21"/>
                <w:highlight w:val="none"/>
              </w:rPr>
              <w:t>消耗品</w:t>
            </w:r>
          </w:p>
          <w:p w14:paraId="372A1DF5">
            <w:pPr>
              <w:widowControl/>
              <w:spacing w:before="93" w:after="93"/>
              <w:jc w:val="both"/>
              <w:rPr>
                <w:rFonts w:hint="eastAsia" w:ascii="宋体" w:hAnsi="宋体" w:cs="Times New Roman"/>
                <w:b/>
                <w:color w:val="auto"/>
                <w:szCs w:val="21"/>
                <w:highlight w:val="none"/>
                <w:lang w:val="en-US" w:eastAsia="zh-CN"/>
              </w:rPr>
            </w:pPr>
            <w:r>
              <w:rPr>
                <w:rFonts w:hint="eastAsia" w:ascii="宋体" w:hAnsi="宋体"/>
                <w:b/>
                <w:color w:val="auto"/>
                <w:szCs w:val="21"/>
                <w:highlight w:val="none"/>
              </w:rPr>
              <w:t>维护工具盒：</w:t>
            </w:r>
          </w:p>
        </w:tc>
        <w:tc>
          <w:tcPr>
            <w:tcW w:w="10398" w:type="dxa"/>
            <w:gridSpan w:val="11"/>
            <w:tcBorders>
              <w:top w:val="single" w:color="auto" w:sz="4" w:space="0"/>
              <w:left w:val="single" w:color="auto" w:sz="4" w:space="0"/>
              <w:bottom w:val="single" w:color="auto" w:sz="4" w:space="0"/>
              <w:right w:val="single" w:color="auto" w:sz="4" w:space="0"/>
            </w:tcBorders>
            <w:vAlign w:val="center"/>
          </w:tcPr>
          <w:p w14:paraId="5F73E919">
            <w:pPr>
              <w:spacing w:before="93" w:after="93"/>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已含</w:t>
            </w:r>
          </w:p>
        </w:tc>
      </w:tr>
      <w:tr w14:paraId="43D6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4ABD8D13">
            <w:pPr>
              <w:spacing w:before="93" w:after="93"/>
              <w:jc w:val="center"/>
              <w:rPr>
                <w:rFonts w:hint="eastAsia" w:ascii="宋体" w:hAnsi="宋体"/>
                <w:color w:val="auto"/>
                <w:szCs w:val="21"/>
                <w:highlight w:val="none"/>
              </w:rPr>
            </w:pPr>
          </w:p>
        </w:tc>
        <w:tc>
          <w:tcPr>
            <w:tcW w:w="1573" w:type="dxa"/>
            <w:tcBorders>
              <w:top w:val="single" w:color="auto" w:sz="4" w:space="0"/>
              <w:left w:val="single" w:color="auto" w:sz="4" w:space="0"/>
              <w:bottom w:val="single" w:color="auto" w:sz="4" w:space="0"/>
              <w:right w:val="single" w:color="auto" w:sz="4" w:space="0"/>
            </w:tcBorders>
          </w:tcPr>
          <w:p w14:paraId="6BA92176">
            <w:pPr>
              <w:spacing w:before="93" w:after="93"/>
              <w:jc w:val="center"/>
              <w:rPr>
                <w:rFonts w:hint="eastAsia" w:ascii="宋体" w:hAnsi="宋体"/>
                <w:color w:val="auto"/>
                <w:szCs w:val="21"/>
                <w:highlight w:val="none"/>
              </w:rPr>
            </w:pPr>
            <w:r>
              <w:rPr>
                <w:rFonts w:hint="eastAsia" w:ascii="宋体" w:hAnsi="宋体"/>
                <w:color w:val="auto"/>
                <w:szCs w:val="21"/>
                <w:highlight w:val="none"/>
              </w:rPr>
              <w:t>合计</w:t>
            </w:r>
          </w:p>
        </w:tc>
        <w:tc>
          <w:tcPr>
            <w:tcW w:w="2712" w:type="dxa"/>
            <w:gridSpan w:val="2"/>
            <w:tcBorders>
              <w:top w:val="single" w:color="auto" w:sz="4" w:space="0"/>
              <w:left w:val="single" w:color="auto" w:sz="4" w:space="0"/>
              <w:bottom w:val="single" w:color="auto" w:sz="4" w:space="0"/>
              <w:right w:val="single" w:color="auto" w:sz="4" w:space="0"/>
            </w:tcBorders>
            <w:vAlign w:val="center"/>
          </w:tcPr>
          <w:p w14:paraId="27AFE92B">
            <w:pPr>
              <w:spacing w:before="93" w:after="93"/>
              <w:rPr>
                <w:rFonts w:hint="eastAsia" w:ascii="宋体" w:hAnsi="宋体"/>
                <w:bCs/>
                <w:color w:val="auto"/>
                <w:kern w:val="0"/>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5E3965A4">
            <w:pPr>
              <w:spacing w:before="93" w:after="93"/>
              <w:jc w:val="center"/>
              <w:rPr>
                <w:rFonts w:hint="eastAsia" w:ascii="宋体" w:hAnsi="宋体"/>
                <w:bCs/>
                <w:color w:val="auto"/>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64C8BBBC">
            <w:pPr>
              <w:spacing w:before="93" w:after="93"/>
              <w:jc w:val="center"/>
              <w:rPr>
                <w:rFonts w:hint="eastAsia"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2C8A803">
            <w:pPr>
              <w:spacing w:before="93" w:after="93"/>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2955C77F">
            <w:pPr>
              <w:widowControl/>
              <w:spacing w:before="93" w:after="93"/>
              <w:jc w:val="center"/>
              <w:rPr>
                <w:rFonts w:hint="eastAsia" w:ascii="宋体" w:hAnsi="宋体"/>
                <w:color w:val="auto"/>
                <w:szCs w:val="21"/>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14:paraId="439C1BF5">
            <w:pPr>
              <w:spacing w:before="93" w:after="93"/>
              <w:jc w:val="center"/>
              <w:rPr>
                <w:rFonts w:hint="eastAsia" w:ascii="宋体" w:hAnsi="宋体"/>
                <w:color w:val="auto"/>
                <w:szCs w:val="21"/>
                <w:highlight w:val="none"/>
              </w:rPr>
            </w:pPr>
            <w:r>
              <w:rPr>
                <w:rFonts w:hint="eastAsia" w:ascii="宋体" w:hAnsi="宋体"/>
                <w:b/>
                <w:color w:val="auto"/>
                <w:szCs w:val="21"/>
                <w:highlight w:val="none"/>
                <w:lang w:val="en-US" w:eastAsia="zh-CN"/>
              </w:rPr>
              <w:t>13450000</w:t>
            </w:r>
          </w:p>
        </w:tc>
        <w:tc>
          <w:tcPr>
            <w:tcW w:w="812" w:type="dxa"/>
            <w:tcBorders>
              <w:top w:val="single" w:color="auto" w:sz="4" w:space="0"/>
              <w:left w:val="single" w:color="auto" w:sz="4" w:space="0"/>
              <w:bottom w:val="single" w:color="auto" w:sz="4" w:space="0"/>
              <w:right w:val="single" w:color="auto" w:sz="4" w:space="0"/>
            </w:tcBorders>
            <w:vAlign w:val="center"/>
          </w:tcPr>
          <w:p w14:paraId="067F70B6">
            <w:pPr>
              <w:spacing w:before="93" w:after="93"/>
              <w:ind w:right="-107" w:rightChars="-51"/>
              <w:jc w:val="center"/>
              <w:rPr>
                <w:rFonts w:hint="eastAsia" w:ascii="宋体" w:hAnsi="宋体"/>
                <w:bCs/>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vAlign w:val="center"/>
          </w:tcPr>
          <w:p w14:paraId="388DBDC3">
            <w:pPr>
              <w:spacing w:before="93" w:after="93"/>
              <w:ind w:right="-107" w:rightChars="-51"/>
              <w:jc w:val="center"/>
              <w:rPr>
                <w:rFonts w:hint="eastAsia" w:ascii="宋体" w:hAnsi="宋体"/>
                <w:bCs/>
                <w:color w:val="auto"/>
                <w:szCs w:val="21"/>
                <w:highlight w:val="none"/>
              </w:rPr>
            </w:pPr>
          </w:p>
        </w:tc>
        <w:tc>
          <w:tcPr>
            <w:tcW w:w="691" w:type="dxa"/>
            <w:tcBorders>
              <w:top w:val="single" w:color="auto" w:sz="4" w:space="0"/>
              <w:left w:val="single" w:color="auto" w:sz="4" w:space="0"/>
              <w:bottom w:val="single" w:color="auto" w:sz="4" w:space="0"/>
              <w:right w:val="single" w:color="auto" w:sz="4" w:space="0"/>
            </w:tcBorders>
            <w:vAlign w:val="center"/>
          </w:tcPr>
          <w:p w14:paraId="332BAE2F">
            <w:pPr>
              <w:spacing w:before="93" w:after="93"/>
              <w:jc w:val="center"/>
              <w:rPr>
                <w:rFonts w:hint="eastAsia" w:ascii="宋体" w:hAnsi="宋体"/>
                <w:bCs/>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536F6B4C">
            <w:pPr>
              <w:spacing w:before="93" w:after="93"/>
              <w:jc w:val="center"/>
              <w:rPr>
                <w:rFonts w:hint="eastAsia" w:ascii="宋体" w:hAnsi="宋体"/>
                <w:color w:val="auto"/>
                <w:szCs w:val="21"/>
                <w:highlight w:val="none"/>
              </w:rPr>
            </w:pPr>
          </w:p>
        </w:tc>
        <w:tc>
          <w:tcPr>
            <w:tcW w:w="1241" w:type="dxa"/>
            <w:tcBorders>
              <w:top w:val="single" w:color="auto" w:sz="4" w:space="0"/>
              <w:left w:val="single" w:color="auto" w:sz="4" w:space="0"/>
              <w:bottom w:val="single" w:color="auto" w:sz="4" w:space="0"/>
              <w:right w:val="single" w:color="auto" w:sz="4" w:space="0"/>
            </w:tcBorders>
            <w:vAlign w:val="center"/>
          </w:tcPr>
          <w:p w14:paraId="49D8C3A2">
            <w:pPr>
              <w:spacing w:before="93" w:after="93"/>
              <w:jc w:val="center"/>
              <w:rPr>
                <w:rFonts w:hint="eastAsia" w:ascii="宋体" w:hAnsi="宋体"/>
                <w:color w:val="auto"/>
                <w:szCs w:val="21"/>
                <w:highlight w:val="none"/>
              </w:rPr>
            </w:pPr>
          </w:p>
        </w:tc>
        <w:tc>
          <w:tcPr>
            <w:tcW w:w="606" w:type="dxa"/>
            <w:tcBorders>
              <w:top w:val="single" w:color="auto" w:sz="4" w:space="0"/>
              <w:left w:val="single" w:color="auto" w:sz="4" w:space="0"/>
              <w:bottom w:val="single" w:color="auto" w:sz="4" w:space="0"/>
              <w:right w:val="single" w:color="auto" w:sz="4" w:space="0"/>
            </w:tcBorders>
          </w:tcPr>
          <w:p w14:paraId="66211F82">
            <w:pPr>
              <w:spacing w:before="93" w:after="93"/>
              <w:jc w:val="center"/>
              <w:rPr>
                <w:rFonts w:hint="eastAsia" w:ascii="宋体" w:hAnsi="宋体"/>
                <w:color w:val="auto"/>
                <w:szCs w:val="21"/>
                <w:highlight w:val="none"/>
              </w:rPr>
            </w:pPr>
          </w:p>
        </w:tc>
      </w:tr>
      <w:tr w14:paraId="781A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tcPr>
          <w:p w14:paraId="4E7FDA29">
            <w:pPr>
              <w:spacing w:before="93" w:after="93"/>
              <w:jc w:val="center"/>
              <w:rPr>
                <w:rFonts w:hint="eastAsia" w:ascii="宋体" w:hAnsi="宋体"/>
                <w:color w:val="auto"/>
                <w:szCs w:val="21"/>
                <w:highlight w:val="none"/>
              </w:rPr>
            </w:pPr>
            <w:r>
              <w:rPr>
                <w:rFonts w:hint="eastAsia" w:ascii="宋体" w:hAnsi="宋体"/>
                <w:color w:val="auto"/>
                <w:szCs w:val="21"/>
                <w:highlight w:val="none"/>
              </w:rPr>
              <w:t>人民币总价</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486D0345">
            <w:pPr>
              <w:spacing w:before="93" w:after="93"/>
              <w:rPr>
                <w:rFonts w:hint="eastAsia" w:ascii="宋体" w:hAnsi="宋体"/>
                <w:color w:val="auto"/>
                <w:szCs w:val="21"/>
                <w:highlight w:val="none"/>
              </w:rPr>
            </w:pPr>
            <w:r>
              <w:rPr>
                <w:rFonts w:hint="eastAsia" w:ascii="宋体" w:hAnsi="宋体"/>
                <w:color w:val="auto"/>
                <w:szCs w:val="21"/>
                <w:highlight w:val="none"/>
                <w:lang w:val="en-US" w:eastAsia="zh-CN"/>
              </w:rPr>
              <w:t>壹仟叁佰肆拾伍万元整</w:t>
            </w:r>
            <w:r>
              <w:rPr>
                <w:rFonts w:hint="eastAsia" w:ascii="宋体" w:hAnsi="宋体"/>
                <w:color w:val="auto"/>
                <w:szCs w:val="21"/>
                <w:highlight w:val="none"/>
              </w:rPr>
              <w:t>（￥：</w:t>
            </w:r>
            <w:r>
              <w:rPr>
                <w:rFonts w:hint="eastAsia" w:ascii="宋体" w:hAnsi="宋体" w:cs="Times New Roman"/>
                <w:color w:val="auto"/>
                <w:szCs w:val="21"/>
                <w:highlight w:val="none"/>
                <w:lang w:val="en-US" w:eastAsia="zh-CN"/>
              </w:rPr>
              <w:t>13450000</w:t>
            </w:r>
            <w:r>
              <w:rPr>
                <w:rFonts w:hint="eastAsia" w:ascii="宋体" w:hAnsi="宋体"/>
                <w:color w:val="auto"/>
                <w:szCs w:val="21"/>
                <w:highlight w:val="none"/>
              </w:rPr>
              <w:t>）</w:t>
            </w:r>
          </w:p>
        </w:tc>
      </w:tr>
      <w:tr w14:paraId="288D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tcPr>
          <w:p w14:paraId="206CCB0F">
            <w:pPr>
              <w:spacing w:before="93" w:after="93"/>
              <w:jc w:val="center"/>
              <w:rPr>
                <w:rFonts w:hint="eastAsia" w:ascii="宋体" w:hAnsi="宋体"/>
                <w:color w:val="auto"/>
                <w:szCs w:val="21"/>
                <w:highlight w:val="none"/>
              </w:rPr>
            </w:pPr>
            <w:r>
              <w:rPr>
                <w:rFonts w:hint="eastAsia" w:ascii="宋体" w:hAnsi="宋体"/>
                <w:color w:val="auto"/>
                <w:szCs w:val="21"/>
                <w:highlight w:val="none"/>
              </w:rPr>
              <w:t>备注</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20C24E20">
            <w:pPr>
              <w:spacing w:before="93" w:after="93"/>
              <w:rPr>
                <w:rFonts w:hint="eastAsia" w:ascii="宋体" w:hAnsi="宋体"/>
                <w:color w:val="auto"/>
                <w:szCs w:val="21"/>
                <w:highlight w:val="none"/>
              </w:rPr>
            </w:pPr>
            <w:r>
              <w:rPr>
                <w:rFonts w:hint="eastAsia" w:ascii="宋体" w:hAnsi="宋体"/>
                <w:color w:val="auto"/>
                <w:szCs w:val="21"/>
                <w:highlight w:val="none"/>
                <w:lang w:val="en-US" w:eastAsia="zh-CN"/>
              </w:rPr>
              <w:t>另附制造商：Bruker Biospin GmbH &amp; Co.KG</w:t>
            </w:r>
            <w:r>
              <w:rPr>
                <w:rFonts w:hint="eastAsia" w:ascii="宋体" w:hAnsi="宋体"/>
                <w:bCs/>
                <w:color w:val="auto"/>
                <w:szCs w:val="21"/>
                <w:highlight w:val="none"/>
              </w:rPr>
              <w:t>配置清单</w:t>
            </w:r>
          </w:p>
        </w:tc>
      </w:tr>
    </w:tbl>
    <w:p w14:paraId="6B2BCB0D">
      <w:pPr>
        <w:spacing w:before="93" w:after="93"/>
        <w:rPr>
          <w:rFonts w:hint="eastAsia" w:ascii="宋体" w:hAnsi="宋体"/>
          <w:b/>
          <w:color w:val="auto"/>
          <w:sz w:val="24"/>
          <w:highlight w:val="none"/>
        </w:rPr>
      </w:pPr>
      <w:r>
        <w:rPr>
          <w:rFonts w:hint="eastAsia" w:ascii="宋体" w:hAnsi="宋体"/>
          <w:b/>
          <w:color w:val="auto"/>
          <w:sz w:val="24"/>
          <w:highlight w:val="none"/>
        </w:rPr>
        <w:t xml:space="preserve"> </w:t>
      </w:r>
    </w:p>
    <w:p w14:paraId="600F8C01">
      <w:pPr>
        <w:spacing w:before="93" w:after="93"/>
        <w:rPr>
          <w:rFonts w:hint="eastAsia" w:ascii="宋体" w:hAnsi="宋体"/>
          <w:b/>
          <w:color w:val="auto"/>
          <w:szCs w:val="21"/>
          <w:highlight w:val="none"/>
        </w:rPr>
      </w:pPr>
      <w:r>
        <w:rPr>
          <w:rFonts w:hint="eastAsia" w:ascii="宋体" w:hAnsi="宋体"/>
          <w:b/>
          <w:color w:val="auto"/>
          <w:szCs w:val="21"/>
          <w:highlight w:val="none"/>
        </w:rPr>
        <w:t>甲方货物负责人签字：</w:t>
      </w:r>
      <w:r>
        <w:rPr>
          <w:rFonts w:hint="eastAsia" w:ascii="宋体" w:hAnsi="宋体"/>
          <w:b/>
          <w:color w:val="auto"/>
          <w:szCs w:val="21"/>
          <w:highlight w:val="none"/>
          <w:u w:val="single"/>
          <w:lang w:val="en-US" w:eastAsia="zh-CN"/>
        </w:rPr>
        <w:t xml:space="preserve">                  </w:t>
      </w:r>
    </w:p>
    <w:p w14:paraId="55314FA5">
      <w:pPr>
        <w:spacing w:before="93" w:after="93"/>
        <w:rPr>
          <w:rFonts w:hint="eastAsia" w:ascii="宋体" w:hAnsi="宋体"/>
          <w:b/>
          <w:color w:val="auto"/>
          <w:sz w:val="24"/>
          <w:highlight w:val="none"/>
        </w:rPr>
      </w:pPr>
      <w:r>
        <w:rPr>
          <w:rFonts w:hint="eastAsia" w:ascii="宋体" w:hAnsi="宋体"/>
          <w:b/>
          <w:color w:val="auto"/>
          <w:sz w:val="24"/>
          <w:highlight w:val="none"/>
        </w:rPr>
        <w:t xml:space="preserve"> </w:t>
      </w:r>
    </w:p>
    <w:p w14:paraId="59E99E2A">
      <w:pPr>
        <w:spacing w:before="93" w:after="93"/>
        <w:rPr>
          <w:rFonts w:hint="eastAsia" w:ascii="宋体" w:hAnsi="宋体"/>
          <w:b/>
          <w:color w:val="auto"/>
          <w:kern w:val="0"/>
          <w:sz w:val="24"/>
          <w:highlight w:val="none"/>
        </w:rPr>
      </w:pPr>
      <w:r>
        <w:rPr>
          <w:rFonts w:hint="eastAsia" w:ascii="宋体" w:hAnsi="宋体"/>
          <w:b/>
          <w:color w:val="auto"/>
          <w:sz w:val="24"/>
          <w:highlight w:val="none"/>
        </w:rPr>
        <w:t xml:space="preserve"> </w:t>
      </w:r>
    </w:p>
    <w:p w14:paraId="22782047">
      <w:pPr>
        <w:spacing w:before="93" w:after="93"/>
        <w:rPr>
          <w:rFonts w:hint="eastAsia" w:ascii="宋体" w:hAnsi="宋体"/>
          <w:b/>
          <w:color w:val="auto"/>
          <w:kern w:val="0"/>
          <w:sz w:val="24"/>
          <w:highlight w:val="none"/>
        </w:rPr>
      </w:pPr>
      <w:r>
        <w:rPr>
          <w:rFonts w:hint="eastAsia" w:ascii="宋体" w:hAnsi="宋体"/>
          <w:b/>
          <w:color w:val="auto"/>
          <w:kern w:val="0"/>
          <w:sz w:val="24"/>
          <w:highlight w:val="none"/>
        </w:rPr>
        <w:br w:type="page"/>
      </w:r>
    </w:p>
    <w:p w14:paraId="4497F8E8">
      <w:pPr>
        <w:spacing w:before="93" w:after="93"/>
        <w:rPr>
          <w:rFonts w:hint="eastAsia" w:ascii="宋体" w:hAnsi="宋体"/>
          <w:b/>
          <w:color w:val="auto"/>
          <w:kern w:val="0"/>
          <w:sz w:val="24"/>
          <w:highlight w:val="none"/>
          <w:lang w:val="en-US" w:eastAsia="zh-CN"/>
        </w:rPr>
      </w:pPr>
      <w:r>
        <w:rPr>
          <w:rFonts w:hint="eastAsia" w:ascii="宋体" w:hAnsi="宋体"/>
          <w:b/>
          <w:color w:val="auto"/>
          <w:kern w:val="0"/>
          <w:sz w:val="24"/>
          <w:highlight w:val="none"/>
        </w:rPr>
        <w:t>附件3：</w:t>
      </w:r>
      <w:r>
        <w:rPr>
          <w:rFonts w:hint="eastAsia" w:ascii="宋体" w:hAnsi="宋体"/>
          <w:b/>
          <w:color w:val="auto"/>
          <w:kern w:val="0"/>
          <w:sz w:val="24"/>
          <w:highlight w:val="none"/>
          <w:lang w:val="en-US" w:eastAsia="zh-CN"/>
        </w:rPr>
        <w:t>制造商</w:t>
      </w:r>
    </w:p>
    <w:p w14:paraId="3F9B1A09">
      <w:pPr>
        <w:pageBreakBefore w:val="0"/>
        <w:widowControl w:val="0"/>
        <w:kinsoku/>
        <w:wordWrap/>
        <w:overflowPunct/>
        <w:topLinePunct w:val="0"/>
        <w:autoSpaceDE/>
        <w:autoSpaceDN/>
        <w:bidi w:val="0"/>
        <w:adjustRightInd/>
        <w:snapToGrid/>
        <w:spacing w:before="93" w:after="93" w:line="24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rPr>
        <w:t>磁共振成像系统</w:t>
      </w:r>
      <w:r>
        <w:rPr>
          <w:rFonts w:hint="eastAsia" w:ascii="宋体" w:hAnsi="宋体" w:eastAsia="宋体" w:cs="宋体"/>
          <w:sz w:val="24"/>
          <w:szCs w:val="24"/>
          <w:lang w:val="en-US" w:eastAsia="zh-CN"/>
        </w:rPr>
        <w:t>货物配置清单：</w:t>
      </w:r>
    </w:p>
    <w:p w14:paraId="40F5F88A">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 7.0T 超导磁体  1 台</w:t>
      </w:r>
    </w:p>
    <w:p w14:paraId="7E853A33">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 射频系统  1 套</w:t>
      </w:r>
    </w:p>
    <w:p w14:paraId="58560BF0">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3 梯度系统  1 套</w:t>
      </w:r>
    </w:p>
    <w:p w14:paraId="3112A8C6">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4 水冷机  1 台</w:t>
      </w:r>
    </w:p>
    <w:p w14:paraId="14C8D275">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 仪器操作工作站1台、数据处理工作站1台</w:t>
      </w:r>
    </w:p>
    <w:p w14:paraId="2BCDE301">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6 磁共振成像软件包 1 套</w:t>
      </w:r>
    </w:p>
    <w:p w14:paraId="58834936">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7 前置放大器  1 套</w:t>
      </w:r>
    </w:p>
    <w:p w14:paraId="41899606">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8 梯度匀场线圈  一个</w:t>
      </w:r>
    </w:p>
    <w:p w14:paraId="1BDEB197">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9 小动物生理监控单元1套</w:t>
      </w:r>
    </w:p>
    <w:p w14:paraId="69868BD3">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10 小动物水循环保温系统  1 套</w:t>
      </w:r>
    </w:p>
    <w:p w14:paraId="4937BE62">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11小动物质子射频线圈1套</w:t>
      </w:r>
    </w:p>
    <w:p w14:paraId="5028F687">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 小动物激光定位自动动物床  1 套</w:t>
      </w:r>
    </w:p>
    <w:p w14:paraId="06CC8650">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13 </w:t>
      </w:r>
      <w:r>
        <w:rPr>
          <w:rFonts w:hint="eastAsia" w:ascii="宋体" w:hAnsi="宋体" w:eastAsia="宋体" w:cs="宋体"/>
          <w:b w:val="0"/>
          <w:bCs w:val="0"/>
          <w:sz w:val="24"/>
          <w:szCs w:val="24"/>
        </w:rPr>
        <w:t>小动物麻醉机 1台：麻醉机主机1台；大鼠专用面罩2个；小鼠专用面罩2个；开放式废气吸收装置1个；大小鼠通用麻醉诱导盒1个；活性炭废气回收罐1箱；便携式空气泵1台；大鼠手术板1个；主动式废气回收1套；异氟烷气体麻醉剂1箱</w:t>
      </w:r>
    </w:p>
    <w:p w14:paraId="48171526">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4小动物呼吸机 1台：呼吸机主机1台；呼吸机管路1套；小鼠气管插管1包；大鼠气管插管1包</w:t>
      </w:r>
    </w:p>
    <w:p w14:paraId="1A032A17">
      <w:pPr>
        <w:pStyle w:val="2"/>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5 10Kv UPS稳压电源1组</w:t>
      </w:r>
    </w:p>
    <w:p w14:paraId="498B3800">
      <w:pPr>
        <w:spacing w:before="93" w:after="93"/>
        <w:rPr>
          <w:rFonts w:hint="eastAsia" w:ascii="宋体" w:hAnsi="宋体"/>
          <w:b/>
          <w:color w:val="auto"/>
          <w:sz w:val="24"/>
          <w:highlight w:val="none"/>
        </w:rPr>
      </w:pPr>
    </w:p>
    <w:p w14:paraId="5728B790">
      <w:pPr>
        <w:spacing w:before="93" w:after="93"/>
        <w:rPr>
          <w:rFonts w:hint="eastAsia" w:ascii="宋体" w:hAnsi="宋体"/>
          <w:b/>
          <w:color w:val="auto"/>
          <w:sz w:val="24"/>
          <w:highlight w:val="none"/>
        </w:rPr>
      </w:pPr>
    </w:p>
    <w:p w14:paraId="67D504EE">
      <w:pPr>
        <w:spacing w:before="93" w:after="93"/>
        <w:rPr>
          <w:rFonts w:hint="default" w:ascii="宋体" w:hAnsi="宋体" w:eastAsia="宋体"/>
          <w:b/>
          <w:color w:val="auto"/>
          <w:szCs w:val="21"/>
          <w:highlight w:val="none"/>
          <w:u w:val="single"/>
          <w:lang w:val="en-US" w:eastAsia="zh-CN"/>
        </w:rPr>
      </w:pPr>
      <w:r>
        <w:rPr>
          <w:rFonts w:hint="eastAsia" w:ascii="宋体" w:hAnsi="宋体"/>
          <w:b/>
          <w:color w:val="auto"/>
          <w:szCs w:val="21"/>
          <w:highlight w:val="none"/>
        </w:rPr>
        <w:t>甲方货物负责人签字：</w:t>
      </w:r>
      <w:r>
        <w:rPr>
          <w:rFonts w:hint="eastAsia" w:ascii="宋体" w:hAnsi="宋体"/>
          <w:b/>
          <w:color w:val="auto"/>
          <w:szCs w:val="21"/>
          <w:highlight w:val="none"/>
          <w:lang w:val="en-US" w:eastAsia="zh-CN"/>
        </w:rPr>
        <w:t xml:space="preserve">   </w:t>
      </w:r>
      <w:r>
        <w:rPr>
          <w:rFonts w:hint="eastAsia" w:ascii="宋体" w:hAnsi="宋体"/>
          <w:b/>
          <w:color w:val="auto"/>
          <w:szCs w:val="21"/>
          <w:highlight w:val="none"/>
          <w:u w:val="single"/>
          <w:lang w:val="en-US" w:eastAsia="zh-CN"/>
        </w:rPr>
        <w:t xml:space="preserve">                  </w:t>
      </w:r>
    </w:p>
    <w:p w14:paraId="56D67D38">
      <w:pPr>
        <w:spacing w:before="93" w:after="93"/>
        <w:rPr>
          <w:rFonts w:hint="eastAsia" w:ascii="宋体" w:hAnsi="宋体"/>
          <w:b/>
          <w:color w:val="auto"/>
          <w:sz w:val="24"/>
          <w:highlight w:val="none"/>
        </w:rPr>
      </w:pPr>
    </w:p>
    <w:p w14:paraId="6BE0A822">
      <w:pPr>
        <w:spacing w:before="93" w:after="93"/>
        <w:rPr>
          <w:rFonts w:hint="eastAsia" w:ascii="宋体" w:hAnsi="宋体" w:cs="宋体"/>
          <w:b/>
          <w:color w:val="auto"/>
          <w:sz w:val="24"/>
          <w:highlight w:val="none"/>
        </w:rPr>
        <w:sectPr>
          <w:pgSz w:w="16838" w:h="11906" w:orient="landscape"/>
          <w:pgMar w:top="1134" w:right="794" w:bottom="1134" w:left="1077" w:header="851" w:footer="992" w:gutter="0"/>
          <w:pgNumType w:fmt="decimal"/>
          <w:cols w:space="720" w:num="1"/>
          <w:docGrid w:type="lines" w:linePitch="312" w:charSpace="0"/>
        </w:sectPr>
      </w:pPr>
    </w:p>
    <w:p w14:paraId="12794B35">
      <w:pPr>
        <w:spacing w:before="93" w:after="93"/>
        <w:rPr>
          <w:rFonts w:hint="eastAsia" w:ascii="宋体" w:hAnsi="宋体"/>
          <w:b/>
          <w:color w:val="auto"/>
          <w:sz w:val="24"/>
          <w:highlight w:val="none"/>
        </w:rPr>
      </w:pPr>
      <w:r>
        <w:rPr>
          <w:rFonts w:hint="eastAsia" w:ascii="宋体" w:hAnsi="宋体"/>
          <w:b/>
          <w:color w:val="auto"/>
          <w:sz w:val="24"/>
          <w:highlight w:val="none"/>
        </w:rPr>
        <w:t>附件4：                                         货物</w:t>
      </w:r>
      <w:r>
        <w:rPr>
          <w:rFonts w:ascii="宋体" w:hAnsi="宋体"/>
          <w:b/>
          <w:color w:val="auto"/>
          <w:sz w:val="24"/>
          <w:highlight w:val="none"/>
        </w:rPr>
        <w:t>技术</w:t>
      </w:r>
      <w:r>
        <w:rPr>
          <w:rFonts w:hint="eastAsia" w:ascii="宋体" w:hAnsi="宋体"/>
          <w:b/>
          <w:color w:val="auto"/>
          <w:sz w:val="24"/>
          <w:highlight w:val="none"/>
        </w:rPr>
        <w:t>参数及配置表</w:t>
      </w:r>
    </w:p>
    <w:p w14:paraId="4976FD03">
      <w:pPr>
        <w:spacing w:before="93" w:after="93"/>
        <w:rPr>
          <w:rFonts w:hint="eastAsia" w:ascii="宋体" w:hAnsi="宋体"/>
          <w:color w:val="auto"/>
          <w:sz w:val="24"/>
          <w:highlight w:val="none"/>
        </w:rPr>
      </w:pPr>
      <w:r>
        <w:rPr>
          <w:rFonts w:hint="eastAsia" w:ascii="宋体" w:hAnsi="宋体"/>
          <w:color w:val="auto"/>
          <w:sz w:val="24"/>
          <w:highlight w:val="none"/>
        </w:rPr>
        <w:t xml:space="preserve"> </w:t>
      </w:r>
    </w:p>
    <w:tbl>
      <w:tblPr>
        <w:tblStyle w:val="7"/>
        <w:tblW w:w="0" w:type="auto"/>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934"/>
        <w:gridCol w:w="2666"/>
        <w:gridCol w:w="1980"/>
        <w:gridCol w:w="3420"/>
        <w:gridCol w:w="720"/>
        <w:gridCol w:w="1237"/>
        <w:gridCol w:w="900"/>
        <w:gridCol w:w="1260"/>
      </w:tblGrid>
      <w:tr w14:paraId="6D290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14:paraId="1CC5ADA9">
            <w:pPr>
              <w:spacing w:before="93" w:after="93"/>
              <w:jc w:val="center"/>
              <w:rPr>
                <w:rFonts w:hint="eastAsia" w:ascii="宋体" w:hAnsi="宋体"/>
                <w:b/>
                <w:color w:val="auto"/>
                <w:szCs w:val="21"/>
                <w:highlight w:val="none"/>
              </w:rPr>
            </w:pPr>
            <w:r>
              <w:rPr>
                <w:rFonts w:hint="eastAsia" w:ascii="宋体" w:hAnsi="宋体"/>
                <w:b/>
                <w:color w:val="auto"/>
                <w:szCs w:val="21"/>
                <w:highlight w:val="none"/>
              </w:rPr>
              <w:t>序号</w:t>
            </w:r>
          </w:p>
        </w:tc>
        <w:tc>
          <w:tcPr>
            <w:tcW w:w="934" w:type="dxa"/>
            <w:tcBorders>
              <w:top w:val="single" w:color="auto" w:sz="4" w:space="0"/>
              <w:left w:val="nil"/>
              <w:bottom w:val="single" w:color="auto" w:sz="4" w:space="0"/>
              <w:right w:val="single" w:color="auto" w:sz="4" w:space="0"/>
            </w:tcBorders>
            <w:vAlign w:val="center"/>
          </w:tcPr>
          <w:p w14:paraId="6D19279A">
            <w:pPr>
              <w:spacing w:before="93" w:after="93"/>
              <w:jc w:val="center"/>
              <w:rPr>
                <w:rFonts w:hint="eastAsia" w:ascii="宋体" w:hAnsi="宋体"/>
                <w:b/>
                <w:color w:val="auto"/>
                <w:szCs w:val="21"/>
                <w:highlight w:val="none"/>
              </w:rPr>
            </w:pPr>
            <w:r>
              <w:rPr>
                <w:rFonts w:hint="eastAsia" w:ascii="宋体" w:hAnsi="宋体"/>
                <w:b/>
                <w:color w:val="auto"/>
                <w:szCs w:val="21"/>
                <w:highlight w:val="none"/>
              </w:rPr>
              <w:t>货物或配置名称</w:t>
            </w:r>
          </w:p>
        </w:tc>
        <w:tc>
          <w:tcPr>
            <w:tcW w:w="2666" w:type="dxa"/>
            <w:tcBorders>
              <w:top w:val="single" w:color="auto" w:sz="4" w:space="0"/>
              <w:left w:val="nil"/>
              <w:bottom w:val="single" w:color="auto" w:sz="4" w:space="0"/>
              <w:right w:val="single" w:color="auto" w:sz="4" w:space="0"/>
            </w:tcBorders>
            <w:vAlign w:val="center"/>
          </w:tcPr>
          <w:p w14:paraId="158F837C">
            <w:pPr>
              <w:spacing w:before="93" w:after="93"/>
              <w:jc w:val="center"/>
              <w:rPr>
                <w:rFonts w:hint="eastAsia" w:ascii="宋体" w:hAnsi="宋体"/>
                <w:b/>
                <w:color w:val="auto"/>
                <w:szCs w:val="21"/>
                <w:highlight w:val="none"/>
              </w:rPr>
            </w:pPr>
            <w:r>
              <w:rPr>
                <w:rFonts w:hint="eastAsia" w:ascii="宋体" w:hAnsi="宋体"/>
                <w:b/>
                <w:color w:val="auto"/>
                <w:szCs w:val="21"/>
                <w:highlight w:val="none"/>
              </w:rPr>
              <w:t>图片</w:t>
            </w:r>
          </w:p>
        </w:tc>
        <w:tc>
          <w:tcPr>
            <w:tcW w:w="1980" w:type="dxa"/>
            <w:tcBorders>
              <w:top w:val="single" w:color="auto" w:sz="4" w:space="0"/>
              <w:left w:val="nil"/>
              <w:bottom w:val="single" w:color="auto" w:sz="4" w:space="0"/>
              <w:right w:val="single" w:color="auto" w:sz="4" w:space="0"/>
            </w:tcBorders>
            <w:vAlign w:val="center"/>
          </w:tcPr>
          <w:p w14:paraId="1E5F93D4">
            <w:pPr>
              <w:spacing w:before="93" w:after="93"/>
              <w:jc w:val="center"/>
              <w:rPr>
                <w:rFonts w:hint="eastAsia" w:ascii="宋体" w:hAnsi="宋体"/>
                <w:b/>
                <w:color w:val="auto"/>
                <w:szCs w:val="21"/>
                <w:highlight w:val="none"/>
              </w:rPr>
            </w:pPr>
            <w:r>
              <w:rPr>
                <w:rFonts w:hint="eastAsia" w:ascii="宋体" w:hAnsi="宋体"/>
                <w:b/>
                <w:color w:val="auto"/>
                <w:szCs w:val="21"/>
                <w:highlight w:val="none"/>
              </w:rPr>
              <w:t>型号规格</w:t>
            </w:r>
          </w:p>
        </w:tc>
        <w:tc>
          <w:tcPr>
            <w:tcW w:w="3420" w:type="dxa"/>
            <w:tcBorders>
              <w:top w:val="single" w:color="auto" w:sz="4" w:space="0"/>
              <w:left w:val="nil"/>
              <w:bottom w:val="single" w:color="auto" w:sz="4" w:space="0"/>
              <w:right w:val="single" w:color="auto" w:sz="4" w:space="0"/>
            </w:tcBorders>
            <w:vAlign w:val="center"/>
          </w:tcPr>
          <w:p w14:paraId="42CB3B69">
            <w:pPr>
              <w:spacing w:before="93" w:after="93"/>
              <w:jc w:val="center"/>
              <w:rPr>
                <w:rFonts w:hint="eastAsia" w:ascii="宋体" w:hAnsi="宋体"/>
                <w:b/>
                <w:color w:val="auto"/>
                <w:szCs w:val="21"/>
                <w:highlight w:val="none"/>
              </w:rPr>
            </w:pPr>
            <w:r>
              <w:rPr>
                <w:rFonts w:hint="eastAsia" w:ascii="宋体" w:hAnsi="宋体"/>
                <w:b/>
                <w:color w:val="auto"/>
                <w:szCs w:val="21"/>
                <w:highlight w:val="none"/>
              </w:rPr>
              <w:t>规格参数</w:t>
            </w:r>
          </w:p>
        </w:tc>
        <w:tc>
          <w:tcPr>
            <w:tcW w:w="720" w:type="dxa"/>
            <w:tcBorders>
              <w:top w:val="single" w:color="auto" w:sz="4" w:space="0"/>
              <w:left w:val="nil"/>
              <w:bottom w:val="single" w:color="auto" w:sz="4" w:space="0"/>
              <w:right w:val="single" w:color="auto" w:sz="4" w:space="0"/>
            </w:tcBorders>
            <w:vAlign w:val="center"/>
          </w:tcPr>
          <w:p w14:paraId="5DD22EC2">
            <w:pPr>
              <w:spacing w:before="93" w:after="93"/>
              <w:jc w:val="center"/>
              <w:rPr>
                <w:rFonts w:hint="eastAsia" w:ascii="宋体" w:hAnsi="宋体"/>
                <w:b/>
                <w:color w:val="auto"/>
                <w:szCs w:val="21"/>
                <w:highlight w:val="none"/>
              </w:rPr>
            </w:pPr>
            <w:r>
              <w:rPr>
                <w:rFonts w:hint="eastAsia" w:ascii="宋体" w:hAnsi="宋体"/>
                <w:b/>
                <w:color w:val="auto"/>
                <w:szCs w:val="21"/>
                <w:highlight w:val="none"/>
              </w:rPr>
              <w:t>数量</w:t>
            </w:r>
          </w:p>
        </w:tc>
        <w:tc>
          <w:tcPr>
            <w:tcW w:w="1237" w:type="dxa"/>
            <w:tcBorders>
              <w:top w:val="single" w:color="auto" w:sz="4" w:space="0"/>
              <w:left w:val="nil"/>
              <w:bottom w:val="single" w:color="auto" w:sz="4" w:space="0"/>
              <w:right w:val="single" w:color="auto" w:sz="4" w:space="0"/>
            </w:tcBorders>
            <w:vAlign w:val="center"/>
          </w:tcPr>
          <w:p w14:paraId="3672C6E0">
            <w:pPr>
              <w:spacing w:before="93" w:after="93"/>
              <w:ind w:right="-107" w:rightChars="-51"/>
              <w:jc w:val="center"/>
              <w:rPr>
                <w:rFonts w:hint="eastAsia" w:ascii="宋体" w:hAnsi="宋体"/>
                <w:b/>
                <w:color w:val="auto"/>
                <w:szCs w:val="21"/>
                <w:highlight w:val="none"/>
              </w:rPr>
            </w:pPr>
            <w:r>
              <w:rPr>
                <w:rFonts w:hint="eastAsia" w:ascii="宋体" w:hAnsi="宋体"/>
                <w:b/>
                <w:color w:val="auto"/>
                <w:szCs w:val="21"/>
                <w:highlight w:val="none"/>
              </w:rPr>
              <w:t>制造厂(商)</w:t>
            </w:r>
          </w:p>
        </w:tc>
        <w:tc>
          <w:tcPr>
            <w:tcW w:w="900" w:type="dxa"/>
            <w:tcBorders>
              <w:top w:val="single" w:color="auto" w:sz="4" w:space="0"/>
              <w:left w:val="nil"/>
              <w:bottom w:val="single" w:color="auto" w:sz="4" w:space="0"/>
              <w:right w:val="single" w:color="auto" w:sz="4" w:space="0"/>
            </w:tcBorders>
            <w:vAlign w:val="center"/>
          </w:tcPr>
          <w:p w14:paraId="53CC5A99">
            <w:pPr>
              <w:spacing w:before="93" w:after="93"/>
              <w:ind w:right="-107" w:rightChars="-51"/>
              <w:jc w:val="center"/>
              <w:rPr>
                <w:rFonts w:hint="eastAsia" w:ascii="宋体" w:hAnsi="宋体"/>
                <w:b/>
                <w:color w:val="auto"/>
                <w:szCs w:val="21"/>
                <w:highlight w:val="none"/>
              </w:rPr>
            </w:pPr>
            <w:r>
              <w:rPr>
                <w:rFonts w:hint="eastAsia" w:ascii="宋体" w:hAnsi="宋体"/>
                <w:b/>
                <w:color w:val="auto"/>
                <w:szCs w:val="21"/>
                <w:highlight w:val="none"/>
              </w:rPr>
              <w:t>原产地</w:t>
            </w:r>
          </w:p>
          <w:p w14:paraId="2AE52E85">
            <w:pPr>
              <w:spacing w:before="93" w:after="93"/>
              <w:ind w:right="-107" w:rightChars="-51"/>
              <w:jc w:val="center"/>
              <w:rPr>
                <w:rFonts w:hint="eastAsia" w:ascii="宋体" w:hAnsi="宋体"/>
                <w:b/>
                <w:color w:val="auto"/>
                <w:szCs w:val="21"/>
                <w:highlight w:val="none"/>
              </w:rPr>
            </w:pPr>
            <w:r>
              <w:rPr>
                <w:rFonts w:hint="eastAsia" w:ascii="宋体" w:hAnsi="宋体"/>
                <w:b/>
                <w:color w:val="auto"/>
                <w:szCs w:val="21"/>
                <w:highlight w:val="none"/>
              </w:rPr>
              <w:t>(国)</w:t>
            </w:r>
          </w:p>
        </w:tc>
        <w:tc>
          <w:tcPr>
            <w:tcW w:w="1260" w:type="dxa"/>
            <w:tcBorders>
              <w:top w:val="single" w:color="auto" w:sz="4" w:space="0"/>
              <w:left w:val="nil"/>
              <w:bottom w:val="single" w:color="auto" w:sz="4" w:space="0"/>
              <w:right w:val="single" w:color="auto" w:sz="4" w:space="0"/>
            </w:tcBorders>
          </w:tcPr>
          <w:p w14:paraId="350EAACC">
            <w:pPr>
              <w:spacing w:before="93" w:after="93"/>
              <w:ind w:right="-107" w:rightChars="-51"/>
              <w:jc w:val="center"/>
              <w:rPr>
                <w:rFonts w:hint="eastAsia" w:ascii="宋体" w:hAnsi="宋体"/>
                <w:b/>
                <w:color w:val="auto"/>
                <w:sz w:val="18"/>
                <w:szCs w:val="18"/>
                <w:highlight w:val="none"/>
              </w:rPr>
            </w:pPr>
            <w:r>
              <w:rPr>
                <w:rFonts w:hint="eastAsia" w:ascii="宋体" w:hAnsi="宋体"/>
                <w:b/>
                <w:color w:val="auto"/>
                <w:sz w:val="18"/>
                <w:szCs w:val="18"/>
                <w:highlight w:val="none"/>
              </w:rPr>
              <w:t>甲方货物负责人签字确认</w:t>
            </w:r>
          </w:p>
        </w:tc>
      </w:tr>
      <w:tr w14:paraId="67962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1" w:hRule="atLeast"/>
        </w:trPr>
        <w:tc>
          <w:tcPr>
            <w:tcW w:w="720" w:type="dxa"/>
            <w:tcBorders>
              <w:top w:val="single" w:color="auto" w:sz="4" w:space="0"/>
              <w:left w:val="single" w:color="auto" w:sz="4" w:space="0"/>
              <w:right w:val="single" w:color="auto" w:sz="4" w:space="0"/>
            </w:tcBorders>
            <w:vAlign w:val="center"/>
          </w:tcPr>
          <w:p w14:paraId="652ED928">
            <w:pPr>
              <w:spacing w:before="93" w:after="93"/>
              <w:jc w:val="center"/>
              <w:rPr>
                <w:rFonts w:hint="eastAsia" w:ascii="宋体" w:hAnsi="宋体"/>
                <w:color w:val="auto"/>
                <w:szCs w:val="21"/>
                <w:highlight w:val="none"/>
              </w:rPr>
            </w:pPr>
            <w:r>
              <w:rPr>
                <w:rFonts w:hint="eastAsia" w:ascii="宋体" w:hAnsi="宋体"/>
                <w:color w:val="auto"/>
                <w:szCs w:val="21"/>
                <w:highlight w:val="none"/>
              </w:rPr>
              <w:t>1</w:t>
            </w:r>
          </w:p>
        </w:tc>
        <w:tc>
          <w:tcPr>
            <w:tcW w:w="934" w:type="dxa"/>
            <w:tcBorders>
              <w:top w:val="single" w:color="auto" w:sz="4" w:space="0"/>
              <w:left w:val="nil"/>
              <w:right w:val="single" w:color="auto" w:sz="4" w:space="0"/>
            </w:tcBorders>
            <w:vAlign w:val="center"/>
          </w:tcPr>
          <w:p w14:paraId="4AFFA189">
            <w:pPr>
              <w:spacing w:before="93" w:after="93"/>
              <w:jc w:val="center"/>
              <w:rPr>
                <w:rFonts w:hint="eastAsia" w:ascii="宋体" w:hAnsi="宋体"/>
                <w:color w:val="auto"/>
                <w:szCs w:val="21"/>
                <w:highlight w:val="none"/>
              </w:rPr>
            </w:pPr>
            <w:r>
              <w:rPr>
                <w:rFonts w:hint="eastAsia" w:ascii="宋体" w:hAnsi="宋体"/>
                <w:color w:val="auto"/>
                <w:szCs w:val="21"/>
                <w:highlight w:val="none"/>
              </w:rPr>
              <w:t>磁共振成像系统</w:t>
            </w:r>
          </w:p>
        </w:tc>
        <w:tc>
          <w:tcPr>
            <w:tcW w:w="2666" w:type="dxa"/>
            <w:tcBorders>
              <w:top w:val="single" w:color="auto" w:sz="4" w:space="0"/>
              <w:left w:val="nil"/>
              <w:right w:val="single" w:color="auto" w:sz="4" w:space="0"/>
            </w:tcBorders>
            <w:vAlign w:val="center"/>
          </w:tcPr>
          <w:p w14:paraId="4EAFB700">
            <w:pPr>
              <w:spacing w:before="93" w:after="93"/>
              <w:jc w:val="center"/>
              <w:rPr>
                <w:rFonts w:hint="eastAsia" w:ascii="宋体" w:hAnsi="宋体" w:eastAsia="宋体"/>
                <w:color w:val="auto"/>
                <w:szCs w:val="21"/>
                <w:highlight w:val="none"/>
                <w:lang w:eastAsia="zh-CN"/>
              </w:rPr>
            </w:pPr>
            <w:r>
              <w:rPr>
                <w:rFonts w:hint="eastAsia" w:ascii="宋体" w:hAnsi="宋体" w:eastAsia="宋体"/>
                <w:color w:val="auto"/>
                <w:szCs w:val="21"/>
                <w:highlight w:val="none"/>
                <w:lang w:eastAsia="zh-CN"/>
              </w:rPr>
              <w:drawing>
                <wp:anchor distT="0" distB="0" distL="114300" distR="114300" simplePos="0" relativeHeight="251659264" behindDoc="0" locked="0" layoutInCell="1" allowOverlap="1">
                  <wp:simplePos x="0" y="0"/>
                  <wp:positionH relativeFrom="column">
                    <wp:posOffset>-10795</wp:posOffset>
                  </wp:positionH>
                  <wp:positionV relativeFrom="paragraph">
                    <wp:posOffset>-738505</wp:posOffset>
                  </wp:positionV>
                  <wp:extent cx="1586865" cy="1255395"/>
                  <wp:effectExtent l="0" t="0" r="13335" b="1905"/>
                  <wp:wrapNone/>
                  <wp:docPr id="10" name="图片 10" descr="3d6e198ec797e0f87fbc4a862948f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6e198ec797e0f87fbc4a862948f898"/>
                          <pic:cNvPicPr>
                            <a:picLocks noChangeAspect="1"/>
                          </pic:cNvPicPr>
                        </pic:nvPicPr>
                        <pic:blipFill>
                          <a:blip r:embed="rId10"/>
                          <a:stretch>
                            <a:fillRect/>
                          </a:stretch>
                        </pic:blipFill>
                        <pic:spPr>
                          <a:xfrm>
                            <a:off x="0" y="0"/>
                            <a:ext cx="1586865" cy="1255395"/>
                          </a:xfrm>
                          <a:prstGeom prst="rect">
                            <a:avLst/>
                          </a:prstGeom>
                        </pic:spPr>
                      </pic:pic>
                    </a:graphicData>
                  </a:graphic>
                </wp:anchor>
              </w:drawing>
            </w:r>
          </w:p>
        </w:tc>
        <w:tc>
          <w:tcPr>
            <w:tcW w:w="1980" w:type="dxa"/>
            <w:tcBorders>
              <w:top w:val="single" w:color="auto" w:sz="4" w:space="0"/>
              <w:left w:val="nil"/>
              <w:right w:val="single" w:color="auto" w:sz="4" w:space="0"/>
            </w:tcBorders>
            <w:vAlign w:val="center"/>
          </w:tcPr>
          <w:p w14:paraId="6E94894B">
            <w:pPr>
              <w:spacing w:before="93" w:after="93"/>
              <w:jc w:val="center"/>
              <w:rPr>
                <w:rFonts w:hint="eastAsia" w:ascii="宋体" w:hAnsi="宋体"/>
                <w:color w:val="auto"/>
                <w:szCs w:val="21"/>
                <w:highlight w:val="none"/>
              </w:rPr>
            </w:pPr>
            <w:r>
              <w:rPr>
                <w:rFonts w:hint="eastAsia" w:ascii="宋体" w:hAnsi="宋体"/>
                <w:color w:val="auto"/>
                <w:szCs w:val="21"/>
                <w:highlight w:val="none"/>
              </w:rPr>
              <w:t>BioSpec 7T</w:t>
            </w:r>
          </w:p>
        </w:tc>
        <w:tc>
          <w:tcPr>
            <w:tcW w:w="3420" w:type="dxa"/>
            <w:tcBorders>
              <w:top w:val="single" w:color="auto" w:sz="4" w:space="0"/>
              <w:left w:val="nil"/>
              <w:right w:val="single" w:color="auto" w:sz="4" w:space="0"/>
            </w:tcBorders>
            <w:vAlign w:val="center"/>
          </w:tcPr>
          <w:p w14:paraId="3FF5AA2E">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一、设备功能</w:t>
            </w:r>
          </w:p>
          <w:p w14:paraId="23C434C3">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该仪器应具有最新核磁共振成像和波谱实验功能，应含 2 个射频发射通道、1 个接收通道。</w:t>
            </w:r>
          </w:p>
          <w:p w14:paraId="483E06CB">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该设备要配备小动物核磁共振实验所需必要附件、应具有获得最佳三维图谱的数据处理速度与存贮能力。主要用于生物医学及材料科学研究，可进行动物疾病模型的磁共振波谱和成像检测。</w:t>
            </w:r>
          </w:p>
          <w:p w14:paraId="28304F37">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二、配置清单</w:t>
            </w:r>
          </w:p>
          <w:p w14:paraId="1233E1C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仪器应包含一套磁共振成像系统</w:t>
            </w:r>
          </w:p>
          <w:p w14:paraId="6631DCE3">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磁共振成像系统配置</w:t>
            </w:r>
          </w:p>
          <w:p w14:paraId="022BB547">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7.0T 超导磁体  1 台</w:t>
            </w:r>
          </w:p>
          <w:p w14:paraId="2C82746D">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2.2 射频系统  1 套</w:t>
            </w:r>
          </w:p>
          <w:p w14:paraId="6EBEB938">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2.3 梯度系统  1 套</w:t>
            </w:r>
          </w:p>
          <w:p w14:paraId="0D6BE6E3">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2.4 水冷机  1 台</w:t>
            </w:r>
          </w:p>
          <w:p w14:paraId="7843232A">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2.5 仪器操作工作站1台、数据处理工作站1台</w:t>
            </w:r>
          </w:p>
          <w:p w14:paraId="30150CF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2.6 磁共振成像软件包 1 套</w:t>
            </w:r>
          </w:p>
          <w:p w14:paraId="4A029978">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2.7 前置放大器  1 套</w:t>
            </w:r>
          </w:p>
          <w:p w14:paraId="263C8CBB">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2.8 梯度匀场线圈  一个</w:t>
            </w:r>
          </w:p>
          <w:p w14:paraId="471C88AA">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2.9 小动物生理监控单元1套</w:t>
            </w:r>
          </w:p>
          <w:p w14:paraId="57E97991">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 小动物水循环保温系统  1 套</w:t>
            </w:r>
          </w:p>
          <w:p w14:paraId="050A5D11">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2.11小动物质子射频线圈1套</w:t>
            </w:r>
          </w:p>
          <w:p w14:paraId="790018C8">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 小动物激光定位自动动物床  1 套</w:t>
            </w:r>
          </w:p>
          <w:p w14:paraId="7F479C2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3小动物麻醉机 1台：麻醉机主机1台；大鼠专用面罩2个；</w:t>
            </w:r>
          </w:p>
          <w:p w14:paraId="1DC43EE4">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小鼠专用面罩2个；开放式废气吸收装置1个；大小鼠通用麻醉诱导盒1个；活性炭废气回收罐1箱；便携式空气泵1台；大鼠手术板1个；主动式废气回收1套；异氟烷气体麻醉剂1箱</w:t>
            </w:r>
          </w:p>
          <w:p w14:paraId="47F82371">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4小动物呼吸机 1台：呼吸机主机1台；呼吸机管路1套；小鼠气管插管1包；大鼠气管插管1包</w:t>
            </w:r>
          </w:p>
          <w:p w14:paraId="518A2B1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 10Kv UPS稳压电源1组</w:t>
            </w:r>
          </w:p>
          <w:p w14:paraId="177F07C2">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三、工作条件</w:t>
            </w:r>
          </w:p>
          <w:p w14:paraId="5BAE3D5A">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 工作电压：AC  380V±10％   50Hz 三相；</w:t>
            </w:r>
          </w:p>
          <w:p w14:paraId="54C41C3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运行环境温度：18℃-25℃</w:t>
            </w:r>
          </w:p>
          <w:p w14:paraId="298A68B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 运行环境湿度：40%-80%</w:t>
            </w:r>
          </w:p>
          <w:p w14:paraId="03BE8E36">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四、详细技术性能指标</w:t>
            </w:r>
          </w:p>
          <w:p w14:paraId="2DA90FEC">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磁体</w:t>
            </w:r>
          </w:p>
          <w:p w14:paraId="4300DD8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 超导水平磁体：磁场强度7 Tesla，具有高稳定性、高均匀性、抗干扰超屏蔽</w:t>
            </w:r>
          </w:p>
          <w:p w14:paraId="55FD22CB">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室温腔直径： 170 毫米；</w:t>
            </w:r>
          </w:p>
          <w:p w14:paraId="17605CF8">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 磁场漂移：&lt; 0.05ppm/h</w:t>
            </w:r>
          </w:p>
          <w:p w14:paraId="6AE22A2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1.4 高斯强度处横向距离：1.1 米；5 高斯强度处纵向距离：1.3 米</w:t>
            </w:r>
          </w:p>
          <w:p w14:paraId="765641DA">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1.5 停电或水冷问题，无UPS情况下，主磁场维持时间＞ 4 小时</w:t>
            </w:r>
          </w:p>
          <w:p w14:paraId="33465FC8">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1.6 磁体气压垫防震缓冲4个；</w:t>
            </w:r>
          </w:p>
          <w:p w14:paraId="3334FCFC">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1.7 磁体均匀度 ±0.3 ppm peak-to-peak，DSV 50mm</w:t>
            </w:r>
          </w:p>
          <w:p w14:paraId="1CF334BB">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 有氦压缩机，无需液氦，一键式升场降场，无需失超管</w:t>
            </w:r>
          </w:p>
          <w:p w14:paraId="5B7F8304">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射频发射系统</w:t>
            </w:r>
          </w:p>
          <w:p w14:paraId="149B6D89">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射频通道数 2 个</w:t>
            </w:r>
          </w:p>
          <w:p w14:paraId="07407F33">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2.2 通道 1H 功放最大总输出功率：  1000W</w:t>
            </w:r>
          </w:p>
          <w:p w14:paraId="23743371">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接收及采样：1 独立接受通道，可扩展至 16 通道</w:t>
            </w:r>
          </w:p>
          <w:p w14:paraId="55F43E67">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4 配备高功率低噪声前置放大器</w:t>
            </w:r>
          </w:p>
          <w:p w14:paraId="419FFF20">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 配备外置触发同步装置</w:t>
            </w:r>
          </w:p>
          <w:p w14:paraId="6BC5AC99">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 成像梯度及匀场系统：</w:t>
            </w:r>
          </w:p>
          <w:p w14:paraId="2412DEB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6.1 配备不少于三个方向梯度线圈功率放大器</w:t>
            </w:r>
          </w:p>
          <w:p w14:paraId="699ACAD6">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6.2 梯度线圈内径 105mm</w:t>
            </w:r>
          </w:p>
          <w:p w14:paraId="569B1E55">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6.3 梯度线圈外径 170mm</w:t>
            </w:r>
          </w:p>
          <w:p w14:paraId="3C5369ED">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6.4 最大梯度强度  450mT/m</w:t>
            </w:r>
          </w:p>
          <w:p w14:paraId="57DBDE84">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6.5 梯度线圈水冷系统</w:t>
            </w:r>
          </w:p>
          <w:p w14:paraId="08D286E9">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6.6 匀场线圈最大电流±5A</w:t>
            </w:r>
          </w:p>
          <w:p w14:paraId="04DD273D">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6.7 高阶（二阶及以上）匀场线圈通道数 6</w:t>
            </w:r>
          </w:p>
          <w:p w14:paraId="5881C51A">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7 硬件自动识别系统：系统应该支持包括梯度系统、射频线圈、射频放大器等硬件设备的 自动识别并载入相应参数</w:t>
            </w:r>
          </w:p>
          <w:p w14:paraId="37942C2B">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 射频线圈</w:t>
            </w:r>
          </w:p>
          <w:p w14:paraId="7E8A7A1C">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8.1 每个射频线圈需提供相应的动物床和固定配件 1套</w:t>
            </w:r>
          </w:p>
          <w:p w14:paraId="64E661D0">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8.2 正交 1H 容积线圈内径 40mm  用于大鼠头部</w:t>
            </w:r>
          </w:p>
          <w:p w14:paraId="2AB48489">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8.3 正交 1H 容积线圈 内径 60mm 用于大鼠全身成像</w:t>
            </w:r>
          </w:p>
          <w:p w14:paraId="6352B566">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8.4 正交 1H 容积线圈内径 40mm  用于小鼠全身成像</w:t>
            </w:r>
          </w:p>
          <w:p w14:paraId="150E0223">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8.5 小鼠头部表面线圈</w:t>
            </w:r>
          </w:p>
          <w:p w14:paraId="50E5C35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8.6 大鼠头部表面线圈</w:t>
            </w:r>
          </w:p>
          <w:p w14:paraId="31899768">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8.7 容积线圈内径 82 mm，可用于大鼠腹部及全身成像</w:t>
            </w:r>
          </w:p>
          <w:p w14:paraId="3BF25A96">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8.8 环形表面线圈, 内径分别为 10mm、20mm、30mm</w:t>
            </w:r>
          </w:p>
          <w:p w14:paraId="452F80E8">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9 动物支持系统</w:t>
            </w:r>
          </w:p>
          <w:p w14:paraId="23668461">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9.1 动物生理监控及同步触发扫描系统</w:t>
            </w:r>
          </w:p>
          <w:p w14:paraId="77401867">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可监控实验动物的心电，呼吸和体温。并可自动根据生理信号输出 TTL 电平来实现与谱仪的同步采集。心电监控40-900 BPM；呼吸监控 15-300 BPM；体温监控 0-100℃；土0.2℃。</w:t>
            </w:r>
          </w:p>
          <w:p w14:paraId="61989C8B">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9.2 循环水保温系统</w:t>
            </w:r>
          </w:p>
          <w:p w14:paraId="4686E391">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要求提供自动循环水保温单元以及动物用加热垫，保持麻醉动物正常生理状态。温度范围0–80℃，水温控制精度0.1℃，自动功率调节，保持麻醉动物体温。</w:t>
            </w:r>
          </w:p>
          <w:p w14:paraId="2018E98C">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9.3 小动物气体麻醉系统</w:t>
            </w:r>
          </w:p>
          <w:p w14:paraId="57911342">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9.4激光定位自动马达动物床</w:t>
            </w:r>
          </w:p>
          <w:p w14:paraId="67011837">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   工作站</w:t>
            </w:r>
          </w:p>
          <w:p w14:paraId="4BD90C87">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10.1仪器操作工作站：CPU不低于3.8GHz，6C130W；内存≥64GB；硬盘：≥2TB；显示器：≥32 英寸4K分辨率显示器；显卡性能不低于RTX 4000；网卡、DVD刻录机。</w:t>
            </w:r>
          </w:p>
          <w:p w14:paraId="0F0ED885">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10.2 运行平台：Linux 操作系统</w:t>
            </w:r>
          </w:p>
          <w:p w14:paraId="08B26E7C">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10.3提供布鲁克装机时最新ParaVision360磁共振成像平台所有的磁共振成像序列及软件包，序列源代码开放，可供修改。</w:t>
            </w:r>
          </w:p>
          <w:p w14:paraId="0BCECC8D">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 超短 TE 成像</w:t>
            </w:r>
          </w:p>
          <w:p w14:paraId="58D9A73E">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具有无心电触发心脏成像（IntraGate）</w:t>
            </w:r>
          </w:p>
          <w:p w14:paraId="1A196675">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10.6 CEST 化学交换饱和转移序列</w:t>
            </w:r>
          </w:p>
          <w:p w14:paraId="33C0590F">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10.7 DIXON 水脂分离序列</w:t>
            </w:r>
          </w:p>
          <w:p w14:paraId="241718CD">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10.8 GABA 谱编辑波谱技术</w:t>
            </w:r>
          </w:p>
          <w:p w14:paraId="1FDD2F79">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10.9 数据处理工作站：酷睿14代 i9-14900处理器；256GB内存；硬盘 2TB SSD + 20TB HDD；显卡RTX 4080、16GB核显；32 英寸4K分辨率显示器；具有无线网卡、有线网卡、5.3以上蓝牙、DVD 刻录机。数据图像输出仪：最大支持幅面A4；支持自动双面复印、打印；支持蓝牙、有线、无线、USB、局域网连接；最佳打印分辨率600dpi，打印速度20页/分钟。</w:t>
            </w:r>
          </w:p>
          <w:p w14:paraId="2B14FA56">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 小动物麻醉机</w:t>
            </w:r>
          </w:p>
          <w:p w14:paraId="62576433">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11.1小动物麻醉机，用于大鼠、小鼠、裸鼠、豚鼠、兔子、猫等10g至3Kg动物的吸入式麻醉；</w:t>
            </w:r>
          </w:p>
          <w:p w14:paraId="2D25C90D">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11.2蒸发器容量120ml，带流量和温度自动补偿功能；</w:t>
            </w:r>
          </w:p>
          <w:p w14:paraId="13F15599">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11.3气泵输出量：0~10L/min，异氟醚麻醉挥发罐输出精度为0.1%，输出稳定，具有安全锁定装置，密闭性好，安全可靠，输出浓度0-5%可调</w:t>
            </w:r>
          </w:p>
          <w:p w14:paraId="794889D6">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11.4原装进口数字放大功能流量计，调节范围：0.1-1L/min，配备翻盖式小动物麻醉诱导盒，可以清晰观察麻醉动物的麻醉深度</w:t>
            </w:r>
          </w:p>
          <w:p w14:paraId="65DB14DB">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11.5蒸发器具有余量导出装置，可以使不用的麻醉剂液体进行再回收。具有快速气路切换开关，可一键切换诱导或维持通道</w:t>
            </w:r>
          </w:p>
          <w:p w14:paraId="10B32761">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小动物呼吸机</w:t>
            </w:r>
          </w:p>
          <w:p w14:paraId="43F3B1DB">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12.1呼吸机为定容定压型，主要应用对象：大鼠、小鼠、豚鼠、兔子等实验动物，内置气泵，以空气作为气源, 无需高压气体，使用方便。可使用外置氧气或者麻醉气体作为气源，组成完整的呼吸麻醉系统</w:t>
            </w:r>
          </w:p>
          <w:p w14:paraId="1B8F8984">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12.2多种呼吸参数可调可控：呼吸频率，通气量、气道压力、吸气比例、压力触发阈值、叹息触发阈值等。在呼吸机的工作过程中可随时改变工作参数，带飞梭控制旋钮：方便术中进行参数调整</w:t>
            </w:r>
          </w:p>
          <w:p w14:paraId="1FE4546E">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12.3压力控制模式：气道压力控制范围：0-50cmH2O。容量控制模式：潮气量调节范围 0-100ml。呼吸频率调节范围： 1-200 次/分。吸呼比调节范围： 1：5-5：1，步进 0.1</w:t>
            </w:r>
          </w:p>
          <w:p w14:paraId="05431ECD">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12.4带叹息呼吸功能，叹息周期可调范围：0-999， 叹息功能具备叹息呼吸比单独调节功能</w:t>
            </w:r>
          </w:p>
          <w:p w14:paraId="27F4E714">
            <w:pPr>
              <w:adjustRightInd w:val="0"/>
              <w:snapToGrid w:val="0"/>
              <w:spacing w:before="93" w:after="93"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12.5带5寸IPS 液晶屏，分辨率：720*1280，能够显示各种通气参数，如：呼吸频率、潮气量、呼吸比、分钟通气量、叹息压力、气道压力，可实时显示气道压力波形图，具有吸气灯、呼气灯、吸气维持 LED 灯，可显示瞬间的通气压力，方便实时监控呼吸机的运行状态</w:t>
            </w:r>
          </w:p>
        </w:tc>
        <w:tc>
          <w:tcPr>
            <w:tcW w:w="720" w:type="dxa"/>
            <w:tcBorders>
              <w:top w:val="single" w:color="auto" w:sz="4" w:space="0"/>
              <w:left w:val="nil"/>
              <w:right w:val="single" w:color="auto" w:sz="4" w:space="0"/>
            </w:tcBorders>
            <w:vAlign w:val="center"/>
          </w:tcPr>
          <w:p w14:paraId="74C87950">
            <w:pPr>
              <w:adjustRightInd w:val="0"/>
              <w:snapToGrid w:val="0"/>
              <w:spacing w:before="93" w:after="93" w:line="26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1</w:t>
            </w:r>
          </w:p>
        </w:tc>
        <w:tc>
          <w:tcPr>
            <w:tcW w:w="1237" w:type="dxa"/>
            <w:tcBorders>
              <w:top w:val="single" w:color="auto" w:sz="4" w:space="0"/>
              <w:left w:val="nil"/>
              <w:right w:val="single" w:color="auto" w:sz="4" w:space="0"/>
            </w:tcBorders>
            <w:vAlign w:val="center"/>
          </w:tcPr>
          <w:p w14:paraId="4DE72E35">
            <w:pPr>
              <w:spacing w:before="93" w:after="93"/>
              <w:ind w:right="-107" w:rightChars="-51"/>
              <w:jc w:val="center"/>
              <w:rPr>
                <w:rFonts w:hint="eastAsia" w:ascii="宋体" w:hAnsi="宋体"/>
                <w:bCs/>
                <w:color w:val="auto"/>
                <w:kern w:val="0"/>
                <w:szCs w:val="21"/>
                <w:highlight w:val="none"/>
              </w:rPr>
            </w:pPr>
            <w:r>
              <w:rPr>
                <w:rFonts w:hint="eastAsia"/>
              </w:rPr>
              <w:t>Bruker Biospin</w:t>
            </w:r>
            <w:r>
              <w:rPr>
                <w:rFonts w:hint="eastAsia"/>
                <w:lang w:val="en-US" w:eastAsia="zh-CN"/>
              </w:rPr>
              <w:t xml:space="preserve"> </w:t>
            </w:r>
            <w:r>
              <w:rPr>
                <w:rFonts w:hint="eastAsia"/>
              </w:rPr>
              <w:t>GmbH &amp; Co. KG</w:t>
            </w:r>
          </w:p>
        </w:tc>
        <w:tc>
          <w:tcPr>
            <w:tcW w:w="900" w:type="dxa"/>
            <w:tcBorders>
              <w:top w:val="single" w:color="auto" w:sz="4" w:space="0"/>
              <w:left w:val="nil"/>
              <w:right w:val="single" w:color="auto" w:sz="4" w:space="0"/>
            </w:tcBorders>
            <w:vAlign w:val="center"/>
          </w:tcPr>
          <w:p w14:paraId="7D2C6581">
            <w:pPr>
              <w:spacing w:before="93" w:after="93"/>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德国</w:t>
            </w:r>
          </w:p>
        </w:tc>
        <w:tc>
          <w:tcPr>
            <w:tcW w:w="1260" w:type="dxa"/>
            <w:tcBorders>
              <w:top w:val="single" w:color="auto" w:sz="4" w:space="0"/>
              <w:left w:val="nil"/>
              <w:bottom w:val="single" w:color="auto" w:sz="4" w:space="0"/>
              <w:right w:val="single" w:color="auto" w:sz="4" w:space="0"/>
            </w:tcBorders>
          </w:tcPr>
          <w:p w14:paraId="434BD740">
            <w:pPr>
              <w:spacing w:before="93" w:after="93"/>
              <w:jc w:val="center"/>
              <w:rPr>
                <w:rFonts w:hint="eastAsia" w:ascii="宋体" w:hAnsi="宋体"/>
                <w:color w:val="auto"/>
                <w:szCs w:val="21"/>
                <w:highlight w:val="none"/>
              </w:rPr>
            </w:pPr>
          </w:p>
        </w:tc>
      </w:tr>
    </w:tbl>
    <w:p w14:paraId="253925A2">
      <w:pPr>
        <w:spacing w:before="93" w:after="93"/>
        <w:rPr>
          <w:rFonts w:hint="eastAsia" w:ascii="宋体" w:hAnsi="宋体"/>
          <w:color w:val="auto"/>
          <w:sz w:val="24"/>
          <w:highlight w:val="none"/>
        </w:rPr>
      </w:pPr>
    </w:p>
    <w:p w14:paraId="405C760A">
      <w:pPr>
        <w:spacing w:before="93" w:after="93"/>
        <w:rPr>
          <w:rFonts w:hint="eastAsia" w:ascii="宋体" w:hAnsi="宋体"/>
          <w:color w:val="auto"/>
          <w:sz w:val="24"/>
          <w:highlight w:val="none"/>
        </w:rPr>
      </w:pPr>
      <w:r>
        <w:rPr>
          <w:rFonts w:hint="eastAsia" w:ascii="宋体" w:hAnsi="宋体"/>
          <w:color w:val="auto"/>
          <w:sz w:val="24"/>
          <w:highlight w:val="none"/>
        </w:rPr>
        <w:t xml:space="preserve"> </w:t>
      </w:r>
    </w:p>
    <w:p w14:paraId="760F257C">
      <w:pPr>
        <w:spacing w:before="93" w:after="93"/>
        <w:rPr>
          <w:rFonts w:hint="default" w:ascii="宋体" w:hAnsi="宋体" w:eastAsia="宋体" w:cs="宋体"/>
          <w:b/>
          <w:color w:val="auto"/>
          <w:sz w:val="24"/>
          <w:highlight w:val="none"/>
          <w:lang w:val="en-US" w:eastAsia="zh-CN"/>
        </w:rPr>
        <w:sectPr>
          <w:pgSz w:w="16838" w:h="11906" w:orient="landscape"/>
          <w:pgMar w:top="1134" w:right="1077" w:bottom="1134" w:left="794" w:header="851" w:footer="992" w:gutter="0"/>
          <w:pgNumType w:fmt="decimal"/>
          <w:cols w:space="720" w:num="1"/>
          <w:docGrid w:type="lines" w:linePitch="312" w:charSpace="0"/>
        </w:sectPr>
      </w:pPr>
      <w:r>
        <w:rPr>
          <w:rFonts w:hint="eastAsia" w:ascii="宋体" w:hAnsi="宋体"/>
          <w:b/>
          <w:color w:val="auto"/>
          <w:szCs w:val="21"/>
          <w:highlight w:val="none"/>
        </w:rPr>
        <w:t>甲方货物负责人签字：</w:t>
      </w:r>
      <w:r>
        <w:rPr>
          <w:rFonts w:hint="eastAsia"/>
          <w:b/>
          <w:color w:val="auto"/>
          <w:szCs w:val="21"/>
          <w:highlight w:val="none"/>
          <w:u w:val="single"/>
          <w:lang w:val="en-US" w:eastAsia="zh-CN"/>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lang w:val="en-US" w:eastAsia="zh-CN"/>
        </w:rPr>
        <w:t xml:space="preserve">     </w:t>
      </w:r>
    </w:p>
    <w:p w14:paraId="2FE319E7">
      <w:pPr>
        <w:spacing w:before="72" w:after="72" w:line="360" w:lineRule="auto"/>
        <w:rPr>
          <w:rFonts w:hint="eastAsia" w:ascii="宋体" w:hAnsi="宋体"/>
          <w:b/>
          <w:color w:val="auto"/>
          <w:sz w:val="24"/>
          <w:highlight w:val="none"/>
        </w:rPr>
      </w:pPr>
      <w:r>
        <w:rPr>
          <w:rFonts w:hint="eastAsia" w:ascii="宋体" w:hAnsi="宋体"/>
          <w:b/>
          <w:color w:val="auto"/>
          <w:sz w:val="24"/>
          <w:highlight w:val="none"/>
        </w:rPr>
        <w:t xml:space="preserve">附件5：            </w:t>
      </w:r>
    </w:p>
    <w:p w14:paraId="547C2C1E">
      <w:pPr>
        <w:spacing w:before="72" w:after="72"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供货商：广东省科控仪器设备有限公司质量保障及服务表</w:t>
      </w:r>
    </w:p>
    <w:p w14:paraId="484CB8A1">
      <w:pPr>
        <w:spacing w:before="72" w:after="72" w:line="360" w:lineRule="auto"/>
        <w:rPr>
          <w:rFonts w:hint="eastAsia" w:ascii="宋体" w:hAnsi="宋体"/>
          <w:b/>
          <w:color w:val="auto"/>
          <w:sz w:val="24"/>
          <w:highlight w:val="none"/>
        </w:rPr>
      </w:pPr>
      <w:r>
        <w:rPr>
          <w:rFonts w:hint="eastAsia" w:ascii="宋体" w:hAnsi="宋体"/>
          <w:b/>
          <w:color w:val="auto"/>
          <w:sz w:val="24"/>
          <w:highlight w:val="none"/>
        </w:rPr>
        <w:t xml:space="preserve">致：河南中医药大学： </w:t>
      </w:r>
    </w:p>
    <w:p w14:paraId="46DB9309">
      <w:pPr>
        <w:spacing w:before="72" w:after="72" w:line="360" w:lineRule="auto"/>
        <w:rPr>
          <w:rFonts w:hint="eastAsia" w:ascii="宋体" w:hAnsi="宋体"/>
          <w:b/>
          <w:color w:val="auto"/>
          <w:sz w:val="24"/>
          <w:highlight w:val="none"/>
        </w:rPr>
      </w:pPr>
      <w:r>
        <w:rPr>
          <w:rFonts w:hint="eastAsia" w:ascii="宋体" w:hAnsi="宋体"/>
          <w:b/>
          <w:color w:val="auto"/>
          <w:sz w:val="24"/>
          <w:highlight w:val="none"/>
        </w:rPr>
        <w:t>根据贵方招标编号为豫财招标采购-2025-1401的货物（具体货物见附件3），我公司对该项目售后产品做出如下质保及售后服务承诺：</w:t>
      </w:r>
    </w:p>
    <w:tbl>
      <w:tblPr>
        <w:tblStyle w:val="7"/>
        <w:tblW w:w="8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740"/>
        <w:gridCol w:w="4294"/>
        <w:gridCol w:w="794"/>
      </w:tblGrid>
      <w:tr w14:paraId="63C5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0BD674F0">
            <w:pPr>
              <w:spacing w:before="72" w:after="72"/>
              <w:jc w:val="center"/>
              <w:rPr>
                <w:rFonts w:hint="eastAsia" w:ascii="宋体" w:hAnsi="宋体"/>
                <w:b/>
                <w:color w:val="auto"/>
                <w:sz w:val="24"/>
                <w:highlight w:val="none"/>
              </w:rPr>
            </w:pPr>
            <w:r>
              <w:rPr>
                <w:rFonts w:hint="eastAsia" w:ascii="宋体" w:hAnsi="宋体"/>
                <w:b/>
                <w:color w:val="auto"/>
                <w:sz w:val="24"/>
                <w:highlight w:val="none"/>
              </w:rPr>
              <w:t>序号</w:t>
            </w:r>
          </w:p>
        </w:tc>
        <w:tc>
          <w:tcPr>
            <w:tcW w:w="2740" w:type="dxa"/>
            <w:tcBorders>
              <w:top w:val="single" w:color="auto" w:sz="4" w:space="0"/>
              <w:left w:val="single" w:color="auto" w:sz="4" w:space="0"/>
              <w:bottom w:val="single" w:color="auto" w:sz="4" w:space="0"/>
              <w:right w:val="single" w:color="auto" w:sz="4" w:space="0"/>
            </w:tcBorders>
            <w:vAlign w:val="center"/>
          </w:tcPr>
          <w:p w14:paraId="275F424A">
            <w:pPr>
              <w:spacing w:before="72" w:after="72"/>
              <w:jc w:val="center"/>
              <w:rPr>
                <w:rFonts w:hint="eastAsia" w:ascii="宋体" w:hAnsi="宋体"/>
                <w:b/>
                <w:color w:val="auto"/>
                <w:sz w:val="24"/>
                <w:highlight w:val="none"/>
              </w:rPr>
            </w:pPr>
            <w:r>
              <w:rPr>
                <w:rFonts w:hint="eastAsia" w:ascii="宋体" w:hAnsi="宋体"/>
                <w:b/>
                <w:color w:val="auto"/>
                <w:sz w:val="24"/>
                <w:highlight w:val="none"/>
              </w:rPr>
              <w:t>质量保障措施及服务内容</w:t>
            </w:r>
          </w:p>
        </w:tc>
        <w:tc>
          <w:tcPr>
            <w:tcW w:w="4294" w:type="dxa"/>
            <w:tcBorders>
              <w:top w:val="single" w:color="auto" w:sz="4" w:space="0"/>
              <w:left w:val="single" w:color="auto" w:sz="4" w:space="0"/>
              <w:bottom w:val="single" w:color="auto" w:sz="4" w:space="0"/>
              <w:right w:val="single" w:color="auto" w:sz="4" w:space="0"/>
            </w:tcBorders>
            <w:vAlign w:val="center"/>
          </w:tcPr>
          <w:p w14:paraId="7D229838">
            <w:pPr>
              <w:spacing w:before="72" w:after="72"/>
              <w:jc w:val="center"/>
              <w:rPr>
                <w:rFonts w:hint="eastAsia" w:ascii="宋体" w:hAnsi="宋体"/>
                <w:b/>
                <w:color w:val="auto"/>
                <w:sz w:val="24"/>
                <w:highlight w:val="none"/>
              </w:rPr>
            </w:pPr>
            <w:r>
              <w:rPr>
                <w:rFonts w:hint="eastAsia" w:ascii="宋体" w:hAnsi="宋体"/>
                <w:b/>
                <w:color w:val="auto"/>
                <w:sz w:val="24"/>
                <w:highlight w:val="none"/>
              </w:rPr>
              <w:t>承诺</w:t>
            </w:r>
          </w:p>
        </w:tc>
        <w:tc>
          <w:tcPr>
            <w:tcW w:w="794" w:type="dxa"/>
            <w:tcBorders>
              <w:top w:val="single" w:color="auto" w:sz="4" w:space="0"/>
              <w:left w:val="single" w:color="auto" w:sz="4" w:space="0"/>
              <w:bottom w:val="single" w:color="auto" w:sz="4" w:space="0"/>
              <w:right w:val="single" w:color="auto" w:sz="4" w:space="0"/>
            </w:tcBorders>
            <w:vAlign w:val="center"/>
          </w:tcPr>
          <w:p w14:paraId="6E0D1D3F">
            <w:pPr>
              <w:spacing w:before="72" w:after="72"/>
              <w:jc w:val="center"/>
              <w:rPr>
                <w:rFonts w:hint="eastAsia" w:ascii="宋体" w:hAnsi="宋体"/>
                <w:b/>
                <w:color w:val="auto"/>
                <w:sz w:val="24"/>
                <w:highlight w:val="none"/>
              </w:rPr>
            </w:pPr>
            <w:r>
              <w:rPr>
                <w:rFonts w:hint="eastAsia" w:ascii="宋体" w:hAnsi="宋体"/>
                <w:b/>
                <w:color w:val="auto"/>
                <w:sz w:val="24"/>
                <w:highlight w:val="none"/>
              </w:rPr>
              <w:t>备注</w:t>
            </w:r>
          </w:p>
        </w:tc>
      </w:tr>
      <w:tr w14:paraId="4FB9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26A58158">
            <w:pPr>
              <w:spacing w:before="72" w:after="72"/>
              <w:rPr>
                <w:rFonts w:hint="eastAsia" w:ascii="宋体" w:hAnsi="宋体"/>
                <w:color w:val="auto"/>
                <w:szCs w:val="21"/>
                <w:highlight w:val="none"/>
              </w:rPr>
            </w:pPr>
            <w:r>
              <w:rPr>
                <w:rFonts w:hint="eastAsia"/>
                <w:color w:val="auto"/>
                <w:szCs w:val="21"/>
                <w:highlight w:val="none"/>
              </w:rPr>
              <w:t>1</w:t>
            </w:r>
          </w:p>
        </w:tc>
        <w:tc>
          <w:tcPr>
            <w:tcW w:w="2740" w:type="dxa"/>
            <w:tcBorders>
              <w:top w:val="single" w:color="auto" w:sz="4" w:space="0"/>
              <w:left w:val="single" w:color="auto" w:sz="4" w:space="0"/>
              <w:bottom w:val="single" w:color="auto" w:sz="4" w:space="0"/>
              <w:right w:val="single" w:color="auto" w:sz="4" w:space="0"/>
            </w:tcBorders>
            <w:vAlign w:val="center"/>
          </w:tcPr>
          <w:p w14:paraId="4746BA39">
            <w:pPr>
              <w:spacing w:before="72" w:after="72"/>
              <w:rPr>
                <w:rFonts w:hint="eastAsia" w:ascii="宋体" w:hAnsi="宋体"/>
                <w:color w:val="auto"/>
                <w:szCs w:val="21"/>
                <w:highlight w:val="none"/>
              </w:rPr>
            </w:pPr>
            <w:r>
              <w:rPr>
                <w:rFonts w:hint="eastAsia" w:ascii="宋体" w:hAnsi="宋体"/>
                <w:color w:val="auto"/>
                <w:szCs w:val="21"/>
                <w:highlight w:val="none"/>
              </w:rPr>
              <w:t>整机保修</w:t>
            </w:r>
          </w:p>
        </w:tc>
        <w:tc>
          <w:tcPr>
            <w:tcW w:w="4294" w:type="dxa"/>
            <w:tcBorders>
              <w:top w:val="single" w:color="auto" w:sz="4" w:space="0"/>
              <w:left w:val="single" w:color="auto" w:sz="4" w:space="0"/>
              <w:bottom w:val="single" w:color="auto" w:sz="4" w:space="0"/>
              <w:right w:val="single" w:color="auto" w:sz="4" w:space="0"/>
            </w:tcBorders>
            <w:vAlign w:val="center"/>
          </w:tcPr>
          <w:p w14:paraId="77F904C8">
            <w:pPr>
              <w:spacing w:before="72" w:after="72"/>
              <w:rPr>
                <w:rFonts w:hint="eastAsia" w:ascii="宋体" w:hAnsi="宋体"/>
                <w:color w:val="auto"/>
                <w:szCs w:val="21"/>
                <w:highlight w:val="none"/>
              </w:rPr>
            </w:pPr>
            <w:r>
              <w:rPr>
                <w:rFonts w:hint="eastAsia" w:ascii="宋体" w:hAnsi="宋体"/>
                <w:color w:val="auto"/>
                <w:szCs w:val="21"/>
                <w:highlight w:val="none"/>
                <w:lang w:val="en-US" w:eastAsia="zh-CN"/>
              </w:rPr>
              <w:t xml:space="preserve">  2</w:t>
            </w:r>
            <w:r>
              <w:rPr>
                <w:rFonts w:hint="eastAsia" w:ascii="宋体" w:hAnsi="宋体"/>
                <w:color w:val="auto"/>
                <w:szCs w:val="21"/>
                <w:highlight w:val="none"/>
              </w:rPr>
              <w:t>年</w:t>
            </w:r>
          </w:p>
        </w:tc>
        <w:tc>
          <w:tcPr>
            <w:tcW w:w="794" w:type="dxa"/>
            <w:tcBorders>
              <w:top w:val="single" w:color="auto" w:sz="4" w:space="0"/>
              <w:left w:val="single" w:color="auto" w:sz="4" w:space="0"/>
              <w:bottom w:val="single" w:color="auto" w:sz="4" w:space="0"/>
              <w:right w:val="single" w:color="auto" w:sz="4" w:space="0"/>
            </w:tcBorders>
            <w:vAlign w:val="center"/>
          </w:tcPr>
          <w:p w14:paraId="03251B40">
            <w:pPr>
              <w:spacing w:before="72" w:after="7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无</w:t>
            </w:r>
          </w:p>
        </w:tc>
      </w:tr>
      <w:tr w14:paraId="3583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386E1BB1">
            <w:pPr>
              <w:spacing w:before="72" w:after="72"/>
              <w:rPr>
                <w:rFonts w:hint="eastAsia" w:ascii="宋体" w:hAnsi="宋体"/>
                <w:color w:val="auto"/>
                <w:szCs w:val="21"/>
                <w:highlight w:val="none"/>
              </w:rPr>
            </w:pPr>
            <w:r>
              <w:rPr>
                <w:rFonts w:hint="eastAsia"/>
                <w:color w:val="auto"/>
                <w:szCs w:val="21"/>
                <w:highlight w:val="none"/>
              </w:rPr>
              <w:t>2</w:t>
            </w:r>
          </w:p>
        </w:tc>
        <w:tc>
          <w:tcPr>
            <w:tcW w:w="2740" w:type="dxa"/>
            <w:tcBorders>
              <w:top w:val="single" w:color="auto" w:sz="4" w:space="0"/>
              <w:left w:val="single" w:color="auto" w:sz="4" w:space="0"/>
              <w:bottom w:val="single" w:color="auto" w:sz="4" w:space="0"/>
              <w:right w:val="single" w:color="auto" w:sz="4" w:space="0"/>
            </w:tcBorders>
            <w:vAlign w:val="center"/>
          </w:tcPr>
          <w:p w14:paraId="2D8F56F4">
            <w:pPr>
              <w:spacing w:before="72" w:after="72"/>
              <w:rPr>
                <w:rFonts w:hint="eastAsia" w:ascii="宋体" w:hAnsi="宋体"/>
                <w:color w:val="auto"/>
                <w:szCs w:val="21"/>
                <w:highlight w:val="none"/>
              </w:rPr>
            </w:pPr>
            <w:r>
              <w:rPr>
                <w:rFonts w:hint="eastAsia" w:ascii="宋体" w:hAnsi="宋体"/>
                <w:color w:val="auto"/>
                <w:szCs w:val="21"/>
                <w:highlight w:val="none"/>
              </w:rPr>
              <w:t>随机标准配件</w:t>
            </w:r>
          </w:p>
        </w:tc>
        <w:tc>
          <w:tcPr>
            <w:tcW w:w="4294" w:type="dxa"/>
            <w:tcBorders>
              <w:top w:val="single" w:color="auto" w:sz="4" w:space="0"/>
              <w:left w:val="single" w:color="auto" w:sz="4" w:space="0"/>
              <w:bottom w:val="single" w:color="auto" w:sz="4" w:space="0"/>
              <w:right w:val="single" w:color="auto" w:sz="4" w:space="0"/>
            </w:tcBorders>
            <w:vAlign w:val="center"/>
          </w:tcPr>
          <w:p w14:paraId="7CF901A5">
            <w:pPr>
              <w:spacing w:before="72" w:after="72"/>
              <w:rPr>
                <w:color w:val="auto"/>
                <w:szCs w:val="21"/>
                <w:highlight w:val="none"/>
              </w:rPr>
            </w:pPr>
            <w:r>
              <w:rPr>
                <w:rFonts w:hint="eastAsia" w:ascii="宋体" w:hAnsi="宋体"/>
                <w:color w:val="auto"/>
                <w:szCs w:val="21"/>
                <w:highlight w:val="none"/>
                <w:lang w:val="en-US" w:eastAsia="zh-CN"/>
              </w:rPr>
              <w:t xml:space="preserve">  2</w:t>
            </w:r>
            <w:r>
              <w:rPr>
                <w:rFonts w:hint="eastAsia" w:ascii="宋体" w:hAnsi="宋体"/>
                <w:color w:val="auto"/>
                <w:szCs w:val="21"/>
                <w:highlight w:val="none"/>
              </w:rPr>
              <w:t>年</w:t>
            </w:r>
          </w:p>
        </w:tc>
        <w:tc>
          <w:tcPr>
            <w:tcW w:w="794" w:type="dxa"/>
            <w:tcBorders>
              <w:top w:val="single" w:color="auto" w:sz="4" w:space="0"/>
              <w:left w:val="single" w:color="auto" w:sz="4" w:space="0"/>
              <w:bottom w:val="single" w:color="auto" w:sz="4" w:space="0"/>
              <w:right w:val="single" w:color="auto" w:sz="4" w:space="0"/>
            </w:tcBorders>
            <w:vAlign w:val="center"/>
          </w:tcPr>
          <w:p w14:paraId="0E974DDC">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68FD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3508F90C">
            <w:pPr>
              <w:spacing w:before="72" w:after="72"/>
              <w:rPr>
                <w:rFonts w:hint="eastAsia" w:ascii="宋体" w:hAnsi="宋体"/>
                <w:color w:val="auto"/>
                <w:szCs w:val="21"/>
                <w:highlight w:val="none"/>
              </w:rPr>
            </w:pPr>
            <w:r>
              <w:rPr>
                <w:rFonts w:hint="eastAsia"/>
                <w:color w:val="auto"/>
                <w:szCs w:val="21"/>
                <w:highlight w:val="none"/>
              </w:rPr>
              <w:t>3</w:t>
            </w:r>
          </w:p>
        </w:tc>
        <w:tc>
          <w:tcPr>
            <w:tcW w:w="2740" w:type="dxa"/>
            <w:tcBorders>
              <w:top w:val="single" w:color="auto" w:sz="4" w:space="0"/>
              <w:left w:val="single" w:color="auto" w:sz="4" w:space="0"/>
              <w:bottom w:val="single" w:color="auto" w:sz="4" w:space="0"/>
              <w:right w:val="single" w:color="auto" w:sz="4" w:space="0"/>
            </w:tcBorders>
            <w:vAlign w:val="center"/>
          </w:tcPr>
          <w:p w14:paraId="6817C133">
            <w:pPr>
              <w:spacing w:before="72" w:after="72"/>
              <w:rPr>
                <w:rFonts w:hint="eastAsia" w:ascii="宋体" w:hAnsi="宋体"/>
                <w:color w:val="auto"/>
                <w:szCs w:val="21"/>
                <w:highlight w:val="none"/>
              </w:rPr>
            </w:pPr>
            <w:r>
              <w:rPr>
                <w:rFonts w:hint="eastAsia" w:ascii="宋体" w:hAnsi="宋体"/>
                <w:color w:val="auto"/>
                <w:szCs w:val="21"/>
                <w:highlight w:val="none"/>
              </w:rPr>
              <w:t>加购选配件</w:t>
            </w:r>
          </w:p>
        </w:tc>
        <w:tc>
          <w:tcPr>
            <w:tcW w:w="4294" w:type="dxa"/>
            <w:tcBorders>
              <w:top w:val="single" w:color="auto" w:sz="4" w:space="0"/>
              <w:left w:val="single" w:color="auto" w:sz="4" w:space="0"/>
              <w:bottom w:val="single" w:color="auto" w:sz="4" w:space="0"/>
              <w:right w:val="single" w:color="auto" w:sz="4" w:space="0"/>
            </w:tcBorders>
            <w:vAlign w:val="center"/>
          </w:tcPr>
          <w:p w14:paraId="1226C509">
            <w:pPr>
              <w:spacing w:before="72" w:after="72"/>
              <w:rPr>
                <w:color w:val="auto"/>
                <w:szCs w:val="21"/>
                <w:highlight w:val="none"/>
              </w:rPr>
            </w:pPr>
            <w:r>
              <w:rPr>
                <w:rFonts w:hint="eastAsia" w:ascii="宋体" w:hAnsi="宋体"/>
                <w:color w:val="auto"/>
                <w:szCs w:val="21"/>
                <w:highlight w:val="none"/>
                <w:lang w:val="en-US" w:eastAsia="zh-CN"/>
              </w:rPr>
              <w:t xml:space="preserve">  2</w:t>
            </w:r>
            <w:r>
              <w:rPr>
                <w:rFonts w:hint="eastAsia" w:ascii="宋体" w:hAnsi="宋体"/>
                <w:color w:val="auto"/>
                <w:szCs w:val="21"/>
                <w:highlight w:val="none"/>
              </w:rPr>
              <w:t>年</w:t>
            </w:r>
          </w:p>
        </w:tc>
        <w:tc>
          <w:tcPr>
            <w:tcW w:w="794" w:type="dxa"/>
            <w:tcBorders>
              <w:top w:val="single" w:color="auto" w:sz="4" w:space="0"/>
              <w:left w:val="single" w:color="auto" w:sz="4" w:space="0"/>
              <w:bottom w:val="single" w:color="auto" w:sz="4" w:space="0"/>
              <w:right w:val="single" w:color="auto" w:sz="4" w:space="0"/>
            </w:tcBorders>
            <w:vAlign w:val="center"/>
          </w:tcPr>
          <w:p w14:paraId="541520E2">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2CBD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650" w:type="dxa"/>
            <w:tcBorders>
              <w:top w:val="single" w:color="auto" w:sz="4" w:space="0"/>
              <w:left w:val="single" w:color="auto" w:sz="4" w:space="0"/>
              <w:bottom w:val="single" w:color="auto" w:sz="4" w:space="0"/>
              <w:right w:val="single" w:color="auto" w:sz="4" w:space="0"/>
            </w:tcBorders>
            <w:vAlign w:val="center"/>
          </w:tcPr>
          <w:p w14:paraId="0F0085E1">
            <w:pPr>
              <w:spacing w:before="72" w:after="72"/>
              <w:rPr>
                <w:rFonts w:hint="eastAsia" w:ascii="宋体" w:hAnsi="宋体"/>
                <w:color w:val="auto"/>
                <w:szCs w:val="21"/>
                <w:highlight w:val="none"/>
              </w:rPr>
            </w:pPr>
            <w:r>
              <w:rPr>
                <w:rFonts w:hint="eastAsia"/>
                <w:color w:val="auto"/>
                <w:szCs w:val="21"/>
                <w:highlight w:val="none"/>
              </w:rPr>
              <w:t>4</w:t>
            </w:r>
          </w:p>
        </w:tc>
        <w:tc>
          <w:tcPr>
            <w:tcW w:w="2740" w:type="dxa"/>
            <w:tcBorders>
              <w:top w:val="single" w:color="auto" w:sz="4" w:space="0"/>
              <w:left w:val="single" w:color="auto" w:sz="4" w:space="0"/>
              <w:bottom w:val="single" w:color="auto" w:sz="4" w:space="0"/>
              <w:right w:val="single" w:color="auto" w:sz="4" w:space="0"/>
            </w:tcBorders>
            <w:vAlign w:val="center"/>
          </w:tcPr>
          <w:p w14:paraId="02891A54">
            <w:pPr>
              <w:spacing w:before="72" w:after="72"/>
              <w:rPr>
                <w:rFonts w:hint="eastAsia" w:ascii="宋体" w:hAnsi="宋体"/>
                <w:color w:val="auto"/>
                <w:szCs w:val="21"/>
                <w:highlight w:val="none"/>
              </w:rPr>
            </w:pPr>
            <w:r>
              <w:rPr>
                <w:rFonts w:hint="eastAsia" w:ascii="宋体" w:hAnsi="宋体"/>
                <w:color w:val="auto"/>
                <w:szCs w:val="21"/>
                <w:highlight w:val="none"/>
              </w:rPr>
              <w:t>随机资料、光盘介质、软盘介质、连接线、指示灯、电源线、随机工具等。</w:t>
            </w:r>
          </w:p>
        </w:tc>
        <w:tc>
          <w:tcPr>
            <w:tcW w:w="4294" w:type="dxa"/>
            <w:tcBorders>
              <w:top w:val="single" w:color="auto" w:sz="4" w:space="0"/>
              <w:left w:val="single" w:color="auto" w:sz="4" w:space="0"/>
              <w:bottom w:val="single" w:color="auto" w:sz="4" w:space="0"/>
              <w:right w:val="single" w:color="auto" w:sz="4" w:space="0"/>
            </w:tcBorders>
            <w:vAlign w:val="center"/>
          </w:tcPr>
          <w:p w14:paraId="4EADE7F6">
            <w:pPr>
              <w:spacing w:before="72" w:after="72"/>
              <w:rPr>
                <w:rFonts w:hint="eastAsia" w:ascii="宋体" w:hAnsi="宋体"/>
                <w:color w:val="auto"/>
                <w:szCs w:val="21"/>
                <w:highlight w:val="none"/>
              </w:rPr>
            </w:pPr>
            <w:r>
              <w:rPr>
                <w:rFonts w:hint="eastAsia" w:ascii="宋体" w:hAnsi="宋体"/>
                <w:color w:val="auto"/>
                <w:szCs w:val="21"/>
                <w:highlight w:val="none"/>
              </w:rPr>
              <w:t>随机配置见随机装箱清单</w:t>
            </w:r>
          </w:p>
        </w:tc>
        <w:tc>
          <w:tcPr>
            <w:tcW w:w="794" w:type="dxa"/>
            <w:tcBorders>
              <w:top w:val="single" w:color="auto" w:sz="4" w:space="0"/>
              <w:left w:val="single" w:color="auto" w:sz="4" w:space="0"/>
              <w:bottom w:val="single" w:color="auto" w:sz="4" w:space="0"/>
              <w:right w:val="single" w:color="auto" w:sz="4" w:space="0"/>
            </w:tcBorders>
            <w:vAlign w:val="center"/>
          </w:tcPr>
          <w:p w14:paraId="1459F222">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6525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680886E9">
            <w:pPr>
              <w:spacing w:before="72" w:after="72"/>
              <w:rPr>
                <w:rFonts w:hint="eastAsia" w:ascii="宋体" w:hAnsi="宋体"/>
                <w:color w:val="auto"/>
                <w:szCs w:val="21"/>
                <w:highlight w:val="none"/>
              </w:rPr>
            </w:pPr>
            <w:r>
              <w:rPr>
                <w:rFonts w:hint="eastAsia"/>
                <w:color w:val="auto"/>
                <w:szCs w:val="21"/>
                <w:highlight w:val="none"/>
              </w:rPr>
              <w:t>5</w:t>
            </w:r>
          </w:p>
        </w:tc>
        <w:tc>
          <w:tcPr>
            <w:tcW w:w="2740" w:type="dxa"/>
            <w:tcBorders>
              <w:top w:val="single" w:color="auto" w:sz="4" w:space="0"/>
              <w:left w:val="single" w:color="auto" w:sz="4" w:space="0"/>
              <w:bottom w:val="single" w:color="auto" w:sz="4" w:space="0"/>
              <w:right w:val="single" w:color="auto" w:sz="4" w:space="0"/>
            </w:tcBorders>
            <w:vAlign w:val="center"/>
          </w:tcPr>
          <w:p w14:paraId="71172549">
            <w:pPr>
              <w:spacing w:before="72" w:after="72"/>
              <w:rPr>
                <w:rFonts w:hint="eastAsia" w:ascii="宋体" w:hAnsi="宋体"/>
                <w:color w:val="auto"/>
                <w:szCs w:val="21"/>
                <w:highlight w:val="none"/>
              </w:rPr>
            </w:pPr>
            <w:r>
              <w:rPr>
                <w:rFonts w:hint="eastAsia" w:ascii="宋体" w:hAnsi="宋体"/>
                <w:color w:val="auto"/>
                <w:szCs w:val="21"/>
                <w:highlight w:val="none"/>
              </w:rPr>
              <w:t>运输方式</w:t>
            </w:r>
          </w:p>
        </w:tc>
        <w:tc>
          <w:tcPr>
            <w:tcW w:w="4294" w:type="dxa"/>
            <w:tcBorders>
              <w:top w:val="single" w:color="auto" w:sz="4" w:space="0"/>
              <w:left w:val="single" w:color="auto" w:sz="4" w:space="0"/>
              <w:bottom w:val="single" w:color="auto" w:sz="4" w:space="0"/>
              <w:right w:val="single" w:color="auto" w:sz="4" w:space="0"/>
            </w:tcBorders>
            <w:vAlign w:val="center"/>
          </w:tcPr>
          <w:p w14:paraId="33433AB3">
            <w:pPr>
              <w:spacing w:before="72" w:after="72"/>
              <w:rPr>
                <w:rFonts w:hint="eastAsia" w:ascii="宋体" w:hAnsi="宋体"/>
                <w:color w:val="auto"/>
                <w:szCs w:val="21"/>
                <w:highlight w:val="none"/>
              </w:rPr>
            </w:pPr>
            <w:r>
              <w:rPr>
                <w:rFonts w:hint="eastAsia" w:ascii="宋体" w:hAnsi="宋体"/>
                <w:color w:val="auto"/>
                <w:szCs w:val="21"/>
                <w:highlight w:val="none"/>
              </w:rPr>
              <w:t>免费送货上门</w:t>
            </w:r>
          </w:p>
        </w:tc>
        <w:tc>
          <w:tcPr>
            <w:tcW w:w="794" w:type="dxa"/>
            <w:tcBorders>
              <w:top w:val="single" w:color="auto" w:sz="4" w:space="0"/>
              <w:left w:val="single" w:color="auto" w:sz="4" w:space="0"/>
              <w:bottom w:val="single" w:color="auto" w:sz="4" w:space="0"/>
              <w:right w:val="single" w:color="auto" w:sz="4" w:space="0"/>
            </w:tcBorders>
            <w:vAlign w:val="center"/>
          </w:tcPr>
          <w:p w14:paraId="57E55EE6">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44E6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7D8FE88D">
            <w:pPr>
              <w:spacing w:before="72" w:after="72"/>
              <w:rPr>
                <w:rFonts w:hint="eastAsia" w:ascii="宋体" w:hAnsi="宋体"/>
                <w:color w:val="auto"/>
                <w:szCs w:val="21"/>
                <w:highlight w:val="none"/>
              </w:rPr>
            </w:pPr>
            <w:r>
              <w:rPr>
                <w:rFonts w:hint="eastAsia"/>
                <w:color w:val="auto"/>
                <w:szCs w:val="21"/>
                <w:highlight w:val="none"/>
              </w:rPr>
              <w:t>6</w:t>
            </w:r>
          </w:p>
        </w:tc>
        <w:tc>
          <w:tcPr>
            <w:tcW w:w="2740" w:type="dxa"/>
            <w:tcBorders>
              <w:top w:val="single" w:color="auto" w:sz="4" w:space="0"/>
              <w:left w:val="single" w:color="auto" w:sz="4" w:space="0"/>
              <w:bottom w:val="single" w:color="auto" w:sz="4" w:space="0"/>
              <w:right w:val="single" w:color="auto" w:sz="4" w:space="0"/>
            </w:tcBorders>
            <w:vAlign w:val="center"/>
          </w:tcPr>
          <w:p w14:paraId="783C8EA5">
            <w:pPr>
              <w:spacing w:before="72" w:after="72"/>
              <w:rPr>
                <w:rFonts w:hint="eastAsia" w:ascii="宋体" w:hAnsi="宋体"/>
                <w:color w:val="auto"/>
                <w:szCs w:val="21"/>
                <w:highlight w:val="none"/>
              </w:rPr>
            </w:pPr>
            <w:r>
              <w:rPr>
                <w:rFonts w:hint="eastAsia" w:ascii="宋体" w:hAnsi="宋体"/>
                <w:color w:val="auto"/>
                <w:szCs w:val="21"/>
                <w:highlight w:val="none"/>
              </w:rPr>
              <w:t>交货时间</w:t>
            </w:r>
          </w:p>
        </w:tc>
        <w:tc>
          <w:tcPr>
            <w:tcW w:w="4294" w:type="dxa"/>
            <w:tcBorders>
              <w:top w:val="single" w:color="auto" w:sz="4" w:space="0"/>
              <w:left w:val="single" w:color="auto" w:sz="4" w:space="0"/>
              <w:bottom w:val="single" w:color="auto" w:sz="4" w:space="0"/>
              <w:right w:val="single" w:color="auto" w:sz="4" w:space="0"/>
            </w:tcBorders>
            <w:vAlign w:val="center"/>
          </w:tcPr>
          <w:p w14:paraId="798D4A5A">
            <w:pPr>
              <w:spacing w:before="72" w:after="72"/>
              <w:rPr>
                <w:rFonts w:hint="eastAsia" w:ascii="宋体" w:hAnsi="宋体"/>
                <w:color w:val="auto"/>
                <w:szCs w:val="21"/>
                <w:highlight w:val="none"/>
              </w:rPr>
            </w:pPr>
            <w:r>
              <w:rPr>
                <w:rFonts w:hint="eastAsia"/>
                <w:color w:val="auto"/>
                <w:szCs w:val="21"/>
                <w:highlight w:val="none"/>
                <w:lang w:val="en-US" w:eastAsia="zh-CN"/>
              </w:rPr>
              <w:t>2025</w:t>
            </w:r>
            <w:r>
              <w:rPr>
                <w:rFonts w:hint="eastAsia" w:ascii="宋体" w:hAnsi="宋体"/>
                <w:color w:val="auto"/>
                <w:szCs w:val="21"/>
                <w:highlight w:val="none"/>
              </w:rPr>
              <w:t>年</w:t>
            </w:r>
            <w:r>
              <w:rPr>
                <w:rFonts w:hint="eastAsia"/>
                <w:color w:val="auto"/>
                <w:szCs w:val="21"/>
                <w:highlight w:val="none"/>
                <w:lang w:val="en-US" w:eastAsia="zh-CN"/>
              </w:rPr>
              <w:t>12</w:t>
            </w:r>
            <w:r>
              <w:rPr>
                <w:rFonts w:hint="eastAsia" w:ascii="宋体" w:hAnsi="宋体"/>
                <w:color w:val="auto"/>
                <w:szCs w:val="21"/>
                <w:highlight w:val="none"/>
              </w:rPr>
              <w:t>月</w:t>
            </w:r>
            <w:r>
              <w:rPr>
                <w:rFonts w:hint="eastAsia"/>
                <w:color w:val="auto"/>
                <w:szCs w:val="21"/>
                <w:highlight w:val="none"/>
                <w:lang w:val="en-US" w:eastAsia="zh-CN"/>
              </w:rPr>
              <w:t>31</w:t>
            </w:r>
            <w:r>
              <w:rPr>
                <w:rFonts w:hint="eastAsia" w:ascii="宋体" w:hAnsi="宋体"/>
                <w:color w:val="auto"/>
                <w:szCs w:val="21"/>
                <w:highlight w:val="none"/>
              </w:rPr>
              <w:t>日前交货完毕</w:t>
            </w:r>
          </w:p>
        </w:tc>
        <w:tc>
          <w:tcPr>
            <w:tcW w:w="794" w:type="dxa"/>
            <w:tcBorders>
              <w:top w:val="single" w:color="auto" w:sz="4" w:space="0"/>
              <w:left w:val="single" w:color="auto" w:sz="4" w:space="0"/>
              <w:bottom w:val="single" w:color="auto" w:sz="4" w:space="0"/>
              <w:right w:val="single" w:color="auto" w:sz="4" w:space="0"/>
            </w:tcBorders>
            <w:vAlign w:val="center"/>
          </w:tcPr>
          <w:p w14:paraId="5FD7C2DB">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3766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61066B9D">
            <w:pPr>
              <w:spacing w:before="72" w:after="72"/>
              <w:rPr>
                <w:rFonts w:hint="eastAsia" w:ascii="宋体" w:hAnsi="宋体"/>
                <w:color w:val="auto"/>
                <w:szCs w:val="21"/>
                <w:highlight w:val="none"/>
              </w:rPr>
            </w:pPr>
            <w:r>
              <w:rPr>
                <w:rFonts w:hint="eastAsia"/>
                <w:color w:val="auto"/>
                <w:szCs w:val="21"/>
                <w:highlight w:val="none"/>
              </w:rPr>
              <w:t>7</w:t>
            </w:r>
          </w:p>
        </w:tc>
        <w:tc>
          <w:tcPr>
            <w:tcW w:w="2740" w:type="dxa"/>
            <w:tcBorders>
              <w:top w:val="single" w:color="auto" w:sz="4" w:space="0"/>
              <w:left w:val="single" w:color="auto" w:sz="4" w:space="0"/>
              <w:bottom w:val="single" w:color="auto" w:sz="4" w:space="0"/>
              <w:right w:val="single" w:color="auto" w:sz="4" w:space="0"/>
            </w:tcBorders>
            <w:vAlign w:val="center"/>
          </w:tcPr>
          <w:p w14:paraId="61B3E7ED">
            <w:pPr>
              <w:spacing w:before="72" w:after="72"/>
              <w:rPr>
                <w:rFonts w:hint="eastAsia" w:ascii="宋体" w:hAnsi="宋体"/>
                <w:color w:val="auto"/>
                <w:szCs w:val="21"/>
                <w:highlight w:val="none"/>
              </w:rPr>
            </w:pPr>
            <w:r>
              <w:rPr>
                <w:rFonts w:hint="eastAsia" w:ascii="宋体" w:hAnsi="宋体"/>
                <w:color w:val="auto"/>
                <w:szCs w:val="21"/>
                <w:highlight w:val="none"/>
              </w:rPr>
              <w:t xml:space="preserve">安装、调试服务 </w:t>
            </w:r>
          </w:p>
        </w:tc>
        <w:tc>
          <w:tcPr>
            <w:tcW w:w="4294" w:type="dxa"/>
            <w:tcBorders>
              <w:top w:val="single" w:color="auto" w:sz="4" w:space="0"/>
              <w:left w:val="single" w:color="auto" w:sz="4" w:space="0"/>
              <w:bottom w:val="single" w:color="auto" w:sz="4" w:space="0"/>
              <w:right w:val="single" w:color="auto" w:sz="4" w:space="0"/>
            </w:tcBorders>
            <w:vAlign w:val="center"/>
          </w:tcPr>
          <w:p w14:paraId="4E80CC01">
            <w:pPr>
              <w:spacing w:before="72" w:after="72"/>
              <w:rPr>
                <w:rFonts w:hint="eastAsia" w:ascii="宋体" w:hAnsi="宋体"/>
                <w:color w:val="auto"/>
                <w:szCs w:val="21"/>
                <w:highlight w:val="none"/>
              </w:rPr>
            </w:pPr>
            <w:r>
              <w:rPr>
                <w:rFonts w:hint="eastAsia" w:ascii="宋体" w:hAnsi="宋体"/>
                <w:color w:val="auto"/>
                <w:szCs w:val="21"/>
                <w:highlight w:val="none"/>
              </w:rPr>
              <w:t>免费安装调试</w:t>
            </w:r>
          </w:p>
        </w:tc>
        <w:tc>
          <w:tcPr>
            <w:tcW w:w="794" w:type="dxa"/>
            <w:tcBorders>
              <w:top w:val="single" w:color="auto" w:sz="4" w:space="0"/>
              <w:left w:val="single" w:color="auto" w:sz="4" w:space="0"/>
              <w:bottom w:val="single" w:color="auto" w:sz="4" w:space="0"/>
              <w:right w:val="single" w:color="auto" w:sz="4" w:space="0"/>
            </w:tcBorders>
            <w:vAlign w:val="center"/>
          </w:tcPr>
          <w:p w14:paraId="32726AC3">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5E7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6933947D">
            <w:pPr>
              <w:spacing w:before="72" w:after="72"/>
              <w:rPr>
                <w:rFonts w:hint="eastAsia" w:ascii="宋体" w:hAnsi="宋体"/>
                <w:color w:val="auto"/>
                <w:szCs w:val="21"/>
                <w:highlight w:val="none"/>
              </w:rPr>
            </w:pPr>
            <w:r>
              <w:rPr>
                <w:rFonts w:hint="eastAsia"/>
                <w:color w:val="auto"/>
                <w:szCs w:val="21"/>
                <w:highlight w:val="none"/>
              </w:rPr>
              <w:t>8</w:t>
            </w:r>
          </w:p>
        </w:tc>
        <w:tc>
          <w:tcPr>
            <w:tcW w:w="2740" w:type="dxa"/>
            <w:tcBorders>
              <w:top w:val="single" w:color="auto" w:sz="4" w:space="0"/>
              <w:left w:val="single" w:color="auto" w:sz="4" w:space="0"/>
              <w:bottom w:val="single" w:color="auto" w:sz="4" w:space="0"/>
              <w:right w:val="single" w:color="auto" w:sz="4" w:space="0"/>
            </w:tcBorders>
            <w:vAlign w:val="center"/>
          </w:tcPr>
          <w:p w14:paraId="75BE3405">
            <w:pPr>
              <w:spacing w:before="72" w:after="72"/>
              <w:rPr>
                <w:rFonts w:hint="eastAsia" w:ascii="宋体" w:hAnsi="宋体"/>
                <w:color w:val="auto"/>
                <w:szCs w:val="21"/>
                <w:highlight w:val="none"/>
              </w:rPr>
            </w:pPr>
            <w:r>
              <w:rPr>
                <w:rFonts w:hint="eastAsia" w:ascii="宋体" w:hAnsi="宋体"/>
                <w:color w:val="auto"/>
                <w:szCs w:val="21"/>
                <w:highlight w:val="none"/>
              </w:rPr>
              <w:t>整机免费换货期限</w:t>
            </w:r>
          </w:p>
        </w:tc>
        <w:tc>
          <w:tcPr>
            <w:tcW w:w="4294" w:type="dxa"/>
            <w:tcBorders>
              <w:top w:val="single" w:color="auto" w:sz="4" w:space="0"/>
              <w:left w:val="single" w:color="auto" w:sz="4" w:space="0"/>
              <w:bottom w:val="single" w:color="auto" w:sz="4" w:space="0"/>
              <w:right w:val="single" w:color="auto" w:sz="4" w:space="0"/>
            </w:tcBorders>
            <w:vAlign w:val="center"/>
          </w:tcPr>
          <w:p w14:paraId="020C2C8F">
            <w:pPr>
              <w:spacing w:before="72" w:after="72"/>
              <w:rPr>
                <w:rFonts w:hint="eastAsia" w:ascii="宋体" w:hAnsi="宋体"/>
                <w:color w:val="auto"/>
                <w:szCs w:val="21"/>
                <w:highlight w:val="none"/>
              </w:rPr>
            </w:pPr>
            <w:r>
              <w:rPr>
                <w:rFonts w:hint="eastAsia"/>
                <w:color w:val="auto"/>
                <w:szCs w:val="21"/>
                <w:highlight w:val="none"/>
              </w:rPr>
              <w:t>12</w:t>
            </w:r>
            <w:r>
              <w:rPr>
                <w:rFonts w:hint="eastAsia" w:ascii="宋体" w:hAnsi="宋体"/>
                <w:color w:val="auto"/>
                <w:szCs w:val="21"/>
                <w:highlight w:val="none"/>
              </w:rPr>
              <w:t>个月</w:t>
            </w:r>
          </w:p>
        </w:tc>
        <w:tc>
          <w:tcPr>
            <w:tcW w:w="794" w:type="dxa"/>
            <w:tcBorders>
              <w:top w:val="single" w:color="auto" w:sz="4" w:space="0"/>
              <w:left w:val="single" w:color="auto" w:sz="4" w:space="0"/>
              <w:bottom w:val="single" w:color="auto" w:sz="4" w:space="0"/>
              <w:right w:val="single" w:color="auto" w:sz="4" w:space="0"/>
            </w:tcBorders>
            <w:vAlign w:val="center"/>
          </w:tcPr>
          <w:p w14:paraId="08FDEF1D">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15F0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50" w:type="dxa"/>
            <w:tcBorders>
              <w:top w:val="single" w:color="auto" w:sz="4" w:space="0"/>
              <w:left w:val="single" w:color="auto" w:sz="4" w:space="0"/>
              <w:bottom w:val="single" w:color="auto" w:sz="4" w:space="0"/>
              <w:right w:val="single" w:color="auto" w:sz="4" w:space="0"/>
            </w:tcBorders>
            <w:vAlign w:val="center"/>
          </w:tcPr>
          <w:p w14:paraId="47593EE5">
            <w:pPr>
              <w:spacing w:before="72" w:after="72"/>
              <w:rPr>
                <w:rFonts w:hint="eastAsia" w:ascii="宋体" w:hAnsi="宋体"/>
                <w:color w:val="auto"/>
                <w:szCs w:val="21"/>
                <w:highlight w:val="none"/>
              </w:rPr>
            </w:pPr>
            <w:r>
              <w:rPr>
                <w:rFonts w:hint="eastAsia"/>
                <w:color w:val="auto"/>
                <w:szCs w:val="21"/>
                <w:highlight w:val="none"/>
              </w:rPr>
              <w:t>9</w:t>
            </w:r>
          </w:p>
        </w:tc>
        <w:tc>
          <w:tcPr>
            <w:tcW w:w="2740" w:type="dxa"/>
            <w:tcBorders>
              <w:top w:val="single" w:color="auto" w:sz="4" w:space="0"/>
              <w:left w:val="single" w:color="auto" w:sz="4" w:space="0"/>
              <w:bottom w:val="single" w:color="auto" w:sz="4" w:space="0"/>
              <w:right w:val="single" w:color="auto" w:sz="4" w:space="0"/>
            </w:tcBorders>
            <w:vAlign w:val="center"/>
          </w:tcPr>
          <w:p w14:paraId="3E873055">
            <w:pPr>
              <w:spacing w:before="72" w:after="72"/>
              <w:rPr>
                <w:rFonts w:hint="eastAsia" w:ascii="宋体" w:hAnsi="宋体"/>
                <w:color w:val="auto"/>
                <w:szCs w:val="21"/>
                <w:highlight w:val="none"/>
              </w:rPr>
            </w:pPr>
            <w:r>
              <w:rPr>
                <w:rFonts w:hint="eastAsia" w:ascii="宋体" w:hAnsi="宋体"/>
                <w:color w:val="auto"/>
                <w:szCs w:val="21"/>
                <w:highlight w:val="none"/>
              </w:rPr>
              <w:t>免费上门服务期</w:t>
            </w:r>
          </w:p>
        </w:tc>
        <w:tc>
          <w:tcPr>
            <w:tcW w:w="4294" w:type="dxa"/>
            <w:tcBorders>
              <w:top w:val="single" w:color="auto" w:sz="4" w:space="0"/>
              <w:left w:val="single" w:color="auto" w:sz="4" w:space="0"/>
              <w:bottom w:val="single" w:color="auto" w:sz="4" w:space="0"/>
              <w:right w:val="single" w:color="auto" w:sz="4" w:space="0"/>
            </w:tcBorders>
            <w:vAlign w:val="center"/>
          </w:tcPr>
          <w:p w14:paraId="27C01EFD">
            <w:pPr>
              <w:spacing w:before="72" w:after="72"/>
              <w:rPr>
                <w:rFonts w:hint="eastAsia" w:ascii="宋体" w:hAnsi="宋体"/>
                <w:color w:val="auto"/>
                <w:szCs w:val="21"/>
                <w:highlight w:val="none"/>
              </w:rPr>
            </w:pPr>
            <w:r>
              <w:rPr>
                <w:rFonts w:hint="eastAsia" w:ascii="宋体" w:hAnsi="宋体"/>
                <w:color w:val="auto"/>
                <w:szCs w:val="21"/>
                <w:highlight w:val="none"/>
              </w:rPr>
              <w:t>终身。提供随叫随到上门服务，全天候</w:t>
            </w:r>
            <w:r>
              <w:rPr>
                <w:rFonts w:hint="eastAsia"/>
                <w:color w:val="auto"/>
                <w:szCs w:val="21"/>
                <w:highlight w:val="none"/>
              </w:rPr>
              <w:t>24</w:t>
            </w:r>
            <w:r>
              <w:rPr>
                <w:rFonts w:hint="eastAsia" w:ascii="宋体" w:hAnsi="宋体"/>
                <w:color w:val="auto"/>
                <w:szCs w:val="21"/>
                <w:highlight w:val="none"/>
              </w:rPr>
              <w:t>小时响应（包括节假日如春节、国庆节、五一节等），</w:t>
            </w:r>
          </w:p>
        </w:tc>
        <w:tc>
          <w:tcPr>
            <w:tcW w:w="794" w:type="dxa"/>
            <w:tcBorders>
              <w:top w:val="single" w:color="auto" w:sz="4" w:space="0"/>
              <w:left w:val="single" w:color="auto" w:sz="4" w:space="0"/>
              <w:bottom w:val="single" w:color="auto" w:sz="4" w:space="0"/>
              <w:right w:val="single" w:color="auto" w:sz="4" w:space="0"/>
            </w:tcBorders>
            <w:vAlign w:val="center"/>
          </w:tcPr>
          <w:p w14:paraId="62EE4025">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7C29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0D231913">
            <w:pPr>
              <w:spacing w:before="72" w:after="72"/>
              <w:rPr>
                <w:rFonts w:hint="eastAsia" w:ascii="宋体" w:hAnsi="宋体"/>
                <w:color w:val="auto"/>
                <w:szCs w:val="21"/>
                <w:highlight w:val="none"/>
              </w:rPr>
            </w:pPr>
            <w:r>
              <w:rPr>
                <w:rFonts w:hint="eastAsia"/>
                <w:color w:val="auto"/>
                <w:szCs w:val="21"/>
                <w:highlight w:val="none"/>
              </w:rPr>
              <w:t>10</w:t>
            </w:r>
          </w:p>
        </w:tc>
        <w:tc>
          <w:tcPr>
            <w:tcW w:w="2740" w:type="dxa"/>
            <w:tcBorders>
              <w:top w:val="single" w:color="auto" w:sz="4" w:space="0"/>
              <w:left w:val="single" w:color="auto" w:sz="4" w:space="0"/>
              <w:bottom w:val="single" w:color="auto" w:sz="4" w:space="0"/>
              <w:right w:val="single" w:color="auto" w:sz="4" w:space="0"/>
            </w:tcBorders>
            <w:vAlign w:val="center"/>
          </w:tcPr>
          <w:p w14:paraId="2B89ECB6">
            <w:pPr>
              <w:spacing w:before="72" w:after="72"/>
              <w:rPr>
                <w:rFonts w:hint="eastAsia" w:ascii="宋体" w:hAnsi="宋体"/>
                <w:color w:val="auto"/>
                <w:szCs w:val="21"/>
                <w:highlight w:val="none"/>
              </w:rPr>
            </w:pPr>
            <w:r>
              <w:rPr>
                <w:rFonts w:hint="eastAsia" w:ascii="宋体" w:hAnsi="宋体"/>
                <w:color w:val="auto"/>
                <w:szCs w:val="21"/>
                <w:highlight w:val="none"/>
              </w:rPr>
              <w:t>质保期内产品故障服务响应时限</w:t>
            </w:r>
          </w:p>
        </w:tc>
        <w:tc>
          <w:tcPr>
            <w:tcW w:w="4294" w:type="dxa"/>
            <w:tcBorders>
              <w:top w:val="single" w:color="auto" w:sz="4" w:space="0"/>
              <w:left w:val="single" w:color="auto" w:sz="4" w:space="0"/>
              <w:bottom w:val="single" w:color="auto" w:sz="4" w:space="0"/>
              <w:right w:val="single" w:color="auto" w:sz="4" w:space="0"/>
            </w:tcBorders>
            <w:vAlign w:val="center"/>
          </w:tcPr>
          <w:p w14:paraId="27680350">
            <w:pPr>
              <w:spacing w:before="72" w:after="72"/>
              <w:rPr>
                <w:rFonts w:hint="eastAsia" w:ascii="宋体" w:hAnsi="宋体"/>
                <w:color w:val="auto"/>
                <w:szCs w:val="21"/>
                <w:highlight w:val="none"/>
              </w:rPr>
            </w:pPr>
            <w:r>
              <w:rPr>
                <w:rFonts w:hint="eastAsia"/>
                <w:color w:val="auto"/>
                <w:szCs w:val="21"/>
                <w:highlight w:val="none"/>
              </w:rPr>
              <w:t>2</w:t>
            </w:r>
            <w:r>
              <w:rPr>
                <w:rFonts w:hint="eastAsia" w:ascii="宋体" w:hAnsi="宋体"/>
                <w:color w:val="auto"/>
                <w:szCs w:val="21"/>
                <w:highlight w:val="none"/>
              </w:rPr>
              <w:t>个小时内响应</w:t>
            </w:r>
          </w:p>
        </w:tc>
        <w:tc>
          <w:tcPr>
            <w:tcW w:w="794" w:type="dxa"/>
            <w:tcBorders>
              <w:top w:val="single" w:color="auto" w:sz="4" w:space="0"/>
              <w:left w:val="single" w:color="auto" w:sz="4" w:space="0"/>
              <w:bottom w:val="single" w:color="auto" w:sz="4" w:space="0"/>
              <w:right w:val="single" w:color="auto" w:sz="4" w:space="0"/>
            </w:tcBorders>
            <w:vAlign w:val="center"/>
          </w:tcPr>
          <w:p w14:paraId="33D18730">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302B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650" w:type="dxa"/>
            <w:tcBorders>
              <w:top w:val="single" w:color="auto" w:sz="4" w:space="0"/>
              <w:left w:val="single" w:color="auto" w:sz="4" w:space="0"/>
              <w:bottom w:val="single" w:color="auto" w:sz="4" w:space="0"/>
              <w:right w:val="single" w:color="auto" w:sz="4" w:space="0"/>
            </w:tcBorders>
            <w:vAlign w:val="center"/>
          </w:tcPr>
          <w:p w14:paraId="526C6B9C">
            <w:pPr>
              <w:spacing w:before="72" w:after="72"/>
              <w:rPr>
                <w:rFonts w:hint="eastAsia" w:ascii="宋体" w:hAnsi="宋体"/>
                <w:color w:val="auto"/>
                <w:szCs w:val="21"/>
                <w:highlight w:val="none"/>
              </w:rPr>
            </w:pPr>
            <w:r>
              <w:rPr>
                <w:rFonts w:hint="eastAsia"/>
                <w:color w:val="auto"/>
                <w:szCs w:val="21"/>
                <w:highlight w:val="none"/>
              </w:rPr>
              <w:t>11</w:t>
            </w:r>
          </w:p>
        </w:tc>
        <w:tc>
          <w:tcPr>
            <w:tcW w:w="2740" w:type="dxa"/>
            <w:tcBorders>
              <w:top w:val="single" w:color="auto" w:sz="4" w:space="0"/>
              <w:left w:val="single" w:color="auto" w:sz="4" w:space="0"/>
              <w:bottom w:val="single" w:color="auto" w:sz="4" w:space="0"/>
              <w:right w:val="single" w:color="auto" w:sz="4" w:space="0"/>
            </w:tcBorders>
            <w:vAlign w:val="center"/>
          </w:tcPr>
          <w:p w14:paraId="3DB5FA71">
            <w:pPr>
              <w:spacing w:before="72" w:after="72"/>
              <w:rPr>
                <w:rFonts w:hint="eastAsia" w:ascii="宋体" w:hAnsi="宋体"/>
                <w:color w:val="auto"/>
                <w:szCs w:val="21"/>
                <w:highlight w:val="none"/>
              </w:rPr>
            </w:pPr>
            <w:r>
              <w:rPr>
                <w:rFonts w:hint="eastAsia" w:ascii="宋体" w:hAnsi="宋体"/>
                <w:color w:val="auto"/>
                <w:szCs w:val="21"/>
                <w:highlight w:val="none"/>
              </w:rPr>
              <w:t>服务时间</w:t>
            </w:r>
          </w:p>
        </w:tc>
        <w:tc>
          <w:tcPr>
            <w:tcW w:w="4294" w:type="dxa"/>
            <w:tcBorders>
              <w:top w:val="single" w:color="auto" w:sz="4" w:space="0"/>
              <w:left w:val="single" w:color="auto" w:sz="4" w:space="0"/>
              <w:bottom w:val="single" w:color="auto" w:sz="4" w:space="0"/>
              <w:right w:val="single" w:color="auto" w:sz="4" w:space="0"/>
            </w:tcBorders>
            <w:vAlign w:val="center"/>
          </w:tcPr>
          <w:p w14:paraId="7ABC2576">
            <w:pPr>
              <w:spacing w:before="72" w:after="72"/>
              <w:rPr>
                <w:rFonts w:hint="eastAsia" w:ascii="宋体" w:hAnsi="宋体"/>
                <w:color w:val="auto"/>
                <w:szCs w:val="21"/>
                <w:highlight w:val="none"/>
              </w:rPr>
            </w:pPr>
            <w:r>
              <w:rPr>
                <w:rFonts w:hint="eastAsia"/>
                <w:color w:val="auto"/>
                <w:szCs w:val="21"/>
                <w:highlight w:val="none"/>
              </w:rPr>
              <w:t>24</w:t>
            </w:r>
            <w:r>
              <w:rPr>
                <w:rFonts w:hint="eastAsia" w:ascii="宋体" w:hAnsi="宋体"/>
                <w:color w:val="auto"/>
                <w:szCs w:val="21"/>
                <w:highlight w:val="none"/>
              </w:rPr>
              <w:t>小时（包括节假日如春节、国庆节、五一节等）</w:t>
            </w:r>
          </w:p>
        </w:tc>
        <w:tc>
          <w:tcPr>
            <w:tcW w:w="794" w:type="dxa"/>
            <w:tcBorders>
              <w:top w:val="single" w:color="auto" w:sz="4" w:space="0"/>
              <w:left w:val="single" w:color="auto" w:sz="4" w:space="0"/>
              <w:bottom w:val="single" w:color="auto" w:sz="4" w:space="0"/>
              <w:right w:val="single" w:color="auto" w:sz="4" w:space="0"/>
            </w:tcBorders>
            <w:vAlign w:val="center"/>
          </w:tcPr>
          <w:p w14:paraId="685E837D">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0C5E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7466AD35">
            <w:pPr>
              <w:spacing w:before="72" w:after="72"/>
              <w:rPr>
                <w:rFonts w:hint="eastAsia" w:ascii="宋体" w:hAnsi="宋体"/>
                <w:color w:val="auto"/>
                <w:szCs w:val="21"/>
                <w:highlight w:val="none"/>
              </w:rPr>
            </w:pPr>
            <w:r>
              <w:rPr>
                <w:rFonts w:hint="eastAsia"/>
                <w:color w:val="auto"/>
                <w:szCs w:val="21"/>
                <w:highlight w:val="none"/>
              </w:rPr>
              <w:t>12</w:t>
            </w:r>
          </w:p>
        </w:tc>
        <w:tc>
          <w:tcPr>
            <w:tcW w:w="2740" w:type="dxa"/>
            <w:tcBorders>
              <w:top w:val="single" w:color="auto" w:sz="4" w:space="0"/>
              <w:left w:val="single" w:color="auto" w:sz="4" w:space="0"/>
              <w:bottom w:val="single" w:color="auto" w:sz="4" w:space="0"/>
              <w:right w:val="single" w:color="auto" w:sz="4" w:space="0"/>
            </w:tcBorders>
            <w:vAlign w:val="center"/>
          </w:tcPr>
          <w:p w14:paraId="4249052D">
            <w:pPr>
              <w:spacing w:before="72" w:after="72"/>
              <w:rPr>
                <w:rFonts w:hint="eastAsia" w:ascii="宋体" w:hAnsi="宋体"/>
                <w:color w:val="auto"/>
                <w:szCs w:val="21"/>
                <w:highlight w:val="none"/>
              </w:rPr>
            </w:pPr>
            <w:r>
              <w:rPr>
                <w:rFonts w:hint="eastAsia" w:ascii="宋体" w:hAnsi="宋体"/>
                <w:color w:val="auto"/>
                <w:szCs w:val="21"/>
                <w:highlight w:val="none"/>
              </w:rPr>
              <w:t>上门时间</w:t>
            </w:r>
          </w:p>
        </w:tc>
        <w:tc>
          <w:tcPr>
            <w:tcW w:w="4294" w:type="dxa"/>
            <w:tcBorders>
              <w:top w:val="single" w:color="auto" w:sz="4" w:space="0"/>
              <w:left w:val="single" w:color="auto" w:sz="4" w:space="0"/>
              <w:bottom w:val="single" w:color="auto" w:sz="4" w:space="0"/>
              <w:right w:val="single" w:color="auto" w:sz="4" w:space="0"/>
            </w:tcBorders>
            <w:vAlign w:val="center"/>
          </w:tcPr>
          <w:p w14:paraId="2E41E05D">
            <w:pPr>
              <w:spacing w:before="72" w:after="72"/>
              <w:rPr>
                <w:rFonts w:hint="eastAsia" w:ascii="宋体" w:hAnsi="宋体"/>
                <w:color w:val="auto"/>
                <w:szCs w:val="21"/>
                <w:highlight w:val="none"/>
              </w:rPr>
            </w:pPr>
            <w:r>
              <w:rPr>
                <w:rFonts w:hint="eastAsia"/>
                <w:color w:val="auto"/>
                <w:szCs w:val="21"/>
                <w:highlight w:val="none"/>
              </w:rPr>
              <w:t>2</w:t>
            </w:r>
            <w:r>
              <w:rPr>
                <w:rFonts w:hint="eastAsia" w:ascii="宋体" w:hAnsi="宋体"/>
                <w:color w:val="auto"/>
                <w:szCs w:val="21"/>
                <w:highlight w:val="none"/>
              </w:rPr>
              <w:t>小时内响应及时上门</w:t>
            </w:r>
          </w:p>
        </w:tc>
        <w:tc>
          <w:tcPr>
            <w:tcW w:w="794" w:type="dxa"/>
            <w:tcBorders>
              <w:top w:val="single" w:color="auto" w:sz="4" w:space="0"/>
              <w:left w:val="single" w:color="auto" w:sz="4" w:space="0"/>
              <w:bottom w:val="single" w:color="auto" w:sz="4" w:space="0"/>
              <w:right w:val="single" w:color="auto" w:sz="4" w:space="0"/>
            </w:tcBorders>
            <w:vAlign w:val="center"/>
          </w:tcPr>
          <w:p w14:paraId="0E986547">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46B2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39921685">
            <w:pPr>
              <w:spacing w:before="72" w:after="72"/>
              <w:rPr>
                <w:rFonts w:hint="eastAsia" w:ascii="宋体" w:hAnsi="宋体"/>
                <w:color w:val="auto"/>
                <w:szCs w:val="21"/>
                <w:highlight w:val="none"/>
              </w:rPr>
            </w:pPr>
            <w:r>
              <w:rPr>
                <w:rFonts w:hint="eastAsia"/>
                <w:color w:val="auto"/>
                <w:szCs w:val="21"/>
                <w:highlight w:val="none"/>
              </w:rPr>
              <w:t>13</w:t>
            </w:r>
          </w:p>
        </w:tc>
        <w:tc>
          <w:tcPr>
            <w:tcW w:w="2740" w:type="dxa"/>
            <w:tcBorders>
              <w:top w:val="single" w:color="auto" w:sz="4" w:space="0"/>
              <w:left w:val="single" w:color="auto" w:sz="4" w:space="0"/>
              <w:bottom w:val="single" w:color="auto" w:sz="4" w:space="0"/>
              <w:right w:val="single" w:color="auto" w:sz="4" w:space="0"/>
            </w:tcBorders>
            <w:vAlign w:val="center"/>
          </w:tcPr>
          <w:p w14:paraId="4024E33B">
            <w:pPr>
              <w:spacing w:before="72" w:after="72"/>
              <w:rPr>
                <w:rFonts w:hint="eastAsia" w:ascii="宋体" w:hAnsi="宋体"/>
                <w:color w:val="auto"/>
                <w:szCs w:val="21"/>
                <w:highlight w:val="none"/>
              </w:rPr>
            </w:pPr>
            <w:r>
              <w:rPr>
                <w:rFonts w:hint="eastAsia" w:ascii="宋体" w:hAnsi="宋体"/>
                <w:color w:val="auto"/>
                <w:szCs w:val="21"/>
                <w:highlight w:val="none"/>
              </w:rPr>
              <w:t>故障修复时限</w:t>
            </w:r>
          </w:p>
        </w:tc>
        <w:tc>
          <w:tcPr>
            <w:tcW w:w="4294" w:type="dxa"/>
            <w:tcBorders>
              <w:top w:val="single" w:color="auto" w:sz="4" w:space="0"/>
              <w:left w:val="single" w:color="auto" w:sz="4" w:space="0"/>
              <w:bottom w:val="single" w:color="auto" w:sz="4" w:space="0"/>
              <w:right w:val="single" w:color="auto" w:sz="4" w:space="0"/>
            </w:tcBorders>
            <w:vAlign w:val="center"/>
          </w:tcPr>
          <w:p w14:paraId="47C5C2B5">
            <w:pPr>
              <w:spacing w:before="72" w:after="72"/>
              <w:rPr>
                <w:rFonts w:hint="eastAsia" w:ascii="宋体" w:hAnsi="宋体"/>
                <w:color w:val="auto"/>
                <w:szCs w:val="21"/>
                <w:highlight w:val="none"/>
              </w:rPr>
            </w:pPr>
            <w:r>
              <w:rPr>
                <w:rFonts w:hint="eastAsia"/>
                <w:color w:val="auto"/>
                <w:szCs w:val="21"/>
                <w:highlight w:val="none"/>
              </w:rPr>
              <w:t>8</w:t>
            </w:r>
            <w:r>
              <w:rPr>
                <w:rFonts w:hint="eastAsia" w:ascii="宋体" w:hAnsi="宋体"/>
                <w:color w:val="auto"/>
                <w:szCs w:val="21"/>
                <w:highlight w:val="none"/>
              </w:rPr>
              <w:t>个小时内修复</w:t>
            </w:r>
          </w:p>
        </w:tc>
        <w:tc>
          <w:tcPr>
            <w:tcW w:w="794" w:type="dxa"/>
            <w:tcBorders>
              <w:top w:val="single" w:color="auto" w:sz="4" w:space="0"/>
              <w:left w:val="single" w:color="auto" w:sz="4" w:space="0"/>
              <w:bottom w:val="single" w:color="auto" w:sz="4" w:space="0"/>
              <w:right w:val="single" w:color="auto" w:sz="4" w:space="0"/>
            </w:tcBorders>
            <w:vAlign w:val="center"/>
          </w:tcPr>
          <w:p w14:paraId="50D56193">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274F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719C560B">
            <w:pPr>
              <w:spacing w:before="72" w:after="72"/>
              <w:rPr>
                <w:rFonts w:hint="eastAsia" w:ascii="宋体" w:hAnsi="宋体"/>
                <w:color w:val="auto"/>
                <w:szCs w:val="21"/>
                <w:highlight w:val="none"/>
              </w:rPr>
            </w:pPr>
            <w:r>
              <w:rPr>
                <w:rFonts w:hint="eastAsia"/>
                <w:color w:val="auto"/>
                <w:szCs w:val="21"/>
                <w:highlight w:val="none"/>
              </w:rPr>
              <w:t>14</w:t>
            </w:r>
          </w:p>
        </w:tc>
        <w:tc>
          <w:tcPr>
            <w:tcW w:w="2740" w:type="dxa"/>
            <w:tcBorders>
              <w:top w:val="single" w:color="auto" w:sz="4" w:space="0"/>
              <w:left w:val="single" w:color="auto" w:sz="4" w:space="0"/>
              <w:bottom w:val="single" w:color="auto" w:sz="4" w:space="0"/>
              <w:right w:val="single" w:color="auto" w:sz="4" w:space="0"/>
            </w:tcBorders>
            <w:vAlign w:val="center"/>
          </w:tcPr>
          <w:p w14:paraId="51AADADF">
            <w:pPr>
              <w:spacing w:before="72" w:after="72"/>
              <w:rPr>
                <w:rFonts w:hint="eastAsia" w:ascii="宋体" w:hAnsi="宋体"/>
                <w:color w:val="auto"/>
                <w:szCs w:val="21"/>
                <w:highlight w:val="none"/>
              </w:rPr>
            </w:pPr>
            <w:r>
              <w:rPr>
                <w:rFonts w:hint="eastAsia" w:ascii="宋体" w:hAnsi="宋体"/>
                <w:color w:val="auto"/>
                <w:szCs w:val="21"/>
                <w:highlight w:val="none"/>
              </w:rPr>
              <w:t>备品配件供应响应时限</w:t>
            </w:r>
          </w:p>
        </w:tc>
        <w:tc>
          <w:tcPr>
            <w:tcW w:w="4294" w:type="dxa"/>
            <w:tcBorders>
              <w:top w:val="single" w:color="auto" w:sz="4" w:space="0"/>
              <w:left w:val="single" w:color="auto" w:sz="4" w:space="0"/>
              <w:bottom w:val="single" w:color="auto" w:sz="4" w:space="0"/>
              <w:right w:val="single" w:color="auto" w:sz="4" w:space="0"/>
            </w:tcBorders>
            <w:vAlign w:val="center"/>
          </w:tcPr>
          <w:p w14:paraId="13FAB72B">
            <w:pPr>
              <w:spacing w:before="72" w:after="72"/>
              <w:rPr>
                <w:rFonts w:hint="eastAsia" w:ascii="宋体" w:hAnsi="宋体"/>
                <w:color w:val="auto"/>
                <w:szCs w:val="21"/>
                <w:highlight w:val="none"/>
              </w:rPr>
            </w:pPr>
            <w:r>
              <w:rPr>
                <w:rFonts w:hint="eastAsia"/>
                <w:color w:val="auto"/>
                <w:szCs w:val="21"/>
                <w:highlight w:val="none"/>
              </w:rPr>
              <w:t>1</w:t>
            </w:r>
            <w:r>
              <w:rPr>
                <w:rFonts w:hint="eastAsia" w:ascii="宋体" w:hAnsi="宋体"/>
                <w:color w:val="auto"/>
                <w:szCs w:val="21"/>
                <w:highlight w:val="none"/>
              </w:rPr>
              <w:t>个工作日内</w:t>
            </w:r>
          </w:p>
        </w:tc>
        <w:tc>
          <w:tcPr>
            <w:tcW w:w="794" w:type="dxa"/>
            <w:tcBorders>
              <w:top w:val="single" w:color="auto" w:sz="4" w:space="0"/>
              <w:left w:val="single" w:color="auto" w:sz="4" w:space="0"/>
              <w:bottom w:val="single" w:color="auto" w:sz="4" w:space="0"/>
              <w:right w:val="single" w:color="auto" w:sz="4" w:space="0"/>
            </w:tcBorders>
            <w:vAlign w:val="center"/>
          </w:tcPr>
          <w:p w14:paraId="414C8721">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17CA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5D2FDDEA">
            <w:pPr>
              <w:spacing w:before="72" w:after="72"/>
              <w:rPr>
                <w:rFonts w:hint="eastAsia" w:ascii="宋体" w:hAnsi="宋体"/>
                <w:color w:val="auto"/>
                <w:szCs w:val="21"/>
                <w:highlight w:val="none"/>
              </w:rPr>
            </w:pPr>
            <w:r>
              <w:rPr>
                <w:rFonts w:hint="eastAsia"/>
                <w:color w:val="auto"/>
                <w:szCs w:val="21"/>
                <w:highlight w:val="none"/>
              </w:rPr>
              <w:t>15</w:t>
            </w:r>
          </w:p>
        </w:tc>
        <w:tc>
          <w:tcPr>
            <w:tcW w:w="2740" w:type="dxa"/>
            <w:tcBorders>
              <w:top w:val="single" w:color="auto" w:sz="4" w:space="0"/>
              <w:left w:val="single" w:color="auto" w:sz="4" w:space="0"/>
              <w:bottom w:val="single" w:color="auto" w:sz="4" w:space="0"/>
              <w:right w:val="single" w:color="auto" w:sz="4" w:space="0"/>
            </w:tcBorders>
            <w:vAlign w:val="center"/>
          </w:tcPr>
          <w:p w14:paraId="2E9763F7">
            <w:pPr>
              <w:spacing w:before="72" w:after="72"/>
              <w:rPr>
                <w:rFonts w:hint="eastAsia" w:ascii="宋体" w:hAnsi="宋体"/>
                <w:color w:val="auto"/>
                <w:szCs w:val="21"/>
                <w:highlight w:val="none"/>
              </w:rPr>
            </w:pPr>
            <w:r>
              <w:rPr>
                <w:rFonts w:hint="eastAsia" w:ascii="宋体" w:hAnsi="宋体"/>
                <w:color w:val="auto"/>
                <w:szCs w:val="21"/>
                <w:highlight w:val="none"/>
              </w:rPr>
              <w:t>保质期满后的保修服务费用</w:t>
            </w:r>
          </w:p>
        </w:tc>
        <w:tc>
          <w:tcPr>
            <w:tcW w:w="4294" w:type="dxa"/>
            <w:tcBorders>
              <w:top w:val="single" w:color="auto" w:sz="4" w:space="0"/>
              <w:left w:val="single" w:color="auto" w:sz="4" w:space="0"/>
              <w:bottom w:val="single" w:color="auto" w:sz="4" w:space="0"/>
              <w:right w:val="single" w:color="auto" w:sz="4" w:space="0"/>
            </w:tcBorders>
            <w:vAlign w:val="center"/>
          </w:tcPr>
          <w:p w14:paraId="5CCA0800">
            <w:pPr>
              <w:spacing w:before="72" w:after="72"/>
              <w:rPr>
                <w:rFonts w:hint="eastAsia" w:ascii="宋体" w:hAnsi="宋体"/>
                <w:color w:val="auto"/>
                <w:szCs w:val="21"/>
                <w:highlight w:val="none"/>
              </w:rPr>
            </w:pPr>
            <w:r>
              <w:rPr>
                <w:rFonts w:hint="eastAsia" w:ascii="宋体" w:hAnsi="宋体"/>
                <w:color w:val="auto"/>
                <w:szCs w:val="21"/>
                <w:highlight w:val="none"/>
              </w:rPr>
              <w:t>详见开标一览表</w:t>
            </w:r>
          </w:p>
        </w:tc>
        <w:tc>
          <w:tcPr>
            <w:tcW w:w="794" w:type="dxa"/>
            <w:tcBorders>
              <w:top w:val="single" w:color="auto" w:sz="4" w:space="0"/>
              <w:left w:val="single" w:color="auto" w:sz="4" w:space="0"/>
              <w:bottom w:val="single" w:color="auto" w:sz="4" w:space="0"/>
              <w:right w:val="single" w:color="auto" w:sz="4" w:space="0"/>
            </w:tcBorders>
            <w:vAlign w:val="center"/>
          </w:tcPr>
          <w:p w14:paraId="55CF6520">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3DCE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0DBC1DFC">
            <w:pPr>
              <w:spacing w:before="72" w:after="72"/>
              <w:rPr>
                <w:rFonts w:hint="eastAsia" w:ascii="宋体" w:hAnsi="宋体"/>
                <w:color w:val="auto"/>
                <w:szCs w:val="21"/>
                <w:highlight w:val="none"/>
              </w:rPr>
            </w:pPr>
            <w:r>
              <w:rPr>
                <w:rFonts w:hint="eastAsia"/>
                <w:color w:val="auto"/>
                <w:szCs w:val="21"/>
                <w:highlight w:val="none"/>
              </w:rPr>
              <w:t>16</w:t>
            </w:r>
          </w:p>
        </w:tc>
        <w:tc>
          <w:tcPr>
            <w:tcW w:w="2740" w:type="dxa"/>
            <w:tcBorders>
              <w:top w:val="single" w:color="auto" w:sz="4" w:space="0"/>
              <w:left w:val="single" w:color="auto" w:sz="4" w:space="0"/>
              <w:bottom w:val="single" w:color="auto" w:sz="4" w:space="0"/>
              <w:right w:val="single" w:color="auto" w:sz="4" w:space="0"/>
            </w:tcBorders>
            <w:vAlign w:val="center"/>
          </w:tcPr>
          <w:p w14:paraId="6FCE9189">
            <w:pPr>
              <w:spacing w:before="72" w:after="72"/>
              <w:rPr>
                <w:rFonts w:hint="eastAsia" w:ascii="宋体" w:hAnsi="宋体"/>
                <w:color w:val="auto"/>
                <w:szCs w:val="21"/>
                <w:highlight w:val="none"/>
              </w:rPr>
            </w:pPr>
            <w:r>
              <w:rPr>
                <w:rFonts w:hint="eastAsia" w:ascii="宋体" w:hAnsi="宋体"/>
                <w:color w:val="auto"/>
                <w:szCs w:val="21"/>
                <w:highlight w:val="none"/>
              </w:rPr>
              <w:t>免费技术支持</w:t>
            </w:r>
          </w:p>
        </w:tc>
        <w:tc>
          <w:tcPr>
            <w:tcW w:w="4294" w:type="dxa"/>
            <w:tcBorders>
              <w:top w:val="single" w:color="auto" w:sz="4" w:space="0"/>
              <w:left w:val="single" w:color="auto" w:sz="4" w:space="0"/>
              <w:bottom w:val="single" w:color="auto" w:sz="4" w:space="0"/>
              <w:right w:val="single" w:color="auto" w:sz="4" w:space="0"/>
            </w:tcBorders>
            <w:vAlign w:val="center"/>
          </w:tcPr>
          <w:p w14:paraId="1E41162D">
            <w:pPr>
              <w:spacing w:before="72" w:after="72"/>
              <w:rPr>
                <w:rFonts w:hint="eastAsia" w:ascii="宋体" w:hAnsi="宋体"/>
                <w:color w:val="auto"/>
                <w:szCs w:val="21"/>
                <w:highlight w:val="none"/>
              </w:rPr>
            </w:pPr>
            <w:r>
              <w:rPr>
                <w:rFonts w:hint="eastAsia" w:ascii="宋体" w:hAnsi="宋体"/>
                <w:color w:val="auto"/>
                <w:szCs w:val="21"/>
                <w:highlight w:val="none"/>
              </w:rPr>
              <w:t>终身</w:t>
            </w:r>
          </w:p>
        </w:tc>
        <w:tc>
          <w:tcPr>
            <w:tcW w:w="794" w:type="dxa"/>
            <w:tcBorders>
              <w:top w:val="single" w:color="auto" w:sz="4" w:space="0"/>
              <w:left w:val="single" w:color="auto" w:sz="4" w:space="0"/>
              <w:bottom w:val="single" w:color="auto" w:sz="4" w:space="0"/>
              <w:right w:val="single" w:color="auto" w:sz="4" w:space="0"/>
            </w:tcBorders>
            <w:vAlign w:val="center"/>
          </w:tcPr>
          <w:p w14:paraId="5B4B5EF5">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7989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650" w:type="dxa"/>
            <w:tcBorders>
              <w:top w:val="single" w:color="auto" w:sz="4" w:space="0"/>
              <w:left w:val="single" w:color="auto" w:sz="4" w:space="0"/>
              <w:bottom w:val="single" w:color="auto" w:sz="4" w:space="0"/>
              <w:right w:val="single" w:color="auto" w:sz="4" w:space="0"/>
            </w:tcBorders>
            <w:vAlign w:val="center"/>
          </w:tcPr>
          <w:p w14:paraId="5764A2C6">
            <w:pPr>
              <w:spacing w:before="72" w:after="72"/>
              <w:rPr>
                <w:rFonts w:hint="eastAsia" w:ascii="宋体" w:hAnsi="宋体"/>
                <w:color w:val="auto"/>
                <w:szCs w:val="21"/>
                <w:highlight w:val="none"/>
              </w:rPr>
            </w:pPr>
            <w:r>
              <w:rPr>
                <w:rFonts w:hint="eastAsia"/>
                <w:color w:val="auto"/>
                <w:szCs w:val="21"/>
                <w:highlight w:val="none"/>
              </w:rPr>
              <w:t>17</w:t>
            </w:r>
          </w:p>
        </w:tc>
        <w:tc>
          <w:tcPr>
            <w:tcW w:w="2740" w:type="dxa"/>
            <w:tcBorders>
              <w:top w:val="single" w:color="auto" w:sz="4" w:space="0"/>
              <w:left w:val="single" w:color="auto" w:sz="4" w:space="0"/>
              <w:bottom w:val="single" w:color="auto" w:sz="4" w:space="0"/>
              <w:right w:val="single" w:color="auto" w:sz="4" w:space="0"/>
            </w:tcBorders>
            <w:vAlign w:val="center"/>
          </w:tcPr>
          <w:p w14:paraId="2457FC90">
            <w:pPr>
              <w:spacing w:before="72" w:after="72"/>
              <w:rPr>
                <w:rFonts w:hint="eastAsia" w:ascii="宋体" w:hAnsi="宋体"/>
                <w:color w:val="auto"/>
                <w:szCs w:val="21"/>
                <w:highlight w:val="none"/>
              </w:rPr>
            </w:pPr>
            <w:r>
              <w:rPr>
                <w:rFonts w:hint="eastAsia" w:ascii="宋体" w:hAnsi="宋体"/>
                <w:color w:val="auto"/>
                <w:szCs w:val="21"/>
                <w:highlight w:val="none"/>
              </w:rPr>
              <w:t>客户操作人员技术培训</w:t>
            </w:r>
          </w:p>
        </w:tc>
        <w:tc>
          <w:tcPr>
            <w:tcW w:w="4294" w:type="dxa"/>
            <w:tcBorders>
              <w:top w:val="single" w:color="auto" w:sz="4" w:space="0"/>
              <w:left w:val="single" w:color="auto" w:sz="4" w:space="0"/>
              <w:bottom w:val="single" w:color="auto" w:sz="4" w:space="0"/>
              <w:right w:val="single" w:color="auto" w:sz="4" w:space="0"/>
            </w:tcBorders>
            <w:vAlign w:val="center"/>
          </w:tcPr>
          <w:p w14:paraId="692F0C3D">
            <w:pPr>
              <w:spacing w:before="72" w:after="72"/>
              <w:rPr>
                <w:rFonts w:hint="eastAsia" w:ascii="宋体" w:hAnsi="宋体"/>
                <w:color w:val="auto"/>
                <w:szCs w:val="21"/>
                <w:highlight w:val="none"/>
              </w:rPr>
            </w:pPr>
            <w:r>
              <w:rPr>
                <w:rFonts w:hint="eastAsia" w:ascii="宋体" w:hAnsi="宋体"/>
                <w:color w:val="auto"/>
                <w:szCs w:val="21"/>
                <w:highlight w:val="none"/>
              </w:rPr>
              <w:t>免费技术培训至少</w:t>
            </w:r>
            <w:r>
              <w:rPr>
                <w:rFonts w:hint="eastAsia"/>
                <w:color w:val="auto"/>
                <w:szCs w:val="21"/>
                <w:highlight w:val="none"/>
                <w:lang w:val="en-US" w:eastAsia="zh-CN"/>
              </w:rPr>
              <w:t>2</w:t>
            </w:r>
            <w:r>
              <w:rPr>
                <w:rFonts w:hint="eastAsia" w:ascii="宋体" w:hAnsi="宋体"/>
                <w:color w:val="auto"/>
                <w:szCs w:val="21"/>
                <w:highlight w:val="none"/>
              </w:rPr>
              <w:t>名操作人员，操作和简单故障处理。</w:t>
            </w:r>
          </w:p>
        </w:tc>
        <w:tc>
          <w:tcPr>
            <w:tcW w:w="794" w:type="dxa"/>
            <w:tcBorders>
              <w:top w:val="single" w:color="auto" w:sz="4" w:space="0"/>
              <w:left w:val="single" w:color="auto" w:sz="4" w:space="0"/>
              <w:bottom w:val="single" w:color="auto" w:sz="4" w:space="0"/>
              <w:right w:val="single" w:color="auto" w:sz="4" w:space="0"/>
            </w:tcBorders>
            <w:vAlign w:val="center"/>
          </w:tcPr>
          <w:p w14:paraId="76D3E128">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59C3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714E0D67">
            <w:pPr>
              <w:spacing w:before="72" w:after="72"/>
              <w:rPr>
                <w:rFonts w:hint="eastAsia" w:ascii="宋体" w:hAnsi="宋体"/>
                <w:color w:val="auto"/>
                <w:szCs w:val="21"/>
                <w:highlight w:val="none"/>
              </w:rPr>
            </w:pPr>
            <w:r>
              <w:rPr>
                <w:rFonts w:hint="eastAsia"/>
                <w:color w:val="auto"/>
                <w:szCs w:val="21"/>
                <w:highlight w:val="none"/>
              </w:rPr>
              <w:t>18</w:t>
            </w:r>
          </w:p>
        </w:tc>
        <w:tc>
          <w:tcPr>
            <w:tcW w:w="2740" w:type="dxa"/>
            <w:tcBorders>
              <w:top w:val="single" w:color="auto" w:sz="4" w:space="0"/>
              <w:left w:val="single" w:color="auto" w:sz="4" w:space="0"/>
              <w:bottom w:val="single" w:color="auto" w:sz="4" w:space="0"/>
              <w:right w:val="single" w:color="auto" w:sz="4" w:space="0"/>
            </w:tcBorders>
            <w:vAlign w:val="center"/>
          </w:tcPr>
          <w:p w14:paraId="0FC6320A">
            <w:pPr>
              <w:spacing w:before="72" w:after="72"/>
              <w:rPr>
                <w:rFonts w:hint="eastAsia" w:ascii="宋体" w:hAnsi="宋体"/>
                <w:color w:val="auto"/>
                <w:szCs w:val="21"/>
                <w:highlight w:val="none"/>
              </w:rPr>
            </w:pPr>
            <w:r>
              <w:rPr>
                <w:rFonts w:hint="eastAsia" w:ascii="宋体" w:hAnsi="宋体"/>
                <w:color w:val="auto"/>
                <w:szCs w:val="21"/>
                <w:highlight w:val="none"/>
              </w:rPr>
              <w:t>郑州维修部地址</w:t>
            </w:r>
          </w:p>
        </w:tc>
        <w:tc>
          <w:tcPr>
            <w:tcW w:w="4294" w:type="dxa"/>
            <w:tcBorders>
              <w:top w:val="single" w:color="auto" w:sz="4" w:space="0"/>
              <w:left w:val="single" w:color="auto" w:sz="4" w:space="0"/>
              <w:bottom w:val="single" w:color="auto" w:sz="4" w:space="0"/>
              <w:right w:val="single" w:color="auto" w:sz="4" w:space="0"/>
            </w:tcBorders>
            <w:vAlign w:val="center"/>
          </w:tcPr>
          <w:p w14:paraId="1793073D">
            <w:pPr>
              <w:spacing w:before="72" w:after="72"/>
              <w:rPr>
                <w:rFonts w:hint="eastAsia" w:ascii="宋体" w:hAnsi="宋体"/>
                <w:color w:val="auto"/>
                <w:szCs w:val="21"/>
                <w:highlight w:val="none"/>
              </w:rPr>
            </w:pPr>
            <w:r>
              <w:rPr>
                <w:rFonts w:hint="eastAsia" w:ascii="宋体" w:hAnsi="宋体"/>
                <w:color w:val="auto"/>
                <w:szCs w:val="21"/>
                <w:highlight w:val="none"/>
              </w:rPr>
              <w:t>河南省郑州市高新区科学大道红叶路东北万科小世界D栋</w:t>
            </w:r>
          </w:p>
        </w:tc>
        <w:tc>
          <w:tcPr>
            <w:tcW w:w="794" w:type="dxa"/>
            <w:tcBorders>
              <w:top w:val="single" w:color="auto" w:sz="4" w:space="0"/>
              <w:left w:val="single" w:color="auto" w:sz="4" w:space="0"/>
              <w:bottom w:val="single" w:color="auto" w:sz="4" w:space="0"/>
              <w:right w:val="single" w:color="auto" w:sz="4" w:space="0"/>
            </w:tcBorders>
            <w:vAlign w:val="center"/>
          </w:tcPr>
          <w:p w14:paraId="7C996A81">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3F86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50" w:type="dxa"/>
            <w:tcBorders>
              <w:top w:val="single" w:color="auto" w:sz="4" w:space="0"/>
              <w:left w:val="single" w:color="auto" w:sz="4" w:space="0"/>
              <w:bottom w:val="single" w:color="auto" w:sz="4" w:space="0"/>
              <w:right w:val="single" w:color="auto" w:sz="4" w:space="0"/>
            </w:tcBorders>
            <w:vAlign w:val="center"/>
          </w:tcPr>
          <w:p w14:paraId="55E58DBE">
            <w:pPr>
              <w:spacing w:before="72" w:after="72"/>
              <w:rPr>
                <w:rFonts w:hint="eastAsia" w:ascii="宋体" w:hAnsi="宋体"/>
                <w:color w:val="auto"/>
                <w:szCs w:val="21"/>
                <w:highlight w:val="none"/>
              </w:rPr>
            </w:pPr>
            <w:r>
              <w:rPr>
                <w:rFonts w:hint="eastAsia"/>
                <w:color w:val="auto"/>
                <w:szCs w:val="21"/>
                <w:highlight w:val="none"/>
              </w:rPr>
              <w:t>19</w:t>
            </w:r>
          </w:p>
        </w:tc>
        <w:tc>
          <w:tcPr>
            <w:tcW w:w="2740" w:type="dxa"/>
            <w:tcBorders>
              <w:top w:val="single" w:color="auto" w:sz="4" w:space="0"/>
              <w:left w:val="single" w:color="auto" w:sz="4" w:space="0"/>
              <w:bottom w:val="single" w:color="auto" w:sz="4" w:space="0"/>
              <w:right w:val="single" w:color="auto" w:sz="4" w:space="0"/>
            </w:tcBorders>
            <w:vAlign w:val="center"/>
          </w:tcPr>
          <w:p w14:paraId="019DFB07">
            <w:pPr>
              <w:spacing w:before="72" w:after="72" w:line="360" w:lineRule="auto"/>
              <w:rPr>
                <w:rFonts w:hint="eastAsia" w:ascii="宋体" w:hAnsi="宋体"/>
                <w:color w:val="auto"/>
                <w:szCs w:val="21"/>
                <w:highlight w:val="none"/>
              </w:rPr>
            </w:pPr>
            <w:r>
              <w:rPr>
                <w:rFonts w:hint="eastAsia" w:ascii="宋体" w:hAnsi="宋体"/>
                <w:color w:val="auto"/>
                <w:szCs w:val="21"/>
                <w:highlight w:val="none"/>
              </w:rPr>
              <w:t>联系人</w:t>
            </w:r>
          </w:p>
        </w:tc>
        <w:tc>
          <w:tcPr>
            <w:tcW w:w="4294" w:type="dxa"/>
            <w:tcBorders>
              <w:top w:val="single" w:color="auto" w:sz="4" w:space="0"/>
              <w:left w:val="single" w:color="auto" w:sz="4" w:space="0"/>
              <w:bottom w:val="single" w:color="auto" w:sz="4" w:space="0"/>
              <w:right w:val="single" w:color="auto" w:sz="4" w:space="0"/>
            </w:tcBorders>
            <w:vAlign w:val="center"/>
          </w:tcPr>
          <w:p w14:paraId="54CB64DF">
            <w:pPr>
              <w:spacing w:before="72" w:after="72"/>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梁爱兰</w:t>
            </w:r>
          </w:p>
        </w:tc>
        <w:tc>
          <w:tcPr>
            <w:tcW w:w="794" w:type="dxa"/>
            <w:tcBorders>
              <w:top w:val="single" w:color="auto" w:sz="4" w:space="0"/>
              <w:left w:val="single" w:color="auto" w:sz="4" w:space="0"/>
              <w:bottom w:val="single" w:color="auto" w:sz="4" w:space="0"/>
              <w:right w:val="single" w:color="auto" w:sz="4" w:space="0"/>
            </w:tcBorders>
            <w:vAlign w:val="center"/>
          </w:tcPr>
          <w:p w14:paraId="14A5B499">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054C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50" w:type="dxa"/>
            <w:tcBorders>
              <w:top w:val="single" w:color="auto" w:sz="4" w:space="0"/>
              <w:left w:val="single" w:color="auto" w:sz="4" w:space="0"/>
              <w:bottom w:val="single" w:color="auto" w:sz="4" w:space="0"/>
              <w:right w:val="single" w:color="auto" w:sz="4" w:space="0"/>
            </w:tcBorders>
            <w:vAlign w:val="center"/>
          </w:tcPr>
          <w:p w14:paraId="3563850B">
            <w:pPr>
              <w:spacing w:before="72" w:after="72"/>
              <w:rPr>
                <w:rFonts w:hint="eastAsia" w:ascii="宋体" w:hAnsi="宋体"/>
                <w:color w:val="auto"/>
                <w:szCs w:val="21"/>
                <w:highlight w:val="none"/>
              </w:rPr>
            </w:pPr>
            <w:r>
              <w:rPr>
                <w:rFonts w:hint="eastAsia"/>
                <w:color w:val="auto"/>
                <w:szCs w:val="21"/>
                <w:highlight w:val="none"/>
              </w:rPr>
              <w:t>20</w:t>
            </w:r>
          </w:p>
        </w:tc>
        <w:tc>
          <w:tcPr>
            <w:tcW w:w="2740" w:type="dxa"/>
            <w:tcBorders>
              <w:top w:val="single" w:color="auto" w:sz="4" w:space="0"/>
              <w:left w:val="single" w:color="auto" w:sz="4" w:space="0"/>
              <w:bottom w:val="single" w:color="auto" w:sz="4" w:space="0"/>
              <w:right w:val="single" w:color="auto" w:sz="4" w:space="0"/>
            </w:tcBorders>
            <w:vAlign w:val="center"/>
          </w:tcPr>
          <w:p w14:paraId="4C7964DC">
            <w:pPr>
              <w:spacing w:before="72" w:after="72" w:line="360" w:lineRule="auto"/>
              <w:rPr>
                <w:rFonts w:hint="eastAsia" w:ascii="宋体" w:hAnsi="宋体"/>
                <w:color w:val="auto"/>
                <w:szCs w:val="21"/>
                <w:highlight w:val="none"/>
              </w:rPr>
            </w:pPr>
            <w:r>
              <w:rPr>
                <w:rFonts w:hint="eastAsia" w:ascii="宋体" w:hAnsi="宋体"/>
                <w:color w:val="auto"/>
                <w:szCs w:val="21"/>
                <w:highlight w:val="none"/>
              </w:rPr>
              <w:t>联系电话</w:t>
            </w:r>
          </w:p>
        </w:tc>
        <w:tc>
          <w:tcPr>
            <w:tcW w:w="4294" w:type="dxa"/>
            <w:tcBorders>
              <w:top w:val="single" w:color="auto" w:sz="4" w:space="0"/>
              <w:left w:val="single" w:color="auto" w:sz="4" w:space="0"/>
              <w:bottom w:val="single" w:color="auto" w:sz="4" w:space="0"/>
              <w:right w:val="single" w:color="auto" w:sz="4" w:space="0"/>
            </w:tcBorders>
            <w:vAlign w:val="center"/>
          </w:tcPr>
          <w:p w14:paraId="6827DAEF">
            <w:pPr>
              <w:spacing w:before="72" w:after="72"/>
              <w:rPr>
                <w:rFonts w:hint="eastAsia" w:ascii="宋体" w:hAnsi="宋体"/>
                <w:color w:val="auto"/>
                <w:szCs w:val="21"/>
                <w:highlight w:val="none"/>
              </w:rPr>
            </w:pPr>
            <w:r>
              <w:rPr>
                <w:rFonts w:hint="eastAsia" w:ascii="宋体" w:hAnsi="宋体"/>
                <w:color w:val="auto"/>
                <w:szCs w:val="21"/>
                <w:highlight w:val="none"/>
              </w:rPr>
              <w:t>13728504294</w:t>
            </w:r>
          </w:p>
        </w:tc>
        <w:tc>
          <w:tcPr>
            <w:tcW w:w="794" w:type="dxa"/>
            <w:tcBorders>
              <w:top w:val="single" w:color="auto" w:sz="4" w:space="0"/>
              <w:left w:val="single" w:color="auto" w:sz="4" w:space="0"/>
              <w:bottom w:val="single" w:color="auto" w:sz="4" w:space="0"/>
              <w:right w:val="single" w:color="auto" w:sz="4" w:space="0"/>
            </w:tcBorders>
            <w:vAlign w:val="center"/>
          </w:tcPr>
          <w:p w14:paraId="3D4614C8">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0AC6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0" w:type="dxa"/>
            <w:tcBorders>
              <w:top w:val="single" w:color="auto" w:sz="4" w:space="0"/>
              <w:left w:val="single" w:color="auto" w:sz="4" w:space="0"/>
              <w:bottom w:val="single" w:color="auto" w:sz="4" w:space="0"/>
              <w:right w:val="single" w:color="auto" w:sz="4" w:space="0"/>
            </w:tcBorders>
            <w:vAlign w:val="center"/>
          </w:tcPr>
          <w:p w14:paraId="5B0B5986">
            <w:pPr>
              <w:spacing w:before="72" w:after="72"/>
              <w:rPr>
                <w:rFonts w:hint="eastAsia" w:ascii="宋体" w:hAnsi="宋体"/>
                <w:color w:val="auto"/>
                <w:szCs w:val="21"/>
                <w:highlight w:val="none"/>
              </w:rPr>
            </w:pPr>
            <w:r>
              <w:rPr>
                <w:rFonts w:hint="eastAsia"/>
                <w:color w:val="auto"/>
                <w:szCs w:val="21"/>
                <w:highlight w:val="none"/>
              </w:rPr>
              <w:t>21</w:t>
            </w:r>
          </w:p>
        </w:tc>
        <w:tc>
          <w:tcPr>
            <w:tcW w:w="2740" w:type="dxa"/>
            <w:tcBorders>
              <w:top w:val="single" w:color="auto" w:sz="4" w:space="0"/>
              <w:left w:val="single" w:color="auto" w:sz="4" w:space="0"/>
              <w:bottom w:val="single" w:color="auto" w:sz="4" w:space="0"/>
              <w:right w:val="single" w:color="auto" w:sz="4" w:space="0"/>
            </w:tcBorders>
            <w:vAlign w:val="center"/>
          </w:tcPr>
          <w:p w14:paraId="6A568D36">
            <w:pPr>
              <w:spacing w:before="72" w:after="72"/>
              <w:rPr>
                <w:rFonts w:hint="eastAsia" w:ascii="宋体" w:hAnsi="宋体"/>
                <w:color w:val="auto"/>
                <w:szCs w:val="21"/>
                <w:highlight w:val="none"/>
              </w:rPr>
            </w:pPr>
            <w:r>
              <w:rPr>
                <w:rFonts w:hint="eastAsia" w:ascii="宋体" w:hAnsi="宋体"/>
                <w:color w:val="auto"/>
                <w:szCs w:val="21"/>
                <w:highlight w:val="none"/>
              </w:rPr>
              <w:t>维修服务热线</w:t>
            </w:r>
          </w:p>
        </w:tc>
        <w:tc>
          <w:tcPr>
            <w:tcW w:w="4294" w:type="dxa"/>
            <w:tcBorders>
              <w:top w:val="single" w:color="auto" w:sz="4" w:space="0"/>
              <w:left w:val="single" w:color="auto" w:sz="4" w:space="0"/>
              <w:bottom w:val="single" w:color="auto" w:sz="4" w:space="0"/>
              <w:right w:val="single" w:color="auto" w:sz="4" w:space="0"/>
            </w:tcBorders>
            <w:vAlign w:val="center"/>
          </w:tcPr>
          <w:p w14:paraId="64AA83C7">
            <w:pPr>
              <w:spacing w:before="72" w:after="72"/>
              <w:rPr>
                <w:rFonts w:hint="eastAsia" w:ascii="宋体" w:hAnsi="宋体"/>
                <w:color w:val="auto"/>
                <w:szCs w:val="21"/>
                <w:highlight w:val="none"/>
              </w:rPr>
            </w:pPr>
            <w:r>
              <w:rPr>
                <w:rFonts w:hint="eastAsia" w:ascii="宋体" w:hAnsi="宋体"/>
                <w:color w:val="auto"/>
                <w:szCs w:val="21"/>
                <w:highlight w:val="none"/>
              </w:rPr>
              <w:t>13728504294</w:t>
            </w:r>
          </w:p>
        </w:tc>
        <w:tc>
          <w:tcPr>
            <w:tcW w:w="794" w:type="dxa"/>
            <w:tcBorders>
              <w:top w:val="single" w:color="auto" w:sz="4" w:space="0"/>
              <w:left w:val="single" w:color="auto" w:sz="4" w:space="0"/>
              <w:bottom w:val="single" w:color="auto" w:sz="4" w:space="0"/>
              <w:right w:val="single" w:color="auto" w:sz="4" w:space="0"/>
            </w:tcBorders>
            <w:vAlign w:val="center"/>
          </w:tcPr>
          <w:p w14:paraId="3386D0B0">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r w14:paraId="7FE4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8" w:hRule="atLeast"/>
        </w:trPr>
        <w:tc>
          <w:tcPr>
            <w:tcW w:w="650" w:type="dxa"/>
            <w:tcBorders>
              <w:top w:val="single" w:color="auto" w:sz="4" w:space="0"/>
              <w:left w:val="single" w:color="auto" w:sz="4" w:space="0"/>
              <w:bottom w:val="single" w:color="auto" w:sz="4" w:space="0"/>
              <w:right w:val="single" w:color="auto" w:sz="4" w:space="0"/>
            </w:tcBorders>
            <w:vAlign w:val="center"/>
          </w:tcPr>
          <w:p w14:paraId="1FDA49B3">
            <w:pPr>
              <w:spacing w:before="72" w:after="72"/>
              <w:rPr>
                <w:rFonts w:hint="eastAsia" w:ascii="宋体" w:hAnsi="宋体"/>
                <w:color w:val="auto"/>
                <w:szCs w:val="21"/>
                <w:highlight w:val="none"/>
              </w:rPr>
            </w:pPr>
            <w:r>
              <w:rPr>
                <w:rFonts w:hint="eastAsia"/>
                <w:color w:val="auto"/>
                <w:szCs w:val="21"/>
                <w:highlight w:val="none"/>
              </w:rPr>
              <w:t>22</w:t>
            </w:r>
          </w:p>
        </w:tc>
        <w:tc>
          <w:tcPr>
            <w:tcW w:w="2740" w:type="dxa"/>
            <w:tcBorders>
              <w:top w:val="single" w:color="auto" w:sz="4" w:space="0"/>
              <w:left w:val="single" w:color="auto" w:sz="4" w:space="0"/>
              <w:bottom w:val="single" w:color="auto" w:sz="4" w:space="0"/>
              <w:right w:val="single" w:color="auto" w:sz="4" w:space="0"/>
            </w:tcBorders>
            <w:vAlign w:val="center"/>
          </w:tcPr>
          <w:p w14:paraId="40D8C6D1">
            <w:pPr>
              <w:spacing w:before="72" w:after="72"/>
              <w:rPr>
                <w:rFonts w:hint="eastAsia" w:ascii="宋体" w:hAnsi="宋体"/>
                <w:color w:val="auto"/>
                <w:szCs w:val="21"/>
                <w:highlight w:val="none"/>
              </w:rPr>
            </w:pPr>
            <w:r>
              <w:rPr>
                <w:rFonts w:hint="eastAsia" w:ascii="宋体" w:hAnsi="宋体"/>
                <w:color w:val="auto"/>
                <w:szCs w:val="21"/>
                <w:highlight w:val="none"/>
              </w:rPr>
              <w:t>其他承诺</w:t>
            </w:r>
          </w:p>
        </w:tc>
        <w:tc>
          <w:tcPr>
            <w:tcW w:w="4294" w:type="dxa"/>
            <w:tcBorders>
              <w:top w:val="single" w:color="auto" w:sz="4" w:space="0"/>
              <w:left w:val="single" w:color="auto" w:sz="4" w:space="0"/>
              <w:bottom w:val="single" w:color="auto" w:sz="4" w:space="0"/>
              <w:right w:val="single" w:color="auto" w:sz="4" w:space="0"/>
            </w:tcBorders>
            <w:vAlign w:val="center"/>
          </w:tcPr>
          <w:p w14:paraId="5B1793E3">
            <w:pPr>
              <w:numPr>
                <w:ilvl w:val="0"/>
                <w:numId w:val="1"/>
              </w:numPr>
              <w:spacing w:line="240" w:lineRule="auto"/>
              <w:ind w:left="425" w:leftChars="0" w:hanging="425" w:firstLineChars="0"/>
              <w:rPr>
                <w:rFonts w:hint="default"/>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质量保证期过后，我司（与制造商）将继续提供免费电话咨询服务，并承诺提供产品上门维护服务</w:t>
            </w:r>
          </w:p>
          <w:p w14:paraId="304CC5E2">
            <w:pPr>
              <w:numPr>
                <w:ilvl w:val="0"/>
                <w:numId w:val="1"/>
              </w:numPr>
              <w:spacing w:line="240" w:lineRule="auto"/>
              <w:ind w:left="425" w:leftChars="0" w:hanging="425" w:firstLineChars="0"/>
              <w:rPr>
                <w:rFonts w:hint="default"/>
                <w:color w:val="auto"/>
                <w:sz w:val="21"/>
                <w:szCs w:val="21"/>
                <w:highlight w:val="none"/>
                <w:lang w:val="en-US" w:eastAsia="zh-CN"/>
              </w:rPr>
            </w:pP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需要继续由我司（与制造商）提供售后服务的，我司（制造商）将以优惠价格提供售后服务。</w:t>
            </w:r>
          </w:p>
          <w:p w14:paraId="63FDCE41">
            <w:pPr>
              <w:numPr>
                <w:ilvl w:val="0"/>
                <w:numId w:val="1"/>
              </w:numPr>
              <w:spacing w:line="240" w:lineRule="auto"/>
              <w:ind w:left="425" w:leftChars="0" w:hanging="425" w:firstLineChars="0"/>
              <w:rPr>
                <w:rFonts w:hint="default"/>
                <w:color w:val="auto"/>
                <w:sz w:val="21"/>
                <w:szCs w:val="21"/>
                <w:highlight w:val="none"/>
                <w:lang w:val="en-US" w:eastAsia="zh-CN"/>
              </w:rPr>
            </w:pPr>
            <w:r>
              <w:rPr>
                <w:rFonts w:hint="eastAsia"/>
                <w:color w:val="auto"/>
                <w:sz w:val="21"/>
                <w:szCs w:val="21"/>
                <w:highlight w:val="none"/>
                <w:lang w:val="en-US" w:eastAsia="zh-CN"/>
              </w:rPr>
              <w:t>制造商</w:t>
            </w:r>
            <w:r>
              <w:rPr>
                <w:rFonts w:hint="default"/>
                <w:color w:val="auto"/>
                <w:sz w:val="21"/>
                <w:szCs w:val="21"/>
                <w:highlight w:val="none"/>
                <w:lang w:val="en-US" w:eastAsia="zh-CN"/>
              </w:rPr>
              <w:t>在上海外高桥保税区设有保税备件库，在北京和上海有备品备件库，保证有充足的零备件储备</w:t>
            </w:r>
          </w:p>
          <w:p w14:paraId="0663798B">
            <w:pPr>
              <w:numPr>
                <w:ilvl w:val="0"/>
                <w:numId w:val="1"/>
              </w:numPr>
              <w:spacing w:line="240" w:lineRule="auto"/>
              <w:ind w:left="425" w:leftChars="0" w:hanging="425" w:firstLineChars="0"/>
              <w:rPr>
                <w:rFonts w:hint="eastAsia" w:ascii="宋体" w:hAnsi="宋体"/>
                <w:color w:val="auto"/>
                <w:sz w:val="21"/>
                <w:szCs w:val="21"/>
                <w:highlight w:val="none"/>
              </w:rPr>
            </w:pPr>
            <w:r>
              <w:rPr>
                <w:rFonts w:hint="default"/>
                <w:color w:val="auto"/>
                <w:sz w:val="21"/>
                <w:szCs w:val="21"/>
                <w:highlight w:val="none"/>
                <w:lang w:val="en-US" w:eastAsia="zh-CN"/>
              </w:rPr>
              <w:t>我们为客户提供备品备件，认证，维修合同等服务，还提供客户定制服务</w:t>
            </w:r>
            <w:r>
              <w:rPr>
                <w:rFonts w:hint="eastAsia"/>
                <w:color w:val="auto"/>
                <w:sz w:val="21"/>
                <w:szCs w:val="21"/>
                <w:highlight w:val="none"/>
                <w:lang w:val="en-US" w:eastAsia="zh-CN"/>
              </w:rPr>
              <w:t>。</w:t>
            </w:r>
          </w:p>
        </w:tc>
        <w:tc>
          <w:tcPr>
            <w:tcW w:w="794" w:type="dxa"/>
            <w:tcBorders>
              <w:top w:val="single" w:color="auto" w:sz="4" w:space="0"/>
              <w:left w:val="single" w:color="auto" w:sz="4" w:space="0"/>
              <w:bottom w:val="single" w:color="auto" w:sz="4" w:space="0"/>
              <w:right w:val="single" w:color="auto" w:sz="4" w:space="0"/>
            </w:tcBorders>
            <w:vAlign w:val="center"/>
          </w:tcPr>
          <w:p w14:paraId="729701D5">
            <w:pPr>
              <w:spacing w:before="72" w:after="72"/>
              <w:jc w:val="center"/>
              <w:rPr>
                <w:rFonts w:hint="eastAsia" w:ascii="宋体" w:hAnsi="宋体"/>
                <w:color w:val="auto"/>
                <w:szCs w:val="21"/>
                <w:highlight w:val="none"/>
              </w:rPr>
            </w:pPr>
            <w:r>
              <w:rPr>
                <w:rFonts w:hint="eastAsia" w:ascii="宋体" w:hAnsi="宋体"/>
                <w:color w:val="auto"/>
                <w:szCs w:val="21"/>
                <w:highlight w:val="none"/>
                <w:lang w:val="en-US" w:eastAsia="zh-CN"/>
              </w:rPr>
              <w:t>无</w:t>
            </w:r>
          </w:p>
        </w:tc>
      </w:tr>
    </w:tbl>
    <w:p w14:paraId="692ADA8C">
      <w:pPr>
        <w:spacing w:before="72" w:after="72" w:line="360" w:lineRule="auto"/>
        <w:rPr>
          <w:rFonts w:hint="eastAsia" w:ascii="宋体" w:hAnsi="宋体"/>
          <w:b/>
          <w:color w:val="auto"/>
          <w:sz w:val="24"/>
          <w:highlight w:val="none"/>
        </w:rPr>
      </w:pPr>
      <w:r>
        <w:rPr>
          <w:rFonts w:hint="eastAsia" w:ascii="宋体" w:hAnsi="宋体"/>
          <w:b/>
          <w:color w:val="auto"/>
          <w:sz w:val="24"/>
          <w:highlight w:val="none"/>
        </w:rPr>
        <w:t>承诺公司签字（盖</w:t>
      </w:r>
      <w:r>
        <w:rPr>
          <w:rFonts w:hint="eastAsia" w:ascii="宋体" w:hAnsi="宋体" w:cs="Times New Roman"/>
          <w:b/>
          <w:color w:val="auto"/>
          <w:sz w:val="24"/>
          <w:highlight w:val="none"/>
        </w:rPr>
        <w:t>章）：</w:t>
      </w:r>
      <w:r>
        <w:rPr>
          <w:rFonts w:hint="eastAsia" w:ascii="宋体" w:hAnsi="宋体" w:cs="Times New Roman"/>
          <w:b/>
          <w:color w:val="auto"/>
          <w:sz w:val="24"/>
          <w:highlight w:val="none"/>
          <w:u w:val="single"/>
        </w:rPr>
        <w:t>广东省科控仪器设备有限公司</w:t>
      </w:r>
    </w:p>
    <w:p w14:paraId="0E841F8B">
      <w:pPr>
        <w:spacing w:before="72" w:after="72"/>
        <w:rPr>
          <w:rFonts w:hint="eastAsia" w:ascii="宋体" w:hAnsi="宋体"/>
          <w:b/>
          <w:color w:val="auto"/>
          <w:sz w:val="24"/>
          <w:highlight w:val="none"/>
        </w:rPr>
      </w:pPr>
      <w:r>
        <w:rPr>
          <w:rFonts w:hint="eastAsia" w:ascii="宋体" w:hAnsi="宋体"/>
          <w:b/>
          <w:color w:val="auto"/>
          <w:sz w:val="24"/>
          <w:highlight w:val="none"/>
        </w:rPr>
        <w:br w:type="page"/>
      </w:r>
    </w:p>
    <w:p w14:paraId="6E2CFCC1">
      <w:pPr>
        <w:spacing w:before="72" w:after="72" w:line="360" w:lineRule="auto"/>
        <w:rPr>
          <w:rFonts w:hint="eastAsia" w:ascii="宋体" w:hAnsi="宋体"/>
          <w:b/>
          <w:color w:val="auto"/>
          <w:sz w:val="24"/>
          <w:highlight w:val="none"/>
        </w:rPr>
      </w:pPr>
      <w:r>
        <w:rPr>
          <w:rFonts w:hint="eastAsia" w:ascii="宋体" w:hAnsi="宋体"/>
          <w:b/>
          <w:color w:val="auto"/>
          <w:sz w:val="24"/>
          <w:highlight w:val="none"/>
        </w:rPr>
        <w:t>附件6：</w:t>
      </w:r>
    </w:p>
    <w:p w14:paraId="68452668">
      <w:pPr>
        <w:spacing w:before="72" w:after="72"/>
        <w:jc w:val="center"/>
        <w:rPr>
          <w:rFonts w:hint="eastAsia" w:ascii="宋体" w:hAnsi="宋体"/>
          <w:b/>
          <w:color w:val="auto"/>
          <w:sz w:val="36"/>
          <w:szCs w:val="36"/>
          <w:highlight w:val="none"/>
        </w:rPr>
      </w:pPr>
      <w:r>
        <w:rPr>
          <w:rFonts w:hint="eastAsia" w:ascii="宋体" w:hAnsi="宋体"/>
          <w:b/>
          <w:color w:val="auto"/>
          <w:sz w:val="36"/>
          <w:szCs w:val="36"/>
          <w:highlight w:val="none"/>
        </w:rPr>
        <w:t>豫财招标采购-2025-1401</w:t>
      </w:r>
      <w:r>
        <w:rPr>
          <w:rFonts w:hint="eastAsia" w:ascii="宋体" w:hAnsi="宋体"/>
          <w:b/>
          <w:color w:val="auto"/>
          <w:sz w:val="36"/>
          <w:szCs w:val="36"/>
          <w:highlight w:val="none"/>
          <w:lang w:val="en-US" w:eastAsia="zh-CN"/>
        </w:rPr>
        <w:t>号合同</w:t>
      </w:r>
      <w:r>
        <w:rPr>
          <w:rFonts w:hint="eastAsia" w:ascii="宋体" w:hAnsi="宋体"/>
          <w:b/>
          <w:color w:val="auto"/>
          <w:sz w:val="36"/>
          <w:szCs w:val="36"/>
          <w:highlight w:val="none"/>
        </w:rPr>
        <w:t>安装培训计划表</w:t>
      </w:r>
    </w:p>
    <w:p w14:paraId="5395AD71">
      <w:pPr>
        <w:snapToGrid w:val="0"/>
        <w:spacing w:before="72" w:after="72" w:line="360" w:lineRule="auto"/>
        <w:rPr>
          <w:rFonts w:hint="eastAsia" w:ascii="宋体" w:hAnsi="宋体"/>
          <w:b/>
          <w:color w:val="auto"/>
          <w:szCs w:val="21"/>
          <w:highlight w:val="none"/>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5DEF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2CFB8A1">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73904E37">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项目</w:t>
            </w:r>
          </w:p>
        </w:tc>
        <w:tc>
          <w:tcPr>
            <w:tcW w:w="6407" w:type="dxa"/>
            <w:tcBorders>
              <w:top w:val="single" w:color="auto" w:sz="4" w:space="0"/>
              <w:left w:val="single" w:color="auto" w:sz="4" w:space="0"/>
              <w:bottom w:val="single" w:color="auto" w:sz="4" w:space="0"/>
              <w:right w:val="single" w:color="auto" w:sz="4" w:space="0"/>
            </w:tcBorders>
            <w:vAlign w:val="center"/>
          </w:tcPr>
          <w:p w14:paraId="389B6CE4">
            <w:pPr>
              <w:spacing w:before="72" w:after="72"/>
              <w:jc w:val="center"/>
              <w:rPr>
                <w:rFonts w:hint="eastAsia" w:ascii="宋体" w:hAnsi="宋体"/>
                <w:color w:val="auto"/>
                <w:szCs w:val="21"/>
                <w:highlight w:val="none"/>
              </w:rPr>
            </w:pPr>
            <w:r>
              <w:rPr>
                <w:rFonts w:hint="eastAsia" w:ascii="宋体" w:hAnsi="宋体"/>
                <w:color w:val="auto"/>
                <w:szCs w:val="21"/>
                <w:highlight w:val="none"/>
              </w:rPr>
              <w:t>具体内容</w:t>
            </w:r>
          </w:p>
        </w:tc>
      </w:tr>
      <w:tr w14:paraId="71E2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17333675">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一</w:t>
            </w:r>
          </w:p>
        </w:tc>
        <w:tc>
          <w:tcPr>
            <w:tcW w:w="2126" w:type="dxa"/>
            <w:tcBorders>
              <w:top w:val="single" w:color="auto" w:sz="4" w:space="0"/>
              <w:left w:val="single" w:color="auto" w:sz="4" w:space="0"/>
              <w:bottom w:val="single" w:color="auto" w:sz="4" w:space="0"/>
              <w:right w:val="single" w:color="auto" w:sz="4" w:space="0"/>
            </w:tcBorders>
            <w:vAlign w:val="center"/>
          </w:tcPr>
          <w:p w14:paraId="484A8996">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培训所要达到的目标</w:t>
            </w:r>
          </w:p>
        </w:tc>
        <w:tc>
          <w:tcPr>
            <w:tcW w:w="6407" w:type="dxa"/>
            <w:tcBorders>
              <w:top w:val="single" w:color="auto" w:sz="4" w:space="0"/>
              <w:left w:val="single" w:color="auto" w:sz="4" w:space="0"/>
              <w:bottom w:val="single" w:color="auto" w:sz="4" w:space="0"/>
              <w:right w:val="single" w:color="auto" w:sz="4" w:space="0"/>
            </w:tcBorders>
            <w:vAlign w:val="center"/>
          </w:tcPr>
          <w:p w14:paraId="4E178529">
            <w:pPr>
              <w:spacing w:before="72" w:after="72" w:line="360" w:lineRule="auto"/>
              <w:jc w:val="left"/>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使采购人的使用人员对货物性能有一定程度的了解,能够独立地进行操作、简单维修等</w:t>
            </w:r>
          </w:p>
        </w:tc>
      </w:tr>
      <w:tr w14:paraId="7678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69A2A79">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二</w:t>
            </w:r>
          </w:p>
        </w:tc>
        <w:tc>
          <w:tcPr>
            <w:tcW w:w="2126" w:type="dxa"/>
            <w:tcBorders>
              <w:top w:val="single" w:color="auto" w:sz="4" w:space="0"/>
              <w:left w:val="single" w:color="auto" w:sz="4" w:space="0"/>
              <w:bottom w:val="single" w:color="auto" w:sz="4" w:space="0"/>
              <w:right w:val="single" w:color="auto" w:sz="4" w:space="0"/>
            </w:tcBorders>
            <w:vAlign w:val="center"/>
          </w:tcPr>
          <w:p w14:paraId="68A3BF4D">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培训内容</w:t>
            </w:r>
          </w:p>
        </w:tc>
        <w:tc>
          <w:tcPr>
            <w:tcW w:w="6407" w:type="dxa"/>
            <w:tcBorders>
              <w:top w:val="single" w:color="auto" w:sz="4" w:space="0"/>
              <w:left w:val="single" w:color="auto" w:sz="4" w:space="0"/>
              <w:bottom w:val="single" w:color="auto" w:sz="4" w:space="0"/>
              <w:right w:val="single" w:color="auto" w:sz="4" w:space="0"/>
            </w:tcBorders>
            <w:vAlign w:val="center"/>
          </w:tcPr>
          <w:p w14:paraId="227E4359">
            <w:pPr>
              <w:spacing w:before="72" w:after="72" w:line="360" w:lineRule="auto"/>
              <w:jc w:val="left"/>
              <w:rPr>
                <w:rFonts w:hint="eastAsia" w:ascii="宋体" w:hAnsi="宋体" w:cs="Times New Roman"/>
                <w:color w:val="auto"/>
                <w:szCs w:val="21"/>
                <w:highlight w:val="none"/>
              </w:rPr>
            </w:pPr>
            <w:r>
              <w:rPr>
                <w:rFonts w:hint="eastAsia" w:ascii="宋体" w:hAnsi="宋体" w:cs="Times New Roman"/>
                <w:color w:val="auto"/>
                <w:szCs w:val="21"/>
                <w:highlight w:val="none"/>
              </w:rPr>
              <w:t>1介绍主要部件和功能</w:t>
            </w:r>
          </w:p>
          <w:p w14:paraId="1F149E13">
            <w:pPr>
              <w:spacing w:before="72" w:after="72" w:line="360" w:lineRule="auto"/>
              <w:jc w:val="left"/>
              <w:rPr>
                <w:rFonts w:hint="eastAsia" w:ascii="宋体" w:hAnsi="宋体" w:cs="Times New Roman"/>
                <w:color w:val="auto"/>
                <w:szCs w:val="21"/>
                <w:highlight w:val="none"/>
              </w:rPr>
            </w:pPr>
            <w:r>
              <w:rPr>
                <w:rFonts w:hint="eastAsia" w:ascii="宋体" w:hAnsi="宋体" w:cs="Times New Roman"/>
                <w:color w:val="auto"/>
                <w:szCs w:val="21"/>
                <w:highlight w:val="none"/>
              </w:rPr>
              <w:t>2安全培训</w:t>
            </w:r>
          </w:p>
          <w:p w14:paraId="7F5693DD">
            <w:pPr>
              <w:spacing w:before="72" w:after="72" w:line="360" w:lineRule="auto"/>
              <w:jc w:val="left"/>
              <w:rPr>
                <w:rFonts w:hint="eastAsia" w:ascii="宋体" w:hAnsi="宋体" w:cs="Times New Roman"/>
                <w:color w:val="auto"/>
                <w:szCs w:val="21"/>
                <w:highlight w:val="none"/>
              </w:rPr>
            </w:pPr>
            <w:r>
              <w:rPr>
                <w:rFonts w:hint="eastAsia" w:ascii="宋体" w:hAnsi="宋体" w:cs="Times New Roman"/>
                <w:color w:val="auto"/>
                <w:szCs w:val="21"/>
                <w:highlight w:val="none"/>
              </w:rPr>
              <w:t>3 磁体的日常维护记录</w:t>
            </w:r>
          </w:p>
          <w:p w14:paraId="30BF4937">
            <w:pPr>
              <w:spacing w:before="72" w:after="72" w:line="360" w:lineRule="auto"/>
              <w:jc w:val="left"/>
              <w:rPr>
                <w:rFonts w:hint="eastAsia" w:ascii="宋体" w:hAnsi="宋体" w:cs="Times New Roman"/>
                <w:color w:val="auto"/>
                <w:szCs w:val="21"/>
                <w:highlight w:val="none"/>
              </w:rPr>
            </w:pPr>
            <w:r>
              <w:rPr>
                <w:rFonts w:hint="eastAsia" w:ascii="宋体" w:hAnsi="宋体" w:cs="Times New Roman"/>
                <w:color w:val="auto"/>
                <w:szCs w:val="21"/>
                <w:highlight w:val="none"/>
              </w:rPr>
              <w:t>4 开关机步骤</w:t>
            </w:r>
          </w:p>
          <w:p w14:paraId="3764EF68">
            <w:pPr>
              <w:spacing w:before="72" w:after="72" w:line="360" w:lineRule="auto"/>
              <w:jc w:val="left"/>
              <w:rPr>
                <w:rFonts w:hint="eastAsia" w:ascii="宋体" w:hAnsi="宋体" w:cs="Times New Roman"/>
                <w:color w:val="auto"/>
                <w:szCs w:val="21"/>
                <w:highlight w:val="none"/>
              </w:rPr>
            </w:pPr>
            <w:r>
              <w:rPr>
                <w:rFonts w:hint="eastAsia" w:ascii="宋体" w:hAnsi="宋体" w:cs="Times New Roman"/>
                <w:color w:val="auto"/>
                <w:szCs w:val="21"/>
                <w:highlight w:val="none"/>
              </w:rPr>
              <w:t>5 成像软件基本操作流程</w:t>
            </w:r>
          </w:p>
        </w:tc>
      </w:tr>
      <w:tr w14:paraId="18D5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6C2D31EA">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三</w:t>
            </w:r>
          </w:p>
        </w:tc>
        <w:tc>
          <w:tcPr>
            <w:tcW w:w="2126" w:type="dxa"/>
            <w:tcBorders>
              <w:top w:val="single" w:color="auto" w:sz="4" w:space="0"/>
              <w:left w:val="single" w:color="auto" w:sz="4" w:space="0"/>
              <w:bottom w:val="single" w:color="auto" w:sz="4" w:space="0"/>
              <w:right w:val="single" w:color="auto" w:sz="4" w:space="0"/>
            </w:tcBorders>
            <w:vAlign w:val="center"/>
          </w:tcPr>
          <w:p w14:paraId="2F4A0AFE">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培训标准</w:t>
            </w:r>
          </w:p>
        </w:tc>
        <w:tc>
          <w:tcPr>
            <w:tcW w:w="6407" w:type="dxa"/>
            <w:tcBorders>
              <w:top w:val="single" w:color="auto" w:sz="4" w:space="0"/>
              <w:left w:val="single" w:color="auto" w:sz="4" w:space="0"/>
              <w:bottom w:val="single" w:color="auto" w:sz="4" w:space="0"/>
              <w:right w:val="single" w:color="auto" w:sz="4" w:space="0"/>
            </w:tcBorders>
            <w:vAlign w:val="center"/>
          </w:tcPr>
          <w:p w14:paraId="6ED36336">
            <w:pPr>
              <w:spacing w:before="72" w:after="72"/>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根据甲方要求执行</w:t>
            </w:r>
          </w:p>
        </w:tc>
      </w:tr>
      <w:tr w14:paraId="68AF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45494A62">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四</w:t>
            </w:r>
          </w:p>
        </w:tc>
        <w:tc>
          <w:tcPr>
            <w:tcW w:w="2126" w:type="dxa"/>
            <w:tcBorders>
              <w:top w:val="single" w:color="auto" w:sz="4" w:space="0"/>
              <w:left w:val="single" w:color="auto" w:sz="4" w:space="0"/>
              <w:bottom w:val="single" w:color="auto" w:sz="4" w:space="0"/>
              <w:right w:val="single" w:color="auto" w:sz="4" w:space="0"/>
            </w:tcBorders>
            <w:vAlign w:val="center"/>
          </w:tcPr>
          <w:p w14:paraId="38935B0C">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培训时间</w:t>
            </w:r>
          </w:p>
        </w:tc>
        <w:tc>
          <w:tcPr>
            <w:tcW w:w="6407" w:type="dxa"/>
            <w:tcBorders>
              <w:top w:val="single" w:color="auto" w:sz="4" w:space="0"/>
              <w:left w:val="single" w:color="auto" w:sz="4" w:space="0"/>
              <w:bottom w:val="single" w:color="auto" w:sz="4" w:space="0"/>
              <w:right w:val="single" w:color="auto" w:sz="4" w:space="0"/>
            </w:tcBorders>
            <w:vAlign w:val="center"/>
          </w:tcPr>
          <w:p w14:paraId="25C214D6">
            <w:pPr>
              <w:spacing w:before="72" w:after="72"/>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由甲方通知</w:t>
            </w:r>
          </w:p>
        </w:tc>
      </w:tr>
      <w:tr w14:paraId="4C91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18BCF60">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五</w:t>
            </w:r>
          </w:p>
        </w:tc>
        <w:tc>
          <w:tcPr>
            <w:tcW w:w="2126" w:type="dxa"/>
            <w:tcBorders>
              <w:top w:val="single" w:color="auto" w:sz="4" w:space="0"/>
              <w:left w:val="single" w:color="auto" w:sz="4" w:space="0"/>
              <w:bottom w:val="single" w:color="auto" w:sz="4" w:space="0"/>
              <w:right w:val="single" w:color="auto" w:sz="4" w:space="0"/>
            </w:tcBorders>
            <w:vAlign w:val="center"/>
          </w:tcPr>
          <w:p w14:paraId="4E2D08B1">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培训人数</w:t>
            </w:r>
          </w:p>
        </w:tc>
        <w:tc>
          <w:tcPr>
            <w:tcW w:w="6407" w:type="dxa"/>
            <w:tcBorders>
              <w:top w:val="single" w:color="auto" w:sz="4" w:space="0"/>
              <w:left w:val="single" w:color="auto" w:sz="4" w:space="0"/>
              <w:bottom w:val="single" w:color="auto" w:sz="4" w:space="0"/>
              <w:right w:val="single" w:color="auto" w:sz="4" w:space="0"/>
            </w:tcBorders>
            <w:vAlign w:val="center"/>
          </w:tcPr>
          <w:p w14:paraId="19A06602">
            <w:pPr>
              <w:spacing w:before="72" w:after="72"/>
              <w:rPr>
                <w:rFonts w:hint="eastAsia" w:ascii="宋体" w:hAnsi="宋体"/>
                <w:color w:val="auto"/>
                <w:szCs w:val="21"/>
                <w:highlight w:val="none"/>
              </w:rPr>
            </w:pPr>
            <w:r>
              <w:rPr>
                <w:rFonts w:hint="eastAsia" w:ascii="宋体" w:hAnsi="宋体" w:cs="Times New Roman"/>
                <w:color w:val="auto"/>
                <w:szCs w:val="21"/>
                <w:highlight w:val="none"/>
                <w:lang w:val="en-US" w:eastAsia="zh-CN"/>
              </w:rPr>
              <w:t>为2名以上仪器操作人员提供免费的上机操作及日常维护培训直至操作人员完全掌握仪器的使用方法</w:t>
            </w:r>
          </w:p>
        </w:tc>
      </w:tr>
      <w:tr w14:paraId="04F1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3507C168">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六</w:t>
            </w:r>
          </w:p>
        </w:tc>
        <w:tc>
          <w:tcPr>
            <w:tcW w:w="2126" w:type="dxa"/>
            <w:tcBorders>
              <w:top w:val="single" w:color="auto" w:sz="4" w:space="0"/>
              <w:left w:val="single" w:color="auto" w:sz="4" w:space="0"/>
              <w:bottom w:val="single" w:color="auto" w:sz="4" w:space="0"/>
              <w:right w:val="single" w:color="auto" w:sz="4" w:space="0"/>
            </w:tcBorders>
            <w:vAlign w:val="center"/>
          </w:tcPr>
          <w:p w14:paraId="06C607CD">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培训费用</w:t>
            </w:r>
          </w:p>
        </w:tc>
        <w:tc>
          <w:tcPr>
            <w:tcW w:w="6407" w:type="dxa"/>
            <w:tcBorders>
              <w:top w:val="single" w:color="auto" w:sz="4" w:space="0"/>
              <w:left w:val="single" w:color="auto" w:sz="4" w:space="0"/>
              <w:bottom w:val="single" w:color="auto" w:sz="4" w:space="0"/>
              <w:right w:val="single" w:color="auto" w:sz="4" w:space="0"/>
            </w:tcBorders>
            <w:vAlign w:val="center"/>
          </w:tcPr>
          <w:p w14:paraId="5C188B8E">
            <w:pPr>
              <w:spacing w:before="72" w:after="72"/>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由乙方承担</w:t>
            </w:r>
          </w:p>
        </w:tc>
      </w:tr>
      <w:tr w14:paraId="22EF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6FC7D1DA">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七</w:t>
            </w:r>
          </w:p>
        </w:tc>
        <w:tc>
          <w:tcPr>
            <w:tcW w:w="2126" w:type="dxa"/>
            <w:tcBorders>
              <w:top w:val="single" w:color="auto" w:sz="4" w:space="0"/>
              <w:left w:val="single" w:color="auto" w:sz="4" w:space="0"/>
              <w:bottom w:val="single" w:color="auto" w:sz="4" w:space="0"/>
              <w:right w:val="single" w:color="auto" w:sz="4" w:space="0"/>
            </w:tcBorders>
            <w:vAlign w:val="center"/>
          </w:tcPr>
          <w:p w14:paraId="5090E164">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培训地点</w:t>
            </w:r>
          </w:p>
        </w:tc>
        <w:tc>
          <w:tcPr>
            <w:tcW w:w="6407" w:type="dxa"/>
            <w:tcBorders>
              <w:top w:val="single" w:color="auto" w:sz="4" w:space="0"/>
              <w:left w:val="single" w:color="auto" w:sz="4" w:space="0"/>
              <w:bottom w:val="single" w:color="auto" w:sz="4" w:space="0"/>
              <w:right w:val="single" w:color="auto" w:sz="4" w:space="0"/>
            </w:tcBorders>
            <w:vAlign w:val="center"/>
          </w:tcPr>
          <w:p w14:paraId="3F3397D8">
            <w:pPr>
              <w:spacing w:before="72" w:after="72"/>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甲方指定地点</w:t>
            </w:r>
          </w:p>
        </w:tc>
      </w:tr>
      <w:tr w14:paraId="44C9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6607CBE0">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八</w:t>
            </w:r>
          </w:p>
        </w:tc>
        <w:tc>
          <w:tcPr>
            <w:tcW w:w="2126" w:type="dxa"/>
            <w:tcBorders>
              <w:top w:val="single" w:color="auto" w:sz="4" w:space="0"/>
              <w:left w:val="single" w:color="auto" w:sz="4" w:space="0"/>
              <w:bottom w:val="single" w:color="auto" w:sz="4" w:space="0"/>
              <w:right w:val="single" w:color="auto" w:sz="4" w:space="0"/>
            </w:tcBorders>
            <w:vAlign w:val="center"/>
          </w:tcPr>
          <w:p w14:paraId="65F2E575">
            <w:pPr>
              <w:spacing w:before="72" w:after="72" w:line="360" w:lineRule="auto"/>
              <w:jc w:val="center"/>
              <w:rPr>
                <w:rFonts w:hint="eastAsia" w:ascii="宋体" w:hAnsi="宋体"/>
                <w:color w:val="auto"/>
                <w:szCs w:val="21"/>
                <w:highlight w:val="none"/>
              </w:rPr>
            </w:pPr>
            <w:r>
              <w:rPr>
                <w:rFonts w:hint="eastAsia" w:ascii="宋体" w:hAnsi="宋体"/>
                <w:color w:val="auto"/>
                <w:szCs w:val="21"/>
                <w:highlight w:val="none"/>
              </w:rPr>
              <w:t>其他优惠政策</w:t>
            </w:r>
          </w:p>
        </w:tc>
        <w:tc>
          <w:tcPr>
            <w:tcW w:w="6407" w:type="dxa"/>
            <w:tcBorders>
              <w:top w:val="single" w:color="auto" w:sz="4" w:space="0"/>
              <w:left w:val="single" w:color="auto" w:sz="4" w:space="0"/>
              <w:bottom w:val="single" w:color="auto" w:sz="4" w:space="0"/>
              <w:right w:val="single" w:color="auto" w:sz="4" w:space="0"/>
            </w:tcBorders>
            <w:vAlign w:val="center"/>
          </w:tcPr>
          <w:p w14:paraId="61DD218B">
            <w:pPr>
              <w:spacing w:before="72" w:after="72"/>
              <w:jc w:val="lef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无</w:t>
            </w:r>
          </w:p>
        </w:tc>
      </w:tr>
    </w:tbl>
    <w:p w14:paraId="5C2F7AAB">
      <w:pPr>
        <w:spacing w:before="72" w:after="72" w:line="360" w:lineRule="auto"/>
        <w:rPr>
          <w:rFonts w:hint="eastAsia" w:ascii="宋体" w:hAnsi="宋体" w:cs="Times New Roman"/>
          <w:b/>
          <w:color w:val="auto"/>
          <w:sz w:val="24"/>
          <w:highlight w:val="none"/>
        </w:rPr>
      </w:pPr>
      <w:r>
        <w:rPr>
          <w:rFonts w:hint="eastAsia" w:ascii="宋体" w:hAnsi="宋体"/>
          <w:b/>
          <w:color w:val="auto"/>
          <w:sz w:val="24"/>
          <w:highlight w:val="none"/>
        </w:rPr>
        <w:t>承诺</w:t>
      </w:r>
      <w:r>
        <w:rPr>
          <w:rFonts w:hint="eastAsia" w:ascii="宋体" w:hAnsi="宋体" w:cs="Times New Roman"/>
          <w:b/>
          <w:color w:val="auto"/>
          <w:sz w:val="24"/>
          <w:highlight w:val="none"/>
        </w:rPr>
        <w:t xml:space="preserve">公司签字（盖章）： </w:t>
      </w:r>
      <w:r>
        <w:rPr>
          <w:rFonts w:hint="eastAsia" w:ascii="宋体" w:hAnsi="宋体" w:cs="Times New Roman"/>
          <w:b/>
          <w:color w:val="auto"/>
          <w:sz w:val="24"/>
          <w:highlight w:val="none"/>
          <w:u w:val="single"/>
        </w:rPr>
        <w:t>广东省科控仪器设备有限公司</w:t>
      </w:r>
    </w:p>
    <w:p w14:paraId="78BE643E">
      <w:pPr>
        <w:spacing w:before="72" w:after="72" w:line="360" w:lineRule="auto"/>
        <w:rPr>
          <w:rFonts w:hint="eastAsia" w:ascii="宋体" w:hAnsi="宋体" w:cs="Times New Roman"/>
          <w:b/>
          <w:color w:val="auto"/>
          <w:sz w:val="24"/>
          <w:highlight w:val="none"/>
        </w:rPr>
      </w:pPr>
      <w:r>
        <w:rPr>
          <w:rFonts w:hint="eastAsia" w:ascii="宋体" w:hAnsi="宋体" w:cs="Times New Roman"/>
          <w:b/>
          <w:color w:val="auto"/>
          <w:sz w:val="24"/>
          <w:highlight w:val="none"/>
        </w:rPr>
        <w:t xml:space="preserve">联系人： </w:t>
      </w:r>
      <w:r>
        <w:rPr>
          <w:rFonts w:hint="eastAsia" w:ascii="宋体" w:hAnsi="宋体" w:cs="Times New Roman"/>
          <w:b/>
          <w:color w:val="auto"/>
          <w:sz w:val="24"/>
          <w:highlight w:val="none"/>
          <w:lang w:val="en-US" w:eastAsia="zh-CN"/>
        </w:rPr>
        <w:t>梁爱兰</w:t>
      </w:r>
    </w:p>
    <w:p w14:paraId="08BB55AD">
      <w:pPr>
        <w:spacing w:before="72" w:after="72" w:line="360" w:lineRule="auto"/>
        <w:rPr>
          <w:rFonts w:hint="eastAsia" w:ascii="宋体" w:hAnsi="宋体" w:cs="Times New Roman"/>
          <w:b/>
          <w:color w:val="auto"/>
          <w:sz w:val="24"/>
          <w:highlight w:val="none"/>
        </w:rPr>
      </w:pPr>
      <w:r>
        <w:rPr>
          <w:rFonts w:hint="eastAsia" w:ascii="宋体" w:hAnsi="宋体" w:cs="Times New Roman"/>
          <w:b/>
          <w:color w:val="auto"/>
          <w:sz w:val="24"/>
          <w:highlight w:val="none"/>
        </w:rPr>
        <w:t>联系电话：3728504294</w:t>
      </w:r>
    </w:p>
    <w:p w14:paraId="01E70FB3">
      <w:pPr>
        <w:spacing w:before="72" w:after="72" w:line="360" w:lineRule="auto"/>
        <w:rPr>
          <w:rFonts w:hint="eastAsia" w:ascii="宋体" w:hAnsi="宋体" w:cs="Times New Roman"/>
          <w:b/>
          <w:color w:val="auto"/>
          <w:sz w:val="24"/>
          <w:highlight w:val="none"/>
        </w:rPr>
      </w:pPr>
      <w:r>
        <w:rPr>
          <w:rFonts w:hint="eastAsia" w:ascii="宋体" w:hAnsi="宋体" w:cs="Times New Roman"/>
          <w:b/>
          <w:color w:val="auto"/>
          <w:sz w:val="24"/>
          <w:highlight w:val="none"/>
        </w:rPr>
        <w:t>维修服务热线：3728504294</w:t>
      </w:r>
    </w:p>
    <w:p w14:paraId="3714EADB">
      <w:pPr>
        <w:spacing w:before="72" w:after="72" w:line="360" w:lineRule="auto"/>
        <w:jc w:val="left"/>
        <w:rPr>
          <w:rFonts w:hint="eastAsia"/>
        </w:rPr>
      </w:pPr>
      <w:r>
        <w:rPr>
          <w:rFonts w:hint="eastAsia" w:ascii="宋体" w:hAnsi="宋体"/>
          <w:b/>
          <w:color w:val="auto"/>
          <w:sz w:val="24"/>
          <w:highlight w:val="none"/>
        </w:rPr>
        <w:t>附件7：</w:t>
      </w:r>
      <w:r>
        <w:rPr>
          <w:rFonts w:hint="eastAsia" w:ascii="宋体" w:hAnsi="宋体" w:cs="Times New Roman"/>
          <w:b/>
          <w:color w:val="auto"/>
          <w:sz w:val="24"/>
          <w:highlight w:val="none"/>
          <w:lang w:val="en-US" w:eastAsia="zh-CN"/>
        </w:rPr>
        <w:t>制造商</w:t>
      </w:r>
      <w:r>
        <w:rPr>
          <w:rFonts w:hint="eastAsia" w:ascii="宋体" w:hAnsi="宋体" w:cs="Times New Roman"/>
          <w:b/>
          <w:color w:val="auto"/>
          <w:sz w:val="24"/>
          <w:highlight w:val="none"/>
        </w:rPr>
        <w:t>售后其它服务承诺</w:t>
      </w:r>
      <w:r>
        <w:rPr>
          <w:rFonts w:hint="eastAsia" w:ascii="宋体" w:hAnsi="宋体" w:eastAsia="宋体"/>
          <w:b/>
          <w:color w:val="auto"/>
          <w:sz w:val="24"/>
          <w:highlight w:val="none"/>
          <w:lang w:eastAsia="zh-CN"/>
        </w:rPr>
        <w:drawing>
          <wp:inline distT="0" distB="0" distL="114300" distR="114300">
            <wp:extent cx="5269230" cy="7451090"/>
            <wp:effectExtent l="0" t="0" r="7620" b="16510"/>
            <wp:docPr id="2" name="图片 2" descr="核磁相关材料--带章可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核磁相关材料--带章可用_05"/>
                    <pic:cNvPicPr>
                      <a:picLocks noChangeAspect="1"/>
                    </pic:cNvPicPr>
                  </pic:nvPicPr>
                  <pic:blipFill>
                    <a:blip r:embed="rId11"/>
                    <a:stretch>
                      <a:fillRect/>
                    </a:stretch>
                  </pic:blipFill>
                  <pic:spPr>
                    <a:xfrm>
                      <a:off x="0" y="0"/>
                      <a:ext cx="5269230" cy="7451090"/>
                    </a:xfrm>
                    <a:prstGeom prst="rect">
                      <a:avLst/>
                    </a:prstGeom>
                  </pic:spPr>
                </pic:pic>
              </a:graphicData>
            </a:graphic>
          </wp:inline>
        </w:drawing>
      </w:r>
      <w:r>
        <w:rPr>
          <w:rFonts w:hint="eastAsia" w:ascii="宋体" w:hAnsi="宋体" w:eastAsia="宋体"/>
          <w:b/>
          <w:color w:val="auto"/>
          <w:sz w:val="24"/>
          <w:highlight w:val="none"/>
          <w:lang w:eastAsia="zh-CN"/>
        </w:rPr>
        <w:drawing>
          <wp:inline distT="0" distB="0" distL="114300" distR="114300">
            <wp:extent cx="5269230" cy="7451090"/>
            <wp:effectExtent l="0" t="0" r="7620" b="16510"/>
            <wp:docPr id="3" name="图片 3" descr="核磁相关材料--带章可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核磁相关材料--带章可用_06"/>
                    <pic:cNvPicPr>
                      <a:picLocks noChangeAspect="1"/>
                    </pic:cNvPicPr>
                  </pic:nvPicPr>
                  <pic:blipFill>
                    <a:blip r:embed="rId12"/>
                    <a:stretch>
                      <a:fillRect/>
                    </a:stretch>
                  </pic:blipFill>
                  <pic:spPr>
                    <a:xfrm>
                      <a:off x="0" y="0"/>
                      <a:ext cx="5269230" cy="7451090"/>
                    </a:xfrm>
                    <a:prstGeom prst="rect">
                      <a:avLst/>
                    </a:prstGeom>
                  </pic:spPr>
                </pic:pic>
              </a:graphicData>
            </a:graphic>
          </wp:inline>
        </w:drawing>
      </w:r>
      <w:r>
        <w:rPr>
          <w:rFonts w:hint="eastAsia" w:ascii="宋体" w:hAnsi="宋体" w:eastAsia="宋体"/>
          <w:b/>
          <w:color w:val="auto"/>
          <w:sz w:val="24"/>
          <w:highlight w:val="none"/>
          <w:lang w:eastAsia="zh-CN"/>
        </w:rPr>
        <w:drawing>
          <wp:inline distT="0" distB="0" distL="114300" distR="114300">
            <wp:extent cx="5269230" cy="7451090"/>
            <wp:effectExtent l="0" t="0" r="7620" b="16510"/>
            <wp:docPr id="5" name="图片 5" descr="核磁相关材料--带章可用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核磁相关材料--带章可用_15"/>
                    <pic:cNvPicPr>
                      <a:picLocks noChangeAspect="1"/>
                    </pic:cNvPicPr>
                  </pic:nvPicPr>
                  <pic:blipFill>
                    <a:blip r:embed="rId13"/>
                    <a:stretch>
                      <a:fillRect/>
                    </a:stretch>
                  </pic:blipFill>
                  <pic:spPr>
                    <a:xfrm>
                      <a:off x="0" y="0"/>
                      <a:ext cx="5269230" cy="7451090"/>
                    </a:xfrm>
                    <a:prstGeom prst="rect">
                      <a:avLst/>
                    </a:prstGeom>
                  </pic:spPr>
                </pic:pic>
              </a:graphicData>
            </a:graphic>
          </wp:inline>
        </w:drawing>
      </w:r>
      <w:r>
        <w:rPr>
          <w:rFonts w:hint="eastAsia" w:ascii="宋体" w:hAnsi="宋体" w:eastAsia="宋体"/>
          <w:b/>
          <w:color w:val="auto"/>
          <w:sz w:val="24"/>
          <w:highlight w:val="none"/>
          <w:lang w:eastAsia="zh-CN"/>
        </w:rPr>
        <w:drawing>
          <wp:inline distT="0" distB="0" distL="114300" distR="114300">
            <wp:extent cx="5269230" cy="7451090"/>
            <wp:effectExtent l="0" t="0" r="7620" b="16510"/>
            <wp:docPr id="6" name="图片 6" descr="核磁相关材料--带章可用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核磁相关材料--带章可用_16"/>
                    <pic:cNvPicPr>
                      <a:picLocks noChangeAspect="1"/>
                    </pic:cNvPicPr>
                  </pic:nvPicPr>
                  <pic:blipFill>
                    <a:blip r:embed="rId14"/>
                    <a:stretch>
                      <a:fillRect/>
                    </a:stretch>
                  </pic:blipFill>
                  <pic:spPr>
                    <a:xfrm>
                      <a:off x="0" y="0"/>
                      <a:ext cx="5269230" cy="7451090"/>
                    </a:xfrm>
                    <a:prstGeom prst="rect">
                      <a:avLst/>
                    </a:prstGeom>
                  </pic:spPr>
                </pic:pic>
              </a:graphicData>
            </a:graphic>
          </wp:inline>
        </w:drawing>
      </w:r>
      <w:r>
        <w:rPr>
          <w:rFonts w:hint="eastAsia" w:ascii="宋体" w:hAnsi="宋体" w:eastAsia="宋体"/>
          <w:b/>
          <w:color w:val="auto"/>
          <w:sz w:val="24"/>
          <w:highlight w:val="none"/>
          <w:lang w:eastAsia="zh-CN"/>
        </w:rPr>
        <w:drawing>
          <wp:inline distT="0" distB="0" distL="114300" distR="114300">
            <wp:extent cx="5269230" cy="7451090"/>
            <wp:effectExtent l="0" t="0" r="3810" b="1270"/>
            <wp:docPr id="12" name="图片 12" descr="核磁相关材料--带章可用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核磁相关材料--带章可用_14"/>
                    <pic:cNvPicPr>
                      <a:picLocks noChangeAspect="1"/>
                    </pic:cNvPicPr>
                  </pic:nvPicPr>
                  <pic:blipFill>
                    <a:blip r:embed="rId15"/>
                    <a:stretch>
                      <a:fillRect/>
                    </a:stretch>
                  </pic:blipFill>
                  <pic:spPr>
                    <a:xfrm>
                      <a:off x="0" y="0"/>
                      <a:ext cx="5269230" cy="7451090"/>
                    </a:xfrm>
                    <a:prstGeom prst="rect">
                      <a:avLst/>
                    </a:prstGeom>
                  </pic:spPr>
                </pic:pic>
              </a:graphicData>
            </a:graphic>
          </wp:inline>
        </w:drawing>
      </w:r>
      <w:r>
        <w:rPr>
          <w:rFonts w:hint="eastAsia" w:ascii="宋体" w:hAnsi="宋体" w:cs="Times New Roman"/>
          <w:b/>
          <w:color w:val="auto"/>
          <w:sz w:val="28"/>
          <w:szCs w:val="28"/>
          <w:highlight w:val="none"/>
        </w:rPr>
        <w:t>广东省科控仪器设备有限</w:t>
      </w:r>
      <w:r>
        <w:rPr>
          <w:rFonts w:hint="eastAsia" w:ascii="宋体" w:hAnsi="宋体"/>
          <w:b/>
          <w:color w:val="auto"/>
          <w:sz w:val="28"/>
          <w:szCs w:val="28"/>
          <w:highlight w:val="none"/>
        </w:rPr>
        <w:t>公司（盖章）</w:t>
      </w:r>
      <w:bookmarkStart w:id="0" w:name="_GoBack"/>
      <w:bookmarkEnd w:id="0"/>
    </w:p>
    <w:p w14:paraId="4383EDD0">
      <w:pPr>
        <w:spacing w:before="72" w:after="72" w:line="360" w:lineRule="auto"/>
        <w:rPr>
          <w:rFonts w:hint="eastAsia" w:ascii="宋体" w:hAnsi="宋体" w:eastAsia="宋体"/>
          <w:b/>
          <w:color w:val="auto"/>
          <w:sz w:val="24"/>
          <w:highlight w:val="none"/>
          <w:lang w:eastAsia="zh-CN"/>
        </w:rPr>
      </w:pPr>
    </w:p>
    <w:p w14:paraId="3119C2F4">
      <w:pPr>
        <w:spacing w:before="72" w:after="72" w:line="360" w:lineRule="auto"/>
        <w:rPr>
          <w:rFonts w:hint="eastAsia"/>
        </w:rPr>
      </w:pPr>
      <w:r>
        <w:rPr>
          <w:rFonts w:hint="eastAsia" w:ascii="宋体" w:hAnsi="宋体"/>
          <w:b/>
          <w:color w:val="auto"/>
          <w:sz w:val="24"/>
          <w:highlight w:val="none"/>
        </w:rPr>
        <w:t xml:space="preserve"> </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4BF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2A0A4">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1C2A0A4">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FA975E"/>
    <w:multiLevelType w:val="singleLevel"/>
    <w:tmpl w:val="FEFA975E"/>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3365AB"/>
    <w:rsid w:val="03343A7C"/>
    <w:rsid w:val="034546E2"/>
    <w:rsid w:val="0E3C72CE"/>
    <w:rsid w:val="293707C4"/>
    <w:rsid w:val="399A33FF"/>
    <w:rsid w:val="3F2905DA"/>
    <w:rsid w:val="4DAA5741"/>
    <w:rsid w:val="50C65BF1"/>
    <w:rsid w:val="5D9E08CE"/>
    <w:rsid w:val="61A429C0"/>
    <w:rsid w:val="6C9766B5"/>
    <w:rsid w:val="71242A66"/>
    <w:rsid w:val="79336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Lines="30" w:afterLines="30" w:line="400" w:lineRule="exact"/>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9"/>
    <w:pPr>
      <w:keepNext/>
      <w:keepLines/>
      <w:spacing w:line="413" w:lineRule="auto"/>
      <w:jc w:val="center"/>
      <w:outlineLvl w:val="1"/>
    </w:pPr>
    <w:rPr>
      <w:rFonts w:ascii="Cambria" w:hAnsi="Cambria"/>
      <w:b/>
      <w:bCs/>
      <w:kern w:val="0"/>
      <w:sz w:val="28"/>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widowControl/>
      <w:spacing w:before="100" w:beforeAutospacing="1" w:after="100" w:afterAutospacing="1"/>
    </w:pPr>
    <w:rPr>
      <w:rFonts w:ascii="宋体" w:hAnsi="宋体" w:eastAsia="仿宋_GB2312" w:cs="宋体"/>
      <w:sz w:val="32"/>
      <w:szCs w:val="32"/>
    </w:rPr>
  </w:style>
  <w:style w:type="table" w:styleId="8">
    <w:name w:val="Table Grid"/>
    <w:basedOn w:val="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无间隔1"/>
    <w:basedOn w:val="1"/>
    <w:next w:val="1"/>
    <w:qFormat/>
    <w:uiPriority w:val="1"/>
    <w:rPr>
      <w:sz w:val="24"/>
    </w:rPr>
  </w:style>
  <w:style w:type="character" w:customStyle="1" w:styleId="11">
    <w:name w:val="font1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8675</Words>
  <Characters>9505</Characters>
  <Lines>0</Lines>
  <Paragraphs>0</Paragraphs>
  <TotalTime>0</TotalTime>
  <ScaleCrop>false</ScaleCrop>
  <LinksUpToDate>false</LinksUpToDate>
  <CharactersWithSpaces>10396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2025-11-30T13:02:00Z</dcterms:created>
  <dc:creator>user</dc:creator>
  <cp:lastModifiedBy>user</cp:lastModifiedBy>
  <dcterms:modified xsi:type="dcterms:W3CDTF">2025-12-16T05:18:44Z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D73064070C644827B2144F06808AF1DE_13</vt:lpwstr>
  </property>
  <property fmtid="{D5CDD505-2E9C-101B-9397-08002B2CF9AE}" pid="4" name="KSOTemplateDocerSaveRecord">
    <vt:lpwstr>eyJoZGlkIjoiYTE5Nzk3YWMwZTIyMjFmMjVlNDcxMmNkZWJhY2ViNDQiLCJ1c2VySWQiOiI0MzMyMjM0NzQifQ==</vt:lpwstr>
  </property>
</Properties>
</file>