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78C8A">
      <w:pPr>
        <w:pStyle w:val="2"/>
        <w:tabs>
          <w:tab w:val="left" w:pos="3261"/>
        </w:tabs>
        <w:rPr>
          <w:rFonts w:ascii="宋体" w:hAnsi="宋体" w:eastAsia="宋体"/>
          <w:snapToGrid w:val="0"/>
          <w:color w:val="auto"/>
          <w:kern w:val="0"/>
          <w:highlight w:val="none"/>
          <w:lang w:eastAsia="zh-CN"/>
        </w:rPr>
      </w:pPr>
      <w:bookmarkStart w:id="0" w:name="_Toc30020"/>
      <w:r>
        <w:rPr>
          <w:rFonts w:hint="eastAsia" w:ascii="宋体" w:hAnsi="宋体" w:eastAsia="宋体"/>
          <w:snapToGrid w:val="0"/>
          <w:color w:val="auto"/>
          <w:kern w:val="0"/>
          <w:highlight w:val="none"/>
          <w:lang w:eastAsia="zh-CN"/>
        </w:rPr>
        <w:t>第三章</w:t>
      </w:r>
      <w:bookmarkStart w:id="1" w:name="_Hlk112052116"/>
      <w:r>
        <w:rPr>
          <w:rFonts w:hint="eastAsia" w:ascii="宋体" w:hAnsi="宋体" w:eastAsia="宋体"/>
          <w:snapToGrid w:val="0"/>
          <w:color w:val="auto"/>
          <w:kern w:val="0"/>
          <w:highlight w:val="none"/>
          <w:lang w:eastAsia="zh-CN"/>
        </w:rPr>
        <w:t xml:space="preserve">  采购需求</w:t>
      </w:r>
      <w:bookmarkEnd w:id="0"/>
      <w:bookmarkStart w:id="9" w:name="_GoBack"/>
      <w:bookmarkEnd w:id="9"/>
    </w:p>
    <w:bookmarkEnd w:id="1"/>
    <w:p w14:paraId="27F6F1E4">
      <w:pPr>
        <w:keepNext/>
        <w:keepLines/>
        <w:widowControl w:val="0"/>
        <w:spacing w:line="400" w:lineRule="exact"/>
        <w:jc w:val="both"/>
        <w:outlineLvl w:val="2"/>
        <w:rPr>
          <w:rFonts w:hint="eastAsia" w:ascii="宋体" w:hAnsi="宋体" w:eastAsia="宋体" w:cs="Times New Roman"/>
          <w:b/>
          <w:bCs/>
          <w:color w:val="auto"/>
          <w:sz w:val="21"/>
          <w:szCs w:val="21"/>
          <w:highlight w:val="none"/>
          <w:lang w:val="en-US" w:eastAsia="zh-CN" w:bidi="ar-SA"/>
        </w:rPr>
      </w:pPr>
      <w:bookmarkStart w:id="2" w:name="_Toc106903034"/>
      <w:bookmarkStart w:id="3" w:name="_Toc26534"/>
      <w:bookmarkStart w:id="4" w:name="_Toc1721463"/>
      <w:r>
        <w:rPr>
          <w:rFonts w:hint="eastAsia" w:ascii="宋体" w:hAnsi="宋体" w:eastAsia="宋体" w:cs="Times New Roman"/>
          <w:b/>
          <w:bCs/>
          <w:color w:val="auto"/>
          <w:sz w:val="21"/>
          <w:szCs w:val="21"/>
          <w:highlight w:val="none"/>
          <w:lang w:val="en-US" w:eastAsia="zh-CN" w:bidi="ar-SA"/>
        </w:rPr>
        <w:t>一、</w:t>
      </w:r>
      <w:bookmarkEnd w:id="2"/>
      <w:bookmarkEnd w:id="3"/>
      <w:bookmarkEnd w:id="4"/>
      <w:r>
        <w:rPr>
          <w:rFonts w:hint="eastAsia" w:ascii="宋体" w:hAnsi="宋体" w:eastAsia="宋体" w:cs="Times New Roman"/>
          <w:b/>
          <w:bCs/>
          <w:color w:val="auto"/>
          <w:sz w:val="21"/>
          <w:szCs w:val="21"/>
          <w:highlight w:val="none"/>
          <w:lang w:val="en-US" w:eastAsia="zh-CN" w:bidi="ar-SA"/>
        </w:rPr>
        <w:t>项目概况</w:t>
      </w:r>
    </w:p>
    <w:p w14:paraId="1C1EF574">
      <w:pPr>
        <w:widowControl/>
        <w:spacing w:line="400" w:lineRule="exact"/>
        <w:ind w:firstLine="482"/>
        <w:jc w:val="both"/>
        <w:rPr>
          <w:rFonts w:hint="eastAsia" w:ascii="微软雅黑" w:hAnsi="微软雅黑" w:eastAsia="微软雅黑" w:cs="Times New Roman"/>
          <w:color w:val="auto"/>
          <w:sz w:val="21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pacing w:val="14"/>
          <w:sz w:val="21"/>
          <w:szCs w:val="21"/>
          <w:highlight w:val="none"/>
          <w:lang w:val="en-US" w:eastAsia="zh-CN" w:bidi="ar-SA"/>
        </w:rPr>
        <w:t>本次采购项目为</w:t>
      </w:r>
      <w:r>
        <w:rPr>
          <w:rFonts w:hint="eastAsia" w:ascii="宋体" w:hAnsi="宋体" w:eastAsia="宋体" w:cs="Times New Roman"/>
          <w:color w:val="auto"/>
          <w:spacing w:val="14"/>
          <w:sz w:val="21"/>
          <w:szCs w:val="21"/>
          <w:highlight w:val="none"/>
          <w:u w:val="single"/>
          <w:lang w:val="en-US" w:eastAsia="zh-CN" w:bidi="ar-SA"/>
        </w:rPr>
        <w:t>平原实验室2025年抗体新药开发生产项目</w:t>
      </w:r>
      <w:r>
        <w:rPr>
          <w:rFonts w:hint="eastAsia" w:ascii="宋体" w:hAnsi="宋体" w:eastAsia="宋体" w:cs="Times New Roman"/>
          <w:color w:val="auto"/>
          <w:spacing w:val="14"/>
          <w:sz w:val="21"/>
          <w:szCs w:val="21"/>
          <w:highlight w:val="none"/>
          <w:lang w:val="en-US" w:eastAsia="zh-CN" w:bidi="ar-SA"/>
        </w:rPr>
        <w:t>，共1个包。</w:t>
      </w:r>
    </w:p>
    <w:p w14:paraId="00BA818F">
      <w:pPr>
        <w:widowControl/>
        <w:spacing w:line="400" w:lineRule="exact"/>
        <w:ind w:firstLine="482"/>
        <w:jc w:val="both"/>
        <w:rPr>
          <w:rFonts w:hint="eastAsia" w:ascii="宋体" w:hAnsi="宋体" w:eastAsia="宋体" w:cs="Times New Roman"/>
          <w:color w:val="auto"/>
          <w:spacing w:val="14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pacing w:val="14"/>
          <w:sz w:val="21"/>
          <w:szCs w:val="21"/>
          <w:highlight w:val="none"/>
          <w:lang w:val="en-US" w:eastAsia="zh-CN" w:bidi="ar-SA"/>
        </w:rPr>
        <w:t>本次采购标的对应的中小企业划分标准所属行业为：</w:t>
      </w:r>
      <w:r>
        <w:rPr>
          <w:rFonts w:hint="eastAsia" w:ascii="宋体" w:hAnsi="宋体" w:eastAsia="宋体" w:cs="Times New Roman"/>
          <w:color w:val="auto"/>
          <w:spacing w:val="14"/>
          <w:sz w:val="21"/>
          <w:szCs w:val="21"/>
          <w:highlight w:val="none"/>
          <w:u w:val="single"/>
          <w:lang w:val="en-US" w:eastAsia="zh-CN" w:bidi="ar-SA"/>
        </w:rPr>
        <w:t>其他未列明行业</w:t>
      </w:r>
      <w:r>
        <w:rPr>
          <w:rFonts w:hint="eastAsia" w:ascii="宋体" w:hAnsi="宋体" w:eastAsia="宋体" w:cs="Times New Roman"/>
          <w:color w:val="auto"/>
          <w:spacing w:val="14"/>
          <w:sz w:val="21"/>
          <w:szCs w:val="21"/>
          <w:highlight w:val="none"/>
          <w:lang w:val="en-US" w:eastAsia="zh-CN" w:bidi="ar-SA"/>
        </w:rPr>
        <w:t>。</w:t>
      </w:r>
    </w:p>
    <w:p w14:paraId="05655087">
      <w:pPr>
        <w:keepNext/>
        <w:keepLines/>
        <w:widowControl w:val="0"/>
        <w:spacing w:line="400" w:lineRule="exact"/>
        <w:jc w:val="both"/>
        <w:outlineLvl w:val="2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bookmarkStart w:id="5" w:name="_Toc26447"/>
      <w:bookmarkStart w:id="6" w:name="_Toc106903035"/>
      <w:bookmarkStart w:id="7" w:name="_Toc1721464"/>
      <w:bookmarkStart w:id="8" w:name="_Toc238530903"/>
      <w:r>
        <w:rPr>
          <w:rFonts w:hint="eastAsia" w:ascii="宋体" w:hAnsi="宋体" w:eastAsia="宋体" w:cs="Times New Roman"/>
          <w:b/>
          <w:bCs/>
          <w:color w:val="auto"/>
          <w:sz w:val="21"/>
          <w:szCs w:val="21"/>
          <w:highlight w:val="none"/>
          <w:lang w:val="en-US" w:eastAsia="zh-CN" w:bidi="ar-SA"/>
        </w:rPr>
        <w:t>二、</w:t>
      </w:r>
      <w:bookmarkEnd w:id="5"/>
      <w:bookmarkEnd w:id="6"/>
      <w:bookmarkEnd w:id="7"/>
      <w:r>
        <w:rPr>
          <w:rFonts w:hint="eastAsia" w:ascii="宋体" w:hAnsi="宋体" w:eastAsia="宋体" w:cs="Times New Roman"/>
          <w:b/>
          <w:bCs/>
          <w:color w:val="auto"/>
          <w:sz w:val="21"/>
          <w:szCs w:val="21"/>
          <w:highlight w:val="none"/>
          <w:lang w:val="en-US" w:eastAsia="zh-CN" w:bidi="ar-SA"/>
        </w:rPr>
        <w:t>服务要求</w:t>
      </w:r>
    </w:p>
    <w:bookmarkEnd w:id="8"/>
    <w:tbl>
      <w:tblPr>
        <w:tblStyle w:val="3"/>
        <w:tblpPr w:leftFromText="181" w:rightFromText="181" w:vertAnchor="text" w:horzAnchor="page" w:tblpXSpec="center" w:tblpY="543"/>
        <w:tblOverlap w:val="never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515"/>
        <w:gridCol w:w="6045"/>
        <w:gridCol w:w="681"/>
        <w:gridCol w:w="720"/>
      </w:tblGrid>
      <w:tr w14:paraId="5A05A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dxa"/>
            <w:noWrap w:val="0"/>
            <w:vAlign w:val="center"/>
          </w:tcPr>
          <w:p w14:paraId="1D06C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序号</w:t>
            </w:r>
          </w:p>
        </w:tc>
        <w:tc>
          <w:tcPr>
            <w:tcW w:w="1515" w:type="dxa"/>
            <w:noWrap w:val="0"/>
            <w:vAlign w:val="center"/>
          </w:tcPr>
          <w:p w14:paraId="61C84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名称</w:t>
            </w:r>
          </w:p>
        </w:tc>
        <w:tc>
          <w:tcPr>
            <w:tcW w:w="6045" w:type="dxa"/>
            <w:noWrap w:val="0"/>
            <w:vAlign w:val="center"/>
          </w:tcPr>
          <w:p w14:paraId="2B633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服务要求</w:t>
            </w:r>
          </w:p>
        </w:tc>
        <w:tc>
          <w:tcPr>
            <w:tcW w:w="681" w:type="dxa"/>
            <w:noWrap w:val="0"/>
            <w:vAlign w:val="center"/>
          </w:tcPr>
          <w:p w14:paraId="1114F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数量</w:t>
            </w:r>
          </w:p>
        </w:tc>
        <w:tc>
          <w:tcPr>
            <w:tcW w:w="720" w:type="dxa"/>
            <w:noWrap w:val="0"/>
            <w:vAlign w:val="center"/>
          </w:tcPr>
          <w:p w14:paraId="69A26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单位</w:t>
            </w:r>
          </w:p>
        </w:tc>
      </w:tr>
      <w:tr w14:paraId="2125F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dxa"/>
            <w:noWrap w:val="0"/>
            <w:vAlign w:val="center"/>
          </w:tcPr>
          <w:p w14:paraId="55A77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515" w:type="dxa"/>
            <w:noWrap w:val="0"/>
            <w:vAlign w:val="center"/>
          </w:tcPr>
          <w:p w14:paraId="6ECA8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抗体药物</w:t>
            </w:r>
          </w:p>
        </w:tc>
        <w:tc>
          <w:tcPr>
            <w:tcW w:w="6045" w:type="dxa"/>
            <w:noWrap w:val="0"/>
            <w:vAlign w:val="center"/>
          </w:tcPr>
          <w:p w14:paraId="39E50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服务内容包括但不限于（工艺研究、生产验证、质量研究及其他）。</w:t>
            </w:r>
          </w:p>
          <w:p w14:paraId="019FB1C5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细胞株构建</w:t>
            </w:r>
          </w:p>
          <w:p w14:paraId="1C47F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1.1 质粒构建：</w:t>
            </w:r>
          </w:p>
          <w:p w14:paraId="05F22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基因合成，完成质粒构建；</w:t>
            </w:r>
          </w:p>
          <w:p w14:paraId="2A428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1.2 Mini-pool（微量细胞池）筛选：</w:t>
            </w:r>
          </w:p>
          <w:p w14:paraId="691A1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质粒转染后进行Mini-Pool（微量细胞池）筛选，根据Titer（蛋白表达量）评估最好的10-30个mini-Pool（微量细胞池），进行一轮Fed-Batch（补料分批培养）评估，基于生长、Titer（蛋白表达量）筛选2-4个最优Mini-Pool（微量细胞池）；</w:t>
            </w:r>
          </w:p>
          <w:p w14:paraId="011DE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1.3 单克隆筛选及评估：</w:t>
            </w:r>
          </w:p>
          <w:p w14:paraId="1A2DB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根据Titer（蛋白表达量），将最好的20-30个克隆进行扩增；在SF（Shake Flask 摇瓶）或TPP（Tube 摇管）中进行Fed-Batch（补料分批培养），基于生长、Titer（蛋白表达量）筛选3-5个克隆；</w:t>
            </w:r>
          </w:p>
          <w:p w14:paraId="44876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1.4 PCB（Production Cell Bank生产细胞库）建库：</w:t>
            </w:r>
          </w:p>
          <w:p w14:paraId="53577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将筛选得到的3-5个单克隆建立PCB（Production Cell Bank生产细胞库）建库；</w:t>
            </w:r>
          </w:p>
          <w:p w14:paraId="7564C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1.5 细胞株稳定性研究：</w:t>
            </w:r>
          </w:p>
          <w:p w14:paraId="3F438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进行60-80个PDL（Population Doubling Level 细胞传代次数）传代稳定性研究；</w:t>
            </w:r>
          </w:p>
          <w:p w14:paraId="500824BA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细胞库建立和检定</w:t>
            </w:r>
          </w:p>
          <w:p w14:paraId="11547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2.1 MCB（Master Cell Bank‌‌ 主细胞库）建库：</w:t>
            </w:r>
          </w:p>
          <w:p w14:paraId="67D6C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细胞库建库的批记录起草；</w:t>
            </w:r>
          </w:p>
          <w:p w14:paraId="09147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细胞库建库，符合中美IND（新药临床试验申请）注册申报标准的MCB（Master Cell Bank‌‌ 主细胞库） 200支；</w:t>
            </w:r>
          </w:p>
          <w:p w14:paraId="5BC74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细胞库的复苏验证。</w:t>
            </w:r>
          </w:p>
          <w:p w14:paraId="67BB4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2.2 MCB（Master Cell Bank‌‌ 主细胞库）检定：</w:t>
            </w:r>
          </w:p>
          <w:p w14:paraId="33529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对已建立的MCB（Master Cell Bank‌‌ 主细胞库），进行符合中美IND（新药临床试验申请）注册申报标准的MCB（Master Cell Bank‌‌ 主细胞库）检定。</w:t>
            </w:r>
          </w:p>
          <w:p w14:paraId="3ECB3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2.3 WCB（Working Cell Bank工作细胞库）建库：</w:t>
            </w:r>
          </w:p>
          <w:p w14:paraId="0C831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细胞库建库的批记录起草；</w:t>
            </w:r>
          </w:p>
          <w:p w14:paraId="53BE7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细胞库建库，符合中美IND（新药临床试验申请）注册申报标准的WCB （Working Cell Bank工作细胞库）200支；</w:t>
            </w:r>
          </w:p>
          <w:p w14:paraId="30983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细胞库的复苏验证。</w:t>
            </w:r>
          </w:p>
          <w:p w14:paraId="298C7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2.4 WCB（Working Cell Bank工作细胞库）检定：</w:t>
            </w:r>
          </w:p>
          <w:p w14:paraId="76684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对已建立的WCB（Working Cell Bank工作细胞库），进行符合中美IND（新药临床试验申请）注册申报标准的WCB（Working Cell Bank工作细胞库）检定。</w:t>
            </w:r>
          </w:p>
          <w:p w14:paraId="65B0C36E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上游工艺开发与确认</w:t>
            </w:r>
          </w:p>
          <w:p w14:paraId="3CF5E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3.1 培养基筛选：(基于Mini-Pool)</w:t>
            </w:r>
          </w:p>
          <w:p w14:paraId="0C23E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基于平台工艺对基础培养基与补料培养基进行筛选，得到1-2种Titer(蛋白表达量)、质量表现优异培养基；同步3 L样品制备，为纯化工艺开发提供样品；</w:t>
            </w:r>
          </w:p>
          <w:p w14:paraId="6CBCD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检测项：Titer（蛋白表达量）、SEC-HPLC（Size Exclusion Chromatography体积排阻色谱法）、nrCE-SDS（Non-Reducing Capillary Electrophoresis非还原毛细管电泳）与CEX( ‌Cation Exchange Chromatography阳离子交换色谱法)或icIEF（Imaged Capillary Isoelectric Focusing全柱成像毛细管等电聚焦电泳）。</w:t>
            </w:r>
          </w:p>
          <w:p w14:paraId="23E78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3.2 反应器工艺优化：(基于单克隆筛选后最优细胞株)</w:t>
            </w:r>
          </w:p>
          <w:p w14:paraId="2142E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 L反应器培养条件(pH、降温/补料条件优化），基于Titer(蛋白表达量)与质量确定培养工艺；</w:t>
            </w:r>
          </w:p>
          <w:p w14:paraId="72411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检测项：Titer（蛋白表达量）、SEC-HPLC（Size Exclusion Chromatography体积排阻色谱法）、nrCE-SDS（Non-Reducing Capillary Electrophoresis非还原毛细管电泳）、CEX( ‌Cation Exchange Chromatography阳离子交换色谱法)或icIEF（Imaged Capillary Isoelectric Focusing全柱成像毛细管等电聚焦电泳）与N-糖；</w:t>
            </w:r>
          </w:p>
          <w:p w14:paraId="28F17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3.3 工艺锁定：</w:t>
            </w:r>
          </w:p>
          <w:p w14:paraId="153DC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15L反应器放大完成小试培养工艺锁定；</w:t>
            </w:r>
          </w:p>
          <w:p w14:paraId="580D4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检测项：Titer（蛋白表达量）、SEC-HPLC（Size Exclusion Chromatography体积排阻色谱法）、nrCE-SDS（Non-Reducing Capillary Electrophoresis非还原毛细管电泳）、CEX( ‌Cation Exchange Chromatography阳离子交换色谱法)或icIEF（Imaged Capillary Isoelectric Focusing全柱成像毛细管等电聚焦电泳）与N-糖。</w:t>
            </w:r>
          </w:p>
          <w:p w14:paraId="5DECFB6F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下游工艺开发与确认</w:t>
            </w:r>
          </w:p>
          <w:p w14:paraId="40839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4.1 预实验：</w:t>
            </w:r>
          </w:p>
          <w:p w14:paraId="346F4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通过平台工艺开展填料筛选实验，探究填料性质、动态载量杂质去除效果，对其含量及纯度进行评价；</w:t>
            </w:r>
          </w:p>
          <w:p w14:paraId="0DB69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检测项：蛋白浓度UV280（Ultraviolet280 280纳米紫外检测蛋白浓度)、SEC-HPLC（Size Exclusion Chromatography体积排阻色谱法）、HCP（Host Cell Protein宿主蛋白残留）、CEX( ‌Cation Exchange Chromatography阳离子交换色谱法)、rCE-SDS（Reducing Capillary Electrophoresis还原毛细管电泳）、nrCE-SDS（Non-Reducing Capillary Electrophoresis非还原毛细管电泳）、rDNA(宿主DNA残留)与rPA(Protein A残留)。</w:t>
            </w:r>
          </w:p>
          <w:p w14:paraId="5C430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4.2 纯化工艺优化：</w:t>
            </w:r>
          </w:p>
          <w:p w14:paraId="76BAA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探究上样条件、洗脱条件、收集条件，对其抗体含量、杂质含量及纯度进行评估。（同步进行低pH工艺开发，探究抗体在较低pH下的稳定性，对其纯度及电荷异构体进行评价）；</w:t>
            </w:r>
          </w:p>
          <w:p w14:paraId="1A29F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检测项：蛋白浓度UV280（Ultraviolet280 280纳米紫外检测蛋白浓度)、SEC-HPLC（Size Exclusion Chromatography体积排阻色谱法）、HCP（Host Cell Protein宿主蛋白残留）、CEX( ‌Cation Exchange Chromatography阳离子交换色谱法)、rCE-SDS(Reducing Capillary Electrophoresis还原毛细管电泳）)、nrCE-SDS（Non-Reducing Capillary Electrophoresis非还原毛细管电泳）、rDNA(宿主DNA残留)与rPA(Protein A残留)。</w:t>
            </w:r>
          </w:p>
          <w:p w14:paraId="06309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4.3 过滤工艺优化：</w:t>
            </w:r>
          </w:p>
          <w:p w14:paraId="252F8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开展VF（Viral Filtration）病毒过滤（TMP、载量）及U/DF（TMP（Transmembrane Pressure 跨膜压）、透析点、透析倍数、载量）探究实验，对抗体含量、纯度、肽图进行评价；</w:t>
            </w:r>
          </w:p>
          <w:p w14:paraId="0643E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检测项：蛋白浓度UV280（Ultraviolet280 280纳米紫外检测蛋白浓度)、SEC-HPLC（Size Exclusion Chromatography体积排阻色谱法）、HCP（Host Cell Protein宿主蛋白残留）、CEX( ‌Cation Exchange Chromatography阳离子交换色谱法)、rCE-SDS（Reducing Capillary Electrophoresis还原毛细管电泳)、nrCE-SDS（Non-Reducing Capillary Electrophoresis非还原毛细管电泳）、浊度、LDH（Lactate dehydrogenase乳酸脱氢酶）。</w:t>
            </w:r>
          </w:p>
          <w:p w14:paraId="22755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4.4 工艺锁定：</w:t>
            </w:r>
          </w:p>
          <w:p w14:paraId="273B1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根据前三轮工艺开发数据，进行工艺锁定实验，对其含量、纯度、杂质含量及肽图进行评价；</w:t>
            </w:r>
          </w:p>
          <w:p w14:paraId="4BB75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检测项：蛋白浓度UV280（Ultraviolet280 280纳米紫外检测蛋白浓度)、SEC-HPLC（Size Exclusion Chromatography体积排阻色谱法）、HCP（Host Cell Protein宿主蛋白残留）、CEX( ‌Cation Exchange Chromatography阳离子交换色谱法)、icIEF（Imaged Capillary Isoelectric Focusing全柱成像毛细管等电聚焦电泳）、rCE-SDS（Reducing Capillary Electrophoresis还原毛细管电泳)、nrCE-SDS（Non-Reducing Capillary Electrophoresis非还原毛细管电泳）、rDNA(宿主DNA残留)与rPA(Protein A残留)。</w:t>
            </w:r>
          </w:p>
          <w:p w14:paraId="7321B663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液体制剂处方开发与确认</w:t>
            </w:r>
          </w:p>
          <w:p w14:paraId="549B0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5.1 液体处方筛选：</w:t>
            </w:r>
          </w:p>
          <w:p w14:paraId="1C097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全处方筛选：基于采购人原处方，开展9组处方Buffer与辅料筛选，基于高温稳定性考察结果，评估不同组合对抗体分子稳定性的影响；</w:t>
            </w:r>
          </w:p>
          <w:p w14:paraId="7C2D4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检测项：含量、pH、外观、不溶性微粒、SEC-HPLC（Size Exclusion Chromatography体积排阻色谱法）、r/nrCE-SDS（Reducing/Non-Reducing Capillary Electrophoresis 还原/非还原毛细管电泳）、DSC（Differential scanning calorimetry 差示扫描量热法）、icIEF（Imaged Capillary Isoelectric Focusing全柱成像毛细管等电聚焦电泳）、活性。</w:t>
            </w:r>
          </w:p>
          <w:p w14:paraId="3D7DF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5.2 处方确定：</w:t>
            </w:r>
          </w:p>
          <w:p w14:paraId="5BF45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1批处方确认，基于正置/倒置进行影响因素加速、高温、光照、反复冻融、振摇稳定性研究。</w:t>
            </w:r>
          </w:p>
          <w:p w14:paraId="24546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5.3 临床配伍稳定性：</w:t>
            </w:r>
          </w:p>
          <w:p w14:paraId="1F7D6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开展不同给药浓度、不同稀释液、不同材质给药组件考察，评估产品临床配伍过程中的稳定性</w:t>
            </w:r>
          </w:p>
          <w:p w14:paraId="76EAE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检测项：SEC-HPLC（Size Exclusion Chromatography体积排阻色谱法）、药物浓度、不溶性微粒、外观、pH、icIEF（Imaged Capillary Isoelectric Focusing全柱成像毛细管等电聚焦电泳）、活性。</w:t>
            </w:r>
          </w:p>
          <w:p w14:paraId="32B03D04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抗体分析方法开发及确认</w:t>
            </w:r>
          </w:p>
          <w:p w14:paraId="26ED8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根据项目的检测需求，开发各项分析方法，并进行IND申报需要的相关验证。在采购方前期研究过程中，开发了多种分析检测方法，投标方对上述分析检测方法确认评估后，需根据IND的申报要求进行必要的优化。</w:t>
            </w:r>
          </w:p>
          <w:p w14:paraId="60E28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6.1方法转移可行性评估:</w:t>
            </w:r>
          </w:p>
          <w:p w14:paraId="3D2BC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主要根据改变细胞株后采购人方法的适用性进行评估，如果现有的方法无法满足项目的检测需求，或无法达到IND的申报要求，投标人将对分析方法进行升级和优化。</w:t>
            </w:r>
          </w:p>
          <w:p w14:paraId="39F3B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6.2理化分析方法转移：</w:t>
            </w:r>
          </w:p>
          <w:p w14:paraId="4C5AA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理化分析方法转移包含：针对抗体蛋白开展理化方法转移，包括：</w:t>
            </w:r>
          </w:p>
          <w:p w14:paraId="2A1C4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Titer（蛋白表达量），还原+非还原CE-SDS（Capillary Electrophoresis毛细管电泳），SEC（Size Exclusion Chromatography体积排阻色谱法），等电点，CEX( Cation Exchange Chromatography阳离子交换色谱法)，肽图，蛋白浓度UV280（Ultraviolet280 280纳米紫外检测蛋白浓度），方法进行方法转移，主要考察准确度、重复性，形成方法转移报告。</w:t>
            </w:r>
          </w:p>
          <w:p w14:paraId="0A620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6.3工艺杂质残留分析方法转移：</w:t>
            </w:r>
          </w:p>
          <w:p w14:paraId="6693A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工艺杂质残留分析方法转移包含：</w:t>
            </w:r>
          </w:p>
          <w:p w14:paraId="13C6D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6.3.1 抗体宿主蛋白（HCP（Host Cell Protein宿主蛋白残留））残留检测方法转移：针对生物制品的工艺杂质宿主蛋白（HCP（Host Cell Protein宿主蛋白残留））残留检测，基于已验证/确认的HCP（Host Cell Protein宿主蛋白残留）残留检测方法，以对比实验的形式进行分析方法转移：对特定批次样品进行多次实验，对方法准确度、精密度进行测定，并与同批次数据进行对比，比较差异，形成方法转移报告。</w:t>
            </w:r>
          </w:p>
          <w:p w14:paraId="7AFD8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6.3.2 抗体 宿主DNA（HCD, Host Cell DNA 宿主DNA残留）残留检测方法转移：针对生物制品的工艺杂质主DNA（HCD,Host Cell DNA 宿主DNA残留）残留检测，基于已验证/确认的DNA残留检测方法，以对比实验的形式进行分析方法转移：对特定批次样品进行多次实验，对方法准确度、精密度进行测定，并与采购人提供的同批次数据进行对比，比较差异，形成方法转移报告。</w:t>
            </w:r>
          </w:p>
          <w:p w14:paraId="294BA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6.3.3 抗体 蛋白A（Protein A）残留检测方法转移：</w:t>
            </w:r>
          </w:p>
          <w:p w14:paraId="66F6C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针对生物制品的工艺杂质蛋白A（Protein A）残留检测，确认的蛋白A残留检测方法，以对比实验的形式进行分析方法转移：对特定批次样品进行多次实验，对方法准确度、精密度进行测定，并与采购人提供的同批次数据进行对比，比较差异，形成方法转移报告。</w:t>
            </w:r>
          </w:p>
          <w:p w14:paraId="5ADD7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6.4相对结合活性方法转移(ELISA法）:</w:t>
            </w:r>
          </w:p>
          <w:p w14:paraId="65833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抗体-单抗 相对结合活性方法（ELISA法）转移：</w:t>
            </w:r>
          </w:p>
          <w:p w14:paraId="7963F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基于采购人已验证/确认的相对结合活性检测方法，以对比实验的形式进行分析方法转移：对特定批次样品进行多次实验，对方法准确度、精密度进行测定，并与采购人提供的同批次数据进行对比，比较差异，形成方法转移报告。</w:t>
            </w:r>
          </w:p>
          <w:p w14:paraId="683B9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6.5理化分析方法确认:</w:t>
            </w:r>
          </w:p>
          <w:p w14:paraId="54AB1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针对Titer，还原+非还原CE-SDS（Capillary Electrophoresis毛细管电泳），SEC（Size Exclusion Chromatography体积排阻色谱法），等电点，CEX( ‌Cation Exchange Chromatography阳离子交换色谱法)，肽图，等理化检项，在符合GMP法规要求条件下进行分析方法确认。</w:t>
            </w:r>
          </w:p>
          <w:p w14:paraId="1D7A8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6.6 微生物检测分析方法确认:</w:t>
            </w:r>
          </w:p>
          <w:p w14:paraId="7E86A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内毒素、微生物限度、无菌，</w:t>
            </w:r>
          </w:p>
          <w:p w14:paraId="6D8D4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参照药典在符合GMP法规要求条件下进行微生物检测方法确认。</w:t>
            </w:r>
          </w:p>
          <w:p w14:paraId="60D08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6.7工艺杂质残留分析方法确认:</w:t>
            </w:r>
          </w:p>
          <w:p w14:paraId="3E70C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针对生物制品的工艺杂质残留检测，在符合GMP法规要求条件下进行分析方法确认：</w:t>
            </w:r>
          </w:p>
          <w:p w14:paraId="4D65F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6.7.1 宿主蛋白残留（HCP（Host Cell Protein宿主蛋白残留））残留检测-基于ELISA原理的试剂盒检测进行方法确认，对方法的专属性、相对准确度、精密度、线性、范围进行确认，形成分析方法SOP和方法确认报告。</w:t>
            </w:r>
          </w:p>
          <w:p w14:paraId="5C874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6,7.2 蛋白A（Protein A）残留检测-基于ELISA原理的试剂盒检测进行方法确认，对方法参数定量限、专属性、线性、准确度、 精密度、范围进行确认，形成分析方法SOP和方法确认报告。</w:t>
            </w:r>
          </w:p>
          <w:p w14:paraId="78EE6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6.7.3宿主DNA残留检测（HCD,Host Cell DNA 宿主DNA残留）残留检测-基于qPCR原理的试剂盒检测进行方法确认：对方法参数定量限、专属性、线性、准确度、 精密度、范围进行确认，形成分析方法SOP和方法确认报告。</w:t>
            </w:r>
          </w:p>
          <w:p w14:paraId="28E1D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6.8 相对结合活性方法确认（ELISA法）:</w:t>
            </w:r>
          </w:p>
          <w:p w14:paraId="46C04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已确证的相对结合活性检测方法需在符合GMP法规条件下开展分析方法确认工作。</w:t>
            </w:r>
          </w:p>
          <w:p w14:paraId="42DBD164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抗体原液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N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on-GMP生产及放行（500 L，1批）</w:t>
            </w:r>
          </w:p>
          <w:p w14:paraId="5030D62D">
            <w:pPr>
              <w:pStyle w:val="5"/>
              <w:keepNext w:val="0"/>
              <w:keepLines w:val="0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7.1指标：抗体生产中抗体表达量不低于6 g/L。</w:t>
            </w:r>
          </w:p>
          <w:p w14:paraId="29B270D4">
            <w:pPr>
              <w:pStyle w:val="5"/>
              <w:keepNext w:val="0"/>
              <w:keepLines w:val="0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7.2 文件准备：新产品引入评估（原液）、技术转移方案、上游工艺批记录（一般包含：建库批记录、摇床批记录、Wave批记录、 XDR批记录、收获批记录）、上游溶液配制批记录（一般包含:基础培养基配制批记录、补料培养基配制批记录（实际根据工艺溶液种类确定））、下游工艺批记录（一般包含：亲和层析批记录、低pH病毒灭活批记录、中间品深层过滤批记录、阴离子层析批记录、阳离子层析批记录、纳滤批记录、超滤渗滤批记录、原液分装批记录）、下游溶液配制批记录（一般包含：通用溶液配制记录、项目溶液配制批记录（实际根据工艺溶液种类确定））。</w:t>
            </w:r>
          </w:p>
          <w:p w14:paraId="184A2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7.3 物料采购：</w:t>
            </w:r>
          </w:p>
          <w:p w14:paraId="1ED7E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7.3.1生产用一次性平台物料（包括上游生产物料、下游生产物料），如培养基、原液袋、储液袋、缓冲盐等用于生产的一次性物料。</w:t>
            </w:r>
          </w:p>
          <w:p w14:paraId="5AF85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7.3.2生产可循环使用物料：亲和填料（36.9 L，国产）、阴离子填料（19.3 L，国产）、阳离子填料（16.1 L，国产）、超滤膜包（30 KD、2块、国产）。该物料数量为根据7 g/L 表达量预估的使用量，亲和循环数：3，阴离子循环数：1，阳离子循环数：2。</w:t>
            </w:r>
          </w:p>
          <w:p w14:paraId="0D574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7.4 500 L Non-GMP生产：</w:t>
            </w:r>
          </w:p>
          <w:p w14:paraId="33011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7.4.1原辅料检测放行。</w:t>
            </w:r>
          </w:p>
          <w:p w14:paraId="65BA6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按照IND申报要求，进行原辅料检测放行的各项检测。</w:t>
            </w:r>
          </w:p>
          <w:p w14:paraId="6A8B7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7.4.2 生产：</w:t>
            </w:r>
          </w:p>
          <w:p w14:paraId="5B9E1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根据锁定的工艺，1批500 L反应器规模进行Non-GMP生产，根据双方认可的取样计划进行取样及分装。</w:t>
            </w:r>
          </w:p>
          <w:p w14:paraId="1285A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7.4.3中间品检测：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Non-GMP抗体规模生产过程中，对样品中间品进行如下检项检测（具体以实际为准）：</w:t>
            </w:r>
          </w:p>
          <w:p w14:paraId="12119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SEC（Size Exclusion Chromatography体积排阻色谱法）、nrCE（Non-Reducing Capillary Electrophoresis非还原毛细管电泳）、rCE（Reducing Capillary Electrophoresis还原毛细管电泳）、CEX( ‌Cation Exchange Chromatography阳离子交换色谱法)、HCP（Host Cell Protein宿主蛋白残留）、HCD（Host Cell DNA宿主DNA残留）、Protein A、结合活性、蛋白浓度UV280（Ultraviolet280 280纳米紫外检测蛋白浓度）、内毒素、微生物限度。</w:t>
            </w:r>
          </w:p>
          <w:p w14:paraId="61226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7.4.4放行检测（1批）：</w:t>
            </w:r>
          </w:p>
          <w:p w14:paraId="38244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Non-GMP抗体放行过程中，每批样品进行如下检测：</w:t>
            </w:r>
          </w:p>
          <w:p w14:paraId="0B768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外观、等电点、肽图、SEC（Size Exclusion Chromatography体积排阻色谱法）、nrCE（Non-Reducing Capillary Electrophoresis非还原毛细管电泳）、rCE（Reducing Capillary Electrophoresis还原毛细管电泳）、CEX( ‌Cation Exchange Chromatography阳离子交换色谱法)、HCP（HHost Cell Protein 宿主蛋白残留）、HCD（Host Cell DNA宿主DNA残留）、ProteinA、结合活性、蛋白浓度UV280（Ultraviolet280 280纳米紫外检测蛋白浓度）、pH、内毒素、微生物限度。</w:t>
            </w:r>
          </w:p>
          <w:p w14:paraId="34DF5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7.5 参考品的制备、分装及标定：</w:t>
            </w:r>
          </w:p>
          <w:p w14:paraId="61F43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1批抗体参考品分装(分装规格为0.2 mL/2mL管，1000支)</w:t>
            </w:r>
          </w:p>
          <w:p w14:paraId="49BE8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抗体标定：</w:t>
            </w:r>
          </w:p>
          <w:p w14:paraId="54149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【6月、12月、24月、36月复标项目:SEC（Size Exclusion Chromatography体积排阻色谱法）\蛋白浓度UV280（Ultraviolet280 280纳米紫外检测蛋白浓度）\结合活性】</w:t>
            </w:r>
          </w:p>
          <w:p w14:paraId="6879C2EA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抗体原液GMP生产及放行（500 L，1批）</w:t>
            </w:r>
          </w:p>
          <w:p w14:paraId="440CEF34">
            <w:pPr>
              <w:pStyle w:val="5"/>
              <w:keepNext w:val="0"/>
              <w:keepLines w:val="0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8.1指标：抗体生产中抗体表达量不低于6 g/L。</w:t>
            </w:r>
          </w:p>
          <w:p w14:paraId="09817678">
            <w:pPr>
              <w:pStyle w:val="5"/>
              <w:keepNext w:val="0"/>
              <w:keepLines w:val="0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8.2文件准备:新产品引入评估（原液）、引入新产品生产变更、共线风险评估、差距分析与风险评估、技术转移方案、清洁确认评估（原液）、上游工艺批记录（一般包含：建库批记录、摇床批记录、Wave批记录、XDR批记录、收获批记录）、上游溶液配制批记录（一般包含:基础培养基配制批记录、补料培养基配制批记录（实际根据工艺溶液种类确定））、下游工艺批记录（一般包含：亲和层析批记录、低pH病毒灭活批记录、中间品深层过滤批记录、阴离子层析批记录、阳离子层析批记录、纳滤批记录、超滤渗滤批记录、原液分装批记录）、下游溶液配制批记录（一般包含：通用溶液配制记录、项目溶液配制批记录（实际根据工艺溶液种类确定））。</w:t>
            </w:r>
          </w:p>
          <w:p w14:paraId="7BA2D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8.3 物料采购：</w:t>
            </w:r>
          </w:p>
          <w:p w14:paraId="7491D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生产用一次性平台物料（包括上游生产物料、下游生产物料），如培养基、原液袋、储液袋、缓冲盐等用于生产的一次性物料。</w:t>
            </w:r>
          </w:p>
          <w:p w14:paraId="4EA6C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8.4 500 L GMP生产：</w:t>
            </w:r>
          </w:p>
          <w:p w14:paraId="407D3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8.4.1原辅料检测放行。</w:t>
            </w:r>
          </w:p>
          <w:p w14:paraId="732EA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按照IND申报要求，进行GMP条件下原辅料检测放行的各项检测。</w:t>
            </w:r>
          </w:p>
          <w:p w14:paraId="68626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8.4.2 生产：</w:t>
            </w:r>
          </w:p>
          <w:p w14:paraId="1EDEE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根据锁定的工艺，1批500 L反应器规模进行GMP生产，根据双方认可的sampling plan进行取样及分装；</w:t>
            </w:r>
          </w:p>
          <w:p w14:paraId="37C9A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8.4.3 中间品检测：</w:t>
            </w:r>
          </w:p>
          <w:p w14:paraId="79DE4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GMP抗体规模生产过程中，计划对样品中间品进行如下检项检测（具体以实际为准）：SEC（Size Exclusion Chromatography体积排阻色谱法）、nrCE（Non-Reducing Capillary Electrophoresis非还原毛细管电泳）、rCE（Reducing Capillary Electrophoresis还原毛细管电泳）、CEX( Cation Exchange Chromatography阳离子交换色谱法)、HCP（Host Cell Protein 宿主蛋白残留）、HCD（Host Cell DNA宿主DNA残留）、Protein A、结合活性、蛋白浓度UV280（Ultraviolet280 280纳米紫外检测蛋白浓度）、内毒素、微生物限度。</w:t>
            </w:r>
          </w:p>
          <w:p w14:paraId="2C4A5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8.5 放行检测（1批）：</w:t>
            </w:r>
          </w:p>
          <w:p w14:paraId="31DE7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GMP抗体放行过程中，每批样品进行如下检测，并出具批次放行报告：</w:t>
            </w:r>
          </w:p>
          <w:p w14:paraId="002CC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外观、等电点、肽图、SEC（Size Exclusion Chromatography体积排阻色谱法）、nrCE（Non-Reducing Capillary Electrophoresis非还原毛细管电泳）、rCE（Reducing Capillary Electrophoresis还原毛细管电泳）、CEX( Cation Exchange Chromatography阳离子交换色谱法)、HCP（Host Cell Protein宿主蛋白残留）、HCD（Host Cell DNA 宿主DNA残留）、Protein A、结合活性、蛋白浓度UV280（Ultraviolet280 280纳米紫外检测蛋白浓度）、pH、内毒素、微生物限度。</w:t>
            </w:r>
          </w:p>
          <w:p w14:paraId="5023F301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Non-GMP抗体制剂生产及放行（1批）</w:t>
            </w:r>
          </w:p>
          <w:p w14:paraId="19BC0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9.1 文件准备：新产品引入评估（制剂）、清洁确认评估（制剂）、清洁确认报告（原液&amp;制剂）、技术转移方案、制剂工艺批记录（包含：灌装生产批记录、包装批记录）。</w:t>
            </w:r>
          </w:p>
          <w:p w14:paraId="65AE7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9.2 物料采购：</w:t>
            </w:r>
          </w:p>
          <w:p w14:paraId="29484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制剂生产用包材：如西林瓶、胶塞、铝盖、一次性配液、储液袋等；</w:t>
            </w:r>
          </w:p>
          <w:p w14:paraId="50F1E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一次性灌装系统；</w:t>
            </w:r>
          </w:p>
          <w:p w14:paraId="794F1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9.3 Non-GMP液体制剂生产：</w:t>
            </w:r>
          </w:p>
          <w:p w14:paraId="20922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Non-GMP制剂灌装，1批（液体制剂，批量为5000瓶），并可以按照采购人需求进行批次灌装；</w:t>
            </w:r>
          </w:p>
          <w:p w14:paraId="4BB6B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制剂中间品检测并出具检测报告：pH、蛋白浓度UV280（Ultraviolet280 280纳米紫外检测蛋白浓度）、细菌内毒素、微生物限度。</w:t>
            </w:r>
          </w:p>
          <w:p w14:paraId="19D1B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9.4 放行检测（1批）：</w:t>
            </w:r>
          </w:p>
          <w:p w14:paraId="136B5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Non-GMP抗体制剂放行过程中，每批样品进行如下检测：</w:t>
            </w:r>
          </w:p>
          <w:p w14:paraId="74FB9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外观、等电点、肽图、SEC（Size Exclusion Chromatography体积排阻色谱法）、nrCE（Non-Reducing Capillary Electrophoresis非还原毛细管电泳）、rCE（Reducing Capillary Electrophoresis还原毛细管电泳）、CEX( Cation Exchange Chromatography阳离子交换色谱法)、HCP（Host Cell Protein宿主蛋白残留）、HCD（Host Cell DNA宿主DNA残留）、Protein A、结合活性、蛋白浓度UV280（Ultraviolet280 280纳米紫外检测蛋白浓度）、pH、内毒素、微生物限度、无菌。</w:t>
            </w:r>
          </w:p>
          <w:p w14:paraId="67E642FB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GMP抗体制剂生产及放行（1批）</w:t>
            </w:r>
          </w:p>
          <w:p w14:paraId="25CA96C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10.1文件准备：新产品引入评估（制剂）、引入新产品生产变更、共线风险评估、差距分析与风险评估、技术转移方案、制剂工艺批记录（包含：灌装生产批记录、包装批记录）。</w:t>
            </w:r>
          </w:p>
          <w:p w14:paraId="759F1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10.2 物料采购：</w:t>
            </w:r>
          </w:p>
          <w:p w14:paraId="7A491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制剂生产用包材：如西林瓶、胶塞、铝盖、一次性配液、储液袋等；</w:t>
            </w:r>
          </w:p>
          <w:p w14:paraId="47A57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一次性灌装系统；</w:t>
            </w:r>
          </w:p>
          <w:p w14:paraId="32E27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10.3 GMP液体制剂生产：</w:t>
            </w:r>
          </w:p>
          <w:p w14:paraId="3E223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GMP制剂灌装，1批（制剂，批量为5000瓶），并可以按照采购人需求进行批次灌装；</w:t>
            </w:r>
          </w:p>
          <w:p w14:paraId="0B784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制剂中间品检测并出具检测报告：pH、蛋白浓度UV280（Ultraviolet280 280纳米紫外检测蛋白浓度）、细菌内毒素、微生物限度。</w:t>
            </w:r>
          </w:p>
          <w:p w14:paraId="65E96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10.4 放行检测（1批）：</w:t>
            </w:r>
          </w:p>
          <w:p w14:paraId="65C91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GMP抗体制剂放行过程中，每批样品进行如下检测，并出具批次放行报告：</w:t>
            </w:r>
          </w:p>
          <w:p w14:paraId="45B5E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外观、等电点、肽图、SEC（Size Exclusion Chromatography体积排阻色谱法）、nrCE（Non-Reducing Capillary Electrophoresis非还原毛细管电泳）、rCE（Reducing Capillary Electrophoresis还原毛细管电泳）、CEX( Cation Exchange Chromatography阳离子交换色谱法)、HCP（Host Cell Protein宿主蛋白残留）、HCD（Host Cell DNA宿主DNA残留）、Protein A、结合活性、蛋白浓度UV280（Ultraviolet280 280纳米紫外检测蛋白浓度）、pH、内毒素、微生物限度、无菌。</w:t>
            </w:r>
          </w:p>
          <w:p w14:paraId="5248CA82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注册申报相关工作</w:t>
            </w:r>
          </w:p>
          <w:p w14:paraId="65DDD69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11.1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UPB（Unprocessed Bulk未加工收获液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检定：</w:t>
            </w:r>
          </w:p>
          <w:p w14:paraId="35CCB35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11.2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EOPC（End-of-production cells 生产终末细胞）检定：</w:t>
            </w:r>
          </w:p>
          <w:p w14:paraId="4019D4C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11.3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病毒清除工艺验证：</w:t>
            </w:r>
          </w:p>
          <w:p w14:paraId="45400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IND申报预计做2-3种病毒去除验证，针对Low pH，纳滤，阴离子层析三个步骤进行实验，采用一批料液进行两批次验证的方式进行去病毒能力验证，并出具中英双语版报告（满足中美IND申报要求）。</w:t>
            </w:r>
          </w:p>
          <w:p w14:paraId="0BA72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11.4 抗体表征研究：</w:t>
            </w:r>
          </w:p>
          <w:p w14:paraId="60561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2批抗体1批抗体参考品：</w:t>
            </w:r>
          </w:p>
          <w:p w14:paraId="5C900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完整分子量（脱糖前后)、还原分子量(脱糖前后)、N端+C端序列确证、序列覆盖率、二硫键、游离疏基、圆二色谱、DSC、氧化和脱酰胺等常见翻译后修饰位点和比例、N-糖基化位点、质谱糖型。</w:t>
            </w:r>
          </w:p>
          <w:p w14:paraId="632C04AC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抗体原液+制剂稳定性研究</w:t>
            </w:r>
          </w:p>
          <w:p w14:paraId="54060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12.1 抗体影响因素实验：</w:t>
            </w:r>
          </w:p>
          <w:p w14:paraId="717DB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1批抗体DS 进行如下检测：</w:t>
            </w:r>
          </w:p>
          <w:p w14:paraId="070E5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-冻融:2个检测点(3/6次)</w:t>
            </w:r>
          </w:p>
          <w:p w14:paraId="188A7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-高温: 3个检测点( 5/10/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天)</w:t>
            </w:r>
          </w:p>
          <w:p w14:paraId="4E3E6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每个点检测项:  SEC（Size Exclusion Chromatography体积排阻色谱法）、nrCE（Non-Reducing Capillary Electrophoresis非还原毛细管电泳）、rCE（Reducing Capillary Electrophoresis还原毛细管电泳）、CEX( Cation Exchange Chromatography阳离子交换色谱法)、相对结合活性、蛋白浓度UV280（Ultraviolet280 280纳米紫外检测蛋白浓度）、pH，出具检测报告。</w:t>
            </w:r>
          </w:p>
          <w:p w14:paraId="2E447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12.2 抗体原液稳定性研究：</w:t>
            </w:r>
          </w:p>
          <w:p w14:paraId="3F3C3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2批抗体DS进行如下检测：</w:t>
            </w:r>
          </w:p>
          <w:p w14:paraId="5684F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长期试验-20 ℃及以下（暂定），24个月(3/6/9/12/18/24月);</w:t>
            </w:r>
          </w:p>
          <w:p w14:paraId="03404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加速试验2-8 ℃（暂定），6个月(1/3/6月)；</w:t>
            </w:r>
          </w:p>
          <w:p w14:paraId="1CC4E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每个点检测：外观、等电点、 SEC（Size Exclusion Chromatography体积排阻色谱法）、nrCE（Non-Reducing Capillary Electrophoresis非还原毛细管电泳）、rCE（Reducing Capillary Electrophoresis还原毛细管电泳）、CEX( Cation Exchange Chromatography阳离子交换色谱法)、相对结合活性、蛋白浓度UV280（Ultraviolet280 280纳米紫外检测蛋白浓度）、pH；</w:t>
            </w:r>
          </w:p>
          <w:p w14:paraId="6EBDC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每年+末次检测：内毒素、微生物限度、肽图。</w:t>
            </w:r>
          </w:p>
          <w:p w14:paraId="5B9F8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12.3 抗体制剂稳定性研究：</w:t>
            </w:r>
          </w:p>
          <w:p w14:paraId="061C3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2批单抗DP进行如下检测，含倒置：</w:t>
            </w:r>
          </w:p>
          <w:p w14:paraId="2E5D4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长期试验-20 ℃及以下（暂定），24个月(3/6/9/12/18/24月);</w:t>
            </w:r>
          </w:p>
          <w:p w14:paraId="57F38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加速试验2-8 ℃（暂定），6个月(1/3/6月)</w:t>
            </w:r>
          </w:p>
          <w:p w14:paraId="1C044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每个点检测：外观、等电点、 SEC（Size Exclusion Chromatography体积排阻色谱法）、nrCE（Non-Reducing Capillary Electrophoresis非还原毛细管电泳）、rCE（Reducing Capillary Electrophoresis还原毛细管电泳）、CEX( Cation Exchange Chromatography阳离子交换色谱法)、相对结合活性、蛋白浓度UV280（Ultraviolet280 280纳米紫外检测蛋白浓度）、pH，出具检测报告。</w:t>
            </w:r>
          </w:p>
          <w:p w14:paraId="17A44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每年+末次检测：内毒素、微生物限度、肽图；</w:t>
            </w:r>
          </w:p>
          <w:p w14:paraId="5D749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末次检测：无菌。</w:t>
            </w:r>
          </w:p>
          <w:p w14:paraId="208F6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12.4 抗体参比品稳定性研究：</w:t>
            </w:r>
          </w:p>
          <w:p w14:paraId="75EA7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1批参比品，进行如下检测：</w:t>
            </w:r>
          </w:p>
          <w:p w14:paraId="7EE37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长期试验5±3 ℃（暂定），24个月(3/6/9/12/18/24月)</w:t>
            </w:r>
          </w:p>
          <w:p w14:paraId="5DF27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加速试验25 ℃±2 ℃（暂定），6个月(1/3/6月)</w:t>
            </w:r>
          </w:p>
          <w:p w14:paraId="7F435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每个点检测：外观、等电点、 SEC（Size Exclusion Chromatography体积排阻色谱法）、CE-SDS(Capillary Electrophoresis 毛细管电泳 还原+非还原)、icIEF（Imaged Capillary Isoelectric Focusing全柱成像毛细管等电聚焦电泳）、结合活性、蛋白含量；末次检测：无菌。</w:t>
            </w:r>
          </w:p>
          <w:p w14:paraId="65D5B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13.注册申报资料</w:t>
            </w:r>
          </w:p>
          <w:p w14:paraId="50C10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中国IND申报资料撰写：</w:t>
            </w:r>
          </w:p>
          <w:p w14:paraId="460DC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完成CMC部分的资料撰写（根据ICH M4，M4Q指导原则，,M2药学部分2.3质量综述：2.3.S，2.3.P， 2.3.A，2.3.R和M3质量：3.1；3.2包括3.2.S，3.2.P，3.2.A，3.2.R；3.3M2药学部分和M3)。Pre-IND会议的申请以及注册申报的提交由平原实验室负责，供应商提供必要的支持和协助。</w:t>
            </w:r>
          </w:p>
          <w:p w14:paraId="5B71B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14.项目产出的稳转细胞株、细胞库、全流程生产工艺及技术等知识产权归平原实验室所有。</w:t>
            </w:r>
          </w:p>
        </w:tc>
        <w:tc>
          <w:tcPr>
            <w:tcW w:w="681" w:type="dxa"/>
            <w:noWrap w:val="0"/>
            <w:vAlign w:val="center"/>
          </w:tcPr>
          <w:p w14:paraId="6F64E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6D9A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项</w:t>
            </w:r>
          </w:p>
        </w:tc>
      </w:tr>
    </w:tbl>
    <w:p w14:paraId="7081C5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440" w:lineRule="exact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三、其他服务要求</w:t>
      </w:r>
    </w:p>
    <w:p w14:paraId="5F7DE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 xml:space="preserve">    1.成立联合项目管理委员会，由双方代表组成，负责战略决策、资源协调及争议最终裁决；中标人负责完成数据梳理、材料整理，按照项目计划提供符合CDE规定的IND申报资料、图谱和其他证明材料等，并完成取得IND临床批件的相关发补研究工作。</w:t>
      </w:r>
    </w:p>
    <w:p w14:paraId="21E64680">
      <w:pPr>
        <w:spacing w:line="440" w:lineRule="exac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2.项目保密，限制知悉范围，采购人与中标人签订保密协议，数据做好保密。 </w:t>
      </w:r>
    </w:p>
    <w:p w14:paraId="39489076">
      <w:pPr>
        <w:spacing w:line="440" w:lineRule="exac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   3.沟通与报告机制：实施“双周报+月度会”制度，周报需包含进度百分比、关键里程碑状态、风险预警；建立紧急沟通渠道，如项目微信群/邮件组，确保2小时内响应重大问题。</w:t>
      </w:r>
    </w:p>
    <w:p w14:paraId="138B77A5">
      <w:pPr>
        <w:spacing w:line="440" w:lineRule="exac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   4.项目开发过程中产生的知识产权与数据归采购人所有，中标人需承诺项目团队稳定性，关键岗位离职需提前60天通知，并安排同等资质人员接替。</w:t>
      </w:r>
    </w:p>
    <w:p w14:paraId="3CD1C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/>
          <w:snapToGrid w:val="0"/>
          <w:color w:val="auto"/>
          <w:kern w:val="0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   5.中标人须建立电子数据采集系统，确保分析研究数据实时录入、核查及溯源，数据完整率需达100%。中标人须提供审计跟踪文件，记录数据修改历史及操作人员信息，确保数据可追溯至原始记录。</w:t>
      </w:r>
    </w:p>
    <w:p w14:paraId="39E174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210AEC"/>
    <w:multiLevelType w:val="multilevel"/>
    <w:tmpl w:val="56210AE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372" w:hanging="372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E3C66"/>
    <w:rsid w:val="76CE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/>
      <w:jc w:val="center"/>
      <w:outlineLvl w:val="0"/>
    </w:pPr>
    <w:rPr>
      <w:rFonts w:ascii="Cambria" w:hAnsi="Cambria" w:eastAsia="微软雅黑"/>
      <w:b/>
      <w:bCs/>
      <w:kern w:val="28"/>
      <w:sz w:val="44"/>
      <w:szCs w:val="20"/>
      <w:lang w:eastAsia="en-US" w:bidi="en-US"/>
    </w:rPr>
  </w:style>
  <w:style w:type="paragraph" w:styleId="5">
    <w:name w:val="List Paragraph"/>
    <w:basedOn w:val="1"/>
    <w:qFormat/>
    <w:uiPriority w:val="1"/>
    <w:pPr>
      <w:widowControl/>
      <w:ind w:left="720"/>
      <w:contextualSpacing/>
      <w:jc w:val="left"/>
    </w:pPr>
    <w:rPr>
      <w:rFonts w:ascii="Calibri" w:hAnsi="Calibri" w:eastAsia="宋体" w:cs="Times New Roman"/>
      <w:kern w:val="0"/>
      <w:sz w:val="2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2026-01-22T02:14:00Z</dcterms:created>
  <dc:creator>Administrator</dc:creator>
  <cp:lastModifiedBy>Administrator</cp:lastModifiedBy>
  <dcterms:modified xsi:type="dcterms:W3CDTF">2026-01-22T02:15:51Z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0C939D7EEF7E48E788964457ECC34363_11</vt:lpwstr>
  </property>
  <property fmtid="{D5CDD505-2E9C-101B-9397-08002B2CF9AE}" pid="4" name="KSOTemplateDocerSaveRecord">
    <vt:lpwstr>eyJoZGlkIjoiMWZiYzQ2ZDY4NWM4M2FjYTIyZGE3OTEwZTUzYzgxN2IiLCJ1c2VySWQiOiI0Mzg1MzY0MTcifQ==</vt:lpwstr>
  </property>
</Properties>
</file>