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宝丰县重点采煤沉陷区S241洛驻线芮庄至G311连栾线段改建工程</w:t>
      </w:r>
    </w:p>
    <w:p>
      <w:pPr>
        <w:pStyle w:val="13"/>
        <w:jc w:val="center"/>
        <w:rPr>
          <w:rFonts w:ascii="宋体" w:hAnsi="宋体" w:cs="宋体"/>
          <w:b/>
          <w:bCs/>
          <w:color w:val="auto"/>
          <w:sz w:val="48"/>
          <w:szCs w:val="48"/>
        </w:rPr>
      </w:pPr>
    </w:p>
    <w:p>
      <w:pPr>
        <w:pStyle w:val="13"/>
        <w:jc w:val="center"/>
        <w:rPr>
          <w:rFonts w:ascii="宋体" w:hAnsi="宋体" w:cs="宋体"/>
          <w:b/>
          <w:bCs/>
          <w:color w:val="auto"/>
          <w:sz w:val="48"/>
          <w:szCs w:val="48"/>
        </w:rPr>
      </w:pPr>
      <w:r>
        <w:rPr>
          <w:rFonts w:hint="eastAsia" w:ascii="宋体" w:hAnsi="宋体" w:cs="宋体"/>
          <w:b/>
          <w:bCs/>
          <w:color w:val="auto"/>
          <w:sz w:val="48"/>
          <w:szCs w:val="48"/>
        </w:rPr>
        <w:t>（第2标段）</w:t>
      </w:r>
    </w:p>
    <w:p>
      <w:pPr>
        <w:snapToGrid w:val="0"/>
        <w:spacing w:after="100" w:afterAutospacing="1"/>
        <w:jc w:val="left"/>
        <w:rPr>
          <w:rFonts w:ascii="宋体" w:hAnsi="宋体" w:cs="宋体"/>
          <w:b/>
          <w:color w:val="auto"/>
          <w:sz w:val="36"/>
          <w:szCs w:val="36"/>
        </w:rPr>
      </w:pPr>
    </w:p>
    <w:p>
      <w:pPr>
        <w:snapToGrid w:val="0"/>
        <w:spacing w:after="100" w:afterAutospacing="1"/>
        <w:jc w:val="left"/>
        <w:rPr>
          <w:rFonts w:ascii="宋体" w:hAnsi="宋体" w:cs="宋体"/>
          <w:b/>
          <w:color w:val="auto"/>
          <w:sz w:val="28"/>
          <w:szCs w:val="28"/>
        </w:rPr>
      </w:pPr>
    </w:p>
    <w:p>
      <w:pPr>
        <w:snapToGrid w:val="0"/>
        <w:spacing w:after="100" w:afterAutospacing="1"/>
        <w:jc w:val="left"/>
        <w:rPr>
          <w:rFonts w:ascii="宋体" w:hAnsi="宋体" w:cs="宋体"/>
          <w:b/>
          <w:color w:val="auto"/>
          <w:sz w:val="28"/>
          <w:szCs w:val="28"/>
        </w:rPr>
      </w:pPr>
    </w:p>
    <w:p>
      <w:pPr>
        <w:snapToGrid w:val="0"/>
        <w:spacing w:after="100" w:afterAutospacing="1"/>
        <w:jc w:val="center"/>
        <w:rPr>
          <w:rFonts w:ascii="宋体" w:hAnsi="宋体" w:cs="宋体"/>
          <w:b/>
          <w:color w:val="auto"/>
          <w:sz w:val="84"/>
          <w:szCs w:val="84"/>
        </w:rPr>
      </w:pPr>
      <w:r>
        <w:rPr>
          <w:rFonts w:hint="eastAsia" w:ascii="宋体" w:hAnsi="宋体" w:cs="宋体"/>
          <w:b/>
          <w:color w:val="auto"/>
          <w:sz w:val="84"/>
          <w:szCs w:val="84"/>
        </w:rPr>
        <w:t>招标文件</w:t>
      </w:r>
    </w:p>
    <w:p>
      <w:pPr>
        <w:widowControl/>
        <w:spacing w:line="340" w:lineRule="exact"/>
        <w:ind w:firstLine="3373" w:firstLineChars="1400"/>
        <w:jc w:val="both"/>
        <w:rPr>
          <w:rFonts w:hint="default" w:ascii="宋体" w:hAnsi="宋体" w:eastAsia="宋体" w:cs="宋体"/>
          <w:b/>
          <w:color w:val="auto"/>
          <w:kern w:val="0"/>
          <w:sz w:val="24"/>
          <w:lang w:val="en-US" w:eastAsia="zh-CN"/>
        </w:rPr>
      </w:pPr>
      <w:r>
        <w:rPr>
          <w:rFonts w:hint="eastAsia" w:ascii="宋体" w:hAnsi="宋体" w:cs="宋体"/>
          <w:b/>
          <w:bCs/>
          <w:color w:val="auto"/>
          <w:sz w:val="24"/>
        </w:rPr>
        <w:t>采购编号：宝财招标-2024-2</w:t>
      </w:r>
    </w:p>
    <w:p>
      <w:pPr>
        <w:snapToGrid w:val="0"/>
        <w:spacing w:after="100" w:afterAutospacing="1"/>
        <w:jc w:val="center"/>
        <w:rPr>
          <w:rFonts w:ascii="宋体" w:hAnsi="宋体" w:cs="宋体"/>
          <w:color w:val="auto"/>
          <w:sz w:val="28"/>
          <w:szCs w:val="28"/>
        </w:rPr>
      </w:pPr>
      <w:r>
        <w:rPr>
          <w:rFonts w:hint="eastAsia" w:ascii="宋体" w:hAnsi="宋体" w:cs="宋体"/>
          <w:color w:val="auto"/>
          <w:sz w:val="24"/>
        </w:rPr>
        <w:drawing>
          <wp:inline distT="0" distB="0" distL="114300" distR="114300">
            <wp:extent cx="2435860" cy="627380"/>
            <wp:effectExtent l="0" t="0" r="2540" b="1270"/>
            <wp:docPr id="1" name="图片 1" descr="标志组合-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组合-B"/>
                    <pic:cNvPicPr>
                      <a:picLocks noChangeAspect="1"/>
                    </pic:cNvPicPr>
                  </pic:nvPicPr>
                  <pic:blipFill>
                    <a:blip r:embed="rId7" cstate="print"/>
                    <a:stretch>
                      <a:fillRect/>
                    </a:stretch>
                  </pic:blipFill>
                  <pic:spPr>
                    <a:xfrm>
                      <a:off x="0" y="0"/>
                      <a:ext cx="2435860" cy="627380"/>
                    </a:xfrm>
                    <a:prstGeom prst="rect">
                      <a:avLst/>
                    </a:prstGeom>
                    <a:noFill/>
                    <a:ln>
                      <a:noFill/>
                    </a:ln>
                  </pic:spPr>
                </pic:pic>
              </a:graphicData>
            </a:graphic>
          </wp:inline>
        </w:drawing>
      </w:r>
    </w:p>
    <w:p>
      <w:pPr>
        <w:snapToGrid w:val="0"/>
        <w:spacing w:after="100" w:afterAutospacing="1"/>
        <w:jc w:val="left"/>
        <w:rPr>
          <w:rFonts w:ascii="宋体" w:hAnsi="宋体" w:cs="宋体"/>
          <w:b/>
          <w:color w:val="auto"/>
          <w:sz w:val="28"/>
          <w:szCs w:val="28"/>
        </w:rPr>
      </w:pPr>
    </w:p>
    <w:p>
      <w:pPr>
        <w:snapToGrid w:val="0"/>
        <w:spacing w:after="100" w:afterAutospacing="1"/>
        <w:jc w:val="left"/>
        <w:rPr>
          <w:rFonts w:ascii="宋体" w:hAnsi="宋体" w:cs="宋体"/>
          <w:b/>
          <w:color w:val="auto"/>
          <w:sz w:val="28"/>
          <w:szCs w:val="28"/>
        </w:rPr>
      </w:pPr>
    </w:p>
    <w:p>
      <w:pPr>
        <w:snapToGrid w:val="0"/>
        <w:spacing w:after="100" w:afterAutospacing="1"/>
        <w:jc w:val="left"/>
        <w:rPr>
          <w:rFonts w:ascii="宋体" w:hAnsi="宋体" w:cs="宋体"/>
          <w:b/>
          <w:color w:val="auto"/>
          <w:sz w:val="28"/>
          <w:szCs w:val="28"/>
        </w:rPr>
      </w:pPr>
    </w:p>
    <w:p>
      <w:pPr>
        <w:pStyle w:val="10"/>
        <w:ind w:left="982" w:hanging="562"/>
        <w:rPr>
          <w:rFonts w:ascii="宋体" w:hAnsi="宋体" w:cs="宋体"/>
          <w:b/>
          <w:color w:val="auto"/>
          <w:sz w:val="28"/>
          <w:szCs w:val="28"/>
        </w:rPr>
      </w:pPr>
    </w:p>
    <w:p>
      <w:pPr>
        <w:widowControl/>
        <w:spacing w:line="360" w:lineRule="auto"/>
        <w:rPr>
          <w:rFonts w:ascii="宋体" w:hAnsi="宋体" w:cs="宋体"/>
          <w:b/>
          <w:color w:val="auto"/>
          <w:sz w:val="32"/>
          <w:szCs w:val="32"/>
        </w:rPr>
      </w:pPr>
    </w:p>
    <w:p>
      <w:pPr>
        <w:widowControl/>
        <w:spacing w:line="360" w:lineRule="auto"/>
        <w:ind w:firstLine="2891" w:firstLineChars="900"/>
        <w:rPr>
          <w:rFonts w:ascii="宋体" w:hAnsi="宋体" w:cs="宋体"/>
          <w:b/>
          <w:color w:val="auto"/>
          <w:sz w:val="32"/>
          <w:szCs w:val="32"/>
        </w:rPr>
      </w:pPr>
    </w:p>
    <w:p>
      <w:pPr>
        <w:widowControl/>
        <w:spacing w:line="360" w:lineRule="auto"/>
        <w:ind w:firstLine="2891" w:firstLineChars="900"/>
        <w:rPr>
          <w:rFonts w:ascii="宋体" w:hAnsi="宋体" w:cs="宋体"/>
          <w:b/>
          <w:color w:val="auto"/>
          <w:sz w:val="32"/>
          <w:szCs w:val="32"/>
        </w:rPr>
      </w:pPr>
    </w:p>
    <w:p>
      <w:pPr>
        <w:widowControl/>
        <w:spacing w:line="360" w:lineRule="auto"/>
        <w:ind w:firstLine="2891" w:firstLineChars="900"/>
        <w:rPr>
          <w:rFonts w:ascii="宋体" w:hAnsi="宋体" w:cs="宋体"/>
          <w:b/>
          <w:color w:val="auto"/>
          <w:spacing w:val="1"/>
          <w:w w:val="99"/>
          <w:kern w:val="0"/>
          <w:sz w:val="32"/>
          <w:szCs w:val="32"/>
        </w:rPr>
      </w:pPr>
      <w:r>
        <w:rPr>
          <w:rFonts w:hint="eastAsia" w:ascii="宋体" w:hAnsi="宋体" w:cs="宋体"/>
          <w:b/>
          <w:color w:val="auto"/>
          <w:sz w:val="32"/>
          <w:szCs w:val="32"/>
        </w:rPr>
        <w:t>招 标 人：宝丰县交通运输局</w:t>
      </w:r>
    </w:p>
    <w:p>
      <w:pPr>
        <w:widowControl/>
        <w:spacing w:line="360" w:lineRule="auto"/>
        <w:ind w:firstLine="2891" w:firstLineChars="900"/>
        <w:rPr>
          <w:rFonts w:ascii="宋体" w:hAnsi="宋体" w:cs="宋体"/>
          <w:b/>
          <w:color w:val="auto"/>
          <w:spacing w:val="-1"/>
          <w:w w:val="99"/>
          <w:kern w:val="0"/>
          <w:sz w:val="32"/>
          <w:szCs w:val="32"/>
        </w:rPr>
      </w:pPr>
      <w:r>
        <w:rPr>
          <w:rFonts w:hint="eastAsia" w:ascii="宋体" w:hAnsi="宋体" w:cs="宋体"/>
          <w:b/>
          <w:color w:val="auto"/>
          <w:sz w:val="32"/>
          <w:szCs w:val="32"/>
        </w:rPr>
        <w:t>代理机构：</w:t>
      </w:r>
      <w:r>
        <w:rPr>
          <w:rFonts w:hint="eastAsia" w:ascii="宋体" w:hAnsi="宋体" w:cs="宋体"/>
          <w:b/>
          <w:color w:val="auto"/>
          <w:spacing w:val="1"/>
          <w:w w:val="99"/>
          <w:kern w:val="0"/>
          <w:sz w:val="32"/>
          <w:szCs w:val="32"/>
        </w:rPr>
        <w:t>智远工程管理有限公司</w:t>
      </w:r>
    </w:p>
    <w:p>
      <w:pPr>
        <w:ind w:firstLine="2891" w:firstLineChars="900"/>
        <w:rPr>
          <w:rFonts w:ascii="宋体" w:hAnsi="宋体" w:cs="宋体"/>
          <w:b/>
          <w:color w:val="auto"/>
          <w:sz w:val="32"/>
          <w:szCs w:val="32"/>
        </w:rPr>
      </w:pPr>
      <w:r>
        <w:rPr>
          <w:rFonts w:hint="eastAsia" w:ascii="宋体" w:hAnsi="宋体" w:cs="宋体"/>
          <w:b/>
          <w:color w:val="auto"/>
          <w:sz w:val="32"/>
          <w:szCs w:val="32"/>
        </w:rPr>
        <w:t>日     期：二零二</w:t>
      </w:r>
      <w:r>
        <w:rPr>
          <w:rFonts w:hint="eastAsia" w:ascii="宋体" w:hAnsi="宋体" w:cs="宋体"/>
          <w:b/>
          <w:color w:val="auto"/>
          <w:sz w:val="32"/>
          <w:szCs w:val="32"/>
          <w:lang w:val="en-US" w:eastAsia="zh-CN"/>
        </w:rPr>
        <w:t>四</w:t>
      </w:r>
      <w:r>
        <w:rPr>
          <w:rFonts w:hint="eastAsia" w:ascii="宋体" w:hAnsi="宋体" w:cs="宋体"/>
          <w:b/>
          <w:color w:val="auto"/>
          <w:sz w:val="32"/>
          <w:szCs w:val="32"/>
        </w:rPr>
        <w:t>年</w:t>
      </w:r>
      <w:r>
        <w:rPr>
          <w:rFonts w:hint="eastAsia" w:ascii="宋体" w:hAnsi="宋体" w:cs="宋体"/>
          <w:b/>
          <w:color w:val="auto"/>
          <w:sz w:val="32"/>
          <w:szCs w:val="32"/>
          <w:lang w:val="en-US" w:eastAsia="zh-CN"/>
        </w:rPr>
        <w:t>二</w:t>
      </w:r>
      <w:r>
        <w:rPr>
          <w:rFonts w:hint="eastAsia" w:ascii="宋体" w:hAnsi="宋体" w:cs="宋体"/>
          <w:b/>
          <w:color w:val="auto"/>
          <w:sz w:val="32"/>
          <w:szCs w:val="32"/>
        </w:rPr>
        <w:t>月</w:t>
      </w:r>
    </w:p>
    <w:p>
      <w:pPr>
        <w:spacing w:line="360" w:lineRule="auto"/>
        <w:rPr>
          <w:rFonts w:ascii="宋体" w:hAnsi="宋体"/>
          <w:b/>
          <w:color w:val="auto"/>
          <w:szCs w:val="21"/>
        </w:rPr>
      </w:pPr>
    </w:p>
    <w:p>
      <w:pPr>
        <w:spacing w:line="360" w:lineRule="auto"/>
        <w:rPr>
          <w:rFonts w:ascii="宋体" w:hAnsi="宋体"/>
          <w:b/>
          <w:bCs/>
          <w:color w:val="auto"/>
          <w:sz w:val="32"/>
        </w:rPr>
      </w:pPr>
    </w:p>
    <w:p>
      <w:pPr>
        <w:tabs>
          <w:tab w:val="left" w:pos="3630"/>
          <w:tab w:val="center" w:pos="4535"/>
        </w:tabs>
        <w:spacing w:line="400" w:lineRule="exact"/>
        <w:jc w:val="center"/>
        <w:rPr>
          <w:rFonts w:ascii="宋体" w:hAnsi="宋体"/>
          <w:color w:val="auto"/>
        </w:rPr>
      </w:pPr>
      <w:bookmarkStart w:id="0" w:name="_Toc489430447"/>
      <w:bookmarkStart w:id="1" w:name="_Toc474766479"/>
      <w:bookmarkStart w:id="2" w:name="_Toc18744"/>
      <w:bookmarkStart w:id="3" w:name="_Toc152042303"/>
      <w:bookmarkStart w:id="4" w:name="_Toc152045527"/>
      <w:bookmarkStart w:id="5" w:name="_Toc144974495"/>
      <w:r>
        <w:rPr>
          <w:rFonts w:hint="eastAsia" w:ascii="宋体" w:hAnsi="宋体"/>
          <w:b/>
          <w:bCs/>
          <w:color w:val="auto"/>
          <w:sz w:val="32"/>
        </w:rPr>
        <w:t>目 录</w:t>
      </w:r>
    </w:p>
    <w:sdt>
      <w:sdtPr>
        <w:rPr>
          <w:rFonts w:asciiTheme="majorHAnsi" w:hAnsiTheme="majorHAnsi" w:eastAsiaTheme="majorEastAsia" w:cstheme="majorBidi"/>
          <w:b/>
          <w:bCs/>
          <w:color w:val="auto"/>
          <w:kern w:val="0"/>
          <w:sz w:val="28"/>
          <w:szCs w:val="28"/>
          <w:lang w:val="zh-CN"/>
        </w:rPr>
        <w:id w:val="32015760"/>
        <w:docPartObj>
          <w:docPartGallery w:val="Table of Contents"/>
          <w:docPartUnique/>
        </w:docPartObj>
      </w:sdtPr>
      <w:sdtEndPr>
        <w:rPr>
          <w:rFonts w:ascii="Calibri" w:hAnsi="Calibri" w:eastAsia="宋体" w:cs="黑体"/>
          <w:b w:val="0"/>
          <w:bCs w:val="0"/>
          <w:color w:val="auto"/>
          <w:kern w:val="2"/>
          <w:sz w:val="21"/>
          <w:szCs w:val="24"/>
          <w:lang w:val="en-US"/>
        </w:rPr>
      </w:sdtEndPr>
      <w:sdtContent>
        <w:p>
          <w:pPr>
            <w:pStyle w:val="18"/>
            <w:tabs>
              <w:tab w:val="right" w:leader="dot" w:pos="9740"/>
            </w:tabs>
            <w:jc w:val="both"/>
            <w:rPr>
              <w:rFonts w:asciiTheme="minorHAnsi" w:hAnsiTheme="minorHAnsi" w:eastAsiaTheme="minorEastAsia" w:cstheme="minorBidi"/>
              <w:color w:val="auto"/>
              <w:sz w:val="32"/>
              <w:szCs w:val="32"/>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"_Toc116314077" </w:instrText>
          </w:r>
          <w:r>
            <w:rPr>
              <w:color w:val="auto"/>
            </w:rPr>
            <w:fldChar w:fldCharType="separate"/>
          </w:r>
          <w:r>
            <w:rPr>
              <w:rStyle w:val="33"/>
              <w:rFonts w:hint="eastAsia"/>
              <w:color w:val="auto"/>
              <w:sz w:val="32"/>
              <w:szCs w:val="32"/>
            </w:rPr>
            <w:t>第一章招标公告</w:t>
          </w:r>
          <w:r>
            <w:rPr>
              <w:color w:val="auto"/>
              <w:sz w:val="32"/>
              <w:szCs w:val="32"/>
            </w:rPr>
            <w:tab/>
          </w:r>
          <w:r>
            <w:rPr>
              <w:color w:val="auto"/>
              <w:sz w:val="32"/>
              <w:szCs w:val="32"/>
            </w:rPr>
            <w:fldChar w:fldCharType="begin"/>
          </w:r>
          <w:r>
            <w:rPr>
              <w:color w:val="auto"/>
              <w:sz w:val="32"/>
              <w:szCs w:val="32"/>
            </w:rPr>
            <w:instrText xml:space="preserve"> PAGEREF _Toc116314077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pPr>
            <w:pStyle w:val="18"/>
            <w:tabs>
              <w:tab w:val="right" w:leader="dot" w:pos="9740"/>
            </w:tabs>
            <w:rPr>
              <w:rFonts w:asciiTheme="minorHAnsi" w:hAnsiTheme="minorHAnsi" w:eastAsiaTheme="minorEastAsia" w:cstheme="minorBidi"/>
              <w:color w:val="auto"/>
              <w:sz w:val="32"/>
              <w:szCs w:val="32"/>
            </w:rPr>
          </w:pPr>
          <w:r>
            <w:rPr>
              <w:color w:val="auto"/>
            </w:rPr>
            <w:fldChar w:fldCharType="begin"/>
          </w:r>
          <w:r>
            <w:rPr>
              <w:color w:val="auto"/>
            </w:rPr>
            <w:instrText xml:space="preserve"> HYPERLINK \l "_Toc116314078" </w:instrText>
          </w:r>
          <w:r>
            <w:rPr>
              <w:color w:val="auto"/>
            </w:rPr>
            <w:fldChar w:fldCharType="separate"/>
          </w:r>
          <w:r>
            <w:rPr>
              <w:rStyle w:val="33"/>
              <w:rFonts w:hint="eastAsia"/>
              <w:color w:val="auto"/>
              <w:sz w:val="32"/>
              <w:szCs w:val="32"/>
            </w:rPr>
            <w:t>第二章投标人须知</w:t>
          </w:r>
          <w:r>
            <w:rPr>
              <w:color w:val="auto"/>
              <w:sz w:val="32"/>
              <w:szCs w:val="32"/>
            </w:rPr>
            <w:tab/>
          </w:r>
          <w:r>
            <w:rPr>
              <w:color w:val="auto"/>
              <w:sz w:val="32"/>
              <w:szCs w:val="32"/>
            </w:rPr>
            <w:fldChar w:fldCharType="begin"/>
          </w:r>
          <w:r>
            <w:rPr>
              <w:color w:val="auto"/>
              <w:sz w:val="32"/>
              <w:szCs w:val="32"/>
            </w:rPr>
            <w:instrText xml:space="preserve"> PAGEREF _Toc116314078 \h </w:instrText>
          </w:r>
          <w:r>
            <w:rPr>
              <w:color w:val="auto"/>
              <w:sz w:val="32"/>
              <w:szCs w:val="32"/>
            </w:rPr>
            <w:fldChar w:fldCharType="separate"/>
          </w:r>
          <w:r>
            <w:rPr>
              <w:color w:val="auto"/>
              <w:sz w:val="32"/>
              <w:szCs w:val="32"/>
            </w:rPr>
            <w:t>8</w:t>
          </w:r>
          <w:r>
            <w:rPr>
              <w:color w:val="auto"/>
              <w:sz w:val="32"/>
              <w:szCs w:val="32"/>
            </w:rPr>
            <w:fldChar w:fldCharType="end"/>
          </w:r>
          <w:r>
            <w:rPr>
              <w:color w:val="auto"/>
              <w:sz w:val="32"/>
              <w:szCs w:val="32"/>
            </w:rPr>
            <w:fldChar w:fldCharType="end"/>
          </w:r>
        </w:p>
        <w:p>
          <w:pPr>
            <w:pStyle w:val="18"/>
            <w:tabs>
              <w:tab w:val="right" w:leader="dot" w:pos="9740"/>
            </w:tabs>
            <w:rPr>
              <w:rFonts w:asciiTheme="minorHAnsi" w:hAnsiTheme="minorHAnsi" w:eastAsiaTheme="minorEastAsia" w:cstheme="minorBidi"/>
              <w:color w:val="auto"/>
              <w:sz w:val="32"/>
              <w:szCs w:val="32"/>
            </w:rPr>
          </w:pPr>
          <w:r>
            <w:rPr>
              <w:color w:val="auto"/>
            </w:rPr>
            <w:fldChar w:fldCharType="begin"/>
          </w:r>
          <w:r>
            <w:rPr>
              <w:color w:val="auto"/>
            </w:rPr>
            <w:instrText xml:space="preserve"> HYPERLINK \l "_Toc116314131" </w:instrText>
          </w:r>
          <w:r>
            <w:rPr>
              <w:color w:val="auto"/>
            </w:rPr>
            <w:fldChar w:fldCharType="separate"/>
          </w:r>
          <w:r>
            <w:rPr>
              <w:rStyle w:val="33"/>
              <w:rFonts w:hint="eastAsia" w:ascii="宋体" w:hAnsi="宋体"/>
              <w:color w:val="auto"/>
              <w:sz w:val="32"/>
              <w:szCs w:val="32"/>
            </w:rPr>
            <w:t>第三章评标办法（综合评估法）</w:t>
          </w:r>
          <w:r>
            <w:rPr>
              <w:color w:val="auto"/>
              <w:sz w:val="32"/>
              <w:szCs w:val="32"/>
            </w:rPr>
            <w:tab/>
          </w:r>
          <w:r>
            <w:rPr>
              <w:color w:val="auto"/>
              <w:sz w:val="32"/>
              <w:szCs w:val="32"/>
            </w:rPr>
            <w:fldChar w:fldCharType="begin"/>
          </w:r>
          <w:r>
            <w:rPr>
              <w:color w:val="auto"/>
              <w:sz w:val="32"/>
              <w:szCs w:val="32"/>
            </w:rPr>
            <w:instrText xml:space="preserve"> PAGEREF _Toc116314131 \h </w:instrText>
          </w:r>
          <w:r>
            <w:rPr>
              <w:color w:val="auto"/>
              <w:sz w:val="32"/>
              <w:szCs w:val="32"/>
            </w:rPr>
            <w:fldChar w:fldCharType="separate"/>
          </w:r>
          <w:r>
            <w:rPr>
              <w:color w:val="auto"/>
              <w:sz w:val="32"/>
              <w:szCs w:val="32"/>
            </w:rPr>
            <w:t>26</w:t>
          </w:r>
          <w:r>
            <w:rPr>
              <w:color w:val="auto"/>
              <w:sz w:val="32"/>
              <w:szCs w:val="32"/>
            </w:rPr>
            <w:fldChar w:fldCharType="end"/>
          </w:r>
          <w:r>
            <w:rPr>
              <w:color w:val="auto"/>
              <w:sz w:val="32"/>
              <w:szCs w:val="32"/>
            </w:rPr>
            <w:fldChar w:fldCharType="end"/>
          </w:r>
        </w:p>
        <w:p>
          <w:pPr>
            <w:pStyle w:val="18"/>
            <w:tabs>
              <w:tab w:val="right" w:leader="dot" w:pos="9740"/>
            </w:tabs>
            <w:rPr>
              <w:rFonts w:asciiTheme="minorHAnsi" w:hAnsiTheme="minorHAnsi" w:eastAsiaTheme="minorEastAsia" w:cstheme="minorBidi"/>
              <w:color w:val="auto"/>
              <w:sz w:val="32"/>
              <w:szCs w:val="32"/>
            </w:rPr>
          </w:pPr>
          <w:r>
            <w:rPr>
              <w:color w:val="auto"/>
            </w:rPr>
            <w:fldChar w:fldCharType="begin"/>
          </w:r>
          <w:r>
            <w:rPr>
              <w:color w:val="auto"/>
            </w:rPr>
            <w:instrText xml:space="preserve"> HYPERLINK \l "_Toc116314143" </w:instrText>
          </w:r>
          <w:r>
            <w:rPr>
              <w:color w:val="auto"/>
            </w:rPr>
            <w:fldChar w:fldCharType="separate"/>
          </w:r>
          <w:r>
            <w:rPr>
              <w:rStyle w:val="33"/>
              <w:rFonts w:hint="eastAsia" w:ascii="宋体" w:hAnsi="宋体"/>
              <w:color w:val="auto"/>
              <w:sz w:val="32"/>
              <w:szCs w:val="32"/>
            </w:rPr>
            <w:t>第四章合同条款及格式</w:t>
          </w:r>
          <w:r>
            <w:rPr>
              <w:color w:val="auto"/>
              <w:sz w:val="32"/>
              <w:szCs w:val="32"/>
            </w:rPr>
            <w:tab/>
          </w:r>
          <w:r>
            <w:rPr>
              <w:color w:val="auto"/>
              <w:sz w:val="32"/>
              <w:szCs w:val="32"/>
            </w:rPr>
            <w:fldChar w:fldCharType="begin"/>
          </w:r>
          <w:r>
            <w:rPr>
              <w:color w:val="auto"/>
              <w:sz w:val="32"/>
              <w:szCs w:val="32"/>
            </w:rPr>
            <w:instrText xml:space="preserve"> PAGEREF _Toc116314143 \h </w:instrText>
          </w:r>
          <w:r>
            <w:rPr>
              <w:color w:val="auto"/>
              <w:sz w:val="32"/>
              <w:szCs w:val="32"/>
            </w:rPr>
            <w:fldChar w:fldCharType="separate"/>
          </w:r>
          <w:r>
            <w:rPr>
              <w:color w:val="auto"/>
              <w:sz w:val="32"/>
              <w:szCs w:val="32"/>
            </w:rPr>
            <w:t>31</w:t>
          </w:r>
          <w:r>
            <w:rPr>
              <w:color w:val="auto"/>
              <w:sz w:val="32"/>
              <w:szCs w:val="32"/>
            </w:rPr>
            <w:fldChar w:fldCharType="end"/>
          </w:r>
          <w:r>
            <w:rPr>
              <w:color w:val="auto"/>
              <w:sz w:val="32"/>
              <w:szCs w:val="32"/>
            </w:rPr>
            <w:fldChar w:fldCharType="end"/>
          </w:r>
        </w:p>
        <w:p>
          <w:pPr>
            <w:pStyle w:val="18"/>
            <w:tabs>
              <w:tab w:val="right" w:leader="dot" w:pos="9740"/>
            </w:tabs>
            <w:rPr>
              <w:rFonts w:asciiTheme="minorHAnsi" w:hAnsiTheme="minorHAnsi" w:eastAsiaTheme="minorEastAsia" w:cstheme="minorBidi"/>
              <w:color w:val="auto"/>
              <w:sz w:val="32"/>
              <w:szCs w:val="32"/>
            </w:rPr>
          </w:pPr>
          <w:r>
            <w:rPr>
              <w:color w:val="auto"/>
            </w:rPr>
            <w:fldChar w:fldCharType="begin"/>
          </w:r>
          <w:r>
            <w:rPr>
              <w:color w:val="auto"/>
            </w:rPr>
            <w:instrText xml:space="preserve"> HYPERLINK \l "_Toc116314145" </w:instrText>
          </w:r>
          <w:r>
            <w:rPr>
              <w:color w:val="auto"/>
            </w:rPr>
            <w:fldChar w:fldCharType="separate"/>
          </w:r>
          <w:r>
            <w:rPr>
              <w:rStyle w:val="33"/>
              <w:rFonts w:hint="eastAsia" w:ascii="宋体" w:hAnsi="宋体"/>
              <w:color w:val="auto"/>
              <w:sz w:val="32"/>
              <w:szCs w:val="32"/>
            </w:rPr>
            <w:t>第五章技术标准及规范</w:t>
          </w:r>
          <w:r>
            <w:rPr>
              <w:color w:val="auto"/>
              <w:sz w:val="32"/>
              <w:szCs w:val="32"/>
            </w:rPr>
            <w:tab/>
          </w:r>
          <w:r>
            <w:rPr>
              <w:color w:val="auto"/>
              <w:sz w:val="32"/>
              <w:szCs w:val="32"/>
            </w:rPr>
            <w:fldChar w:fldCharType="begin"/>
          </w:r>
          <w:r>
            <w:rPr>
              <w:color w:val="auto"/>
              <w:sz w:val="32"/>
              <w:szCs w:val="32"/>
            </w:rPr>
            <w:instrText xml:space="preserve"> PAGEREF _Toc116314145 \h </w:instrText>
          </w:r>
          <w:r>
            <w:rPr>
              <w:color w:val="auto"/>
              <w:sz w:val="32"/>
              <w:szCs w:val="32"/>
            </w:rPr>
            <w:fldChar w:fldCharType="separate"/>
          </w:r>
          <w:r>
            <w:rPr>
              <w:color w:val="auto"/>
              <w:sz w:val="32"/>
              <w:szCs w:val="32"/>
            </w:rPr>
            <w:t>37</w:t>
          </w:r>
          <w:r>
            <w:rPr>
              <w:color w:val="auto"/>
              <w:sz w:val="32"/>
              <w:szCs w:val="32"/>
            </w:rPr>
            <w:fldChar w:fldCharType="end"/>
          </w:r>
          <w:r>
            <w:rPr>
              <w:color w:val="auto"/>
              <w:sz w:val="32"/>
              <w:szCs w:val="32"/>
            </w:rPr>
            <w:fldChar w:fldCharType="end"/>
          </w:r>
        </w:p>
        <w:p>
          <w:pPr>
            <w:pStyle w:val="18"/>
            <w:tabs>
              <w:tab w:val="right" w:leader="dot" w:pos="9740"/>
            </w:tabs>
            <w:rPr>
              <w:rFonts w:asciiTheme="minorHAnsi" w:hAnsiTheme="minorHAnsi" w:eastAsiaTheme="minorEastAsia" w:cstheme="minorBidi"/>
              <w:color w:val="auto"/>
              <w:sz w:val="32"/>
              <w:szCs w:val="32"/>
            </w:rPr>
          </w:pPr>
          <w:r>
            <w:rPr>
              <w:color w:val="auto"/>
            </w:rPr>
            <w:fldChar w:fldCharType="begin"/>
          </w:r>
          <w:r>
            <w:rPr>
              <w:color w:val="auto"/>
            </w:rPr>
            <w:instrText xml:space="preserve"> HYPERLINK \l "_Toc116314146" </w:instrText>
          </w:r>
          <w:r>
            <w:rPr>
              <w:color w:val="auto"/>
            </w:rPr>
            <w:fldChar w:fldCharType="separate"/>
          </w:r>
          <w:r>
            <w:rPr>
              <w:rStyle w:val="33"/>
              <w:rFonts w:hint="eastAsia" w:ascii="宋体" w:hAnsi="宋体"/>
              <w:color w:val="auto"/>
              <w:sz w:val="32"/>
              <w:szCs w:val="32"/>
            </w:rPr>
            <w:t>第六章监理任务范围及监理工作大纲</w:t>
          </w:r>
          <w:r>
            <w:rPr>
              <w:color w:val="auto"/>
              <w:sz w:val="32"/>
              <w:szCs w:val="32"/>
            </w:rPr>
            <w:tab/>
          </w:r>
          <w:r>
            <w:rPr>
              <w:color w:val="auto"/>
              <w:sz w:val="32"/>
              <w:szCs w:val="32"/>
            </w:rPr>
            <w:fldChar w:fldCharType="begin"/>
          </w:r>
          <w:r>
            <w:rPr>
              <w:color w:val="auto"/>
              <w:sz w:val="32"/>
              <w:szCs w:val="32"/>
            </w:rPr>
            <w:instrText xml:space="preserve"> PAGEREF _Toc116314146 \h </w:instrText>
          </w:r>
          <w:r>
            <w:rPr>
              <w:color w:val="auto"/>
              <w:sz w:val="32"/>
              <w:szCs w:val="32"/>
            </w:rPr>
            <w:fldChar w:fldCharType="separate"/>
          </w:r>
          <w:r>
            <w:rPr>
              <w:color w:val="auto"/>
              <w:sz w:val="32"/>
              <w:szCs w:val="32"/>
            </w:rPr>
            <w:t>38</w:t>
          </w:r>
          <w:r>
            <w:rPr>
              <w:color w:val="auto"/>
              <w:sz w:val="32"/>
              <w:szCs w:val="32"/>
            </w:rPr>
            <w:fldChar w:fldCharType="end"/>
          </w:r>
          <w:r>
            <w:rPr>
              <w:color w:val="auto"/>
              <w:sz w:val="32"/>
              <w:szCs w:val="32"/>
            </w:rPr>
            <w:fldChar w:fldCharType="end"/>
          </w:r>
        </w:p>
        <w:p>
          <w:pPr>
            <w:pStyle w:val="18"/>
            <w:tabs>
              <w:tab w:val="right" w:leader="dot" w:pos="9740"/>
            </w:tabs>
            <w:rPr>
              <w:rFonts w:asciiTheme="minorHAnsi" w:hAnsiTheme="minorHAnsi" w:eastAsiaTheme="minorEastAsia" w:cstheme="minorBidi"/>
              <w:color w:val="auto"/>
              <w:sz w:val="32"/>
              <w:szCs w:val="32"/>
            </w:rPr>
          </w:pPr>
          <w:r>
            <w:rPr>
              <w:color w:val="auto"/>
            </w:rPr>
            <w:fldChar w:fldCharType="begin"/>
          </w:r>
          <w:r>
            <w:rPr>
              <w:color w:val="auto"/>
            </w:rPr>
            <w:instrText xml:space="preserve"> HYPERLINK \l "_Toc116314147" </w:instrText>
          </w:r>
          <w:r>
            <w:rPr>
              <w:color w:val="auto"/>
            </w:rPr>
            <w:fldChar w:fldCharType="separate"/>
          </w:r>
          <w:r>
            <w:rPr>
              <w:rStyle w:val="33"/>
              <w:rFonts w:hint="eastAsia" w:ascii="宋体" w:hAnsi="宋体"/>
              <w:color w:val="auto"/>
              <w:sz w:val="32"/>
              <w:szCs w:val="32"/>
            </w:rPr>
            <w:t>第七章投标文件格式</w:t>
          </w:r>
          <w:r>
            <w:rPr>
              <w:color w:val="auto"/>
              <w:sz w:val="32"/>
              <w:szCs w:val="32"/>
            </w:rPr>
            <w:tab/>
          </w:r>
          <w:r>
            <w:rPr>
              <w:color w:val="auto"/>
              <w:sz w:val="32"/>
              <w:szCs w:val="32"/>
            </w:rPr>
            <w:fldChar w:fldCharType="begin"/>
          </w:r>
          <w:r>
            <w:rPr>
              <w:color w:val="auto"/>
              <w:sz w:val="32"/>
              <w:szCs w:val="32"/>
            </w:rPr>
            <w:instrText xml:space="preserve"> PAGEREF _Toc116314147 \h </w:instrText>
          </w:r>
          <w:r>
            <w:rPr>
              <w:color w:val="auto"/>
              <w:sz w:val="32"/>
              <w:szCs w:val="32"/>
            </w:rPr>
            <w:fldChar w:fldCharType="separate"/>
          </w:r>
          <w:r>
            <w:rPr>
              <w:color w:val="auto"/>
              <w:sz w:val="32"/>
              <w:szCs w:val="32"/>
            </w:rPr>
            <w:t>40</w:t>
          </w:r>
          <w:r>
            <w:rPr>
              <w:color w:val="auto"/>
              <w:sz w:val="32"/>
              <w:szCs w:val="32"/>
            </w:rPr>
            <w:fldChar w:fldCharType="end"/>
          </w:r>
          <w:r>
            <w:rPr>
              <w:color w:val="auto"/>
              <w:sz w:val="32"/>
              <w:szCs w:val="32"/>
            </w:rPr>
            <w:fldChar w:fldCharType="end"/>
          </w:r>
        </w:p>
        <w:p>
          <w:pPr>
            <w:rPr>
              <w:color w:val="auto"/>
            </w:rPr>
          </w:pPr>
          <w:r>
            <w:rPr>
              <w:color w:val="auto"/>
            </w:rPr>
            <w:fldChar w:fldCharType="end"/>
          </w:r>
        </w:p>
      </w:sdtContent>
    </w:sdt>
    <w:p>
      <w:pPr>
        <w:widowControl/>
        <w:spacing w:line="312" w:lineRule="auto"/>
        <w:jc w:val="center"/>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widowControl/>
        <w:spacing w:line="312" w:lineRule="auto"/>
        <w:jc w:val="left"/>
        <w:rPr>
          <w:b/>
          <w:bCs/>
          <w:color w:val="auto"/>
        </w:rPr>
      </w:pPr>
    </w:p>
    <w:p>
      <w:pPr>
        <w:pStyle w:val="26"/>
        <w:rPr>
          <w:color w:val="auto"/>
        </w:rPr>
      </w:pPr>
      <w:bookmarkStart w:id="6" w:name="_Toc489430807"/>
    </w:p>
    <w:p>
      <w:pPr>
        <w:rPr>
          <w:color w:val="auto"/>
        </w:rPr>
      </w:pPr>
    </w:p>
    <w:p>
      <w:pPr>
        <w:pStyle w:val="26"/>
        <w:rPr>
          <w:color w:val="auto"/>
        </w:rPr>
      </w:pPr>
    </w:p>
    <w:p>
      <w:pPr>
        <w:pStyle w:val="26"/>
        <w:rPr>
          <w:color w:val="auto"/>
        </w:rPr>
      </w:pPr>
    </w:p>
    <w:p>
      <w:pPr>
        <w:pStyle w:val="26"/>
        <w:rPr>
          <w:color w:val="auto"/>
        </w:rPr>
      </w:pPr>
    </w:p>
    <w:p>
      <w:pPr>
        <w:pStyle w:val="26"/>
        <w:jc w:val="both"/>
        <w:rPr>
          <w:color w:val="auto"/>
        </w:rPr>
      </w:pPr>
      <w:bookmarkStart w:id="7" w:name="_Toc116314077"/>
    </w:p>
    <w:p>
      <w:pPr>
        <w:pStyle w:val="26"/>
        <w:rPr>
          <w:color w:val="auto"/>
        </w:rPr>
      </w:pPr>
      <w:r>
        <w:rPr>
          <w:rFonts w:hint="eastAsia"/>
          <w:color w:val="auto"/>
        </w:rPr>
        <w:t>第一章招标公告</w:t>
      </w:r>
      <w:bookmarkEnd w:id="0"/>
      <w:bookmarkEnd w:id="1"/>
      <w:bookmarkEnd w:id="2"/>
      <w:bookmarkEnd w:id="6"/>
      <w:bookmarkEnd w:id="7"/>
    </w:p>
    <w:p>
      <w:pPr>
        <w:spacing w:line="360" w:lineRule="auto"/>
        <w:jc w:val="center"/>
        <w:rPr>
          <w:rFonts w:ascii="宋体" w:hAnsi="宋体" w:cs="宋体"/>
          <w:b/>
          <w:sz w:val="36"/>
          <w:szCs w:val="36"/>
        </w:rPr>
      </w:pPr>
      <w:bookmarkStart w:id="8" w:name="_Toc32527"/>
      <w:bookmarkStart w:id="9" w:name="_Toc489430822"/>
      <w:bookmarkStart w:id="10" w:name="_Toc489430462"/>
      <w:r>
        <w:rPr>
          <w:rFonts w:hint="eastAsia" w:ascii="宋体" w:hAnsi="宋体" w:cs="宋体"/>
          <w:b/>
          <w:sz w:val="36"/>
          <w:szCs w:val="36"/>
        </w:rPr>
        <w:t>宝丰县交通运输局关于</w:t>
      </w:r>
      <w:r>
        <w:rPr>
          <w:rFonts w:hint="eastAsia" w:ascii="宋体" w:hAnsi="宋体" w:cs="宋体"/>
          <w:b/>
          <w:sz w:val="36"/>
          <w:szCs w:val="36"/>
          <w:lang w:eastAsia="zh-CN"/>
        </w:rPr>
        <w:t>宝丰县重点采煤沉陷区S241洛驻线芮庄至G311连栾线段改建工程</w:t>
      </w:r>
      <w:r>
        <w:rPr>
          <w:rFonts w:hint="eastAsia" w:ascii="宋体" w:hAnsi="宋体" w:cs="宋体"/>
          <w:b/>
          <w:sz w:val="36"/>
          <w:szCs w:val="36"/>
        </w:rPr>
        <w:t>招标公告</w:t>
      </w:r>
    </w:p>
    <w:p>
      <w:pPr>
        <w:spacing w:line="360" w:lineRule="auto"/>
        <w:rPr>
          <w:rFonts w:ascii="宋体" w:hAnsi="宋体" w:cs="宋体"/>
          <w:sz w:val="24"/>
        </w:rPr>
      </w:pPr>
      <w:r>
        <w:rPr>
          <w:rFonts w:hint="eastAsia" w:ascii="宋体" w:hAnsi="宋体" w:cs="宋体"/>
          <w:sz w:val="24"/>
        </w:rPr>
        <w:t>项目概况</w:t>
      </w:r>
    </w:p>
    <w:p>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宝丰县重点采煤沉陷区S241洛驻线芮庄至G311连栾线段改建工程</w:t>
      </w:r>
      <w:r>
        <w:rPr>
          <w:rFonts w:hint="eastAsia" w:ascii="宋体" w:hAnsi="宋体" w:cs="宋体"/>
          <w:color w:val="auto"/>
          <w:sz w:val="24"/>
        </w:rPr>
        <w:t>的潜在投标人应在宝丰县公共资源交易中心电子交易系统获取招标文件，并于202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分（北京时间）前递交投标文件。</w:t>
      </w:r>
      <w:bookmarkStart w:id="11" w:name="_Toc28359002"/>
      <w:bookmarkStart w:id="12" w:name="_Toc28359079"/>
      <w:bookmarkStart w:id="13" w:name="_Toc35393790"/>
      <w:bookmarkStart w:id="14" w:name="_Toc35393621"/>
      <w:bookmarkStart w:id="15" w:name="_Hlk24379207"/>
    </w:p>
    <w:p>
      <w:pPr>
        <w:spacing w:line="360" w:lineRule="auto"/>
        <w:rPr>
          <w:rFonts w:ascii="宋体" w:hAnsi="宋体" w:cs="宋体"/>
          <w:b/>
          <w:bCs/>
          <w:sz w:val="24"/>
        </w:rPr>
      </w:pPr>
      <w:r>
        <w:rPr>
          <w:rFonts w:hint="eastAsia" w:ascii="宋体" w:hAnsi="宋体" w:cs="宋体"/>
          <w:b/>
          <w:sz w:val="24"/>
        </w:rPr>
        <w:t>一、项目基本情况</w:t>
      </w:r>
      <w:bookmarkEnd w:id="11"/>
      <w:bookmarkEnd w:id="12"/>
      <w:bookmarkEnd w:id="13"/>
      <w:bookmarkEnd w:id="14"/>
    </w:p>
    <w:p>
      <w:pPr>
        <w:spacing w:line="360" w:lineRule="auto"/>
        <w:rPr>
          <w:rFonts w:ascii="宋体" w:hAnsi="宋体" w:cs="宋体"/>
          <w:color w:val="auto"/>
          <w:sz w:val="24"/>
        </w:rPr>
      </w:pPr>
      <w:r>
        <w:rPr>
          <w:rFonts w:hint="eastAsia" w:ascii="宋体" w:hAnsi="宋体" w:cs="宋体"/>
          <w:color w:val="auto"/>
          <w:sz w:val="24"/>
        </w:rPr>
        <w:t>1、采购项目编号：宝财招标-2024-2</w:t>
      </w:r>
    </w:p>
    <w:p>
      <w:pPr>
        <w:spacing w:line="360" w:lineRule="auto"/>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lang w:eastAsia="zh-CN"/>
        </w:rPr>
        <w:t>宝丰县重点采煤沉陷区S241洛驻线芮庄至G311连栾线段改建工程</w:t>
      </w:r>
    </w:p>
    <w:p>
      <w:pPr>
        <w:spacing w:line="360" w:lineRule="auto"/>
        <w:rPr>
          <w:rFonts w:ascii="宋体" w:hAnsi="宋体" w:cs="宋体"/>
          <w:sz w:val="24"/>
        </w:rPr>
      </w:pPr>
      <w:r>
        <w:rPr>
          <w:rFonts w:hint="eastAsia" w:ascii="宋体" w:hAnsi="宋体" w:cs="宋体"/>
          <w:sz w:val="24"/>
        </w:rPr>
        <w:t>3、采购方式：公开招标</w:t>
      </w:r>
    </w:p>
    <w:bookmarkEnd w:id="15"/>
    <w:p>
      <w:pPr>
        <w:spacing w:line="360" w:lineRule="auto"/>
        <w:rPr>
          <w:rFonts w:ascii="宋体" w:hAnsi="宋体" w:cs="宋体"/>
          <w:color w:val="auto"/>
          <w:sz w:val="24"/>
        </w:rPr>
      </w:pPr>
      <w:r>
        <w:rPr>
          <w:rFonts w:hint="eastAsia" w:ascii="宋体" w:hAnsi="宋体" w:cs="宋体"/>
          <w:color w:val="auto"/>
          <w:sz w:val="24"/>
        </w:rPr>
        <w:t>4、预算金额：</w:t>
      </w:r>
      <w:r>
        <w:rPr>
          <w:rFonts w:hint="eastAsia" w:ascii="宋体" w:hAnsi="宋体" w:cs="宋体"/>
          <w:color w:val="auto"/>
          <w:sz w:val="24"/>
          <w:lang w:val="en-US" w:eastAsia="zh-CN"/>
        </w:rPr>
        <w:t>73944617.00</w:t>
      </w:r>
      <w:r>
        <w:rPr>
          <w:rFonts w:hint="eastAsia" w:ascii="宋体" w:hAnsi="宋体" w:cs="宋体"/>
          <w:color w:val="auto"/>
          <w:sz w:val="24"/>
        </w:rPr>
        <w:t>元 ；最高限价：</w:t>
      </w:r>
      <w:r>
        <w:rPr>
          <w:rFonts w:hint="eastAsia" w:ascii="宋体" w:hAnsi="宋体" w:cs="宋体"/>
          <w:color w:val="auto"/>
          <w:sz w:val="24"/>
          <w:lang w:val="en-US" w:eastAsia="zh-CN"/>
        </w:rPr>
        <w:t>73944617.00</w:t>
      </w:r>
      <w:r>
        <w:rPr>
          <w:rFonts w:hint="eastAsia" w:ascii="宋体" w:hAnsi="宋体" w:cs="宋体"/>
          <w:color w:val="auto"/>
          <w:sz w:val="24"/>
        </w:rPr>
        <w:t>元 ；</w:t>
      </w:r>
    </w:p>
    <w:tbl>
      <w:tblPr>
        <w:tblStyle w:val="28"/>
        <w:tblW w:w="9818" w:type="dxa"/>
        <w:tblInd w:w="108" w:type="dxa"/>
        <w:shd w:val="clear" w:color="auto" w:fill="FFFFFF"/>
        <w:tblLayout w:type="fixed"/>
        <w:tblCellMar>
          <w:top w:w="0" w:type="dxa"/>
          <w:left w:w="0" w:type="dxa"/>
          <w:bottom w:w="0" w:type="dxa"/>
          <w:right w:w="0" w:type="dxa"/>
        </w:tblCellMar>
      </w:tblPr>
      <w:tblGrid>
        <w:gridCol w:w="669"/>
        <w:gridCol w:w="1785"/>
        <w:gridCol w:w="3348"/>
        <w:gridCol w:w="2009"/>
        <w:gridCol w:w="2007"/>
      </w:tblGrid>
      <w:tr>
        <w:tblPrEx>
          <w:tblCellMar>
            <w:top w:w="0" w:type="dxa"/>
            <w:left w:w="0" w:type="dxa"/>
            <w:bottom w:w="0" w:type="dxa"/>
            <w:right w:w="0" w:type="dxa"/>
          </w:tblCellMar>
        </w:tblPrEx>
        <w:trPr>
          <w:trHeight w:val="789" w:hRule="atLeast"/>
        </w:trPr>
        <w:tc>
          <w:tcPr>
            <w:tcW w:w="6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17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包号</w:t>
            </w:r>
          </w:p>
        </w:tc>
        <w:tc>
          <w:tcPr>
            <w:tcW w:w="334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包名称</w:t>
            </w:r>
          </w:p>
        </w:tc>
        <w:tc>
          <w:tcPr>
            <w:tcW w:w="20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包预算</w:t>
            </w:r>
          </w:p>
          <w:p>
            <w:pPr>
              <w:spacing w:line="360" w:lineRule="auto"/>
              <w:jc w:val="center"/>
              <w:rPr>
                <w:rFonts w:ascii="宋体" w:hAnsi="宋体" w:cs="宋体"/>
                <w:color w:val="auto"/>
                <w:sz w:val="24"/>
              </w:rPr>
            </w:pPr>
            <w:r>
              <w:rPr>
                <w:rFonts w:hint="eastAsia" w:ascii="宋体" w:hAnsi="宋体" w:cs="宋体"/>
                <w:color w:val="auto"/>
                <w:sz w:val="24"/>
              </w:rPr>
              <w:t>（元）</w:t>
            </w:r>
          </w:p>
        </w:tc>
        <w:tc>
          <w:tcPr>
            <w:tcW w:w="2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包最高限价（元）</w:t>
            </w:r>
          </w:p>
        </w:tc>
      </w:tr>
      <w:tr>
        <w:tblPrEx>
          <w:tblCellMar>
            <w:top w:w="0" w:type="dxa"/>
            <w:left w:w="0" w:type="dxa"/>
            <w:bottom w:w="0" w:type="dxa"/>
            <w:right w:w="0" w:type="dxa"/>
          </w:tblCellMar>
        </w:tblPrEx>
        <w:trPr>
          <w:trHeight w:val="1793" w:hRule="atLeast"/>
        </w:trPr>
        <w:tc>
          <w:tcPr>
            <w:tcW w:w="669"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78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第1标段</w:t>
            </w:r>
          </w:p>
        </w:tc>
        <w:tc>
          <w:tcPr>
            <w:tcW w:w="3348"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eastAsia="zh-CN"/>
              </w:rPr>
              <w:t>宝丰县重点采煤沉陷区S241洛驻线芮庄至G311连栾线段改建工程</w:t>
            </w:r>
            <w:r>
              <w:rPr>
                <w:rFonts w:hint="eastAsia" w:ascii="宋体" w:hAnsi="宋体" w:cs="宋体"/>
                <w:color w:val="auto"/>
                <w:sz w:val="24"/>
              </w:rPr>
              <w:t>施工</w:t>
            </w:r>
          </w:p>
        </w:tc>
        <w:tc>
          <w:tcPr>
            <w:tcW w:w="2009"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72994617.00</w:t>
            </w:r>
          </w:p>
        </w:tc>
        <w:tc>
          <w:tcPr>
            <w:tcW w:w="200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72994617.00</w:t>
            </w:r>
          </w:p>
        </w:tc>
      </w:tr>
      <w:tr>
        <w:tblPrEx>
          <w:tblCellMar>
            <w:top w:w="0" w:type="dxa"/>
            <w:left w:w="0" w:type="dxa"/>
            <w:bottom w:w="0" w:type="dxa"/>
            <w:right w:w="0" w:type="dxa"/>
          </w:tblCellMar>
        </w:tblPrEx>
        <w:trPr>
          <w:trHeight w:val="1816" w:hRule="atLeast"/>
        </w:trPr>
        <w:tc>
          <w:tcPr>
            <w:tcW w:w="6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785"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rPr>
              <w:t>第2标段</w:t>
            </w:r>
          </w:p>
        </w:tc>
        <w:tc>
          <w:tcPr>
            <w:tcW w:w="3348"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eastAsia="zh-CN"/>
              </w:rPr>
              <w:t>宝丰县重点采煤沉陷区S241洛驻线芮庄至G311连栾线段改建工程</w:t>
            </w:r>
            <w:r>
              <w:rPr>
                <w:rFonts w:hint="eastAsia" w:ascii="宋体" w:hAnsi="宋体" w:cs="宋体"/>
                <w:color w:val="auto"/>
                <w:sz w:val="24"/>
              </w:rPr>
              <w:t>监理</w:t>
            </w:r>
          </w:p>
        </w:tc>
        <w:tc>
          <w:tcPr>
            <w:tcW w:w="2009"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950000.00</w:t>
            </w:r>
          </w:p>
        </w:tc>
        <w:tc>
          <w:tcPr>
            <w:tcW w:w="2007"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ascii="宋体" w:hAnsi="宋体" w:cs="宋体"/>
                <w:color w:val="auto"/>
                <w:sz w:val="24"/>
              </w:rPr>
            </w:pPr>
            <w:r>
              <w:rPr>
                <w:rFonts w:hint="eastAsia" w:ascii="宋体" w:hAnsi="宋体" w:cs="宋体"/>
                <w:color w:val="auto"/>
                <w:sz w:val="24"/>
                <w:lang w:val="en-US" w:eastAsia="zh-CN"/>
              </w:rPr>
              <w:t>950000.00</w:t>
            </w:r>
          </w:p>
        </w:tc>
      </w:tr>
    </w:tbl>
    <w:p>
      <w:pPr>
        <w:spacing w:line="360" w:lineRule="auto"/>
        <w:rPr>
          <w:rFonts w:ascii="宋体" w:hAnsi="宋体" w:cs="宋体"/>
          <w:sz w:val="24"/>
        </w:rPr>
      </w:pPr>
      <w:r>
        <w:rPr>
          <w:rFonts w:hint="eastAsia" w:ascii="宋体" w:hAnsi="宋体" w:cs="宋体"/>
          <w:sz w:val="24"/>
        </w:rPr>
        <w:t xml:space="preserve">5、采购需求： </w:t>
      </w:r>
    </w:p>
    <w:p>
      <w:pPr>
        <w:spacing w:line="360" w:lineRule="auto"/>
        <w:rPr>
          <w:rFonts w:hint="eastAsia" w:ascii="宋体" w:hAnsi="宋体" w:eastAsia="宋体" w:cs="宋体"/>
          <w:sz w:val="24"/>
          <w:u w:val="single"/>
          <w:lang w:eastAsia="zh-CN"/>
        </w:rPr>
      </w:pPr>
      <w:r>
        <w:rPr>
          <w:rFonts w:hint="eastAsia" w:ascii="宋体" w:hAnsi="宋体" w:cs="宋体"/>
          <w:sz w:val="24"/>
        </w:rPr>
        <w:t>5.1建设地点及主要内容：本项目道路起点位于</w:t>
      </w:r>
      <w:r>
        <w:rPr>
          <w:rFonts w:hint="eastAsia" w:ascii="宋体" w:hAnsi="宋体" w:cs="宋体"/>
          <w:sz w:val="24"/>
          <w:lang w:val="en-US" w:eastAsia="en-US"/>
        </w:rPr>
        <w:t>S241</w:t>
      </w:r>
      <w:r>
        <w:rPr>
          <w:rFonts w:hint="eastAsia" w:ascii="宋体" w:hAnsi="宋体" w:cs="宋体"/>
          <w:sz w:val="24"/>
        </w:rPr>
        <w:t>洛驻线张八桥镇芮庄村，自北向南，终点止于大地路与</w:t>
      </w:r>
      <w:r>
        <w:rPr>
          <w:rFonts w:hint="eastAsia" w:ascii="宋体" w:hAnsi="宋体" w:cs="宋体"/>
          <w:sz w:val="24"/>
          <w:lang w:val="en-US" w:eastAsia="en-US"/>
        </w:rPr>
        <w:t>G311</w:t>
      </w:r>
      <w:r>
        <w:rPr>
          <w:rFonts w:hint="eastAsia" w:ascii="宋体" w:hAnsi="宋体" w:cs="宋体"/>
          <w:sz w:val="24"/>
        </w:rPr>
        <w:t>连栾线交叉处，道路全长</w:t>
      </w:r>
      <w:r>
        <w:rPr>
          <w:rFonts w:hint="eastAsia" w:ascii="宋体" w:hAnsi="宋体" w:cs="宋体"/>
          <w:sz w:val="24"/>
          <w:lang w:val="en-US" w:eastAsia="en-US"/>
        </w:rPr>
        <w:t>10.</w:t>
      </w:r>
      <w:r>
        <w:rPr>
          <w:rFonts w:hint="eastAsia" w:ascii="宋体" w:hAnsi="宋体" w:cs="宋体"/>
          <w:sz w:val="24"/>
        </w:rPr>
        <w:t>704千米，改建里程</w:t>
      </w:r>
      <w:r>
        <w:rPr>
          <w:rFonts w:hint="eastAsia" w:ascii="宋体" w:hAnsi="宋体" w:cs="宋体"/>
          <w:sz w:val="24"/>
          <w:lang w:val="en-US" w:eastAsia="en-US"/>
        </w:rPr>
        <w:t>9.</w:t>
      </w:r>
      <w:r>
        <w:rPr>
          <w:rFonts w:hint="eastAsia" w:ascii="宋体" w:hAnsi="宋体" w:cs="宋体"/>
          <w:sz w:val="24"/>
        </w:rPr>
        <w:t>834千米（共线利用已改建路段</w:t>
      </w:r>
      <w:r>
        <w:rPr>
          <w:rFonts w:hint="eastAsia" w:ascii="宋体" w:hAnsi="宋体" w:cs="宋体"/>
          <w:sz w:val="24"/>
          <w:lang w:val="en-US" w:eastAsia="en-US"/>
        </w:rPr>
        <w:t>0.</w:t>
      </w:r>
      <w:r>
        <w:rPr>
          <w:rFonts w:hint="eastAsia" w:ascii="宋体" w:hAnsi="宋体" w:cs="宋体"/>
          <w:sz w:val="24"/>
        </w:rPr>
        <w:t>87千米），路面宽9/12/15米、路基宽12/15/18米。工程内容为：采用二级公路标准对既有道路进行改造，拆除混凝土旧路面，修复沉降路基，铺筑沥青混凝土路面，改造中桥2座、小桥1座、拆除重建中桥1座，改造道路平面交叉、交通工程、排水工程及绿化等。</w:t>
      </w:r>
    </w:p>
    <w:p>
      <w:pPr>
        <w:spacing w:line="360" w:lineRule="auto"/>
        <w:rPr>
          <w:rFonts w:ascii="宋体" w:hAnsi="宋体" w:cs="宋体"/>
          <w:sz w:val="24"/>
        </w:rPr>
      </w:pPr>
      <w:r>
        <w:rPr>
          <w:rFonts w:hint="eastAsia" w:ascii="宋体" w:hAnsi="宋体" w:cs="宋体"/>
          <w:sz w:val="24"/>
        </w:rPr>
        <w:t>5.2招标范围：</w:t>
      </w:r>
    </w:p>
    <w:p>
      <w:pPr>
        <w:spacing w:line="360" w:lineRule="auto"/>
        <w:rPr>
          <w:rFonts w:hint="eastAsia" w:ascii="宋体" w:hAnsi="宋体" w:eastAsia="宋体" w:cs="宋体"/>
          <w:sz w:val="24"/>
          <w:lang w:eastAsia="zh-CN"/>
        </w:rPr>
      </w:pPr>
      <w:r>
        <w:rPr>
          <w:rFonts w:hint="eastAsia" w:ascii="宋体" w:hAnsi="宋体" w:cs="宋体"/>
          <w:sz w:val="24"/>
        </w:rPr>
        <w:t>第1标段：施工图及工程量清单内招标人发包的全部内容</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第2标段：施工及缺陷责任期内质量修复的监理服务</w:t>
      </w:r>
      <w:r>
        <w:rPr>
          <w:rFonts w:hint="eastAsia" w:ascii="宋体" w:hAnsi="宋体" w:cs="宋体"/>
          <w:sz w:val="24"/>
          <w:lang w:eastAsia="zh-CN"/>
        </w:rPr>
        <w:t>；</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5.3标段划分：本项目共划分为2个标段；第</w:t>
      </w:r>
      <w:r>
        <w:rPr>
          <w:rFonts w:hint="eastAsia" w:ascii="宋体" w:hAnsi="宋体" w:cs="宋体"/>
          <w:sz w:val="24"/>
          <w:lang w:val="en-US" w:eastAsia="zh-CN"/>
        </w:rPr>
        <w:t>1</w:t>
      </w:r>
      <w:r>
        <w:rPr>
          <w:rFonts w:hint="eastAsia" w:ascii="宋体" w:hAnsi="宋体" w:cs="宋体"/>
          <w:sz w:val="24"/>
        </w:rPr>
        <w:t>标段：施工标；第</w:t>
      </w:r>
      <w:r>
        <w:rPr>
          <w:rFonts w:hint="eastAsia" w:ascii="宋体" w:hAnsi="宋体" w:cs="宋体"/>
          <w:sz w:val="24"/>
          <w:lang w:val="en-US" w:eastAsia="zh-CN"/>
        </w:rPr>
        <w:t>2</w:t>
      </w:r>
      <w:r>
        <w:rPr>
          <w:rFonts w:hint="eastAsia" w:ascii="宋体" w:hAnsi="宋体" w:cs="宋体"/>
          <w:sz w:val="24"/>
        </w:rPr>
        <w:t>标段：监理标；</w:t>
      </w:r>
    </w:p>
    <w:p>
      <w:pPr>
        <w:spacing w:line="360" w:lineRule="auto"/>
        <w:rPr>
          <w:rFonts w:ascii="宋体" w:hAnsi="宋体" w:cs="宋体"/>
          <w:sz w:val="24"/>
        </w:rPr>
      </w:pPr>
      <w:r>
        <w:rPr>
          <w:rFonts w:hint="eastAsia" w:ascii="宋体" w:hAnsi="宋体" w:cs="宋体"/>
          <w:sz w:val="24"/>
        </w:rPr>
        <w:t>5.4资金来源：财政资金，已落实；</w:t>
      </w:r>
    </w:p>
    <w:p>
      <w:pPr>
        <w:spacing w:line="360" w:lineRule="auto"/>
        <w:rPr>
          <w:rFonts w:ascii="宋体" w:hAnsi="宋体" w:cs="宋体"/>
          <w:sz w:val="24"/>
        </w:rPr>
      </w:pPr>
      <w:r>
        <w:rPr>
          <w:rFonts w:hint="eastAsia" w:ascii="宋体" w:hAnsi="宋体" w:cs="宋体"/>
          <w:sz w:val="24"/>
        </w:rPr>
        <w:t>5.5</w:t>
      </w:r>
      <w:r>
        <w:rPr>
          <w:rFonts w:hint="eastAsia" w:ascii="宋体" w:hAnsi="宋体"/>
          <w:sz w:val="24"/>
        </w:rPr>
        <w:t>第1标段</w:t>
      </w:r>
      <w:r>
        <w:rPr>
          <w:rFonts w:hint="eastAsia" w:ascii="宋体" w:hAnsi="宋体" w:cs="宋体"/>
          <w:sz w:val="24"/>
        </w:rPr>
        <w:t>施工工期：</w:t>
      </w:r>
      <w:r>
        <w:rPr>
          <w:rFonts w:hint="eastAsia" w:ascii="宋体" w:hAnsi="宋体" w:cs="宋体"/>
          <w:sz w:val="24"/>
          <w:lang w:val="en-US" w:eastAsia="zh-CN"/>
        </w:rPr>
        <w:t>360日历天</w:t>
      </w:r>
      <w:r>
        <w:rPr>
          <w:rFonts w:hint="eastAsia" w:ascii="宋体" w:hAnsi="宋体" w:cs="宋体"/>
          <w:sz w:val="24"/>
        </w:rPr>
        <w:t>；</w:t>
      </w:r>
      <w:r>
        <w:rPr>
          <w:rFonts w:hint="eastAsia" w:ascii="宋体" w:hAnsi="宋体"/>
          <w:sz w:val="24"/>
        </w:rPr>
        <w:t>第2标段</w:t>
      </w:r>
      <w:r>
        <w:rPr>
          <w:rFonts w:hint="eastAsia" w:ascii="宋体" w:hAnsi="宋体" w:cs="宋体"/>
          <w:sz w:val="24"/>
        </w:rPr>
        <w:t>监理服务期限：同施工工期及缺陷责任期；</w:t>
      </w:r>
    </w:p>
    <w:p>
      <w:pPr>
        <w:spacing w:line="360" w:lineRule="auto"/>
        <w:rPr>
          <w:rFonts w:ascii="宋体" w:hAnsi="宋体" w:cs="宋体"/>
          <w:sz w:val="24"/>
        </w:rPr>
      </w:pPr>
      <w:r>
        <w:rPr>
          <w:rFonts w:hint="eastAsia" w:ascii="宋体" w:hAnsi="宋体" w:cs="宋体"/>
          <w:sz w:val="24"/>
        </w:rPr>
        <w:t>5.6质量要求:合格</w:t>
      </w:r>
    </w:p>
    <w:p>
      <w:pPr>
        <w:spacing w:line="360" w:lineRule="auto"/>
        <w:rPr>
          <w:rFonts w:ascii="宋体" w:hAnsi="宋体" w:cs="宋体"/>
          <w:sz w:val="24"/>
        </w:rPr>
      </w:pPr>
      <w:r>
        <w:rPr>
          <w:rFonts w:hint="eastAsia" w:ascii="宋体" w:hAnsi="宋体" w:cs="宋体"/>
          <w:sz w:val="24"/>
        </w:rPr>
        <w:t>5.7资格审查方式：资格后审</w:t>
      </w:r>
      <w:bookmarkStart w:id="16" w:name="_Toc28359080"/>
      <w:bookmarkStart w:id="17" w:name="_Toc28359003"/>
      <w:bookmarkStart w:id="18" w:name="_Toc35393791"/>
      <w:bookmarkStart w:id="19" w:name="_Toc35393622"/>
    </w:p>
    <w:p>
      <w:pPr>
        <w:spacing w:line="360" w:lineRule="auto"/>
        <w:rPr>
          <w:rFonts w:ascii="宋体" w:hAnsi="宋体" w:cs="宋体"/>
          <w:sz w:val="24"/>
        </w:rPr>
      </w:pPr>
      <w:r>
        <w:rPr>
          <w:rFonts w:hint="eastAsia" w:ascii="宋体" w:hAnsi="宋体" w:cs="宋体"/>
          <w:sz w:val="24"/>
        </w:rPr>
        <w:t>6、合同履</w:t>
      </w:r>
      <w:r>
        <w:rPr>
          <w:rFonts w:hint="eastAsia" w:ascii="宋体" w:hAnsi="宋体" w:cs="宋体"/>
          <w:sz w:val="24"/>
          <w:lang w:val="en-US" w:eastAsia="zh-CN"/>
        </w:rPr>
        <w:t>行</w:t>
      </w:r>
      <w:r>
        <w:rPr>
          <w:rFonts w:hint="eastAsia" w:ascii="宋体" w:hAnsi="宋体" w:cs="宋体"/>
          <w:sz w:val="24"/>
        </w:rPr>
        <w:t>期限：按合同实际签订为准</w:t>
      </w:r>
    </w:p>
    <w:p>
      <w:pPr>
        <w:spacing w:line="360" w:lineRule="auto"/>
        <w:rPr>
          <w:rFonts w:ascii="宋体" w:hAnsi="宋体" w:cs="宋体"/>
          <w:sz w:val="24"/>
        </w:rPr>
      </w:pPr>
      <w:r>
        <w:rPr>
          <w:rFonts w:hint="eastAsia" w:ascii="宋体" w:hAnsi="宋体" w:cs="宋体"/>
          <w:sz w:val="24"/>
        </w:rPr>
        <w:t>7、本项目是否接受联合体投标：否</w:t>
      </w:r>
    </w:p>
    <w:p>
      <w:pPr>
        <w:spacing w:line="360" w:lineRule="auto"/>
        <w:rPr>
          <w:rFonts w:ascii="宋体" w:hAnsi="宋体" w:cs="宋体"/>
          <w:sz w:val="24"/>
        </w:rPr>
      </w:pPr>
      <w:r>
        <w:rPr>
          <w:rFonts w:hint="eastAsia" w:ascii="宋体" w:hAnsi="宋体" w:cs="宋体"/>
          <w:sz w:val="24"/>
        </w:rPr>
        <w:t>8、是否接受进口产品：否。</w:t>
      </w:r>
    </w:p>
    <w:p>
      <w:pPr>
        <w:spacing w:line="360" w:lineRule="auto"/>
        <w:rPr>
          <w:rFonts w:ascii="宋体" w:hAnsi="宋体" w:cs="宋体"/>
          <w:sz w:val="24"/>
        </w:rPr>
      </w:pPr>
      <w:r>
        <w:rPr>
          <w:rFonts w:hint="eastAsia" w:ascii="宋体" w:hAnsi="宋体" w:cs="宋体"/>
          <w:b/>
          <w:sz w:val="24"/>
        </w:rPr>
        <w:t>二、申请人的资格要求：</w:t>
      </w:r>
      <w:bookmarkEnd w:id="16"/>
      <w:bookmarkEnd w:id="17"/>
      <w:bookmarkEnd w:id="18"/>
      <w:bookmarkEnd w:id="19"/>
    </w:p>
    <w:p>
      <w:pPr>
        <w:spacing w:line="360" w:lineRule="auto"/>
        <w:rPr>
          <w:rFonts w:ascii="宋体" w:hAnsi="宋体" w:cs="宋体"/>
          <w:sz w:val="24"/>
        </w:rPr>
      </w:pPr>
      <w:r>
        <w:rPr>
          <w:rFonts w:hint="eastAsia" w:ascii="宋体" w:hAnsi="宋体" w:cs="宋体"/>
          <w:sz w:val="24"/>
        </w:rPr>
        <w:t>1、满足《中华人民共和国政府采购法》第二十二条规定；</w:t>
      </w:r>
    </w:p>
    <w:p>
      <w:pPr>
        <w:spacing w:line="360" w:lineRule="auto"/>
        <w:rPr>
          <w:rFonts w:ascii="宋体" w:hAnsi="宋体" w:cs="宋体"/>
          <w:sz w:val="24"/>
        </w:rPr>
      </w:pPr>
      <w:bookmarkStart w:id="20" w:name="_Toc28359004"/>
      <w:bookmarkStart w:id="21" w:name="_Toc28359081"/>
      <w:r>
        <w:rPr>
          <w:rFonts w:hint="eastAsia" w:ascii="宋体" w:hAnsi="宋体" w:cs="宋体"/>
          <w:sz w:val="24"/>
        </w:rPr>
        <w:t>2、落实政府采购政策需满足的资格要求：</w:t>
      </w:r>
      <w:r>
        <w:rPr>
          <w:rFonts w:hint="eastAsia" w:ascii="宋体" w:hAnsi="宋体" w:cs="宋体"/>
          <w:b/>
          <w:bCs/>
          <w:sz w:val="24"/>
          <w:lang w:val="en-US" w:eastAsia="zh-CN"/>
        </w:rPr>
        <w:t>本项目非专门面向中小企业采购</w:t>
      </w:r>
      <w:r>
        <w:rPr>
          <w:rFonts w:hint="eastAsia" w:ascii="宋体" w:hAnsi="宋体" w:cs="宋体"/>
          <w:sz w:val="24"/>
          <w:lang w:val="en-US" w:eastAsia="zh-CN"/>
        </w:rPr>
        <w:t>，投标人如为中小微企业、监狱企业、残疾人福利性单位享受价格优惠政策。中小企业划型标准请依据工信部联企业〔2011〕300 号文件之规定。</w:t>
      </w:r>
    </w:p>
    <w:p>
      <w:pPr>
        <w:spacing w:line="360" w:lineRule="auto"/>
        <w:rPr>
          <w:rFonts w:ascii="宋体" w:hAnsi="宋体" w:cs="宋体"/>
          <w:sz w:val="24"/>
        </w:rPr>
      </w:pPr>
      <w:bookmarkStart w:id="22" w:name="_Toc35393623"/>
      <w:bookmarkStart w:id="23" w:name="_Toc35393792"/>
      <w:r>
        <w:rPr>
          <w:rFonts w:hint="eastAsia" w:ascii="宋体" w:hAnsi="宋体" w:cs="宋体"/>
          <w:sz w:val="24"/>
        </w:rPr>
        <w:t>3、本项目的特定资格要求：</w:t>
      </w:r>
    </w:p>
    <w:p>
      <w:pPr>
        <w:spacing w:line="360" w:lineRule="auto"/>
        <w:rPr>
          <w:rFonts w:ascii="宋体" w:hAnsi="宋体" w:cs="宋体"/>
          <w:sz w:val="24"/>
        </w:rPr>
      </w:pPr>
      <w:r>
        <w:rPr>
          <w:rFonts w:hint="eastAsia" w:ascii="宋体" w:hAnsi="宋体" w:cs="宋体"/>
          <w:sz w:val="24"/>
        </w:rPr>
        <w:t>3.1第1标段：</w:t>
      </w:r>
    </w:p>
    <w:p>
      <w:pPr>
        <w:spacing w:line="360" w:lineRule="auto"/>
        <w:rPr>
          <w:rFonts w:ascii="宋体" w:hAnsi="宋体" w:cs="宋体"/>
          <w:sz w:val="24"/>
        </w:rPr>
      </w:pPr>
      <w:r>
        <w:rPr>
          <w:rFonts w:hint="eastAsia" w:ascii="宋体" w:hAnsi="宋体" w:cs="宋体"/>
          <w:sz w:val="24"/>
        </w:rPr>
        <w:t>3.1.1企业资质要求：具有独立的法人资格及有效的营业执照，具有公路工程施工总承包叁级及以上资质，同时具有有效的企业安全生产许可证；</w:t>
      </w:r>
    </w:p>
    <w:p>
      <w:pPr>
        <w:spacing w:line="360" w:lineRule="auto"/>
        <w:rPr>
          <w:rFonts w:ascii="宋体" w:hAnsi="宋体" w:cs="宋体"/>
          <w:sz w:val="24"/>
        </w:rPr>
      </w:pPr>
      <w:r>
        <w:rPr>
          <w:rFonts w:hint="eastAsia" w:ascii="宋体" w:hAnsi="宋体" w:cs="宋体"/>
          <w:sz w:val="24"/>
        </w:rPr>
        <w:t>3.1.2项目经理及技术负责人资格要求：拟派项目经理须具有公路工程专业壹级注册建造师资格，具有有效的安全生产考核合格证且无在建项目（提供承诺书，格式自拟）；技术负责人须具有相关专业中级及以上职称；拟派项目经理、技术负责人必须为本企业正式员工，提供与其单位签订的劳动合同及投标人202</w:t>
      </w:r>
      <w:r>
        <w:rPr>
          <w:rFonts w:hint="eastAsia" w:ascii="宋体" w:hAnsi="宋体" w:cs="宋体"/>
          <w:sz w:val="24"/>
          <w:lang w:val="en-US" w:eastAsia="zh-CN"/>
        </w:rPr>
        <w:t>3</w:t>
      </w:r>
      <w:r>
        <w:rPr>
          <w:rFonts w:hint="eastAsia" w:ascii="宋体" w:hAnsi="宋体" w:cs="宋体"/>
          <w:sz w:val="24"/>
        </w:rPr>
        <w:t>年1月以来为其连续缴纳3个月的养老保险缴纳证明（提供查询页面，社保部门未提供网络查询服务的由社保部门出具证明）；</w:t>
      </w:r>
    </w:p>
    <w:p>
      <w:pPr>
        <w:spacing w:line="360" w:lineRule="auto"/>
        <w:rPr>
          <w:rFonts w:ascii="宋体" w:hAnsi="宋体"/>
          <w:sz w:val="24"/>
        </w:rPr>
      </w:pPr>
      <w:r>
        <w:rPr>
          <w:rFonts w:hint="eastAsia" w:ascii="宋体" w:hAnsi="宋体"/>
          <w:sz w:val="24"/>
        </w:rPr>
        <w:t>3.2 第2标段：</w:t>
      </w:r>
    </w:p>
    <w:p>
      <w:pPr>
        <w:spacing w:line="360" w:lineRule="auto"/>
        <w:rPr>
          <w:rFonts w:ascii="宋体" w:hAnsi="宋体"/>
          <w:sz w:val="24"/>
        </w:rPr>
      </w:pPr>
      <w:r>
        <w:rPr>
          <w:rFonts w:hint="eastAsia" w:ascii="宋体" w:hAnsi="宋体"/>
          <w:sz w:val="24"/>
        </w:rPr>
        <w:t>3.2.1</w:t>
      </w:r>
      <w:r>
        <w:rPr>
          <w:rFonts w:hint="eastAsia" w:ascii="宋体" w:hAnsi="宋体" w:cs="宋体"/>
          <w:sz w:val="24"/>
        </w:rPr>
        <w:t>企业资质要求：具有独立的法人资格及有效的营业执照，具有公路工程专业乙级及以上监理资质或工程监理综合资质；</w:t>
      </w:r>
    </w:p>
    <w:p>
      <w:pPr>
        <w:spacing w:line="360" w:lineRule="auto"/>
        <w:rPr>
          <w:rFonts w:ascii="宋体" w:hAnsi="宋体"/>
          <w:sz w:val="24"/>
        </w:rPr>
      </w:pPr>
      <w:r>
        <w:rPr>
          <w:rFonts w:hint="eastAsia" w:ascii="宋体" w:hAnsi="宋体"/>
          <w:sz w:val="24"/>
        </w:rPr>
        <w:t>3.2.2项目总监理工程师资格要求：拟派项目总监理工程师应具有公路工程专业注册监理工程师资格证书；项目总监理工程师必须为本企业正式员工，提供与其单位签订的劳动合同及投标人202</w:t>
      </w:r>
      <w:r>
        <w:rPr>
          <w:rFonts w:hint="eastAsia" w:ascii="宋体" w:hAnsi="宋体"/>
          <w:sz w:val="24"/>
          <w:lang w:val="en-US" w:eastAsia="zh-CN"/>
        </w:rPr>
        <w:t>3</w:t>
      </w:r>
      <w:r>
        <w:rPr>
          <w:rFonts w:hint="eastAsia" w:ascii="宋体" w:hAnsi="宋体"/>
          <w:sz w:val="24"/>
        </w:rPr>
        <w:t>年1月以来为其连续缴纳3个月的养老保险缴纳证明（提供查询页面，社保部门未提供网络查询服务的由社保部门出具证明）；</w:t>
      </w:r>
    </w:p>
    <w:p>
      <w:pPr>
        <w:spacing w:line="360" w:lineRule="auto"/>
        <w:rPr>
          <w:rFonts w:ascii="宋体" w:hAnsi="宋体" w:cs="宋体"/>
          <w:sz w:val="24"/>
        </w:rPr>
      </w:pPr>
      <w:r>
        <w:rPr>
          <w:rFonts w:hint="eastAsia" w:ascii="宋体" w:hAnsi="宋体" w:cs="宋体"/>
          <w:sz w:val="24"/>
        </w:rPr>
        <w:t>3.3投标人提供供应商信用承诺函（投标人无需提供证明材料，只需在投标文件中提供宝丰县政府采购供应商信用承诺函，详见投标文件格式）：(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pPr>
        <w:spacing w:line="360" w:lineRule="auto"/>
        <w:rPr>
          <w:rFonts w:ascii="宋体" w:hAnsi="宋体" w:cs="宋体"/>
          <w:sz w:val="24"/>
        </w:rPr>
      </w:pPr>
      <w:r>
        <w:rPr>
          <w:rFonts w:hint="eastAsia" w:ascii="宋体" w:hAnsi="宋体" w:cs="宋体"/>
          <w:sz w:val="24"/>
        </w:rPr>
        <w:t>3.4提供“中国执行信息公开网”网站的“失信被执行人”、“信用中国”网站的“重大税收违法失信主体”和“中国政府采购”网站的“政府采购严重违法失信行为记录名单”查询结果页面截图，不得有不良记录（执行财库【2016】125号文</w:t>
      </w:r>
      <w:r>
        <w:rPr>
          <w:rFonts w:hint="eastAsia" w:ascii="宋体" w:hAnsi="宋体" w:cs="宋体"/>
          <w:sz w:val="24"/>
          <w:lang w:eastAsia="zh-CN"/>
        </w:rPr>
        <w:t>）</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3.5投标企业提供的所有资料经核查后出现任何虚假资料的，直接取消其投标资格。（提供书面承诺）</w:t>
      </w:r>
    </w:p>
    <w:p>
      <w:pPr>
        <w:spacing w:line="360" w:lineRule="auto"/>
        <w:rPr>
          <w:rFonts w:ascii="宋体" w:hAnsi="宋体" w:cs="宋体"/>
          <w:sz w:val="24"/>
        </w:rPr>
      </w:pPr>
      <w:r>
        <w:rPr>
          <w:rFonts w:hint="eastAsia" w:ascii="宋体" w:hAnsi="宋体" w:cs="宋体"/>
          <w:sz w:val="24"/>
        </w:rPr>
        <w:t>3.6本项目不接受联合体投标。</w:t>
      </w:r>
    </w:p>
    <w:p>
      <w:pPr>
        <w:spacing w:line="360" w:lineRule="auto"/>
        <w:rPr>
          <w:rFonts w:ascii="宋体" w:hAnsi="宋体" w:cs="宋体"/>
          <w:sz w:val="24"/>
        </w:rPr>
      </w:pPr>
      <w:r>
        <w:rPr>
          <w:rFonts w:hint="eastAsia" w:ascii="宋体" w:hAnsi="宋体" w:cs="宋体"/>
          <w:sz w:val="24"/>
        </w:rPr>
        <w:t>3.7资格审查方式：采用资格后审。</w:t>
      </w:r>
    </w:p>
    <w:p>
      <w:pPr>
        <w:spacing w:line="360" w:lineRule="auto"/>
        <w:rPr>
          <w:rFonts w:ascii="宋体" w:hAnsi="宋体" w:cs="宋体"/>
          <w:sz w:val="24"/>
        </w:rPr>
      </w:pPr>
      <w:r>
        <w:rPr>
          <w:rFonts w:hint="eastAsia" w:ascii="宋体" w:hAnsi="宋体" w:cs="宋体"/>
          <w:sz w:val="24"/>
        </w:rPr>
        <w:t>注：如投标单位为新成立企业，可提供注册后的相关证明材料。</w:t>
      </w:r>
    </w:p>
    <w:p>
      <w:pPr>
        <w:spacing w:line="360" w:lineRule="auto"/>
        <w:rPr>
          <w:rFonts w:ascii="宋体" w:hAnsi="宋体" w:cs="宋体"/>
          <w:sz w:val="24"/>
        </w:rPr>
      </w:pPr>
      <w:r>
        <w:rPr>
          <w:rFonts w:hint="eastAsia" w:ascii="宋体" w:hAnsi="宋体" w:cs="宋体"/>
          <w:b/>
          <w:sz w:val="24"/>
        </w:rPr>
        <w:t>三、获取招标文件</w:t>
      </w:r>
      <w:bookmarkEnd w:id="20"/>
      <w:bookmarkEnd w:id="21"/>
      <w:bookmarkEnd w:id="22"/>
      <w:bookmarkEnd w:id="23"/>
    </w:p>
    <w:p>
      <w:pPr>
        <w:spacing w:line="360" w:lineRule="auto"/>
        <w:rPr>
          <w:rFonts w:ascii="宋体" w:hAnsi="宋体" w:cs="宋体"/>
          <w:color w:val="auto"/>
          <w:sz w:val="24"/>
        </w:rPr>
      </w:pPr>
      <w:bookmarkStart w:id="24" w:name="_Toc35393793"/>
      <w:bookmarkStart w:id="25" w:name="_Toc28359082"/>
      <w:bookmarkStart w:id="26" w:name="_Toc35393624"/>
      <w:bookmarkStart w:id="27" w:name="_Toc28359005"/>
      <w:r>
        <w:rPr>
          <w:rFonts w:hint="eastAsia" w:ascii="宋体" w:hAnsi="宋体" w:cs="宋体"/>
          <w:color w:val="auto"/>
          <w:sz w:val="24"/>
        </w:rPr>
        <w:t>1、时间：202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w:t>
      </w:r>
      <w:r>
        <w:rPr>
          <w:rFonts w:hint="eastAsia" w:ascii="宋体" w:hAnsi="宋体" w:cs="宋体"/>
          <w:color w:val="auto"/>
          <w:sz w:val="24"/>
        </w:rPr>
        <w:t>日00时00分至202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7</w:t>
      </w:r>
      <w:r>
        <w:rPr>
          <w:rFonts w:hint="eastAsia" w:ascii="宋体" w:hAnsi="宋体" w:cs="宋体"/>
          <w:color w:val="auto"/>
          <w:sz w:val="24"/>
        </w:rPr>
        <w:t>日23时59分（北京时间，法定节假日除外。）</w:t>
      </w:r>
    </w:p>
    <w:p>
      <w:pPr>
        <w:spacing w:line="360" w:lineRule="auto"/>
        <w:rPr>
          <w:rFonts w:ascii="宋体" w:hAnsi="宋体" w:cs="宋体"/>
          <w:color w:val="auto"/>
          <w:sz w:val="24"/>
        </w:rPr>
      </w:pPr>
      <w:r>
        <w:rPr>
          <w:rFonts w:hint="eastAsia" w:ascii="宋体" w:hAnsi="宋体" w:cs="宋体"/>
          <w:color w:val="auto"/>
          <w:sz w:val="24"/>
        </w:rPr>
        <w:t>2、地点：宝丰县公共资源交易中心电子交易系统；</w:t>
      </w:r>
    </w:p>
    <w:p>
      <w:pPr>
        <w:spacing w:line="360" w:lineRule="auto"/>
        <w:rPr>
          <w:rFonts w:ascii="宋体" w:hAnsi="宋体" w:cs="宋体"/>
          <w:color w:val="auto"/>
          <w:sz w:val="24"/>
        </w:rPr>
      </w:pPr>
      <w:r>
        <w:rPr>
          <w:rFonts w:hint="eastAsia" w:ascii="宋体" w:hAnsi="宋体" w:cs="宋体"/>
          <w:color w:val="auto"/>
          <w:sz w:val="24"/>
        </w:rPr>
        <w:t>3、方式：该项目实施网上下载招标文件，潜在供应商下载文件需凭CA数字证书通过全国公共资源交易平台（河南省·宝丰县）（网址：http://</w:t>
      </w:r>
      <w:r>
        <w:rPr>
          <w:color w:val="auto"/>
        </w:rPr>
        <w:fldChar w:fldCharType="begin"/>
      </w:r>
      <w:r>
        <w:rPr>
          <w:color w:val="auto"/>
        </w:rPr>
        <w:instrText xml:space="preserve"> HYPERLINK "http://www.bfggzy.xn--com201851-ie7nh99iodgy63a/" </w:instrText>
      </w:r>
      <w:r>
        <w:rPr>
          <w:color w:val="auto"/>
        </w:rPr>
        <w:fldChar w:fldCharType="separate"/>
      </w:r>
      <w:r>
        <w:rPr>
          <w:rStyle w:val="33"/>
          <w:rFonts w:hint="eastAsia" w:ascii="宋体" w:hAnsi="宋体" w:cs="宋体"/>
          <w:color w:val="auto"/>
          <w:sz w:val="24"/>
          <w:szCs w:val="24"/>
        </w:rPr>
        <w:t>www.bfggzy.com</w:t>
      </w:r>
      <w:r>
        <w:rPr>
          <w:rStyle w:val="33"/>
          <w:rFonts w:hint="eastAsia" w:ascii="宋体" w:hAnsi="宋体" w:cs="宋体"/>
          <w:color w:val="auto"/>
          <w:sz w:val="24"/>
          <w:szCs w:val="24"/>
        </w:rPr>
        <w:fldChar w:fldCharType="end"/>
      </w:r>
      <w:r>
        <w:rPr>
          <w:rFonts w:hint="eastAsia" w:ascii="宋体" w:hAnsi="宋体" w:cs="宋体"/>
          <w:color w:val="auto"/>
          <w:sz w:val="24"/>
        </w:rPr>
        <w:t>/）“登录业务系统”入口进入电子交易系统下载招标文件，具体操作操作请查看以下链接：</w:t>
      </w:r>
    </w:p>
    <w:p>
      <w:pPr>
        <w:spacing w:line="360" w:lineRule="auto"/>
        <w:rPr>
          <w:rFonts w:ascii="宋体" w:hAnsi="宋体" w:cs="宋体"/>
          <w:color w:val="auto"/>
          <w:sz w:val="24"/>
        </w:rPr>
      </w:pPr>
      <w:r>
        <w:rPr>
          <w:rFonts w:hint="eastAsia" w:ascii="宋体" w:hAnsi="宋体" w:cs="宋体"/>
          <w:color w:val="auto"/>
          <w:sz w:val="24"/>
        </w:rPr>
        <w:t>链接地址：</w:t>
      </w:r>
      <w:r>
        <w:rPr>
          <w:color w:val="auto"/>
        </w:rPr>
        <w:fldChar w:fldCharType="begin"/>
      </w:r>
      <w:r>
        <w:rPr>
          <w:color w:val="auto"/>
        </w:rPr>
        <w:instrText xml:space="preserve"> HYPERLINK "http://www.bfggzy.cn/ggtz/19072.jhtml" </w:instrText>
      </w:r>
      <w:r>
        <w:rPr>
          <w:color w:val="auto"/>
        </w:rPr>
        <w:fldChar w:fldCharType="separate"/>
      </w:r>
      <w:r>
        <w:rPr>
          <w:rStyle w:val="33"/>
          <w:rFonts w:hint="eastAsia" w:ascii="宋体" w:hAnsi="宋体" w:cs="宋体"/>
          <w:color w:val="auto"/>
          <w:sz w:val="24"/>
          <w:szCs w:val="24"/>
        </w:rPr>
        <w:t>http://www.bfggzy.com/ggtz/19072.jhtml</w:t>
      </w:r>
      <w:r>
        <w:rPr>
          <w:rStyle w:val="33"/>
          <w:rFonts w:hint="eastAsia" w:ascii="宋体" w:hAnsi="宋体" w:cs="宋体"/>
          <w:color w:val="auto"/>
          <w:sz w:val="24"/>
          <w:szCs w:val="24"/>
        </w:rPr>
        <w:fldChar w:fldCharType="end"/>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办理CA证书：</w:t>
      </w:r>
      <w:r>
        <w:rPr>
          <w:color w:val="auto"/>
        </w:rPr>
        <w:fldChar w:fldCharType="begin"/>
      </w:r>
      <w:r>
        <w:rPr>
          <w:color w:val="auto"/>
        </w:rPr>
        <w:instrText xml:space="preserve"> HYPERLINK "http://www.pdsggzy.com/tzgg/10814.jhtml" </w:instrText>
      </w:r>
      <w:r>
        <w:rPr>
          <w:color w:val="auto"/>
        </w:rPr>
        <w:fldChar w:fldCharType="separate"/>
      </w:r>
      <w:r>
        <w:rPr>
          <w:rStyle w:val="33"/>
          <w:rFonts w:hint="eastAsia" w:ascii="宋体" w:hAnsi="宋体" w:cs="宋体"/>
          <w:color w:val="auto"/>
          <w:sz w:val="24"/>
          <w:szCs w:val="24"/>
        </w:rPr>
        <w:t>http://www.pdsggzy.com/tzgg/10814.jhtml</w:t>
      </w:r>
      <w:r>
        <w:rPr>
          <w:rStyle w:val="33"/>
          <w:rFonts w:hint="eastAsia" w:ascii="宋体" w:hAnsi="宋体" w:cs="宋体"/>
          <w:color w:val="auto"/>
          <w:sz w:val="24"/>
          <w:szCs w:val="24"/>
        </w:rPr>
        <w:fldChar w:fldCharType="end"/>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4、售价：0元。</w:t>
      </w:r>
    </w:p>
    <w:p>
      <w:pPr>
        <w:spacing w:line="360" w:lineRule="auto"/>
        <w:rPr>
          <w:rFonts w:ascii="宋体" w:hAnsi="宋体" w:cs="宋体"/>
          <w:b/>
          <w:color w:val="auto"/>
          <w:sz w:val="24"/>
        </w:rPr>
      </w:pPr>
      <w:r>
        <w:rPr>
          <w:rFonts w:hint="eastAsia" w:ascii="宋体" w:hAnsi="宋体" w:cs="宋体"/>
          <w:b/>
          <w:color w:val="auto"/>
          <w:sz w:val="24"/>
        </w:rPr>
        <w:t>四、</w:t>
      </w:r>
      <w:bookmarkEnd w:id="24"/>
      <w:bookmarkEnd w:id="25"/>
      <w:bookmarkEnd w:id="26"/>
      <w:bookmarkEnd w:id="27"/>
      <w:bookmarkStart w:id="28" w:name="_Toc35393625"/>
      <w:bookmarkStart w:id="29" w:name="_Toc28359084"/>
      <w:bookmarkStart w:id="30" w:name="_Toc28359007"/>
      <w:bookmarkStart w:id="31" w:name="_Toc35393794"/>
      <w:r>
        <w:rPr>
          <w:rFonts w:hint="eastAsia" w:ascii="宋体" w:hAnsi="宋体" w:cs="宋体"/>
          <w:b/>
          <w:color w:val="auto"/>
          <w:sz w:val="24"/>
        </w:rPr>
        <w:t>投标截止时间（投标文件递交截止时间）及地点</w:t>
      </w:r>
    </w:p>
    <w:p>
      <w:pPr>
        <w:spacing w:line="360" w:lineRule="auto"/>
        <w:rPr>
          <w:rFonts w:ascii="宋体" w:hAnsi="宋体" w:cs="宋体"/>
          <w:color w:val="auto"/>
          <w:sz w:val="24"/>
        </w:rPr>
      </w:pPr>
      <w:r>
        <w:rPr>
          <w:rFonts w:hint="eastAsia" w:ascii="宋体" w:hAnsi="宋体" w:cs="宋体"/>
          <w:color w:val="auto"/>
          <w:sz w:val="24"/>
        </w:rPr>
        <w:t>1、时间：202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分（北京时间）</w:t>
      </w:r>
    </w:p>
    <w:p>
      <w:pPr>
        <w:spacing w:line="360" w:lineRule="auto"/>
        <w:rPr>
          <w:rFonts w:ascii="宋体" w:hAnsi="宋体" w:cs="宋体"/>
          <w:sz w:val="24"/>
        </w:rPr>
      </w:pPr>
      <w:r>
        <w:rPr>
          <w:rFonts w:hint="eastAsia" w:ascii="宋体" w:hAnsi="宋体" w:cs="宋体"/>
          <w:sz w:val="24"/>
        </w:rPr>
        <w:t>2、地点：宝丰县公共资源交易中心网上开标大厅；</w:t>
      </w:r>
    </w:p>
    <w:p>
      <w:pPr>
        <w:spacing w:line="360" w:lineRule="auto"/>
        <w:rPr>
          <w:rFonts w:ascii="宋体" w:hAnsi="宋体" w:cs="宋体"/>
          <w:sz w:val="24"/>
        </w:rPr>
      </w:pPr>
      <w:r>
        <w:rPr>
          <w:rFonts w:hint="eastAsia" w:ascii="宋体" w:hAnsi="宋体" w:cs="宋体"/>
          <w:sz w:val="24"/>
        </w:rPr>
        <w:t>3、未按要求上传加密电子投标文件的，采购人不予受理。</w:t>
      </w:r>
    </w:p>
    <w:p>
      <w:pPr>
        <w:spacing w:line="360" w:lineRule="auto"/>
        <w:rPr>
          <w:rFonts w:ascii="宋体" w:hAnsi="宋体" w:cs="宋体"/>
          <w:b/>
          <w:sz w:val="24"/>
        </w:rPr>
      </w:pPr>
      <w:r>
        <w:rPr>
          <w:rFonts w:hint="eastAsia" w:ascii="宋体" w:hAnsi="宋体" w:cs="宋体"/>
          <w:b/>
          <w:sz w:val="24"/>
        </w:rPr>
        <w:t>五、</w:t>
      </w:r>
      <w:bookmarkEnd w:id="28"/>
      <w:bookmarkEnd w:id="29"/>
      <w:bookmarkEnd w:id="30"/>
      <w:bookmarkEnd w:id="31"/>
      <w:bookmarkStart w:id="32" w:name="_Toc35393626"/>
      <w:bookmarkStart w:id="33" w:name="_Toc35393795"/>
      <w:r>
        <w:rPr>
          <w:rFonts w:hint="eastAsia" w:ascii="宋体" w:hAnsi="宋体" w:cs="宋体"/>
          <w:b/>
          <w:sz w:val="24"/>
        </w:rPr>
        <w:t>开标时间及地点</w:t>
      </w:r>
    </w:p>
    <w:p>
      <w:pPr>
        <w:spacing w:line="360" w:lineRule="auto"/>
        <w:rPr>
          <w:rFonts w:ascii="宋体" w:hAnsi="宋体" w:cs="宋体"/>
          <w:color w:val="auto"/>
          <w:sz w:val="24"/>
        </w:rPr>
      </w:pPr>
      <w:r>
        <w:rPr>
          <w:rFonts w:hint="eastAsia" w:ascii="宋体" w:hAnsi="宋体" w:cs="宋体"/>
          <w:color w:val="auto"/>
          <w:sz w:val="24"/>
        </w:rPr>
        <w:t>1、开标时间：202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分。（北京时间）</w:t>
      </w:r>
    </w:p>
    <w:p>
      <w:pPr>
        <w:spacing w:line="360" w:lineRule="auto"/>
        <w:rPr>
          <w:rFonts w:ascii="宋体" w:hAnsi="宋体" w:cs="宋体"/>
          <w:sz w:val="24"/>
        </w:rPr>
      </w:pPr>
      <w:r>
        <w:rPr>
          <w:rFonts w:hint="eastAsia" w:ascii="宋体" w:hAnsi="宋体" w:cs="宋体"/>
          <w:sz w:val="24"/>
        </w:rPr>
        <w:t>2、开标地点：宝丰县公共资源交易中心网上开标大厅。</w:t>
      </w:r>
    </w:p>
    <w:p>
      <w:pPr>
        <w:spacing w:line="360" w:lineRule="auto"/>
        <w:rPr>
          <w:rFonts w:ascii="宋体" w:hAnsi="宋体" w:cs="宋体"/>
          <w:b/>
          <w:sz w:val="24"/>
        </w:rPr>
      </w:pPr>
      <w:r>
        <w:rPr>
          <w:rFonts w:hint="eastAsia" w:ascii="宋体" w:hAnsi="宋体" w:cs="宋体"/>
          <w:b/>
          <w:sz w:val="24"/>
        </w:rPr>
        <w:t>六、</w:t>
      </w:r>
      <w:bookmarkEnd w:id="32"/>
      <w:bookmarkEnd w:id="33"/>
      <w:r>
        <w:rPr>
          <w:rFonts w:hint="eastAsia" w:ascii="宋体" w:hAnsi="宋体" w:cs="宋体"/>
          <w:b/>
          <w:sz w:val="24"/>
        </w:rPr>
        <w:t>发布公告的媒介及招标公告期限</w:t>
      </w:r>
    </w:p>
    <w:p>
      <w:pPr>
        <w:spacing w:line="360" w:lineRule="auto"/>
        <w:ind w:firstLine="480" w:firstLineChars="200"/>
        <w:rPr>
          <w:rFonts w:ascii="宋体" w:hAnsi="宋体"/>
          <w:sz w:val="24"/>
        </w:rPr>
      </w:pPr>
      <w:r>
        <w:rPr>
          <w:rFonts w:hint="eastAsia" w:ascii="宋体" w:hAnsi="宋体"/>
          <w:sz w:val="24"/>
        </w:rPr>
        <w:t>本次招标公告同时在</w:t>
      </w:r>
      <w:r>
        <w:rPr>
          <w:rFonts w:hint="eastAsia" w:ascii="宋体" w:hAnsi="宋体" w:cs="宋体"/>
          <w:sz w:val="24"/>
        </w:rPr>
        <w:t>《河南省政府采购网》、《河南省电子招标投标公共服务平台》、《平顶山市政府采购网》、《平顶山市宝丰县政府采购网》、《全国公共资源交易平台》、《全国公共资源交易平台（河南省）》、《全国公共资源交易平台（河南省·平顶山市）》、《全国公共资源交易平台（河南省·宝丰县）》上发布</w:t>
      </w:r>
      <w:r>
        <w:rPr>
          <w:rFonts w:hint="eastAsia" w:ascii="宋体" w:hAnsi="宋体"/>
          <w:sz w:val="24"/>
        </w:rPr>
        <w:t>，</w:t>
      </w:r>
      <w:r>
        <w:rPr>
          <w:rFonts w:hint="eastAsia" w:ascii="宋体" w:hAnsi="宋体" w:cs="宋体"/>
          <w:sz w:val="24"/>
        </w:rPr>
        <w:t>招标公告期限为五个工作日。</w:t>
      </w:r>
    </w:p>
    <w:p>
      <w:pPr>
        <w:spacing w:line="360" w:lineRule="auto"/>
        <w:rPr>
          <w:rFonts w:ascii="宋体" w:hAnsi="宋体" w:cs="宋体"/>
          <w:b/>
          <w:sz w:val="24"/>
        </w:rPr>
      </w:pPr>
      <w:bookmarkStart w:id="34" w:name="_Toc28359008"/>
      <w:bookmarkStart w:id="35" w:name="_Toc28359085"/>
      <w:bookmarkStart w:id="36" w:name="_Toc35393796"/>
      <w:bookmarkStart w:id="37" w:name="_Toc35393627"/>
      <w:r>
        <w:rPr>
          <w:rFonts w:hint="eastAsia" w:ascii="宋体" w:hAnsi="宋体" w:cs="宋体"/>
          <w:b/>
          <w:sz w:val="24"/>
        </w:rPr>
        <w:t>七、其他补充事宜</w:t>
      </w:r>
    </w:p>
    <w:p>
      <w:pPr>
        <w:spacing w:line="360" w:lineRule="auto"/>
        <w:ind w:firstLine="480" w:firstLineChars="200"/>
        <w:rPr>
          <w:rFonts w:ascii="宋体" w:hAnsi="宋体"/>
          <w:sz w:val="24"/>
        </w:rPr>
      </w:pPr>
      <w:r>
        <w:rPr>
          <w:rFonts w:hint="eastAsia" w:ascii="宋体" w:hAnsi="宋体"/>
          <w:sz w:val="24"/>
        </w:rPr>
        <w:t>（1）供应商在中标（成交）后，在规定的时间内后无正当理由不与采购人签订合同的，由采购人向相关部门反应核实后依据情况处以罚款，列入不良行为记录名单，在一至三年内禁止参加政府采购活动并予以通报等相关处罚。（2）本项目采用网上远程异地开标解密，详细要求及注意事项请各供应商详细阅读宝丰县公共资源交易中心网发布的“紧急通告”，因各供应商未仔细阅读造成的损失，各供应商自行承担。</w:t>
      </w:r>
    </w:p>
    <w:p>
      <w:pPr>
        <w:spacing w:line="360" w:lineRule="auto"/>
        <w:rPr>
          <w:rFonts w:ascii="宋体" w:hAnsi="宋体" w:cs="宋体"/>
          <w:b/>
          <w:sz w:val="24"/>
        </w:rPr>
      </w:pPr>
      <w:r>
        <w:rPr>
          <w:rFonts w:hint="eastAsia" w:ascii="宋体" w:hAnsi="宋体" w:cs="宋体"/>
          <w:b/>
          <w:sz w:val="24"/>
          <w:lang w:val="en-US" w:eastAsia="zh-CN"/>
        </w:rPr>
        <w:t>八</w:t>
      </w:r>
      <w:r>
        <w:rPr>
          <w:rFonts w:hint="eastAsia" w:ascii="宋体" w:hAnsi="宋体" w:cs="宋体"/>
          <w:b/>
          <w:sz w:val="24"/>
        </w:rPr>
        <w:t>、</w:t>
      </w:r>
      <w:bookmarkEnd w:id="34"/>
      <w:bookmarkEnd w:id="35"/>
      <w:bookmarkEnd w:id="36"/>
      <w:bookmarkEnd w:id="37"/>
      <w:r>
        <w:rPr>
          <w:rFonts w:hint="eastAsia" w:ascii="宋体" w:hAnsi="宋体" w:cs="宋体"/>
          <w:b/>
          <w:sz w:val="24"/>
        </w:rPr>
        <w:t>对本次招标提出询问，请按照以下方式联系</w:t>
      </w:r>
    </w:p>
    <w:p>
      <w:pPr>
        <w:widowControl/>
        <w:spacing w:line="360" w:lineRule="auto"/>
        <w:jc w:val="left"/>
        <w:rPr>
          <w:rFonts w:ascii="宋体" w:hAnsi="宋体" w:cs="宋体"/>
          <w:sz w:val="24"/>
        </w:rPr>
      </w:pPr>
      <w:r>
        <w:rPr>
          <w:rFonts w:hint="eastAsia" w:ascii="宋体" w:hAnsi="宋体" w:cs="宋体"/>
          <w:sz w:val="24"/>
        </w:rPr>
        <w:t>1.采购人信息</w:t>
      </w:r>
    </w:p>
    <w:p>
      <w:pPr>
        <w:spacing w:line="360" w:lineRule="auto"/>
        <w:jc w:val="left"/>
        <w:rPr>
          <w:rFonts w:ascii="宋体" w:hAnsi="宋体" w:cs="宋体"/>
          <w:sz w:val="24"/>
        </w:rPr>
      </w:pPr>
      <w:r>
        <w:rPr>
          <w:rFonts w:hint="eastAsia" w:ascii="宋体" w:hAnsi="宋体" w:cs="宋体"/>
          <w:sz w:val="24"/>
        </w:rPr>
        <w:t>名 称：</w:t>
      </w:r>
      <w:r>
        <w:rPr>
          <w:rFonts w:hint="eastAsia" w:ascii="宋体" w:hAnsi="宋体" w:cs="宋体"/>
          <w:kern w:val="0"/>
          <w:sz w:val="24"/>
        </w:rPr>
        <w:t>宝丰县交通运输局</w:t>
      </w:r>
    </w:p>
    <w:p>
      <w:pPr>
        <w:spacing w:line="360" w:lineRule="auto"/>
        <w:jc w:val="left"/>
        <w:rPr>
          <w:rFonts w:hint="default" w:ascii="宋体" w:hAnsi="宋体" w:eastAsia="宋体" w:cs="宋体"/>
          <w:kern w:val="0"/>
          <w:sz w:val="24"/>
          <w:lang w:val="en-US" w:eastAsia="zh-CN"/>
        </w:rPr>
      </w:pPr>
      <w:r>
        <w:rPr>
          <w:rFonts w:hint="eastAsia" w:ascii="宋体" w:hAnsi="宋体" w:cs="宋体"/>
          <w:sz w:val="24"/>
        </w:rPr>
        <w:t>地址：</w:t>
      </w:r>
      <w:r>
        <w:rPr>
          <w:rFonts w:hint="eastAsia" w:ascii="宋体" w:hAnsi="宋体"/>
          <w:sz w:val="24"/>
        </w:rPr>
        <w:t>宝丰县迎宾大道</w:t>
      </w:r>
      <w:r>
        <w:rPr>
          <w:rFonts w:hint="eastAsia" w:ascii="宋体" w:hAnsi="宋体"/>
          <w:sz w:val="24"/>
          <w:lang w:val="en-US" w:eastAsia="zh-CN"/>
        </w:rPr>
        <w:t>296号</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sz w:val="24"/>
        </w:rPr>
      </w:pPr>
      <w:bookmarkStart w:id="38" w:name="_Toc28359086"/>
      <w:bookmarkStart w:id="39" w:name="_Toc28359009"/>
      <w:r>
        <w:rPr>
          <w:rFonts w:hint="eastAsia" w:ascii="宋体" w:hAnsi="宋体" w:cs="宋体"/>
          <w:kern w:val="0"/>
          <w:sz w:val="24"/>
        </w:rPr>
        <w:t>联系人：</w:t>
      </w:r>
      <w:r>
        <w:rPr>
          <w:rFonts w:hint="eastAsia" w:ascii="宋体" w:hAnsi="宋体" w:cs="宋体"/>
          <w:kern w:val="0"/>
          <w:sz w:val="24"/>
          <w:lang w:val="en-US" w:eastAsia="zh-CN"/>
        </w:rPr>
        <w:t>王先生</w:t>
      </w:r>
      <w:r>
        <w:rPr>
          <w:rFonts w:hint="eastAsia" w:ascii="宋体" w:hAnsi="宋体" w:cs="宋体"/>
          <w:kern w:val="0"/>
          <w:sz w:val="24"/>
        </w:rPr>
        <w:t xml:space="preserve"> </w:t>
      </w:r>
      <w:bookmarkStart w:id="838" w:name="_GoBack"/>
      <w:bookmarkEnd w:id="838"/>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lang w:val="en-US" w:eastAsia="zh-CN"/>
        </w:rPr>
      </w:pPr>
      <w:r>
        <w:rPr>
          <w:rFonts w:hint="eastAsia" w:ascii="宋体" w:hAnsi="宋体" w:cs="宋体"/>
          <w:sz w:val="24"/>
        </w:rPr>
        <w:t>联系方式：</w:t>
      </w:r>
      <w:r>
        <w:rPr>
          <w:rFonts w:hint="eastAsia" w:ascii="宋体" w:hAnsi="宋体" w:cs="宋体"/>
          <w:sz w:val="24"/>
          <w:lang w:val="en-US" w:eastAsia="zh-CN"/>
        </w:rPr>
        <w:t>13071739558</w:t>
      </w:r>
    </w:p>
    <w:p>
      <w:pPr>
        <w:spacing w:line="360" w:lineRule="auto"/>
        <w:jc w:val="left"/>
        <w:rPr>
          <w:rFonts w:ascii="宋体" w:hAnsi="宋体" w:cs="宋体"/>
          <w:sz w:val="24"/>
        </w:rPr>
      </w:pPr>
      <w:r>
        <w:rPr>
          <w:rFonts w:hint="eastAsia" w:ascii="宋体" w:hAnsi="宋体" w:cs="宋体"/>
          <w:sz w:val="24"/>
        </w:rPr>
        <w:t>2.采购代理机构信息</w:t>
      </w:r>
      <w:bookmarkEnd w:id="38"/>
      <w:bookmarkEnd w:id="39"/>
    </w:p>
    <w:p>
      <w:pPr>
        <w:spacing w:line="360" w:lineRule="auto"/>
        <w:rPr>
          <w:rFonts w:ascii="宋体" w:hAnsi="宋体" w:cs="宋体"/>
          <w:sz w:val="24"/>
        </w:rPr>
      </w:pPr>
      <w:r>
        <w:rPr>
          <w:rFonts w:hint="eastAsia" w:ascii="宋体" w:hAnsi="宋体" w:cs="宋体"/>
          <w:sz w:val="24"/>
        </w:rPr>
        <w:t>名 称：智远工程管理有限公司</w:t>
      </w:r>
    </w:p>
    <w:p>
      <w:pPr>
        <w:spacing w:line="360" w:lineRule="auto"/>
        <w:rPr>
          <w:rFonts w:ascii="宋体" w:hAnsi="宋体" w:cs="宋体"/>
          <w:sz w:val="24"/>
        </w:rPr>
      </w:pPr>
      <w:r>
        <w:rPr>
          <w:rFonts w:hint="eastAsia" w:ascii="宋体" w:hAnsi="宋体" w:cs="宋体"/>
          <w:sz w:val="24"/>
        </w:rPr>
        <w:t>地址：平顶山市新华区长安大道与夏耘路交叉口北200米路东盛润广场4号楼30层</w:t>
      </w:r>
    </w:p>
    <w:p>
      <w:pPr>
        <w:pStyle w:val="13"/>
        <w:spacing w:line="360" w:lineRule="auto"/>
      </w:pPr>
      <w:r>
        <w:rPr>
          <w:rFonts w:hint="eastAsia" w:ascii="宋体" w:hAnsi="宋体" w:cs="宋体"/>
          <w:sz w:val="24"/>
          <w:szCs w:val="24"/>
        </w:rPr>
        <w:t>联系人：陈鹏飞</w:t>
      </w:r>
    </w:p>
    <w:p>
      <w:pPr>
        <w:spacing w:line="360" w:lineRule="auto"/>
        <w:rPr>
          <w:rFonts w:ascii="宋体" w:hAnsi="宋体" w:cs="宋体"/>
          <w:sz w:val="24"/>
        </w:rPr>
      </w:pPr>
      <w:r>
        <w:rPr>
          <w:rFonts w:hint="eastAsia" w:ascii="宋体" w:hAnsi="宋体" w:cs="宋体"/>
          <w:sz w:val="24"/>
        </w:rPr>
        <w:t>联系方式：</w:t>
      </w:r>
      <w:bookmarkStart w:id="40" w:name="_Toc28359087"/>
      <w:bookmarkStart w:id="41" w:name="_Toc28359010"/>
      <w:r>
        <w:rPr>
          <w:rFonts w:hint="eastAsia" w:ascii="宋体" w:hAnsi="宋体" w:cs="宋体"/>
          <w:kern w:val="0"/>
          <w:sz w:val="24"/>
        </w:rPr>
        <w:t xml:space="preserve">0375-6186606  </w:t>
      </w:r>
      <w:r>
        <w:rPr>
          <w:rFonts w:hint="eastAsia" w:ascii="宋体" w:hAnsi="宋体"/>
          <w:sz w:val="24"/>
        </w:rPr>
        <w:t>17837580371</w:t>
      </w:r>
    </w:p>
    <w:p>
      <w:pPr>
        <w:spacing w:line="360" w:lineRule="auto"/>
        <w:rPr>
          <w:rFonts w:ascii="宋体" w:hAnsi="宋体" w:cs="宋体"/>
          <w:sz w:val="24"/>
        </w:rPr>
      </w:pPr>
      <w:r>
        <w:rPr>
          <w:rFonts w:hint="eastAsia" w:ascii="宋体" w:hAnsi="宋体" w:cs="宋体"/>
          <w:sz w:val="24"/>
        </w:rPr>
        <w:t>3.项目联系方式</w:t>
      </w:r>
      <w:bookmarkEnd w:id="40"/>
      <w:bookmarkEnd w:id="41"/>
    </w:p>
    <w:p>
      <w:pPr>
        <w:pStyle w:val="13"/>
        <w:spacing w:line="360" w:lineRule="auto"/>
        <w:rPr>
          <w:rFonts w:ascii="宋体" w:hAnsi="宋体" w:cs="宋体"/>
          <w:sz w:val="24"/>
          <w:szCs w:val="24"/>
        </w:rPr>
      </w:pPr>
      <w:r>
        <w:rPr>
          <w:rFonts w:hint="eastAsia" w:ascii="宋体" w:hAnsi="宋体" w:cs="宋体"/>
          <w:sz w:val="24"/>
          <w:szCs w:val="24"/>
        </w:rPr>
        <w:t>项目联系人：陈鹏飞</w:t>
      </w:r>
    </w:p>
    <w:p>
      <w:pPr>
        <w:spacing w:line="360" w:lineRule="auto"/>
        <w:rPr>
          <w:rFonts w:ascii="宋体" w:hAnsi="宋体" w:cs="宋体"/>
          <w:color w:val="FF0000"/>
          <w:sz w:val="24"/>
        </w:rPr>
      </w:pPr>
      <w:r>
        <w:rPr>
          <w:rFonts w:hint="eastAsia" w:ascii="宋体" w:hAnsi="宋体" w:cs="宋体"/>
          <w:sz w:val="24"/>
        </w:rPr>
        <w:t>联系方式：</w:t>
      </w:r>
      <w:r>
        <w:rPr>
          <w:rFonts w:hint="eastAsia" w:ascii="宋体" w:hAnsi="宋体" w:cs="宋体"/>
          <w:kern w:val="0"/>
          <w:sz w:val="24"/>
        </w:rPr>
        <w:t>0375-6186606  17837580371</w:t>
      </w:r>
    </w:p>
    <w:p>
      <w:pPr>
        <w:jc w:val="right"/>
        <w:rPr>
          <w:rFonts w:ascii="宋体" w:hAnsi="宋体" w:cs="宋体"/>
          <w:color w:val="auto"/>
          <w:kern w:val="0"/>
          <w:sz w:val="24"/>
        </w:rPr>
      </w:pPr>
      <w:r>
        <w:rPr>
          <w:rFonts w:hint="eastAsia" w:ascii="宋体" w:hAnsi="宋体" w:cs="宋体"/>
          <w:color w:val="auto"/>
          <w:kern w:val="0"/>
          <w:sz w:val="24"/>
        </w:rPr>
        <w:t>发布日期：202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2</w:t>
      </w:r>
      <w:r>
        <w:rPr>
          <w:rFonts w:hint="eastAsia" w:ascii="宋体" w:hAnsi="宋体" w:cs="宋体"/>
          <w:color w:val="auto"/>
          <w:kern w:val="0"/>
          <w:sz w:val="24"/>
        </w:rPr>
        <w:t>月</w:t>
      </w:r>
      <w:r>
        <w:rPr>
          <w:rFonts w:hint="eastAsia" w:ascii="宋体" w:hAnsi="宋体" w:cs="宋体"/>
          <w:color w:val="auto"/>
          <w:kern w:val="0"/>
          <w:sz w:val="24"/>
          <w:lang w:val="en-US" w:eastAsia="zh-CN"/>
        </w:rPr>
        <w:t>29</w:t>
      </w:r>
      <w:r>
        <w:rPr>
          <w:rFonts w:hint="eastAsia" w:ascii="宋体" w:hAnsi="宋体" w:cs="宋体"/>
          <w:color w:val="auto"/>
          <w:kern w:val="0"/>
          <w:sz w:val="24"/>
        </w:rPr>
        <w:t>日</w:t>
      </w:r>
    </w:p>
    <w:p>
      <w:pPr>
        <w:jc w:val="right"/>
        <w:rPr>
          <w:rFonts w:ascii="宋体" w:hAnsi="宋体" w:cs="宋体"/>
          <w:color w:val="FF0000"/>
          <w:kern w:val="0"/>
          <w:sz w:val="24"/>
        </w:rPr>
      </w:pPr>
    </w:p>
    <w:p>
      <w:pPr>
        <w:jc w:val="right"/>
        <w:rPr>
          <w:rFonts w:ascii="宋体" w:hAnsi="宋体" w:cs="宋体"/>
          <w:color w:val="auto"/>
          <w:kern w:val="0"/>
          <w:sz w:val="24"/>
        </w:rPr>
      </w:pPr>
    </w:p>
    <w:p>
      <w:pPr>
        <w:pStyle w:val="10"/>
        <w:ind w:left="900" w:hanging="480"/>
        <w:rPr>
          <w:rFonts w:ascii="宋体" w:hAnsi="宋体" w:cs="宋体"/>
          <w:color w:val="auto"/>
          <w:kern w:val="0"/>
          <w:sz w:val="24"/>
        </w:rPr>
      </w:pPr>
    </w:p>
    <w:p>
      <w:pPr>
        <w:pStyle w:val="10"/>
        <w:ind w:left="900" w:hanging="480"/>
        <w:rPr>
          <w:rFonts w:ascii="宋体" w:hAnsi="宋体" w:cs="宋体"/>
          <w:color w:val="auto"/>
          <w:kern w:val="0"/>
          <w:sz w:val="24"/>
        </w:rPr>
      </w:pPr>
    </w:p>
    <w:p>
      <w:pPr>
        <w:pStyle w:val="10"/>
        <w:ind w:left="900" w:hanging="480"/>
        <w:rPr>
          <w:rFonts w:ascii="宋体" w:hAnsi="宋体" w:cs="宋体"/>
          <w:color w:val="auto"/>
          <w:kern w:val="0"/>
          <w:sz w:val="24"/>
        </w:rPr>
      </w:pP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b/>
          <w:bCs/>
          <w:color w:val="auto"/>
          <w:kern w:val="0"/>
          <w:sz w:val="24"/>
        </w:rPr>
        <w:t>温馨提示：</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（注：宝丰县公共资源交易中心网站“紧急通告”与此“温馨提示”不一致的地方，以“紧急通告”为准。）</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本项目为全流程电子化交易项目，请认真阅读采购文件，并注意以下事项：</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1.投标人应按采购文件规定编制、提交电子投标文件。</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2.本项目无需提供纸质版投标文件。</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3.电子文件下载、制作、提交期间和开标（电子投标文件的解密）环节，投标人须使用CA数字证书（证书须在有效期内）。</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4.电子投标文件的制作</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4.1 投标人登录《全国公共资源交易平台(河南省▪宝丰县)》登录业务系统（www.bfggzy.com:8080/ggzy/）下载“宝丰县公共资源交易中心投标文件制作系统”，按采购文件要求制作电子投标文件。</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电子投标文件的制作，参考《全国公共资源交易平台(河南省▪宝丰县)》登录业务系统（www.bfggzy.com:8080/ggzy/）——组件下载——交易系统操作手册（投标人、投标人）。</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4.2 投标人须将采购文件要求的资质、业绩、荣誉及相关人员证明材料等资料原件扫描件（或图片）制作到所提交的电子投标文件中。</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4.3投标人对同一项目多个标段进行投标的，应分别下载所投标段的采购文件，按标段制作电子投标文件，并按采购文件要求在相应位置加盖投标人电子印章和法定代表人电子签字。</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一个标段对应生成一个文件夹（xxxx项目xx标段）, 其中包含2个文件和1个文件夹。后缀名为“.file”的文件用于电子投标使用，名称为“备份”的文件夹使用电子介质存储，供开标现场备用。</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5.加密电子投标文件的提交</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5.1加密电子投标文件应在采购文件规定的投标截止时间（开标时间）之前成功提交至《全国公共资源交易平台(河南省▪宝丰县)》登录业务系统（www.bfggzy.com:8080/ggzy/）。</w:t>
      </w:r>
    </w:p>
    <w:p>
      <w:pPr>
        <w:widowControl/>
        <w:shd w:val="clear" w:color="auto" w:fill="FFFFFF"/>
        <w:spacing w:line="420" w:lineRule="atLeast"/>
        <w:jc w:val="left"/>
        <w:rPr>
          <w:rFonts w:ascii="宋体" w:hAnsi="宋体" w:cs="宋体"/>
          <w:color w:val="auto"/>
          <w:kern w:val="0"/>
          <w:szCs w:val="21"/>
        </w:rPr>
      </w:pPr>
      <w:r>
        <w:rPr>
          <w:rFonts w:hint="eastAsia" w:ascii="宋体" w:hAnsi="宋体" w:cs="宋体"/>
          <w:color w:val="auto"/>
          <w:kern w:val="0"/>
          <w:sz w:val="24"/>
        </w:rPr>
        <w:t>投标人应充分考虑并预留技术处理和上传数据所需时间。</w:t>
      </w:r>
    </w:p>
    <w:p>
      <w:pPr>
        <w:widowControl/>
        <w:shd w:val="clear" w:color="auto" w:fill="FFFFFF"/>
        <w:spacing w:line="420" w:lineRule="atLeast"/>
        <w:jc w:val="left"/>
        <w:rPr>
          <w:rFonts w:ascii="宋体" w:hAnsi="宋体" w:cs="宋体"/>
          <w:color w:val="auto"/>
          <w:kern w:val="0"/>
          <w:szCs w:val="21"/>
        </w:rPr>
        <w:sectPr>
          <w:footerReference r:id="rId3" w:type="default"/>
          <w:pgSz w:w="11910" w:h="16840"/>
          <w:pgMar w:top="1440" w:right="1080" w:bottom="1440" w:left="1080" w:header="815" w:footer="1105" w:gutter="0"/>
          <w:cols w:space="720" w:num="1"/>
          <w:titlePg/>
          <w:docGrid w:linePitch="286" w:charSpace="0"/>
        </w:sectPr>
      </w:pPr>
      <w:r>
        <w:rPr>
          <w:rFonts w:hint="eastAsia" w:ascii="宋体" w:hAnsi="宋体" w:cs="宋体"/>
          <w:color w:val="auto"/>
          <w:kern w:val="0"/>
          <w:sz w:val="24"/>
        </w:rPr>
        <w:t>5.2投标人对同一项目多个标段进行投标的，加密电子投标文件应按标段分别提交。</w:t>
      </w:r>
    </w:p>
    <w:p>
      <w:pPr>
        <w:pStyle w:val="26"/>
        <w:rPr>
          <w:color w:val="auto"/>
        </w:rPr>
      </w:pPr>
      <w:bookmarkStart w:id="42" w:name="_Toc116314078"/>
      <w:r>
        <w:rPr>
          <w:rFonts w:hint="eastAsia"/>
          <w:color w:val="auto"/>
        </w:rPr>
        <w:t>第二章投标人须知</w:t>
      </w:r>
      <w:bookmarkEnd w:id="3"/>
      <w:bookmarkEnd w:id="4"/>
      <w:bookmarkEnd w:id="5"/>
      <w:bookmarkEnd w:id="8"/>
      <w:bookmarkEnd w:id="9"/>
      <w:bookmarkEnd w:id="10"/>
      <w:bookmarkEnd w:id="42"/>
    </w:p>
    <w:p>
      <w:pPr>
        <w:pStyle w:val="56"/>
        <w:jc w:val="center"/>
        <w:rPr>
          <w:rFonts w:ascii="宋体" w:hAnsi="宋体" w:eastAsia="宋体"/>
          <w:b/>
          <w:color w:val="auto"/>
        </w:rPr>
      </w:pPr>
      <w:bookmarkStart w:id="43" w:name="_Toc144974496"/>
      <w:bookmarkStart w:id="44" w:name="_Toc489430823"/>
      <w:bookmarkStart w:id="45" w:name="_Toc116314079"/>
      <w:bookmarkStart w:id="46" w:name="_Toc152045528"/>
      <w:bookmarkStart w:id="47" w:name="_Toc152042304"/>
      <w:bookmarkStart w:id="48" w:name="_Toc30326"/>
      <w:bookmarkStart w:id="49" w:name="_Toc489430463"/>
      <w:r>
        <w:rPr>
          <w:rFonts w:hint="eastAsia" w:ascii="宋体" w:hAnsi="宋体" w:eastAsia="宋体"/>
          <w:b/>
          <w:color w:val="auto"/>
        </w:rPr>
        <w:t>投标人须知前附表</w:t>
      </w:r>
      <w:bookmarkEnd w:id="43"/>
      <w:bookmarkEnd w:id="44"/>
      <w:bookmarkEnd w:id="45"/>
      <w:bookmarkEnd w:id="46"/>
      <w:bookmarkEnd w:id="47"/>
      <w:bookmarkEnd w:id="48"/>
      <w:bookmarkEnd w:id="49"/>
    </w:p>
    <w:tbl>
      <w:tblPr>
        <w:tblStyle w:val="28"/>
        <w:tblW w:w="9070" w:type="dxa"/>
        <w:jc w:val="center"/>
        <w:tblLayout w:type="fixed"/>
        <w:tblCellMar>
          <w:top w:w="0" w:type="dxa"/>
          <w:left w:w="108" w:type="dxa"/>
          <w:bottom w:w="0" w:type="dxa"/>
          <w:right w:w="108" w:type="dxa"/>
        </w:tblCellMar>
      </w:tblPr>
      <w:tblGrid>
        <w:gridCol w:w="1185"/>
        <w:gridCol w:w="1545"/>
        <w:gridCol w:w="6340"/>
      </w:tblGrid>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条款号</w:t>
            </w:r>
          </w:p>
        </w:tc>
        <w:tc>
          <w:tcPr>
            <w:tcW w:w="15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条款名称</w:t>
            </w:r>
          </w:p>
        </w:tc>
        <w:tc>
          <w:tcPr>
            <w:tcW w:w="63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编列内容</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招标人</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招标人：宝丰县交通运输局</w:t>
            </w:r>
          </w:p>
          <w:p>
            <w:pPr>
              <w:spacing w:line="35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址：宝丰县迎宾大道</w:t>
            </w:r>
            <w:r>
              <w:rPr>
                <w:rFonts w:hint="eastAsia" w:asciiTheme="minorEastAsia" w:hAnsiTheme="minorEastAsia" w:eastAsiaTheme="minorEastAsia" w:cstheme="minorEastAsia"/>
                <w:color w:val="auto"/>
                <w:sz w:val="24"/>
                <w:lang w:val="en-US" w:eastAsia="zh-CN"/>
              </w:rPr>
              <w:t>296号</w:t>
            </w:r>
          </w:p>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sz w:val="24"/>
                <w:lang w:val="en-US" w:eastAsia="zh-CN"/>
              </w:rPr>
              <w:t>王先生</w:t>
            </w:r>
            <w:r>
              <w:rPr>
                <w:rFonts w:hint="eastAsia" w:asciiTheme="minorEastAsia" w:hAnsiTheme="minorEastAsia" w:eastAsiaTheme="minorEastAsia" w:cstheme="minorEastAsia"/>
                <w:color w:val="auto"/>
                <w:sz w:val="24"/>
              </w:rPr>
              <w:t xml:space="preserve"> </w:t>
            </w:r>
          </w:p>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联系方式：</w:t>
            </w:r>
            <w:r>
              <w:rPr>
                <w:rFonts w:hint="eastAsia" w:asciiTheme="minorEastAsia" w:hAnsiTheme="minorEastAsia" w:eastAsiaTheme="minorEastAsia" w:cstheme="minorEastAsia"/>
                <w:color w:val="auto"/>
                <w:sz w:val="24"/>
                <w:lang w:val="en-US" w:eastAsia="zh-CN"/>
              </w:rPr>
              <w:t>13071739558</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w:t>
            </w:r>
          </w:p>
        </w:tc>
        <w:tc>
          <w:tcPr>
            <w:tcW w:w="154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6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招标代理机构</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名称：智远工程管理有限公司</w:t>
            </w:r>
          </w:p>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本项目联系地址：平顶山市新华区长安大道与夏耘路交叉口北200米路东盛润广场4号楼30层</w:t>
            </w:r>
          </w:p>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联系人：陈鹏飞</w:t>
            </w:r>
          </w:p>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 0375-6186606   17837580371</w:t>
            </w:r>
          </w:p>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邮箱：chengjianpds@163.com</w:t>
            </w:r>
          </w:p>
        </w:tc>
      </w:tr>
      <w:tr>
        <w:tblPrEx>
          <w:tblCellMar>
            <w:top w:w="0" w:type="dxa"/>
            <w:left w:w="108" w:type="dxa"/>
            <w:bottom w:w="0" w:type="dxa"/>
            <w:right w:w="108" w:type="dxa"/>
          </w:tblCellMar>
        </w:tblPrEx>
        <w:trPr>
          <w:trHeight w:val="87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1.1.4</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lang w:eastAsia="zh-CN"/>
              </w:rPr>
              <w:t>宝丰县重点采煤沉陷区S241洛驻线芮庄至G311连栾线段改建工程</w:t>
            </w:r>
          </w:p>
        </w:tc>
      </w:tr>
      <w:tr>
        <w:tblPrEx>
          <w:tblCellMar>
            <w:top w:w="0" w:type="dxa"/>
            <w:left w:w="108" w:type="dxa"/>
            <w:bottom w:w="0" w:type="dxa"/>
            <w:right w:w="108" w:type="dxa"/>
          </w:tblCellMar>
        </w:tblPrEx>
        <w:trPr>
          <w:trHeight w:val="558"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1.1.5</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建设地点</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color w:val="auto"/>
                <w:sz w:val="24"/>
                <w:highlight w:val="yellow"/>
              </w:rPr>
            </w:pPr>
            <w:r>
              <w:rPr>
                <w:rFonts w:hint="eastAsia" w:asciiTheme="minorEastAsia" w:hAnsiTheme="minorEastAsia" w:eastAsiaTheme="minorEastAsia" w:cstheme="minorEastAsia"/>
                <w:color w:val="auto"/>
                <w:kern w:val="0"/>
                <w:sz w:val="24"/>
                <w:lang w:eastAsia="zh-CN"/>
              </w:rPr>
              <w:t>起点位于S241洛驻线张八桥镇芮庄村，自北向南，终点止于大地路与G311连栾线交叉处</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资金来源及比例</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财政资金100%</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资金落实情况</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已落实</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招标范围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color w:val="auto"/>
                <w:sz w:val="24"/>
              </w:rPr>
              <w:t>施工及缺陷责任期内质量修复的监理服务</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rPr>
              <w:t>监理服务期限</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同施工工期及缺陷责任期</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质量</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合格</w:t>
            </w:r>
          </w:p>
        </w:tc>
      </w:tr>
      <w:tr>
        <w:tblPrEx>
          <w:tblCellMar>
            <w:top w:w="0" w:type="dxa"/>
            <w:left w:w="108" w:type="dxa"/>
            <w:bottom w:w="0" w:type="dxa"/>
            <w:right w:w="108" w:type="dxa"/>
          </w:tblCellMar>
        </w:tblPrEx>
        <w:trPr>
          <w:trHeight w:val="1101"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投标人资质条件、能力和信誉</w:t>
            </w:r>
          </w:p>
          <w:p>
            <w:pPr>
              <w:spacing w:line="360" w:lineRule="exact"/>
              <w:jc w:val="center"/>
              <w:rPr>
                <w:rFonts w:asciiTheme="minorEastAsia" w:hAnsiTheme="minorEastAsia" w:eastAsiaTheme="minorEastAsia" w:cstheme="minorEastAsia"/>
                <w:b/>
                <w:color w:val="auto"/>
                <w:sz w:val="24"/>
                <w:highlight w:val="yellow"/>
              </w:rPr>
            </w:pP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396"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 xml:space="preserve">详见招标公告“二、申请人资格要求” </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是否接受联合体投标</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不接受</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踏勘现场</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不组织</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1.10.1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投标预备会</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不召开</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1.10.2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投标人提出问题的截止时间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递交投标文件的截止之日10日前</w:t>
            </w:r>
          </w:p>
        </w:tc>
      </w:tr>
      <w:tr>
        <w:tblPrEx>
          <w:tblCellMar>
            <w:top w:w="0" w:type="dxa"/>
            <w:left w:w="108" w:type="dxa"/>
            <w:bottom w:w="0" w:type="dxa"/>
            <w:right w:w="108" w:type="dxa"/>
          </w:tblCellMar>
        </w:tblPrEx>
        <w:trPr>
          <w:trHeight w:val="335"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1.10.3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招标人澄清的时间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递交投标文件的截止之日15日前</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分包</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不允许</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偏离</w:t>
            </w:r>
          </w:p>
        </w:tc>
        <w:tc>
          <w:tcPr>
            <w:tcW w:w="6340" w:type="dxa"/>
            <w:tcBorders>
              <w:top w:val="single" w:color="auto" w:sz="4" w:space="0"/>
              <w:left w:val="single" w:color="auto" w:sz="4" w:space="0"/>
              <w:bottom w:val="single" w:color="auto" w:sz="4" w:space="0"/>
              <w:right w:val="single" w:color="auto" w:sz="4" w:space="0"/>
            </w:tcBorders>
            <w:vAlign w:val="center"/>
          </w:tcPr>
          <w:p>
            <w:pPr>
              <w:pStyle w:val="52"/>
              <w:topLinePunct/>
              <w:spacing w:line="360" w:lineRule="exact"/>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不允许</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构成招标文件的其他材料</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招标文件的补充文件（如有）、招标答疑纪要（如有） </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投标人要求澄清招标文件的截止时间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递交投标文件的截止之日10日前</w:t>
            </w:r>
          </w:p>
        </w:tc>
      </w:tr>
      <w:tr>
        <w:tblPrEx>
          <w:tblCellMar>
            <w:top w:w="0" w:type="dxa"/>
            <w:left w:w="108" w:type="dxa"/>
            <w:bottom w:w="0" w:type="dxa"/>
            <w:right w:w="108" w:type="dxa"/>
          </w:tblCellMar>
        </w:tblPrEx>
        <w:trPr>
          <w:trHeight w:val="65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投标截止时间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宋体" w:hAnsi="宋体" w:cs="宋体"/>
                <w:color w:val="auto"/>
                <w:sz w:val="24"/>
              </w:rPr>
              <w:t>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投标人确认收到招标文件澄清的时间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招标文件的澄清文件发出之日24小时内</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投标人确认收到招标文件修改的时间</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招标文件的修改文件发出之日24小时内</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构成投标文件的其他材料</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其他相关资料</w:t>
            </w:r>
          </w:p>
        </w:tc>
      </w:tr>
      <w:tr>
        <w:tblPrEx>
          <w:tblCellMar>
            <w:top w:w="0" w:type="dxa"/>
            <w:left w:w="108" w:type="dxa"/>
            <w:bottom w:w="0" w:type="dxa"/>
            <w:right w:w="108" w:type="dxa"/>
          </w:tblCellMar>
        </w:tblPrEx>
        <w:trPr>
          <w:trHeight w:val="59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投标有效期</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120日历天（投标截止之日起）</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3.4.1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投标保证金</w:t>
            </w:r>
          </w:p>
        </w:tc>
        <w:tc>
          <w:tcPr>
            <w:tcW w:w="6340"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40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投标保证金数额：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壹万元整（￥10000.00）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二、本项目的投标保证金都可以采用投标保函或现金缴纳投标保证金的方式；现金缴纳投标保证金分为：银行汇款的方式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1、银行汇款：投标保证金必须从投标人基本账户转入下列保证金专用账户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收款单位：宝丰县公共资源交易中心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账号：2624 2927 7977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开户行：中国银行宝丰支行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1.1 投标人的投标保证金必须通过投标人基本账户以转账或电汇的形式缴纳。账户必须是已加入平顶山市公共资源交易投标人或投标人库中录入的账户(不支持结算卡支付)。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1.2 投标人缴纳保证金后，应在规定的缴纳截止时间前通过宝丰县公共资源交易中心交易系统将保证金成功绑定至本投标项目。具体操作请查看以下链接。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链接地址：http://www.bfggzy.com/ggtz/19710.jhtml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1.3.其他事项：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1.3.1 投标人应仔细阅读操作手册，在要求的截止时间前完成投标保证金的缴纳和绑定工作，并充分考虑人为操作和银行异地跨行转账到账的时间等因素，因投标人操作不当或银行到账时间等问题造成的无法投标等一切后果，由投标人自行承担。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1.3.2 投标人少交错交保证金属无效缴纳。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1.3.3 规定投标保证金到账截止时间为开标前一日24 时。(超时到账视为未交保证金，取消报名资格)。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1.3.4 废标项目重新招标时，必须按修改后的招标文件重新缴纳保证金，原缴纳保证金及时退还。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2、采用投标保函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2.1.投标保函开具时间及方式：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（1）开具截至时间：开标前一天 17:00 时截止。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（2）开具方式：在宝丰县公共资源交易中心 （http://www.bfggzy.com/）对应项目公告下点击“我要投标”进入投标管理页面，选择“开具投标保函”。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2.2.银行汇款缴纳时间及方式：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（1）交纳及到账时间：开标前一天 17:00 时截止 </w:t>
            </w:r>
          </w:p>
          <w:p>
            <w:pPr>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（2）获取方式：在宝丰县公共资源交易中心 </w:t>
            </w:r>
          </w:p>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http://www.bfggzy.com/）对应项目公告下点击“我要投标”进入投标管理页面，选择“保证金账号”。（保证金账户由银行账号池提供，且每个标段每个投标人获取的账号均不会相同，保证金递交须由投标人的基本账户汇出，若出现多个投标人保证金交至同一账号或多个保证金由同已基本 账号转出均按无效处理。</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3.5.2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近年财务状况的年份要求</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3.5.3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近年完成的类似项目的年份要求</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3.5.5</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近年发生的诉讼及仲裁情况的年份要求</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3.6</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是否允许递交备选投标方案</w:t>
            </w:r>
          </w:p>
        </w:tc>
        <w:tc>
          <w:tcPr>
            <w:tcW w:w="6340" w:type="dxa"/>
            <w:tcBorders>
              <w:top w:val="single" w:color="auto" w:sz="4" w:space="0"/>
              <w:left w:val="single" w:color="auto" w:sz="4" w:space="0"/>
              <w:bottom w:val="single" w:color="auto" w:sz="4" w:space="0"/>
              <w:right w:val="single" w:color="auto" w:sz="4" w:space="0"/>
            </w:tcBorders>
            <w:vAlign w:val="center"/>
          </w:tcPr>
          <w:p>
            <w:pPr>
              <w:pStyle w:val="52"/>
              <w:topLinePunct/>
              <w:spacing w:line="360" w:lineRule="exact"/>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不允许</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3.7.3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签字或盖章要求</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投标人在生成电子化投标文件后，应对电子化投标文件进行签章，未进行签章的视为无效投标。</w:t>
            </w:r>
          </w:p>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招标文件中要求加盖单位公章的：投标人在进行电子化投标文件签章时，以签盖投标人电子签章为准。</w:t>
            </w:r>
          </w:p>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招标文件中要求法定代表人或授权委托人签字或盖章的：投标人在进行电子化投标文件签章时，以签盖法定代表人电子签字(签章)为准。</w:t>
            </w:r>
          </w:p>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电子化投标文件具体制作教材请投标人通过 CA 证书登录宝丰县公共资源电子化交易系统在右上角“组件下载”中查看</w:t>
            </w:r>
          </w:p>
        </w:tc>
      </w:tr>
      <w:tr>
        <w:tblPrEx>
          <w:tblCellMar>
            <w:top w:w="0" w:type="dxa"/>
            <w:left w:w="108" w:type="dxa"/>
            <w:bottom w:w="0" w:type="dxa"/>
            <w:right w:w="108" w:type="dxa"/>
          </w:tblCellMar>
        </w:tblPrEx>
        <w:trPr>
          <w:trHeight w:val="435"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递交投标文件地点</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宝丰县公共资源交易中心电子交易系统</w:t>
            </w:r>
          </w:p>
        </w:tc>
      </w:tr>
      <w:tr>
        <w:tblPrEx>
          <w:tblCellMar>
            <w:top w:w="0" w:type="dxa"/>
            <w:left w:w="108" w:type="dxa"/>
            <w:bottom w:w="0" w:type="dxa"/>
            <w:right w:w="108" w:type="dxa"/>
          </w:tblCellMar>
        </w:tblPrEx>
        <w:trPr>
          <w:trHeight w:val="435"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是否退还投标文件</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否</w:t>
            </w:r>
          </w:p>
        </w:tc>
      </w:tr>
      <w:tr>
        <w:tblPrEx>
          <w:tblCellMar>
            <w:top w:w="0" w:type="dxa"/>
            <w:left w:w="108" w:type="dxa"/>
            <w:bottom w:w="0" w:type="dxa"/>
            <w:right w:w="108" w:type="dxa"/>
          </w:tblCellMar>
        </w:tblPrEx>
        <w:trPr>
          <w:trHeight w:val="90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开标时间和地点</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开标时间：同投标截止时间 </w:t>
            </w:r>
          </w:p>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开标地点：宝丰县公共资源交易中心网上开标大厅</w:t>
            </w:r>
          </w:p>
        </w:tc>
      </w:tr>
      <w:tr>
        <w:tblPrEx>
          <w:tblCellMar>
            <w:top w:w="0" w:type="dxa"/>
            <w:left w:w="108" w:type="dxa"/>
            <w:bottom w:w="0" w:type="dxa"/>
            <w:right w:w="108" w:type="dxa"/>
          </w:tblCellMar>
        </w:tblPrEx>
        <w:trPr>
          <w:trHeight w:val="924" w:hRule="atLeast"/>
          <w:jc w:val="center"/>
        </w:trPr>
        <w:tc>
          <w:tcPr>
            <w:tcW w:w="1185" w:type="dxa"/>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开标程序</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电子投标文件解密后自动唱标</w:t>
            </w:r>
          </w:p>
        </w:tc>
      </w:tr>
      <w:tr>
        <w:tblPrEx>
          <w:tblCellMar>
            <w:top w:w="0" w:type="dxa"/>
            <w:left w:w="108" w:type="dxa"/>
            <w:bottom w:w="0" w:type="dxa"/>
            <w:right w:w="108" w:type="dxa"/>
          </w:tblCellMar>
        </w:tblPrEx>
        <w:trPr>
          <w:trHeight w:val="941" w:hRule="atLeast"/>
          <w:jc w:val="center"/>
        </w:trPr>
        <w:tc>
          <w:tcPr>
            <w:tcW w:w="1185" w:type="dxa"/>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6.1.1</w:t>
            </w:r>
          </w:p>
        </w:tc>
        <w:tc>
          <w:tcPr>
            <w:tcW w:w="1545" w:type="dxa"/>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评标委员会的组建</w:t>
            </w:r>
          </w:p>
        </w:tc>
        <w:tc>
          <w:tcPr>
            <w:tcW w:w="6340" w:type="dxa"/>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评标委员会构成：</w:t>
            </w:r>
            <w:r>
              <w:rPr>
                <w:rFonts w:hint="eastAsia" w:asciiTheme="minorEastAsia" w:hAnsiTheme="minorEastAsia" w:eastAsiaTheme="minorEastAsia" w:cstheme="minorEastAsia"/>
                <w:color w:val="auto"/>
                <w:sz w:val="24"/>
                <w:u w:val="single"/>
              </w:rPr>
              <w:t>7</w:t>
            </w:r>
            <w:r>
              <w:rPr>
                <w:rFonts w:hint="eastAsia" w:asciiTheme="minorEastAsia" w:hAnsiTheme="minorEastAsia" w:eastAsiaTheme="minorEastAsia" w:cstheme="minorEastAsia"/>
                <w:color w:val="auto"/>
                <w:sz w:val="24"/>
              </w:rPr>
              <w:t>人，其中招标人代表</w:t>
            </w:r>
            <w:r>
              <w:rPr>
                <w:rFonts w:hint="eastAsia" w:asciiTheme="minorEastAsia" w:hAnsiTheme="minorEastAsia" w:eastAsiaTheme="minorEastAsia" w:cstheme="minorEastAsia"/>
                <w:color w:val="auto"/>
                <w:sz w:val="24"/>
                <w:u w:val="single"/>
              </w:rPr>
              <w:t>2</w:t>
            </w:r>
            <w:r>
              <w:rPr>
                <w:rFonts w:hint="eastAsia" w:asciiTheme="minorEastAsia" w:hAnsiTheme="minorEastAsia" w:eastAsiaTheme="minorEastAsia" w:cstheme="minorEastAsia"/>
                <w:color w:val="auto"/>
                <w:sz w:val="24"/>
              </w:rPr>
              <w:t>人（应当具备评标专家相应的或者类似的条件），技术、经济类专家</w:t>
            </w:r>
            <w:r>
              <w:rPr>
                <w:rFonts w:hint="eastAsia" w:asciiTheme="minorEastAsia" w:hAnsiTheme="minorEastAsia" w:eastAsiaTheme="minorEastAsia" w:cstheme="minorEastAsia"/>
                <w:color w:val="auto"/>
                <w:sz w:val="24"/>
                <w:u w:val="single"/>
              </w:rPr>
              <w:t>5</w:t>
            </w:r>
            <w:r>
              <w:rPr>
                <w:rFonts w:hint="eastAsia" w:asciiTheme="minorEastAsia" w:hAnsiTheme="minorEastAsia" w:eastAsiaTheme="minorEastAsia" w:cstheme="minorEastAsia"/>
                <w:color w:val="auto"/>
                <w:sz w:val="24"/>
              </w:rPr>
              <w:t>人；</w:t>
            </w:r>
          </w:p>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评标专家确定方式：经济、技术专家在开标前从河南省综合评标专家库中随机抽取确定；上述规定为一组评标专家组成方式，根据项目标段数量和评标工作量，可由多组专家完成评审，但一个标段只能由一组专家评审。</w:t>
            </w:r>
          </w:p>
        </w:tc>
      </w:tr>
      <w:tr>
        <w:tblPrEx>
          <w:tblCellMar>
            <w:top w:w="0" w:type="dxa"/>
            <w:left w:w="108" w:type="dxa"/>
            <w:bottom w:w="0" w:type="dxa"/>
            <w:right w:w="108" w:type="dxa"/>
          </w:tblCellMar>
        </w:tblPrEx>
        <w:trPr>
          <w:trHeight w:val="614" w:hRule="atLeast"/>
          <w:jc w:val="center"/>
        </w:trPr>
        <w:tc>
          <w:tcPr>
            <w:tcW w:w="1185" w:type="dxa"/>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w:t>
            </w:r>
          </w:p>
        </w:tc>
        <w:tc>
          <w:tcPr>
            <w:tcW w:w="1545" w:type="dxa"/>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是否授权评标委员会确定中标人</w:t>
            </w:r>
          </w:p>
        </w:tc>
        <w:tc>
          <w:tcPr>
            <w:tcW w:w="6340" w:type="dxa"/>
            <w:tcBorders>
              <w:top w:val="single" w:color="auto" w:sz="4" w:space="0"/>
              <w:left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否，推荐的中标候选人数：3名</w:t>
            </w:r>
          </w:p>
        </w:tc>
      </w:tr>
      <w:tr>
        <w:tblPrEx>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7.3.1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履约担保</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r>
      <w:tr>
        <w:tblPrEx>
          <w:tblCellMar>
            <w:top w:w="0" w:type="dxa"/>
            <w:left w:w="108" w:type="dxa"/>
            <w:bottom w:w="0" w:type="dxa"/>
            <w:right w:w="108" w:type="dxa"/>
          </w:tblCellMar>
        </w:tblPrEx>
        <w:trPr>
          <w:trHeight w:val="558" w:hRule="atLeast"/>
          <w:jc w:val="center"/>
        </w:trPr>
        <w:tc>
          <w:tcPr>
            <w:tcW w:w="907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  需要补充的其他内容</w:t>
            </w:r>
          </w:p>
        </w:tc>
      </w:tr>
      <w:tr>
        <w:tblPrEx>
          <w:tblCellMar>
            <w:top w:w="0" w:type="dxa"/>
            <w:left w:w="108" w:type="dxa"/>
            <w:bottom w:w="0" w:type="dxa"/>
            <w:right w:w="108" w:type="dxa"/>
          </w:tblCellMar>
        </w:tblPrEx>
        <w:trPr>
          <w:trHeight w:val="542"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10.1</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b/>
                <w:bCs/>
                <w:color w:val="auto"/>
                <w:spacing w:val="-2"/>
                <w:sz w:val="24"/>
              </w:rPr>
            </w:pPr>
            <w:r>
              <w:rPr>
                <w:rFonts w:hint="eastAsia" w:asciiTheme="minorEastAsia" w:hAnsiTheme="minorEastAsia" w:eastAsiaTheme="minorEastAsia" w:cstheme="minorEastAsia"/>
                <w:b/>
                <w:bCs/>
                <w:color w:val="auto"/>
                <w:spacing w:val="-2"/>
                <w:sz w:val="24"/>
              </w:rPr>
              <w:t xml:space="preserve">招标控制价 </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b/>
                <w:bCs/>
                <w:color w:val="auto"/>
                <w:spacing w:val="-2"/>
                <w:sz w:val="24"/>
              </w:rPr>
            </w:pPr>
            <w:r>
              <w:rPr>
                <w:rFonts w:hint="eastAsia" w:asciiTheme="minorEastAsia" w:hAnsiTheme="minorEastAsia" w:eastAsiaTheme="minorEastAsia" w:cstheme="minorEastAsia"/>
                <w:b/>
                <w:bCs/>
                <w:color w:val="auto"/>
                <w:spacing w:val="-2"/>
                <w:sz w:val="24"/>
                <w:lang w:val="en-US" w:eastAsia="zh-CN"/>
              </w:rPr>
              <w:t>950000.00</w:t>
            </w:r>
            <w:r>
              <w:rPr>
                <w:rFonts w:hint="eastAsia" w:asciiTheme="minorEastAsia" w:hAnsiTheme="minorEastAsia" w:eastAsiaTheme="minorEastAsia" w:cstheme="minorEastAsia"/>
                <w:b/>
                <w:bCs/>
                <w:color w:val="auto"/>
                <w:spacing w:val="-2"/>
                <w:sz w:val="24"/>
              </w:rPr>
              <w:t>元</w:t>
            </w:r>
          </w:p>
          <w:p>
            <w:pPr>
              <w:spacing w:line="350" w:lineRule="exact"/>
              <w:rPr>
                <w:rFonts w:asciiTheme="minorEastAsia" w:hAnsiTheme="minorEastAsia" w:eastAsiaTheme="minorEastAsia" w:cstheme="minorEastAsia"/>
                <w:b/>
                <w:bCs/>
                <w:color w:val="auto"/>
                <w:spacing w:val="-2"/>
                <w:sz w:val="24"/>
              </w:rPr>
            </w:pPr>
            <w:r>
              <w:rPr>
                <w:rFonts w:hint="eastAsia" w:asciiTheme="minorEastAsia" w:hAnsiTheme="minorEastAsia" w:eastAsiaTheme="minorEastAsia" w:cstheme="minorEastAsia"/>
                <w:b/>
                <w:bCs/>
                <w:color w:val="auto"/>
                <w:spacing w:val="-2"/>
                <w:sz w:val="24"/>
              </w:rPr>
              <w:t>注：投标单位自主报价，投标人投标总报价高出招标控制价的投标文件为无效文件，将不予评审。</w:t>
            </w:r>
          </w:p>
        </w:tc>
      </w:tr>
      <w:tr>
        <w:tblPrEx>
          <w:tblCellMar>
            <w:top w:w="0" w:type="dxa"/>
            <w:left w:w="108" w:type="dxa"/>
            <w:bottom w:w="0" w:type="dxa"/>
            <w:right w:w="108" w:type="dxa"/>
          </w:tblCellMar>
        </w:tblPrEx>
        <w:trPr>
          <w:trHeight w:val="853"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中标公示</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在中标通知书发出前，招标人将中标候选人的情况在本招标项目招标公告发布的同一媒介予以公示，公示期不少于3日。</w:t>
            </w:r>
          </w:p>
        </w:tc>
      </w:tr>
      <w:tr>
        <w:tblPrEx>
          <w:tblCellMar>
            <w:top w:w="0" w:type="dxa"/>
            <w:left w:w="108" w:type="dxa"/>
            <w:bottom w:w="0" w:type="dxa"/>
            <w:right w:w="108" w:type="dxa"/>
          </w:tblCellMar>
        </w:tblPrEx>
        <w:trPr>
          <w:trHeight w:val="973"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10.3</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同义词语</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构成招标文件组成部分的“通用条件”、“专用条件”等章节中出现的措辞“委托人”和“监理人”，在招标投标阶段应当分别按“招标人”和“投标人”进行理解。</w:t>
            </w:r>
          </w:p>
        </w:tc>
      </w:tr>
      <w:tr>
        <w:tblPrEx>
          <w:tblCellMar>
            <w:top w:w="0" w:type="dxa"/>
            <w:left w:w="108" w:type="dxa"/>
            <w:bottom w:w="0" w:type="dxa"/>
            <w:right w:w="108" w:type="dxa"/>
          </w:tblCellMar>
        </w:tblPrEx>
        <w:trPr>
          <w:trHeight w:val="50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10.4</w:t>
            </w:r>
          </w:p>
        </w:tc>
        <w:tc>
          <w:tcPr>
            <w:tcW w:w="1545" w:type="dxa"/>
            <w:tcBorders>
              <w:top w:val="single" w:color="auto" w:sz="4" w:space="0"/>
              <w:left w:val="single" w:color="auto" w:sz="4" w:space="0"/>
              <w:bottom w:val="single" w:color="auto" w:sz="4" w:space="0"/>
              <w:right w:val="single" w:color="auto" w:sz="4" w:space="0"/>
            </w:tcBorders>
            <w:vAlign w:val="center"/>
          </w:tcPr>
          <w:p>
            <w:pPr>
              <w:pStyle w:val="44"/>
              <w:spacing w:line="35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定标方式</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5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招标人将根据评标委员会提出的评标报告，确定排名第一的中标候选人为中标人。当确定中标的中标候选人放弃中标或不按规定向招标人交纳履约保证金因或不可抗力提出不能履行合同的，招标人可以按序确定排名第二的中标候选人为中标人，依此类推。</w:t>
            </w:r>
          </w:p>
        </w:tc>
      </w:tr>
      <w:tr>
        <w:tblPrEx>
          <w:tblCellMar>
            <w:top w:w="0" w:type="dxa"/>
            <w:left w:w="108" w:type="dxa"/>
            <w:bottom w:w="0" w:type="dxa"/>
            <w:right w:w="108" w:type="dxa"/>
          </w:tblCellMar>
        </w:tblPrEx>
        <w:trPr>
          <w:trHeight w:val="454"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10.5</w:t>
            </w:r>
          </w:p>
        </w:tc>
        <w:tc>
          <w:tcPr>
            <w:tcW w:w="1545" w:type="dxa"/>
            <w:tcBorders>
              <w:top w:val="single" w:color="auto" w:sz="4" w:space="0"/>
              <w:left w:val="single" w:color="auto" w:sz="4" w:space="0"/>
              <w:bottom w:val="single" w:color="auto" w:sz="4" w:space="0"/>
              <w:right w:val="single" w:color="auto" w:sz="4" w:space="0"/>
            </w:tcBorders>
            <w:vAlign w:val="center"/>
          </w:tcPr>
          <w:p>
            <w:pPr>
              <w:pStyle w:val="44"/>
              <w:spacing w:line="35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付款办法</w:t>
            </w:r>
          </w:p>
        </w:tc>
        <w:tc>
          <w:tcPr>
            <w:tcW w:w="6340" w:type="dxa"/>
            <w:tcBorders>
              <w:top w:val="single" w:color="auto" w:sz="4" w:space="0"/>
              <w:left w:val="single" w:color="auto" w:sz="4" w:space="0"/>
              <w:bottom w:val="single" w:color="auto" w:sz="4" w:space="0"/>
              <w:right w:val="single" w:color="auto" w:sz="4" w:space="0"/>
            </w:tcBorders>
            <w:vAlign w:val="center"/>
          </w:tcPr>
          <w:p>
            <w:pPr>
              <w:pStyle w:val="44"/>
              <w:spacing w:line="350" w:lineRule="exact"/>
              <w:rPr>
                <w:rFonts w:asciiTheme="minorEastAsia" w:hAnsiTheme="minorEastAsia" w:eastAsiaTheme="minorEastAsia" w:cstheme="minorEastAsia"/>
                <w:b/>
                <w:bCs/>
                <w:color w:val="auto"/>
                <w:sz w:val="24"/>
                <w:u w:val="single"/>
              </w:rPr>
            </w:pPr>
            <w:r>
              <w:rPr>
                <w:rFonts w:hint="eastAsia" w:asciiTheme="minorEastAsia" w:hAnsiTheme="minorEastAsia" w:eastAsiaTheme="minorEastAsia" w:cstheme="minorEastAsia"/>
                <w:b/>
                <w:bCs/>
                <w:color w:val="auto"/>
                <w:sz w:val="24"/>
              </w:rPr>
              <w:t>工程量完成至 50%（或监理工期过半）时出具工程量确认书经招标人审核后，支付合同价款总额的 50%；工程竣工通过验收后，出具竣工验收报告后再支付合同价款总额的 40%；剩余10%在工程缺陷责任期满后一次性支付。</w:t>
            </w:r>
          </w:p>
        </w:tc>
      </w:tr>
      <w:tr>
        <w:tblPrEx>
          <w:tblCellMar>
            <w:top w:w="0" w:type="dxa"/>
            <w:left w:w="108" w:type="dxa"/>
            <w:bottom w:w="0" w:type="dxa"/>
            <w:right w:w="108" w:type="dxa"/>
          </w:tblCellMar>
        </w:tblPrEx>
        <w:trPr>
          <w:trHeight w:val="83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10.6</w:t>
            </w:r>
          </w:p>
        </w:tc>
        <w:tc>
          <w:tcPr>
            <w:tcW w:w="1545" w:type="dxa"/>
            <w:tcBorders>
              <w:top w:val="single" w:color="auto" w:sz="4" w:space="0"/>
              <w:left w:val="single" w:color="auto" w:sz="4" w:space="0"/>
              <w:bottom w:val="single" w:color="auto" w:sz="4" w:space="0"/>
              <w:right w:val="single" w:color="auto" w:sz="4" w:space="0"/>
            </w:tcBorders>
            <w:vAlign w:val="center"/>
          </w:tcPr>
          <w:p>
            <w:pPr>
              <w:pStyle w:val="44"/>
              <w:spacing w:line="350" w:lineRule="exac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招标代理服务费</w:t>
            </w:r>
          </w:p>
        </w:tc>
        <w:tc>
          <w:tcPr>
            <w:tcW w:w="6340" w:type="dxa"/>
            <w:tcBorders>
              <w:top w:val="single" w:color="auto" w:sz="4" w:space="0"/>
              <w:left w:val="single" w:color="auto" w:sz="4" w:space="0"/>
              <w:bottom w:val="single" w:color="auto" w:sz="4" w:space="0"/>
              <w:right w:val="single" w:color="auto" w:sz="4" w:space="0"/>
            </w:tcBorders>
            <w:vAlign w:val="center"/>
          </w:tcPr>
          <w:p>
            <w:pPr>
              <w:pStyle w:val="44"/>
              <w:spacing w:line="350" w:lineRule="exac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依据发改价格【2015】299号及豫招协【2023】002号文件标准计算，由中标单位支付。</w:t>
            </w:r>
          </w:p>
        </w:tc>
      </w:tr>
      <w:tr>
        <w:tblPrEx>
          <w:tblCellMar>
            <w:top w:w="0" w:type="dxa"/>
            <w:left w:w="108" w:type="dxa"/>
            <w:bottom w:w="0" w:type="dxa"/>
            <w:right w:w="108" w:type="dxa"/>
          </w:tblCellMar>
        </w:tblPrEx>
        <w:trPr>
          <w:trHeight w:val="83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hint="default" w:asciiTheme="minorEastAsia" w:hAnsiTheme="minorEastAsia" w:eastAsiaTheme="minorEastAsia" w:cstheme="minorEastAsia"/>
                <w:b/>
                <w:bCs/>
                <w:color w:val="auto"/>
                <w:sz w:val="24"/>
                <w:lang w:val="en-US" w:eastAsia="zh-CN"/>
              </w:rPr>
            </w:pPr>
            <w:bookmarkStart w:id="50" w:name="_Toc144974497"/>
            <w:bookmarkStart w:id="51" w:name="_Toc152042305"/>
            <w:bookmarkStart w:id="52" w:name="_Toc152045529"/>
            <w:r>
              <w:rPr>
                <w:rFonts w:hint="eastAsia" w:asciiTheme="minorEastAsia" w:hAnsiTheme="minorEastAsia" w:eastAsiaTheme="minorEastAsia" w:cstheme="minorEastAsia"/>
                <w:b/>
                <w:bCs/>
                <w:color w:val="auto"/>
                <w:sz w:val="24"/>
                <w:lang w:val="en-US" w:eastAsia="zh-CN"/>
              </w:rPr>
              <w:t>10.7</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rPr>
            </w:pPr>
            <w:r>
              <w:rPr>
                <w:rFonts w:hint="eastAsia" w:ascii="宋体" w:hAnsi="宋体" w:cs="黑体"/>
                <w:b/>
                <w:bCs/>
                <w:color w:val="auto"/>
                <w:kern w:val="0"/>
                <w:sz w:val="24"/>
              </w:rPr>
              <w:t>河南省政府采购合同融资政策告知函</w:t>
            </w:r>
          </w:p>
        </w:tc>
        <w:tc>
          <w:tcPr>
            <w:tcW w:w="63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河南省政府采购合同融资政策告知函</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各供应商：</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欢迎贵公司参与河南省政府采购活动！</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autoSpaceDE w:val="0"/>
              <w:autoSpaceDN w:val="0"/>
              <w:adjustRightInd w:val="0"/>
              <w:spacing w:line="360" w:lineRule="auto"/>
              <w:rPr>
                <w:rFonts w:hint="eastAsia" w:asciiTheme="minorEastAsia" w:hAnsiTheme="minorEastAsia" w:eastAsiaTheme="minorEastAsia" w:cstheme="minorEastAsia"/>
                <w:b/>
                <w:bCs/>
                <w:color w:val="auto"/>
                <w:sz w:val="24"/>
              </w:rPr>
            </w:pPr>
            <w:r>
              <w:rPr>
                <w:rFonts w:hint="eastAsia" w:ascii="宋体" w:hAnsi="宋体" w:cs="黑体"/>
                <w:b/>
                <w:bCs/>
                <w:color w:val="auto"/>
                <w:kern w:val="0"/>
                <w:sz w:val="24"/>
              </w:rPr>
              <w:t>贷款渠道和提供贷款的金融机构，可在河南省政府采购网“河南省政府采购合同融资平台”查询联系。</w:t>
            </w:r>
          </w:p>
        </w:tc>
      </w:tr>
      <w:tr>
        <w:tblPrEx>
          <w:tblCellMar>
            <w:top w:w="0" w:type="dxa"/>
            <w:left w:w="108" w:type="dxa"/>
            <w:bottom w:w="0" w:type="dxa"/>
            <w:right w:w="108" w:type="dxa"/>
          </w:tblCellMar>
        </w:tblPrEx>
        <w:trPr>
          <w:trHeight w:val="83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hint="default"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10.8</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Theme="minorEastAsia" w:hAnsiTheme="minorEastAsia" w:eastAsiaTheme="minorEastAsia" w:cstheme="minorEastAsia"/>
                <w:b/>
                <w:bCs/>
                <w:color w:val="auto"/>
                <w:sz w:val="24"/>
                <w:szCs w:val="24"/>
              </w:rPr>
            </w:pPr>
            <w:r>
              <w:rPr>
                <w:rFonts w:hint="eastAsia" w:ascii="宋体" w:hAnsi="宋体" w:eastAsia="宋体" w:cs="黑体"/>
                <w:b/>
                <w:bCs/>
                <w:color w:val="auto"/>
                <w:kern w:val="0"/>
                <w:sz w:val="24"/>
              </w:rPr>
              <w:t>宝丰县政府采购合同融资政策告知书</w:t>
            </w:r>
          </w:p>
        </w:tc>
        <w:tc>
          <w:tcPr>
            <w:tcW w:w="634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黑体"/>
                <w:b/>
                <w:bCs/>
                <w:color w:val="auto"/>
                <w:kern w:val="0"/>
                <w:sz w:val="24"/>
              </w:rPr>
            </w:pPr>
            <w:r>
              <w:rPr>
                <w:rFonts w:hint="eastAsia" w:ascii="宋体" w:hAnsi="宋体" w:eastAsia="宋体" w:cs="黑体"/>
                <w:b/>
                <w:bCs/>
                <w:color w:val="auto"/>
                <w:kern w:val="0"/>
                <w:sz w:val="24"/>
              </w:rPr>
              <w:t>尊敬的政府采购供应商：您好！</w:t>
            </w:r>
          </w:p>
          <w:p>
            <w:pPr>
              <w:autoSpaceDE w:val="0"/>
              <w:autoSpaceDN w:val="0"/>
              <w:adjustRightInd w:val="0"/>
              <w:spacing w:line="360" w:lineRule="auto"/>
              <w:rPr>
                <w:rFonts w:hint="eastAsia" w:ascii="宋体" w:hAnsi="宋体" w:eastAsia="宋体" w:cs="黑体"/>
                <w:b/>
                <w:bCs/>
                <w:color w:val="auto"/>
                <w:kern w:val="0"/>
                <w:sz w:val="24"/>
              </w:rPr>
            </w:pPr>
            <w:r>
              <w:rPr>
                <w:rFonts w:hint="eastAsia" w:ascii="宋体" w:hAnsi="宋体" w:eastAsia="宋体" w:cs="黑体"/>
                <w:b/>
                <w:bCs/>
                <w:color w:val="auto"/>
                <w:kern w:val="0"/>
                <w:sz w:val="24"/>
              </w:rPr>
              <w:t>欢迎您参与宝丰县政府采购业务！感谢您对我县经济社会发展做出贡献！</w:t>
            </w:r>
          </w:p>
          <w:p>
            <w:pPr>
              <w:autoSpaceDE w:val="0"/>
              <w:autoSpaceDN w:val="0"/>
              <w:adjustRightInd w:val="0"/>
              <w:spacing w:line="360" w:lineRule="auto"/>
              <w:rPr>
                <w:rFonts w:hint="eastAsia" w:ascii="宋体" w:hAnsi="宋体" w:eastAsia="宋体" w:cs="黑体"/>
                <w:b/>
                <w:bCs/>
                <w:color w:val="auto"/>
                <w:kern w:val="0"/>
                <w:sz w:val="24"/>
              </w:rPr>
            </w:pPr>
            <w:r>
              <w:rPr>
                <w:rFonts w:hint="eastAsia" w:ascii="宋体" w:hAnsi="宋体" w:eastAsia="宋体" w:cs="黑体"/>
                <w:b/>
                <w:bCs/>
                <w:color w:val="auto"/>
                <w:kern w:val="0"/>
                <w:sz w:val="24"/>
              </w:rPr>
              <w:t>为进一步优化我县营商环境，切实缓解中小微企业融资难、融资贵的问题，2018年平顶山市财政局与</w:t>
            </w:r>
            <w:r>
              <w:rPr>
                <w:rFonts w:hint="eastAsia" w:ascii="宋体" w:hAnsi="宋体" w:eastAsia="宋体" w:cs="黑体"/>
                <w:b/>
                <w:bCs/>
                <w:color w:val="auto"/>
                <w:kern w:val="0"/>
                <w:sz w:val="24"/>
                <w:lang w:eastAsia="zh-CN"/>
              </w:rPr>
              <w:t>中原银行</w:t>
            </w:r>
            <w:r>
              <w:rPr>
                <w:rFonts w:hint="eastAsia" w:ascii="宋体" w:hAnsi="宋体" w:eastAsia="宋体" w:cs="黑体"/>
                <w:b/>
                <w:bCs/>
                <w:color w:val="auto"/>
                <w:kern w:val="0"/>
                <w:sz w:val="24"/>
              </w:rPr>
              <w:t>签署战略合作协议，帮助在政府采购项目中中标的供应商解决融资问题，</w:t>
            </w:r>
            <w:r>
              <w:rPr>
                <w:rFonts w:hint="eastAsia" w:ascii="宋体" w:hAnsi="宋体" w:eastAsia="宋体" w:cs="黑体"/>
                <w:b/>
                <w:bCs/>
                <w:color w:val="auto"/>
                <w:kern w:val="0"/>
                <w:sz w:val="24"/>
                <w:lang w:eastAsia="zh-CN"/>
              </w:rPr>
              <w:t>中原</w:t>
            </w:r>
            <w:r>
              <w:rPr>
                <w:rFonts w:hint="eastAsia" w:ascii="宋体" w:hAnsi="宋体" w:eastAsia="宋体" w:cs="黑体"/>
                <w:b/>
                <w:bCs/>
                <w:color w:val="auto"/>
                <w:kern w:val="0"/>
                <w:sz w:val="24"/>
              </w:rPr>
              <w:t>银行推出了用于借款人履行政府采购合同的“银政易贷”贷款业务，开通了政府采购合同融资绿色通道，配备专业人员定向服务，提高融资服务效率。同时，依靠政府采购合同资金支付的保障，提供免评估、免抵押、免担保、低利率、授信额度在3000元-500万元的贷款业务，在融资审查、审批流程、利率优惠等方面切实给予中小微企业快捷高效融资支持。</w:t>
            </w:r>
          </w:p>
          <w:p>
            <w:pPr>
              <w:autoSpaceDE w:val="0"/>
              <w:autoSpaceDN w:val="0"/>
              <w:adjustRightInd w:val="0"/>
              <w:spacing w:line="360" w:lineRule="auto"/>
              <w:rPr>
                <w:rFonts w:hint="eastAsia" w:ascii="宋体" w:hAnsi="宋体" w:eastAsia="宋体" w:cs="黑体"/>
                <w:b/>
                <w:bCs/>
                <w:color w:val="auto"/>
                <w:kern w:val="0"/>
                <w:sz w:val="24"/>
              </w:rPr>
            </w:pPr>
            <w:r>
              <w:rPr>
                <w:rFonts w:hint="eastAsia" w:ascii="宋体" w:hAnsi="宋体" w:eastAsia="宋体" w:cs="黑体"/>
                <w:b/>
                <w:bCs/>
                <w:color w:val="auto"/>
                <w:kern w:val="0"/>
                <w:sz w:val="24"/>
              </w:rPr>
              <w:t>目前，</w:t>
            </w:r>
            <w:r>
              <w:rPr>
                <w:rFonts w:hint="eastAsia" w:ascii="宋体" w:hAnsi="宋体" w:eastAsia="宋体" w:cs="黑体"/>
                <w:b/>
                <w:bCs/>
                <w:color w:val="auto"/>
                <w:kern w:val="0"/>
                <w:sz w:val="24"/>
                <w:lang w:eastAsia="zh-CN"/>
              </w:rPr>
              <w:t>中原</w:t>
            </w:r>
            <w:r>
              <w:rPr>
                <w:rFonts w:hint="eastAsia" w:ascii="宋体" w:hAnsi="宋体" w:eastAsia="宋体" w:cs="黑体"/>
                <w:b/>
                <w:bCs/>
                <w:color w:val="auto"/>
                <w:kern w:val="0"/>
                <w:sz w:val="24"/>
              </w:rPr>
              <w:t>银行在我县政府采购合同融资工作已全面开展，如有意向享受我县政府采购合同融资政策，请拨打银行联系电话18603759553或到平顶山市湛河区姚电大道7号中原银行股份有限公司平顶山分行</w:t>
            </w:r>
          </w:p>
          <w:p>
            <w:pPr>
              <w:autoSpaceDE w:val="0"/>
              <w:autoSpaceDN w:val="0"/>
              <w:adjustRightInd w:val="0"/>
              <w:spacing w:line="360" w:lineRule="auto"/>
              <w:rPr>
                <w:rFonts w:hint="eastAsia" w:asciiTheme="minorEastAsia" w:hAnsiTheme="minorEastAsia" w:eastAsiaTheme="minorEastAsia" w:cstheme="minorEastAsia"/>
                <w:b/>
                <w:bCs/>
                <w:color w:val="auto"/>
                <w:sz w:val="24"/>
              </w:rPr>
            </w:pPr>
            <w:r>
              <w:rPr>
                <w:rFonts w:hint="eastAsia" w:ascii="宋体" w:hAnsi="宋体" w:eastAsia="宋体" w:cs="黑体"/>
                <w:b/>
                <w:bCs/>
                <w:color w:val="auto"/>
                <w:kern w:val="0"/>
                <w:sz w:val="24"/>
              </w:rPr>
              <w:t>期待您一如既往支持我县政府采购工作！</w:t>
            </w:r>
          </w:p>
        </w:tc>
      </w:tr>
      <w:tr>
        <w:tblPrEx>
          <w:tblCellMar>
            <w:top w:w="0" w:type="dxa"/>
            <w:left w:w="108" w:type="dxa"/>
            <w:bottom w:w="0" w:type="dxa"/>
            <w:right w:w="108" w:type="dxa"/>
          </w:tblCellMar>
        </w:tblPrEx>
        <w:trPr>
          <w:trHeight w:val="83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hint="default"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lang w:val="en-US" w:eastAsia="zh-CN"/>
              </w:rPr>
              <w:t>10.9</w:t>
            </w:r>
          </w:p>
        </w:tc>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inorEastAsia" w:hAnsiTheme="minorEastAsia" w:eastAsiaTheme="minorEastAsia" w:cstheme="minorEastAsia"/>
                <w:b/>
                <w:bCs/>
                <w:color w:val="auto"/>
                <w:sz w:val="24"/>
                <w:szCs w:val="24"/>
              </w:rPr>
            </w:pPr>
            <w:r>
              <w:rPr>
                <w:rFonts w:hint="eastAsia" w:ascii="宋体" w:hAnsi="宋体" w:cs="黑体"/>
                <w:b/>
                <w:bCs/>
                <w:color w:val="auto"/>
                <w:kern w:val="0"/>
                <w:sz w:val="24"/>
              </w:rPr>
              <w:t>农行宝丰县支行“政采e贷”信贷产品</w:t>
            </w:r>
          </w:p>
        </w:tc>
        <w:tc>
          <w:tcPr>
            <w:tcW w:w="63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一、供应商准入标准</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1.公司成立1年（含）以上；</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2.近两年有政府采购中标记录且在河南省政府采购网备案。</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二、采购标的准入标准</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1.采购标的必须由县级（市、区）（含）以上政府负责采购；</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2.采购标的仅限于货物类和服务类采购合同，不包括工程类合同。</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三、融资要素</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1.授信依据。以近两年在河南省政府采购网备案的合同为授信依据，授信额度为年均合同金额的70%，最高额度不超过500万元。</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2.融资依据。以在河南省政府采购网备案的合同为融资依据，融资金额不超过备案合同总金额的90%。</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3.融资期限。最长不超过1年。</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4.贷款利率。采用固定利率，目前利率为3.85%。</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5.担保方式。信用放款，追加应收账款质押。以融资的采购合同未来可形成的应收账款，由经营行在人民银行动产融资统一登记公示系统进行应收账款质押登记。</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6.还款方式。一次性还本付息。</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cs="黑体"/>
                <w:b/>
                <w:bCs/>
                <w:color w:val="auto"/>
                <w:kern w:val="0"/>
                <w:sz w:val="24"/>
              </w:rPr>
              <w:t>联系电话：王行长15836974469 张经理15290758588</w:t>
            </w:r>
          </w:p>
          <w:p>
            <w:pPr>
              <w:autoSpaceDE w:val="0"/>
              <w:autoSpaceDN w:val="0"/>
              <w:adjustRightInd w:val="0"/>
              <w:spacing w:line="360" w:lineRule="auto"/>
              <w:rPr>
                <w:rFonts w:hint="eastAsia" w:asciiTheme="minorEastAsia" w:hAnsiTheme="minorEastAsia" w:eastAsiaTheme="minorEastAsia" w:cstheme="minorEastAsia"/>
                <w:b/>
                <w:bCs/>
                <w:color w:val="auto"/>
                <w:sz w:val="24"/>
              </w:rPr>
            </w:pPr>
            <w:r>
              <w:rPr>
                <w:rFonts w:hint="eastAsia" w:ascii="宋体" w:hAnsi="宋体" w:cs="黑体"/>
                <w:b/>
                <w:bCs/>
                <w:color w:val="auto"/>
                <w:kern w:val="0"/>
                <w:sz w:val="24"/>
              </w:rPr>
              <w:t>曹经理15617360109</w:t>
            </w:r>
          </w:p>
        </w:tc>
      </w:tr>
      <w:tr>
        <w:tblPrEx>
          <w:tblCellMar>
            <w:top w:w="0" w:type="dxa"/>
            <w:left w:w="108" w:type="dxa"/>
            <w:bottom w:w="0" w:type="dxa"/>
            <w:right w:w="108" w:type="dxa"/>
          </w:tblCellMar>
        </w:tblPrEx>
        <w:trPr>
          <w:trHeight w:val="836" w:hRule="atLeast"/>
          <w:jc w:val="center"/>
        </w:trPr>
        <w:tc>
          <w:tcPr>
            <w:tcW w:w="27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黑体"/>
                <w:b/>
                <w:bCs/>
                <w:color w:val="auto"/>
                <w:kern w:val="0"/>
                <w:sz w:val="24"/>
              </w:rPr>
            </w:pPr>
            <w:r>
              <w:rPr>
                <w:rFonts w:hint="eastAsia" w:ascii="宋体" w:hAnsi="宋体" w:eastAsia="宋体" w:cs="黑体"/>
                <w:b/>
                <w:bCs/>
                <w:color w:val="auto"/>
                <w:kern w:val="0"/>
                <w:sz w:val="21"/>
                <w:szCs w:val="21"/>
              </w:rPr>
              <w:t xml:space="preserve">所属行业 </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宋体" w:hAnsi="宋体"/>
                <w:b/>
                <w:color w:val="000000"/>
                <w:lang w:val="en-US"/>
              </w:rPr>
            </w:pPr>
            <w:r>
              <w:rPr>
                <w:rFonts w:hint="eastAsia" w:ascii="宋体" w:hAnsi="宋体"/>
                <w:b/>
                <w:color w:val="000000"/>
              </w:rPr>
              <w:t>采购标的所属行业：</w:t>
            </w:r>
            <w:r>
              <w:rPr>
                <w:rFonts w:hint="eastAsia" w:ascii="宋体" w:hAnsi="宋体"/>
                <w:b/>
                <w:color w:val="000000"/>
                <w:lang w:val="en-US" w:eastAsia="zh-CN"/>
              </w:rPr>
              <w:t>其他未列明行业</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b/>
                <w:color w:val="000000"/>
              </w:rPr>
              <w:t>划定标准为：中小微企业划分按照《国家统计局关于印发&lt;统计上大中小 微型企业划分办法（2017）&gt;的通知》国统字【2017】213 号文件及《工 业和信息化部、国家统计局、国家发展和改革委员会、财政部关于印发&lt; 中小企业划型标准规定&gt;（工信部联企业〔2011〕300 号）规定的划分标准为依据。</w:t>
            </w:r>
          </w:p>
        </w:tc>
      </w:tr>
      <w:tr>
        <w:tblPrEx>
          <w:tblCellMar>
            <w:top w:w="0" w:type="dxa"/>
            <w:left w:w="108" w:type="dxa"/>
            <w:bottom w:w="0" w:type="dxa"/>
            <w:right w:w="108" w:type="dxa"/>
          </w:tblCellMar>
        </w:tblPrEx>
        <w:trPr>
          <w:trHeight w:val="836" w:hRule="atLeast"/>
          <w:jc w:val="center"/>
        </w:trPr>
        <w:tc>
          <w:tcPr>
            <w:tcW w:w="27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黑体"/>
                <w:b/>
                <w:bCs/>
                <w:color w:val="auto"/>
                <w:kern w:val="0"/>
                <w:sz w:val="24"/>
              </w:rPr>
            </w:pPr>
            <w:r>
              <w:rPr>
                <w:rFonts w:hint="eastAsia" w:ascii="宋体" w:hAnsi="宋体" w:eastAsia="宋体" w:cs="黑体"/>
                <w:b/>
                <w:bCs/>
                <w:color w:val="auto"/>
                <w:kern w:val="0"/>
                <w:sz w:val="21"/>
                <w:szCs w:val="21"/>
              </w:rPr>
              <w:t>项目落实的政府采购政策</w:t>
            </w:r>
          </w:p>
        </w:tc>
        <w:tc>
          <w:tcPr>
            <w:tcW w:w="63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b/>
                <w:color w:val="000000"/>
              </w:rPr>
            </w:pPr>
            <w:r>
              <w:rPr>
                <w:rFonts w:hint="eastAsia" w:ascii="宋体" w:hAnsi="宋体"/>
                <w:b/>
                <w:color w:val="000000"/>
              </w:rPr>
              <w:t>根据《政府采购促进中小企业发展管理办法》(财库[2020]46号)的规定，适用招标投标法的政府采购工程建设项目，采用综合评估法但未采用低价优先法计算价格分的，评标时应当在采用原报价进行评分的基础上增加其价格得分的5%作为其价格分。</w:t>
            </w:r>
          </w:p>
          <w:p>
            <w:pPr>
              <w:autoSpaceDE w:val="0"/>
              <w:autoSpaceDN w:val="0"/>
              <w:adjustRightInd w:val="0"/>
              <w:spacing w:line="360" w:lineRule="auto"/>
              <w:rPr>
                <w:rFonts w:hint="eastAsia" w:ascii="宋体" w:hAnsi="宋体"/>
                <w:b/>
                <w:color w:val="000000"/>
              </w:rPr>
            </w:pPr>
            <w:r>
              <w:rPr>
                <w:rFonts w:hint="eastAsia" w:ascii="宋体" w:hAnsi="宋体"/>
                <w:b/>
                <w:color w:val="000000"/>
              </w:rPr>
              <w:t>根据《财政部、司法部关于政府采购支持监狱企业发展有关问题的通知》(财库〔2014〕68号)的规定，提供由省级以上监狱管理局、戒毒管理局（含新疆生产建设兵团）出具的属于监狱企业的证明文件的，监狱企业视同小型、微型企业。</w:t>
            </w:r>
          </w:p>
          <w:p>
            <w:pPr>
              <w:autoSpaceDE w:val="0"/>
              <w:autoSpaceDN w:val="0"/>
              <w:adjustRightInd w:val="0"/>
              <w:spacing w:line="360" w:lineRule="auto"/>
              <w:rPr>
                <w:rFonts w:hint="eastAsia" w:ascii="宋体" w:hAnsi="宋体"/>
                <w:b/>
                <w:color w:val="000000"/>
              </w:rPr>
            </w:pPr>
            <w:r>
              <w:rPr>
                <w:rFonts w:hint="eastAsia" w:ascii="宋体" w:hAnsi="宋体"/>
                <w:b/>
                <w:color w:val="000000"/>
              </w:rPr>
              <w:t>根据《 财政部、民政部、中国残疾人联合会关于促进残疾人就业政府采购政策的通知》（财库[2017]141号）的规定，提供《残疾人福利性单位声明函》，并对声明的真实性负责。中标/成交投标人为残疾人福利性单位的，采购人应当随中标结果同时公告其《残疾人福利性单位声明函》，接受社会监督。提供的《残疾人福利性单位声明函》与事实不符的，追究法律责任。</w:t>
            </w:r>
          </w:p>
          <w:p>
            <w:pPr>
              <w:autoSpaceDE w:val="0"/>
              <w:autoSpaceDN w:val="0"/>
              <w:adjustRightInd w:val="0"/>
              <w:spacing w:line="360" w:lineRule="auto"/>
              <w:rPr>
                <w:rFonts w:hint="eastAsia" w:ascii="宋体" w:hAnsi="宋体"/>
                <w:b/>
                <w:color w:val="000000"/>
              </w:rPr>
            </w:pPr>
            <w:r>
              <w:rPr>
                <w:rFonts w:hint="eastAsia" w:ascii="宋体" w:hAnsi="宋体"/>
                <w:b/>
                <w:color w:val="000000"/>
              </w:rPr>
              <w:t>注：（1）投标人若为小型或微型企业，须提供中小企业声明函，并对其真实性负责；</w:t>
            </w:r>
          </w:p>
          <w:p>
            <w:pPr>
              <w:autoSpaceDE w:val="0"/>
              <w:autoSpaceDN w:val="0"/>
              <w:adjustRightInd w:val="0"/>
              <w:spacing w:line="360" w:lineRule="auto"/>
              <w:rPr>
                <w:rFonts w:hint="eastAsia" w:ascii="宋体" w:hAnsi="宋体"/>
                <w:b/>
                <w:color w:val="000000"/>
              </w:rPr>
            </w:pPr>
            <w:r>
              <w:rPr>
                <w:rFonts w:hint="eastAsia" w:ascii="宋体" w:hAnsi="宋体"/>
                <w:b/>
                <w:color w:val="000000"/>
              </w:rPr>
              <w:t>（2）投标人若为残疾人福利性单位，须按规定提供《残疾人福利性单位声明函》，并对其真实性负责；</w:t>
            </w:r>
          </w:p>
          <w:p>
            <w:pPr>
              <w:autoSpaceDE w:val="0"/>
              <w:autoSpaceDN w:val="0"/>
              <w:adjustRightInd w:val="0"/>
              <w:spacing w:line="360" w:lineRule="auto"/>
              <w:rPr>
                <w:rFonts w:hint="eastAsia" w:ascii="宋体" w:hAnsi="宋体"/>
                <w:b/>
                <w:color w:val="000000"/>
              </w:rPr>
            </w:pPr>
            <w:r>
              <w:rPr>
                <w:rFonts w:hint="eastAsia" w:ascii="宋体" w:hAnsi="宋体"/>
                <w:b/>
                <w:color w:val="000000"/>
              </w:rPr>
              <w:t>（3）投标人若为监狱企业，须提供由省级以上监狱管理局、戒毒管理局（含新疆生产建设兵团）出具的属于监狱企业的证明文件，并对其真实性负责；</w:t>
            </w:r>
          </w:p>
          <w:p>
            <w:pPr>
              <w:autoSpaceDE w:val="0"/>
              <w:autoSpaceDN w:val="0"/>
              <w:adjustRightInd w:val="0"/>
              <w:spacing w:line="360" w:lineRule="auto"/>
              <w:rPr>
                <w:rFonts w:hint="eastAsia" w:ascii="宋体" w:hAnsi="宋体"/>
                <w:b/>
                <w:color w:val="000000"/>
              </w:rPr>
            </w:pPr>
            <w:r>
              <w:rPr>
                <w:rFonts w:hint="eastAsia" w:ascii="宋体" w:hAnsi="宋体"/>
                <w:b/>
                <w:color w:val="000000"/>
              </w:rPr>
              <w:t>（4）投标人为小型或微型企业的，同时又为残疾人福利性单位或监狱企业的，不重复享受政策。</w:t>
            </w:r>
          </w:p>
          <w:p>
            <w:pPr>
              <w:autoSpaceDE w:val="0"/>
              <w:autoSpaceDN w:val="0"/>
              <w:adjustRightInd w:val="0"/>
              <w:spacing w:line="360" w:lineRule="auto"/>
              <w:rPr>
                <w:rFonts w:hint="eastAsia" w:ascii="宋体" w:hAnsi="宋体" w:cs="黑体"/>
                <w:b/>
                <w:bCs/>
                <w:color w:val="auto"/>
                <w:kern w:val="0"/>
                <w:sz w:val="24"/>
              </w:rPr>
            </w:pPr>
            <w:r>
              <w:rPr>
                <w:rFonts w:hint="eastAsia" w:ascii="宋体" w:hAnsi="宋体"/>
                <w:b/>
                <w:color w:val="000000"/>
              </w:rPr>
              <w:t>残疾人福利性单位视同小型、微型企业，享受预留份额、评审中价格扣除等政府采购政策。根据上述要求计算得出的价格仅限于评标时使用，对成交价格没有任何影响。投标人若不符合上述规定的或不能提供有效的证明资料，评标委员会将按照评标方法及标准中规定的方式计算。同一投标人，中小微企业产品、监狱企业产品、残疾人福利性单位价格扣除优惠只享受一次，不得重复享受。</w:t>
            </w:r>
          </w:p>
        </w:tc>
      </w:tr>
    </w:tbl>
    <w:p>
      <w:pPr>
        <w:pStyle w:val="56"/>
        <w:rPr>
          <w:color w:val="auto"/>
        </w:rPr>
        <w:sectPr>
          <w:headerReference r:id="rId4" w:type="default"/>
          <w:footerReference r:id="rId5" w:type="default"/>
          <w:pgSz w:w="11906" w:h="16838"/>
          <w:pgMar w:top="1440" w:right="1416" w:bottom="1440" w:left="1803" w:header="851" w:footer="992" w:gutter="0"/>
          <w:cols w:space="720" w:num="1"/>
          <w:titlePg/>
          <w:docGrid w:type="lines" w:linePitch="312" w:charSpace="0"/>
        </w:sectPr>
      </w:pPr>
    </w:p>
    <w:p>
      <w:pPr>
        <w:pStyle w:val="56"/>
        <w:jc w:val="center"/>
        <w:rPr>
          <w:rFonts w:ascii="宋体" w:hAnsi="宋体" w:eastAsia="宋体"/>
          <w:b/>
          <w:color w:val="auto"/>
        </w:rPr>
      </w:pPr>
      <w:bookmarkStart w:id="53" w:name="_Toc116314080"/>
      <w:bookmarkStart w:id="54" w:name="_Toc27504"/>
      <w:bookmarkStart w:id="55" w:name="_Toc489430467"/>
      <w:bookmarkStart w:id="56" w:name="_Toc489430827"/>
      <w:r>
        <w:rPr>
          <w:rFonts w:hint="eastAsia" w:ascii="宋体" w:hAnsi="宋体" w:eastAsia="宋体"/>
          <w:b/>
          <w:color w:val="auto"/>
        </w:rPr>
        <w:t>投标人须知正文</w:t>
      </w:r>
      <w:bookmarkEnd w:id="53"/>
    </w:p>
    <w:p>
      <w:pPr>
        <w:pStyle w:val="56"/>
        <w:rPr>
          <w:rFonts w:ascii="宋体" w:hAnsi="宋体" w:eastAsia="宋体"/>
          <w:b/>
          <w:color w:val="auto"/>
        </w:rPr>
      </w:pPr>
      <w:bookmarkStart w:id="57" w:name="_Toc116314081"/>
      <w:r>
        <w:rPr>
          <w:rFonts w:hint="eastAsia" w:ascii="宋体" w:hAnsi="宋体" w:eastAsia="宋体"/>
          <w:b/>
          <w:color w:val="auto"/>
        </w:rPr>
        <w:t>1. 总则</w:t>
      </w:r>
      <w:bookmarkEnd w:id="50"/>
      <w:bookmarkEnd w:id="51"/>
      <w:bookmarkEnd w:id="52"/>
      <w:bookmarkEnd w:id="54"/>
      <w:bookmarkEnd w:id="55"/>
      <w:bookmarkEnd w:id="56"/>
      <w:bookmarkEnd w:id="57"/>
    </w:p>
    <w:p>
      <w:pPr>
        <w:pStyle w:val="57"/>
        <w:spacing w:line="360" w:lineRule="auto"/>
        <w:rPr>
          <w:rFonts w:ascii="宋体" w:hAnsi="宋体" w:eastAsia="宋体"/>
          <w:b/>
          <w:color w:val="auto"/>
        </w:rPr>
      </w:pPr>
      <w:bookmarkStart w:id="58" w:name="_Toc427580045"/>
      <w:bookmarkStart w:id="59" w:name="_Toc489430828"/>
      <w:bookmarkStart w:id="60" w:name="_Toc116314082"/>
      <w:bookmarkStart w:id="61" w:name="_Toc407219588"/>
      <w:bookmarkStart w:id="62" w:name="_Toc489430468"/>
      <w:bookmarkStart w:id="63" w:name="_Toc144974498"/>
      <w:bookmarkStart w:id="64" w:name="_Toc259605228"/>
      <w:bookmarkStart w:id="65" w:name="_Toc152045530"/>
      <w:bookmarkStart w:id="66" w:name="_Toc152042306"/>
      <w:bookmarkStart w:id="67" w:name="_Toc427583658"/>
      <w:bookmarkStart w:id="68" w:name="_Toc12270"/>
      <w:r>
        <w:rPr>
          <w:rFonts w:hint="eastAsia" w:ascii="宋体" w:hAnsi="宋体" w:eastAsia="宋体"/>
          <w:b/>
          <w:color w:val="auto"/>
        </w:rPr>
        <w:t>1.1 项目概况</w:t>
      </w:r>
      <w:bookmarkEnd w:id="58"/>
      <w:bookmarkEnd w:id="59"/>
      <w:bookmarkEnd w:id="60"/>
      <w:bookmarkEnd w:id="61"/>
      <w:bookmarkEnd w:id="62"/>
      <w:bookmarkEnd w:id="63"/>
      <w:bookmarkEnd w:id="64"/>
      <w:bookmarkEnd w:id="65"/>
      <w:bookmarkEnd w:id="66"/>
      <w:bookmarkEnd w:id="67"/>
      <w:bookmarkEnd w:id="68"/>
    </w:p>
    <w:p>
      <w:pPr>
        <w:spacing w:line="360" w:lineRule="auto"/>
        <w:ind w:firstLine="480" w:firstLineChars="200"/>
        <w:rPr>
          <w:rFonts w:ascii="宋体" w:hAnsi="宋体"/>
          <w:color w:val="auto"/>
          <w:sz w:val="24"/>
        </w:rPr>
      </w:pPr>
      <w:r>
        <w:rPr>
          <w:rFonts w:hint="eastAsia" w:ascii="宋体" w:hAnsi="宋体"/>
          <w:color w:val="auto"/>
          <w:sz w:val="24"/>
        </w:rPr>
        <w:t>1.1.1根据《中华人民共和国招标投标法》等有关法律、法规和规章的规定，本招标项目已具备招标条件，现对本招标项目进行招标。</w:t>
      </w:r>
    </w:p>
    <w:p>
      <w:pPr>
        <w:spacing w:line="360" w:lineRule="auto"/>
        <w:ind w:firstLine="480" w:firstLineChars="200"/>
        <w:rPr>
          <w:rFonts w:ascii="宋体" w:hAnsi="宋体"/>
          <w:color w:val="auto"/>
          <w:sz w:val="24"/>
        </w:rPr>
      </w:pPr>
      <w:r>
        <w:rPr>
          <w:rFonts w:hint="eastAsia" w:ascii="宋体" w:hAnsi="宋体"/>
          <w:color w:val="auto"/>
          <w:sz w:val="24"/>
        </w:rPr>
        <w:t>1.1.2 本招标项目招标人：见投标人须知前附表。</w:t>
      </w:r>
    </w:p>
    <w:p>
      <w:pPr>
        <w:spacing w:line="360" w:lineRule="auto"/>
        <w:ind w:firstLine="480" w:firstLineChars="200"/>
        <w:rPr>
          <w:rFonts w:ascii="宋体" w:hAnsi="宋体"/>
          <w:color w:val="auto"/>
          <w:sz w:val="24"/>
        </w:rPr>
      </w:pPr>
      <w:r>
        <w:rPr>
          <w:rFonts w:hint="eastAsia" w:ascii="宋体" w:hAnsi="宋体"/>
          <w:color w:val="auto"/>
          <w:sz w:val="24"/>
        </w:rPr>
        <w:t>1.1.3 本招标项目招标代理机构：见投标人须知前附表。</w:t>
      </w:r>
    </w:p>
    <w:p>
      <w:pPr>
        <w:spacing w:line="360" w:lineRule="auto"/>
        <w:ind w:firstLine="480" w:firstLineChars="200"/>
        <w:rPr>
          <w:rFonts w:ascii="宋体" w:hAnsi="宋体"/>
          <w:color w:val="auto"/>
          <w:sz w:val="24"/>
        </w:rPr>
      </w:pPr>
      <w:r>
        <w:rPr>
          <w:rFonts w:hint="eastAsia" w:ascii="宋体" w:hAnsi="宋体"/>
          <w:color w:val="auto"/>
          <w:sz w:val="24"/>
        </w:rPr>
        <w:t>1.1.4 本招标项目名称：见投标人须知前附表。</w:t>
      </w:r>
    </w:p>
    <w:p>
      <w:pPr>
        <w:spacing w:line="360" w:lineRule="auto"/>
        <w:ind w:firstLine="480" w:firstLineChars="200"/>
        <w:rPr>
          <w:rFonts w:ascii="宋体" w:hAnsi="宋体"/>
          <w:color w:val="auto"/>
          <w:sz w:val="24"/>
        </w:rPr>
      </w:pPr>
      <w:r>
        <w:rPr>
          <w:rFonts w:hint="eastAsia" w:ascii="宋体" w:hAnsi="宋体"/>
          <w:color w:val="auto"/>
          <w:sz w:val="24"/>
        </w:rPr>
        <w:t>1.1.5 本招标项目建设地点：见投标人须知前附表。</w:t>
      </w:r>
    </w:p>
    <w:p>
      <w:pPr>
        <w:pStyle w:val="57"/>
        <w:spacing w:line="360" w:lineRule="auto"/>
        <w:rPr>
          <w:rFonts w:ascii="宋体" w:hAnsi="宋体" w:eastAsia="宋体"/>
          <w:b/>
          <w:color w:val="auto"/>
          <w:szCs w:val="24"/>
        </w:rPr>
      </w:pPr>
      <w:bookmarkStart w:id="69" w:name="_Toc152042307"/>
      <w:bookmarkStart w:id="70" w:name="_Toc427583659"/>
      <w:bookmarkStart w:id="71" w:name="_Toc489430829"/>
      <w:bookmarkStart w:id="72" w:name="_Toc152045531"/>
      <w:bookmarkStart w:id="73" w:name="_Toc4964"/>
      <w:bookmarkStart w:id="74" w:name="_Toc489430469"/>
      <w:bookmarkStart w:id="75" w:name="_Toc427580046"/>
      <w:bookmarkStart w:id="76" w:name="_Toc144974499"/>
      <w:bookmarkStart w:id="77" w:name="_Toc116314083"/>
      <w:bookmarkStart w:id="78" w:name="_Toc259605229"/>
      <w:bookmarkStart w:id="79" w:name="_Toc407219589"/>
      <w:r>
        <w:rPr>
          <w:rFonts w:hint="eastAsia" w:ascii="宋体" w:hAnsi="宋体" w:eastAsia="宋体"/>
          <w:b/>
          <w:color w:val="auto"/>
          <w:szCs w:val="24"/>
        </w:rPr>
        <w:t>1.2 资金来源和落实情况</w:t>
      </w:r>
      <w:bookmarkEnd w:id="69"/>
      <w:bookmarkEnd w:id="70"/>
      <w:bookmarkEnd w:id="71"/>
      <w:bookmarkEnd w:id="72"/>
      <w:bookmarkEnd w:id="73"/>
      <w:bookmarkEnd w:id="74"/>
      <w:bookmarkEnd w:id="75"/>
      <w:bookmarkEnd w:id="76"/>
      <w:bookmarkEnd w:id="77"/>
      <w:bookmarkEnd w:id="78"/>
      <w:bookmarkEnd w:id="79"/>
    </w:p>
    <w:p>
      <w:pPr>
        <w:spacing w:line="360" w:lineRule="auto"/>
        <w:ind w:firstLine="480" w:firstLineChars="200"/>
        <w:rPr>
          <w:rFonts w:ascii="宋体" w:hAnsi="宋体"/>
          <w:color w:val="auto"/>
          <w:sz w:val="24"/>
        </w:rPr>
      </w:pPr>
      <w:r>
        <w:rPr>
          <w:rFonts w:hint="eastAsia" w:ascii="宋体" w:hAnsi="宋体"/>
          <w:color w:val="auto"/>
          <w:sz w:val="24"/>
        </w:rPr>
        <w:t>1.2.1 本招标项目的资金来源：见投标人须知前附表。</w:t>
      </w:r>
    </w:p>
    <w:p>
      <w:pPr>
        <w:spacing w:line="360" w:lineRule="auto"/>
        <w:ind w:firstLine="480" w:firstLineChars="200"/>
        <w:rPr>
          <w:rFonts w:ascii="宋体" w:hAnsi="宋体"/>
          <w:color w:val="auto"/>
          <w:sz w:val="24"/>
        </w:rPr>
      </w:pPr>
      <w:r>
        <w:rPr>
          <w:rFonts w:hint="eastAsia" w:ascii="宋体" w:hAnsi="宋体"/>
          <w:color w:val="auto"/>
          <w:sz w:val="24"/>
        </w:rPr>
        <w:t>1.2.2 本招标项目的资金落实情况：见投标人须知前附表。</w:t>
      </w:r>
    </w:p>
    <w:p>
      <w:pPr>
        <w:pStyle w:val="57"/>
        <w:spacing w:line="360" w:lineRule="auto"/>
        <w:rPr>
          <w:rFonts w:ascii="宋体" w:hAnsi="宋体" w:eastAsia="宋体"/>
          <w:b/>
          <w:color w:val="auto"/>
          <w:szCs w:val="24"/>
        </w:rPr>
      </w:pPr>
      <w:bookmarkStart w:id="80" w:name="_Toc259605230"/>
      <w:bookmarkStart w:id="81" w:name="_Toc144974500"/>
      <w:bookmarkStart w:id="82" w:name="_Toc152045532"/>
      <w:bookmarkStart w:id="83" w:name="_Toc152042308"/>
      <w:bookmarkStart w:id="84" w:name="_Toc427583660"/>
      <w:bookmarkStart w:id="85" w:name="_Toc21729"/>
      <w:bookmarkStart w:id="86" w:name="_Toc427580047"/>
      <w:bookmarkStart w:id="87" w:name="_Toc489430470"/>
      <w:bookmarkStart w:id="88" w:name="_Toc407219590"/>
      <w:bookmarkStart w:id="89" w:name="_Toc489430830"/>
      <w:bookmarkStart w:id="90" w:name="_Toc116314084"/>
      <w:r>
        <w:rPr>
          <w:rFonts w:hint="eastAsia" w:ascii="宋体" w:hAnsi="宋体" w:eastAsia="宋体"/>
          <w:b/>
          <w:color w:val="auto"/>
          <w:szCs w:val="24"/>
        </w:rPr>
        <w:t>1.3 招标范围</w:t>
      </w:r>
      <w:bookmarkEnd w:id="80"/>
      <w:bookmarkEnd w:id="81"/>
      <w:bookmarkEnd w:id="82"/>
      <w:bookmarkEnd w:id="83"/>
      <w:r>
        <w:rPr>
          <w:rFonts w:hint="eastAsia" w:ascii="宋体" w:hAnsi="宋体" w:eastAsia="宋体"/>
          <w:b/>
          <w:color w:val="auto"/>
          <w:szCs w:val="24"/>
        </w:rPr>
        <w:t>、监理服务期限和</w:t>
      </w:r>
      <w:bookmarkEnd w:id="84"/>
      <w:bookmarkEnd w:id="85"/>
      <w:bookmarkEnd w:id="86"/>
      <w:bookmarkEnd w:id="87"/>
      <w:bookmarkEnd w:id="88"/>
      <w:bookmarkEnd w:id="89"/>
      <w:r>
        <w:rPr>
          <w:rFonts w:hint="eastAsia" w:ascii="宋体" w:hAnsi="宋体" w:eastAsia="宋体"/>
          <w:b/>
          <w:color w:val="auto"/>
          <w:szCs w:val="24"/>
        </w:rPr>
        <w:t>质量</w:t>
      </w:r>
      <w:bookmarkEnd w:id="90"/>
    </w:p>
    <w:p>
      <w:pPr>
        <w:spacing w:line="360" w:lineRule="auto"/>
        <w:ind w:firstLine="480" w:firstLineChars="200"/>
        <w:rPr>
          <w:rFonts w:ascii="宋体" w:hAnsi="宋体"/>
          <w:color w:val="auto"/>
          <w:sz w:val="24"/>
        </w:rPr>
      </w:pPr>
      <w:r>
        <w:rPr>
          <w:rFonts w:hint="eastAsia" w:ascii="宋体" w:hAnsi="宋体"/>
          <w:color w:val="auto"/>
          <w:sz w:val="24"/>
        </w:rPr>
        <w:t>1.3.1 本工程监理招标范围：见投标人须知前附表。</w:t>
      </w:r>
    </w:p>
    <w:p>
      <w:pPr>
        <w:pStyle w:val="69"/>
        <w:numPr>
          <w:ilvl w:val="2"/>
          <w:numId w:val="2"/>
        </w:numPr>
        <w:spacing w:line="360" w:lineRule="auto"/>
        <w:ind w:firstLineChars="0"/>
        <w:rPr>
          <w:rFonts w:ascii="宋体" w:hAnsi="宋体"/>
          <w:color w:val="auto"/>
          <w:sz w:val="24"/>
        </w:rPr>
      </w:pPr>
      <w:r>
        <w:rPr>
          <w:rFonts w:hint="eastAsia" w:ascii="宋体" w:hAnsi="宋体"/>
          <w:color w:val="auto"/>
          <w:sz w:val="24"/>
        </w:rPr>
        <w:t>本项目的监理期限：见投标人须知前附表。</w:t>
      </w:r>
    </w:p>
    <w:p>
      <w:pPr>
        <w:spacing w:line="360" w:lineRule="auto"/>
        <w:ind w:firstLine="480" w:firstLineChars="200"/>
        <w:rPr>
          <w:rFonts w:ascii="宋体" w:hAnsi="宋体" w:cs="宋体"/>
          <w:color w:val="auto"/>
          <w:sz w:val="24"/>
        </w:rPr>
      </w:pPr>
      <w:r>
        <w:rPr>
          <w:rFonts w:hint="eastAsia" w:ascii="宋体" w:hAnsi="宋体" w:cs="宋体"/>
          <w:color w:val="auto"/>
          <w:sz w:val="24"/>
        </w:rPr>
        <w:t>1.3.3 本项目的质量：见投标人须知前附表。</w:t>
      </w:r>
    </w:p>
    <w:p>
      <w:pPr>
        <w:pStyle w:val="57"/>
        <w:spacing w:line="360" w:lineRule="auto"/>
        <w:rPr>
          <w:rFonts w:ascii="宋体" w:hAnsi="宋体" w:eastAsia="宋体"/>
          <w:b/>
          <w:color w:val="auto"/>
          <w:szCs w:val="24"/>
        </w:rPr>
      </w:pPr>
      <w:bookmarkStart w:id="91" w:name="_Toc144974502"/>
      <w:bookmarkStart w:id="92" w:name="_Toc116314085"/>
      <w:bookmarkStart w:id="93" w:name="_Toc152045534"/>
      <w:bookmarkStart w:id="94" w:name="_Toc427583661"/>
      <w:bookmarkStart w:id="95" w:name="_Toc4283"/>
      <w:bookmarkStart w:id="96" w:name="_Toc152042310"/>
      <w:bookmarkStart w:id="97" w:name="_Toc489430831"/>
      <w:bookmarkStart w:id="98" w:name="_Toc407219591"/>
      <w:bookmarkStart w:id="99" w:name="_Toc489430471"/>
      <w:bookmarkStart w:id="100" w:name="_Toc259605232"/>
      <w:bookmarkStart w:id="101" w:name="_Toc427580048"/>
      <w:r>
        <w:rPr>
          <w:rFonts w:hint="eastAsia" w:ascii="宋体" w:hAnsi="宋体" w:eastAsia="宋体"/>
          <w:b/>
          <w:color w:val="auto"/>
          <w:szCs w:val="24"/>
        </w:rPr>
        <w:t>1.4 投标人资格要求</w:t>
      </w:r>
      <w:bookmarkEnd w:id="91"/>
      <w:bookmarkEnd w:id="92"/>
      <w:bookmarkEnd w:id="93"/>
      <w:bookmarkEnd w:id="94"/>
      <w:bookmarkEnd w:id="95"/>
      <w:bookmarkEnd w:id="96"/>
      <w:bookmarkEnd w:id="97"/>
      <w:bookmarkEnd w:id="98"/>
      <w:bookmarkEnd w:id="99"/>
      <w:bookmarkEnd w:id="100"/>
      <w:bookmarkEnd w:id="101"/>
    </w:p>
    <w:p>
      <w:pPr>
        <w:spacing w:line="360" w:lineRule="auto"/>
        <w:ind w:firstLine="480" w:firstLineChars="200"/>
        <w:rPr>
          <w:rFonts w:ascii="宋体" w:hAnsi="宋体"/>
          <w:color w:val="auto"/>
          <w:sz w:val="24"/>
        </w:rPr>
      </w:pPr>
      <w:r>
        <w:rPr>
          <w:rFonts w:hint="eastAsia" w:ascii="宋体" w:hAnsi="宋体"/>
          <w:color w:val="auto"/>
          <w:sz w:val="24"/>
        </w:rPr>
        <w:t>1.4.1</w:t>
      </w:r>
      <w:r>
        <w:rPr>
          <w:rFonts w:hint="eastAsia" w:ascii="宋体" w:hAnsi="宋体"/>
          <w:bCs/>
          <w:color w:val="auto"/>
          <w:sz w:val="24"/>
        </w:rPr>
        <w:t>投标人应具备承担本招标项目的资质条件、能力和信誉：见投标人须知前附表。</w:t>
      </w:r>
    </w:p>
    <w:p>
      <w:pPr>
        <w:spacing w:line="360" w:lineRule="auto"/>
        <w:ind w:firstLine="480" w:firstLineChars="200"/>
        <w:rPr>
          <w:rFonts w:ascii="宋体" w:hAnsi="宋体"/>
          <w:color w:val="auto"/>
          <w:sz w:val="24"/>
        </w:rPr>
      </w:pPr>
      <w:r>
        <w:rPr>
          <w:rFonts w:hint="eastAsia" w:ascii="宋体" w:hAnsi="宋体"/>
          <w:color w:val="auto"/>
          <w:sz w:val="24"/>
        </w:rPr>
        <w:t>1.4.2 投标人须知前附表已明确规定不接受联合体投标。</w:t>
      </w:r>
    </w:p>
    <w:p>
      <w:pPr>
        <w:spacing w:line="360" w:lineRule="auto"/>
        <w:ind w:firstLine="480" w:firstLineChars="200"/>
        <w:rPr>
          <w:rFonts w:ascii="宋体" w:hAnsi="宋体"/>
          <w:color w:val="auto"/>
          <w:sz w:val="24"/>
        </w:rPr>
      </w:pPr>
      <w:r>
        <w:rPr>
          <w:rFonts w:hint="eastAsia" w:ascii="宋体" w:hAnsi="宋体"/>
          <w:color w:val="auto"/>
          <w:sz w:val="24"/>
        </w:rPr>
        <w:t>1.4.3 投标人不得存在下列情形之一：</w:t>
      </w:r>
    </w:p>
    <w:p>
      <w:pPr>
        <w:spacing w:line="360" w:lineRule="auto"/>
        <w:ind w:firstLine="480" w:firstLineChars="200"/>
        <w:rPr>
          <w:rFonts w:ascii="宋体" w:hAnsi="宋体"/>
          <w:color w:val="auto"/>
          <w:sz w:val="24"/>
        </w:rPr>
      </w:pPr>
      <w:r>
        <w:rPr>
          <w:rFonts w:hint="eastAsia" w:ascii="宋体" w:hAnsi="宋体"/>
          <w:color w:val="auto"/>
          <w:sz w:val="24"/>
        </w:rPr>
        <w:t>（1）为招标人不具有独立法人资格的附属机构（单位）；</w:t>
      </w:r>
    </w:p>
    <w:p>
      <w:pPr>
        <w:spacing w:line="360" w:lineRule="auto"/>
        <w:ind w:firstLine="480" w:firstLineChars="200"/>
        <w:rPr>
          <w:rFonts w:ascii="宋体" w:hAnsi="宋体"/>
          <w:color w:val="auto"/>
          <w:sz w:val="24"/>
        </w:rPr>
      </w:pPr>
      <w:r>
        <w:rPr>
          <w:rFonts w:hint="eastAsia" w:ascii="宋体" w:hAnsi="宋体"/>
          <w:color w:val="auto"/>
          <w:sz w:val="24"/>
        </w:rPr>
        <w:t>（2）为本工程前期准备提供设计或咨询服务的；</w:t>
      </w:r>
    </w:p>
    <w:p>
      <w:pPr>
        <w:spacing w:line="360" w:lineRule="auto"/>
        <w:ind w:firstLine="480" w:firstLineChars="200"/>
        <w:rPr>
          <w:rFonts w:ascii="宋体" w:hAnsi="宋体"/>
          <w:color w:val="auto"/>
          <w:sz w:val="24"/>
        </w:rPr>
      </w:pPr>
      <w:r>
        <w:rPr>
          <w:rFonts w:hint="eastAsia" w:ascii="宋体" w:hAnsi="宋体"/>
          <w:color w:val="auto"/>
          <w:sz w:val="24"/>
        </w:rPr>
        <w:t>（3）为本工程的代建人；</w:t>
      </w:r>
    </w:p>
    <w:p>
      <w:pPr>
        <w:spacing w:line="360" w:lineRule="auto"/>
        <w:ind w:firstLine="480" w:firstLineChars="200"/>
        <w:rPr>
          <w:rFonts w:ascii="宋体" w:hAnsi="宋体"/>
          <w:color w:val="auto"/>
          <w:sz w:val="24"/>
        </w:rPr>
      </w:pPr>
      <w:r>
        <w:rPr>
          <w:rFonts w:hint="eastAsia" w:ascii="宋体" w:hAnsi="宋体"/>
          <w:color w:val="auto"/>
          <w:sz w:val="24"/>
        </w:rPr>
        <w:t>（4）为本工程提供招标代理服务的；</w:t>
      </w:r>
    </w:p>
    <w:p>
      <w:pPr>
        <w:spacing w:line="360" w:lineRule="auto"/>
        <w:ind w:firstLine="480" w:firstLineChars="200"/>
        <w:rPr>
          <w:rFonts w:ascii="宋体" w:hAnsi="宋体"/>
          <w:color w:val="auto"/>
          <w:sz w:val="24"/>
        </w:rPr>
      </w:pPr>
      <w:r>
        <w:rPr>
          <w:rFonts w:hint="eastAsia" w:ascii="宋体" w:hAnsi="宋体"/>
          <w:color w:val="auto"/>
          <w:sz w:val="24"/>
        </w:rPr>
        <w:t>（5）与本工程的代建人或招标代理机构同为一个法定代表人的；</w:t>
      </w:r>
    </w:p>
    <w:p>
      <w:pPr>
        <w:spacing w:line="360" w:lineRule="auto"/>
        <w:ind w:firstLine="480" w:firstLineChars="200"/>
        <w:rPr>
          <w:rFonts w:ascii="宋体" w:hAnsi="宋体"/>
          <w:color w:val="auto"/>
          <w:sz w:val="24"/>
        </w:rPr>
      </w:pPr>
      <w:r>
        <w:rPr>
          <w:rFonts w:hint="eastAsia" w:ascii="宋体" w:hAnsi="宋体"/>
          <w:color w:val="auto"/>
          <w:sz w:val="24"/>
        </w:rPr>
        <w:t>（6）与本工程的代建人或招标代理机构相互控股或参股的；</w:t>
      </w:r>
    </w:p>
    <w:p>
      <w:pPr>
        <w:spacing w:line="360" w:lineRule="auto"/>
        <w:ind w:firstLine="480" w:firstLineChars="200"/>
        <w:rPr>
          <w:rFonts w:ascii="宋体" w:hAnsi="宋体"/>
          <w:color w:val="auto"/>
          <w:sz w:val="24"/>
        </w:rPr>
      </w:pPr>
      <w:r>
        <w:rPr>
          <w:rFonts w:hint="eastAsia" w:ascii="宋体" w:hAnsi="宋体"/>
          <w:color w:val="auto"/>
          <w:sz w:val="24"/>
        </w:rPr>
        <w:t>（7）与本工程的施工单位或代建人或招标代理机构相互任职或工作的；</w:t>
      </w:r>
    </w:p>
    <w:p>
      <w:pPr>
        <w:spacing w:line="360" w:lineRule="auto"/>
        <w:ind w:firstLine="480" w:firstLineChars="200"/>
        <w:rPr>
          <w:rFonts w:ascii="宋体" w:hAnsi="宋体"/>
          <w:color w:val="auto"/>
          <w:sz w:val="24"/>
        </w:rPr>
      </w:pPr>
      <w:r>
        <w:rPr>
          <w:rFonts w:hint="eastAsia" w:ascii="宋体" w:hAnsi="宋体"/>
          <w:color w:val="auto"/>
          <w:sz w:val="24"/>
        </w:rPr>
        <w:t>（8）被责令停业的；</w:t>
      </w:r>
    </w:p>
    <w:p>
      <w:pPr>
        <w:spacing w:line="360" w:lineRule="auto"/>
        <w:ind w:firstLine="480" w:firstLineChars="200"/>
        <w:rPr>
          <w:rFonts w:ascii="宋体" w:hAnsi="宋体"/>
          <w:color w:val="auto"/>
          <w:sz w:val="24"/>
        </w:rPr>
      </w:pPr>
      <w:r>
        <w:rPr>
          <w:rFonts w:hint="eastAsia" w:ascii="宋体" w:hAnsi="宋体"/>
          <w:color w:val="auto"/>
          <w:sz w:val="24"/>
        </w:rPr>
        <w:t>（9）被暂停或取消投标资格的；</w:t>
      </w:r>
    </w:p>
    <w:p>
      <w:pPr>
        <w:spacing w:line="360" w:lineRule="auto"/>
        <w:ind w:firstLine="480" w:firstLineChars="200"/>
        <w:rPr>
          <w:rFonts w:ascii="宋体" w:hAnsi="宋体"/>
          <w:color w:val="auto"/>
          <w:sz w:val="24"/>
        </w:rPr>
      </w:pPr>
      <w:r>
        <w:rPr>
          <w:rFonts w:hint="eastAsia" w:ascii="宋体" w:hAnsi="宋体"/>
          <w:color w:val="auto"/>
          <w:sz w:val="24"/>
        </w:rPr>
        <w:t>（10）财产被接管或冻结的；</w:t>
      </w:r>
    </w:p>
    <w:p>
      <w:pPr>
        <w:spacing w:line="360" w:lineRule="auto"/>
        <w:ind w:firstLine="480" w:firstLineChars="200"/>
        <w:rPr>
          <w:rFonts w:ascii="宋体" w:hAnsi="宋体"/>
          <w:color w:val="auto"/>
          <w:sz w:val="24"/>
        </w:rPr>
      </w:pPr>
      <w:r>
        <w:rPr>
          <w:rFonts w:hint="eastAsia" w:ascii="宋体" w:hAnsi="宋体"/>
          <w:color w:val="auto"/>
          <w:sz w:val="24"/>
        </w:rPr>
        <w:t>（11）在最近三年内有骗取中标或严重违约或重大工程质量问题的。</w:t>
      </w:r>
    </w:p>
    <w:p>
      <w:pPr>
        <w:spacing w:line="360" w:lineRule="auto"/>
        <w:ind w:firstLine="480" w:firstLineChars="200"/>
        <w:rPr>
          <w:rFonts w:ascii="宋体" w:hAnsi="宋体"/>
          <w:color w:val="auto"/>
          <w:sz w:val="24"/>
        </w:rPr>
      </w:pPr>
      <w:r>
        <w:rPr>
          <w:rFonts w:hint="eastAsia" w:ascii="宋体" w:hAnsi="宋体"/>
          <w:color w:val="auto"/>
          <w:sz w:val="24"/>
        </w:rPr>
        <w:t>1.4.4单位负责人（或法定代表人）为同一人或者存在控股、管理关系的不同单位，不得同时参加同一标段投标或者未划分标段的同一招标项目投标。若出现上述情况，以先报名登记者为有效投标人。</w:t>
      </w:r>
    </w:p>
    <w:p>
      <w:pPr>
        <w:pStyle w:val="57"/>
        <w:spacing w:line="360" w:lineRule="auto"/>
        <w:rPr>
          <w:rFonts w:ascii="宋体" w:hAnsi="宋体" w:eastAsia="宋体"/>
          <w:b/>
          <w:color w:val="auto"/>
          <w:szCs w:val="24"/>
        </w:rPr>
      </w:pPr>
      <w:bookmarkStart w:id="102" w:name="_Toc144974503"/>
      <w:bookmarkStart w:id="103" w:name="_Toc20590"/>
      <w:bookmarkStart w:id="104" w:name="_Toc259605233"/>
      <w:bookmarkStart w:id="105" w:name="_Toc407219592"/>
      <w:bookmarkStart w:id="106" w:name="_Toc427583662"/>
      <w:bookmarkStart w:id="107" w:name="_Toc116314086"/>
      <w:bookmarkStart w:id="108" w:name="_Toc152045535"/>
      <w:bookmarkStart w:id="109" w:name="_Toc489430832"/>
      <w:bookmarkStart w:id="110" w:name="_Toc489430472"/>
      <w:bookmarkStart w:id="111" w:name="_Toc427580049"/>
      <w:bookmarkStart w:id="112" w:name="_Toc152042311"/>
      <w:r>
        <w:rPr>
          <w:rFonts w:hint="eastAsia" w:ascii="宋体" w:hAnsi="宋体" w:eastAsia="宋体"/>
          <w:b/>
          <w:color w:val="auto"/>
          <w:szCs w:val="24"/>
        </w:rPr>
        <w:t>1.5 费用承担</w:t>
      </w:r>
      <w:bookmarkEnd w:id="102"/>
      <w:bookmarkEnd w:id="103"/>
      <w:bookmarkEnd w:id="104"/>
      <w:bookmarkEnd w:id="105"/>
      <w:bookmarkEnd w:id="106"/>
      <w:bookmarkEnd w:id="107"/>
      <w:bookmarkEnd w:id="108"/>
      <w:bookmarkEnd w:id="109"/>
      <w:bookmarkEnd w:id="110"/>
      <w:bookmarkEnd w:id="111"/>
      <w:bookmarkEnd w:id="112"/>
    </w:p>
    <w:p>
      <w:pPr>
        <w:spacing w:line="360" w:lineRule="auto"/>
        <w:ind w:firstLine="480" w:firstLineChars="200"/>
        <w:rPr>
          <w:rFonts w:ascii="宋体" w:hAnsi="宋体"/>
          <w:color w:val="auto"/>
          <w:sz w:val="24"/>
        </w:rPr>
      </w:pPr>
      <w:r>
        <w:rPr>
          <w:rFonts w:hint="eastAsia" w:ascii="宋体" w:hAnsi="宋体"/>
          <w:color w:val="auto"/>
          <w:sz w:val="24"/>
        </w:rPr>
        <w:t>1.5.1 投标人准备和参加投标活动发生的费用自理。</w:t>
      </w:r>
    </w:p>
    <w:p>
      <w:pPr>
        <w:spacing w:line="360" w:lineRule="auto"/>
        <w:ind w:firstLine="480" w:firstLineChars="200"/>
        <w:rPr>
          <w:rFonts w:ascii="宋体" w:hAnsi="宋体"/>
          <w:color w:val="auto"/>
          <w:sz w:val="24"/>
        </w:rPr>
      </w:pPr>
      <w:r>
        <w:rPr>
          <w:rFonts w:hint="eastAsia" w:ascii="宋体" w:hAnsi="宋体"/>
          <w:color w:val="auto"/>
          <w:sz w:val="24"/>
        </w:rPr>
        <w:t>1.5.2</w:t>
      </w:r>
      <w:bookmarkStart w:id="113" w:name="_Toc152045536"/>
      <w:bookmarkStart w:id="114" w:name="_Toc259605234"/>
      <w:bookmarkStart w:id="115" w:name="_Toc152042312"/>
      <w:bookmarkStart w:id="116" w:name="_Toc144974504"/>
      <w:r>
        <w:rPr>
          <w:rFonts w:hint="eastAsia" w:ascii="宋体" w:hAnsi="宋体"/>
          <w:color w:val="auto"/>
          <w:sz w:val="24"/>
        </w:rPr>
        <w:t>本次招标由中标人承担招标代理服务费用。</w:t>
      </w:r>
      <w:bookmarkStart w:id="117" w:name="_Toc407219593"/>
    </w:p>
    <w:p>
      <w:pPr>
        <w:spacing w:line="360" w:lineRule="auto"/>
        <w:rPr>
          <w:rFonts w:ascii="宋体" w:hAnsi="宋体"/>
          <w:b/>
          <w:color w:val="auto"/>
          <w:sz w:val="24"/>
        </w:rPr>
      </w:pPr>
      <w:r>
        <w:rPr>
          <w:rFonts w:hint="eastAsia" w:ascii="宋体" w:hAnsi="宋体"/>
          <w:b/>
          <w:color w:val="auto"/>
          <w:sz w:val="24"/>
        </w:rPr>
        <w:t>1.6 保密</w:t>
      </w:r>
      <w:bookmarkEnd w:id="113"/>
      <w:bookmarkEnd w:id="114"/>
      <w:bookmarkEnd w:id="115"/>
      <w:bookmarkEnd w:id="116"/>
      <w:bookmarkEnd w:id="117"/>
    </w:p>
    <w:p>
      <w:pPr>
        <w:spacing w:line="360" w:lineRule="auto"/>
        <w:ind w:firstLine="480" w:firstLineChars="200"/>
        <w:rPr>
          <w:rFonts w:ascii="宋体" w:hAnsi="宋体"/>
          <w:color w:val="auto"/>
          <w:sz w:val="24"/>
        </w:rPr>
      </w:pPr>
      <w:r>
        <w:rPr>
          <w:rFonts w:hint="eastAsia" w:ascii="宋体" w:hAnsi="宋体"/>
          <w:color w:val="auto"/>
          <w:sz w:val="24"/>
        </w:rPr>
        <w:t>参与招标投标活动的各方应对招标文件和投标文件中的商业和技术等秘密保密，违者应对由此造成的后果承担法律责任。</w:t>
      </w:r>
    </w:p>
    <w:p>
      <w:pPr>
        <w:pStyle w:val="57"/>
        <w:spacing w:line="360" w:lineRule="auto"/>
        <w:rPr>
          <w:rFonts w:ascii="宋体" w:hAnsi="宋体" w:eastAsia="宋体"/>
          <w:b/>
          <w:color w:val="auto"/>
          <w:szCs w:val="24"/>
        </w:rPr>
      </w:pPr>
      <w:bookmarkStart w:id="118" w:name="_Toc144974505"/>
      <w:bookmarkStart w:id="119" w:name="_Toc427580050"/>
      <w:bookmarkStart w:id="120" w:name="_Toc116314087"/>
      <w:bookmarkStart w:id="121" w:name="_Toc489430833"/>
      <w:bookmarkStart w:id="122" w:name="_Toc6910"/>
      <w:bookmarkStart w:id="123" w:name="_Toc407219594"/>
      <w:bookmarkStart w:id="124" w:name="_Toc427583663"/>
      <w:bookmarkStart w:id="125" w:name="_Toc259605235"/>
      <w:bookmarkStart w:id="126" w:name="_Toc152045537"/>
      <w:bookmarkStart w:id="127" w:name="_Toc152042313"/>
      <w:bookmarkStart w:id="128" w:name="_Toc489430473"/>
      <w:r>
        <w:rPr>
          <w:rFonts w:hint="eastAsia" w:ascii="宋体" w:hAnsi="宋体" w:eastAsia="宋体"/>
          <w:b/>
          <w:color w:val="auto"/>
          <w:szCs w:val="24"/>
        </w:rPr>
        <w:t>1.7 语言</w:t>
      </w:r>
      <w:bookmarkEnd w:id="118"/>
      <w:r>
        <w:rPr>
          <w:rFonts w:hint="eastAsia" w:ascii="宋体" w:hAnsi="宋体" w:eastAsia="宋体"/>
          <w:b/>
          <w:color w:val="auto"/>
          <w:szCs w:val="24"/>
        </w:rPr>
        <w:t>文字</w:t>
      </w:r>
      <w:bookmarkEnd w:id="119"/>
      <w:bookmarkEnd w:id="120"/>
      <w:bookmarkEnd w:id="121"/>
      <w:bookmarkEnd w:id="122"/>
      <w:bookmarkEnd w:id="123"/>
      <w:bookmarkEnd w:id="124"/>
      <w:bookmarkEnd w:id="125"/>
      <w:bookmarkEnd w:id="126"/>
      <w:bookmarkEnd w:id="127"/>
      <w:bookmarkEnd w:id="128"/>
    </w:p>
    <w:p>
      <w:pPr>
        <w:spacing w:line="360" w:lineRule="auto"/>
        <w:ind w:firstLine="480" w:firstLineChars="200"/>
        <w:rPr>
          <w:rFonts w:ascii="宋体" w:hAnsi="宋体"/>
          <w:color w:val="auto"/>
          <w:sz w:val="24"/>
        </w:rPr>
      </w:pPr>
      <w:r>
        <w:rPr>
          <w:rFonts w:hint="eastAsia" w:ascii="宋体" w:hAnsi="宋体"/>
          <w:color w:val="auto"/>
          <w:sz w:val="24"/>
        </w:rPr>
        <w:t>除专用术语外，与招标投标有关的语言均使用中文。必要时专用术语应附有中文注释。</w:t>
      </w:r>
    </w:p>
    <w:p>
      <w:pPr>
        <w:pStyle w:val="57"/>
        <w:spacing w:line="360" w:lineRule="auto"/>
        <w:rPr>
          <w:rFonts w:ascii="宋体" w:hAnsi="宋体" w:eastAsia="宋体"/>
          <w:b/>
          <w:color w:val="auto"/>
          <w:szCs w:val="24"/>
        </w:rPr>
      </w:pPr>
      <w:bookmarkStart w:id="129" w:name="_Toc152045538"/>
      <w:bookmarkStart w:id="130" w:name="_Toc13313"/>
      <w:bookmarkStart w:id="131" w:name="_Toc144974506"/>
      <w:bookmarkStart w:id="132" w:name="_Toc427580051"/>
      <w:bookmarkStart w:id="133" w:name="_Toc489430834"/>
      <w:bookmarkStart w:id="134" w:name="_Toc427583664"/>
      <w:bookmarkStart w:id="135" w:name="_Toc489430474"/>
      <w:bookmarkStart w:id="136" w:name="_Toc152042314"/>
      <w:bookmarkStart w:id="137" w:name="_Toc116314088"/>
      <w:bookmarkStart w:id="138" w:name="_Toc259605236"/>
      <w:bookmarkStart w:id="139" w:name="_Toc407219595"/>
      <w:r>
        <w:rPr>
          <w:rFonts w:hint="eastAsia" w:ascii="宋体" w:hAnsi="宋体" w:eastAsia="宋体"/>
          <w:b/>
          <w:color w:val="auto"/>
          <w:szCs w:val="24"/>
        </w:rPr>
        <w:t>1.8 计量单位</w:t>
      </w:r>
      <w:bookmarkEnd w:id="129"/>
      <w:bookmarkEnd w:id="130"/>
      <w:bookmarkEnd w:id="131"/>
      <w:bookmarkEnd w:id="132"/>
      <w:bookmarkEnd w:id="133"/>
      <w:bookmarkEnd w:id="134"/>
      <w:bookmarkEnd w:id="135"/>
      <w:bookmarkEnd w:id="136"/>
      <w:bookmarkEnd w:id="137"/>
      <w:bookmarkEnd w:id="138"/>
      <w:bookmarkEnd w:id="139"/>
    </w:p>
    <w:p>
      <w:pPr>
        <w:spacing w:line="360" w:lineRule="auto"/>
        <w:ind w:firstLine="480" w:firstLineChars="200"/>
        <w:rPr>
          <w:rFonts w:ascii="宋体" w:hAnsi="宋体"/>
          <w:color w:val="auto"/>
          <w:sz w:val="24"/>
        </w:rPr>
      </w:pPr>
      <w:r>
        <w:rPr>
          <w:rFonts w:hint="eastAsia" w:ascii="宋体" w:hAnsi="宋体"/>
          <w:color w:val="auto"/>
          <w:sz w:val="24"/>
        </w:rPr>
        <w:t>所有计量均采用中华人民共和国法定计量单位。</w:t>
      </w:r>
    </w:p>
    <w:p>
      <w:pPr>
        <w:pStyle w:val="57"/>
        <w:spacing w:line="360" w:lineRule="auto"/>
        <w:rPr>
          <w:rFonts w:ascii="宋体" w:hAnsi="宋体" w:eastAsia="宋体"/>
          <w:color w:val="auto"/>
          <w:szCs w:val="24"/>
        </w:rPr>
      </w:pPr>
      <w:bookmarkStart w:id="140" w:name="_Toc407219596"/>
      <w:bookmarkStart w:id="141" w:name="_Toc152042315"/>
      <w:bookmarkStart w:id="142" w:name="_Toc427583665"/>
      <w:bookmarkStart w:id="143" w:name="_Toc489430835"/>
      <w:bookmarkStart w:id="144" w:name="_Toc152045539"/>
      <w:bookmarkStart w:id="145" w:name="_Toc116314089"/>
      <w:bookmarkStart w:id="146" w:name="_Toc427580052"/>
      <w:bookmarkStart w:id="147" w:name="_Toc32209"/>
      <w:bookmarkStart w:id="148" w:name="_Toc489430475"/>
      <w:bookmarkStart w:id="149" w:name="_Toc259605237"/>
      <w:bookmarkStart w:id="150" w:name="_Toc144974507"/>
      <w:r>
        <w:rPr>
          <w:rFonts w:hint="eastAsia" w:ascii="宋体" w:hAnsi="宋体" w:eastAsia="宋体"/>
          <w:b/>
          <w:color w:val="auto"/>
          <w:szCs w:val="24"/>
        </w:rPr>
        <w:t>1.9 踏勘现场</w:t>
      </w:r>
      <w:bookmarkEnd w:id="140"/>
      <w:bookmarkEnd w:id="141"/>
      <w:bookmarkEnd w:id="142"/>
      <w:bookmarkEnd w:id="143"/>
      <w:bookmarkEnd w:id="144"/>
      <w:bookmarkEnd w:id="145"/>
      <w:bookmarkEnd w:id="146"/>
      <w:bookmarkEnd w:id="147"/>
      <w:bookmarkEnd w:id="148"/>
      <w:bookmarkEnd w:id="149"/>
      <w:bookmarkEnd w:id="150"/>
    </w:p>
    <w:p>
      <w:pPr>
        <w:pStyle w:val="57"/>
        <w:spacing w:line="360" w:lineRule="auto"/>
        <w:ind w:firstLine="480" w:firstLineChars="200"/>
        <w:rPr>
          <w:rFonts w:ascii="宋体" w:hAnsi="宋体" w:eastAsia="宋体"/>
          <w:bCs/>
          <w:color w:val="auto"/>
          <w:szCs w:val="24"/>
        </w:rPr>
      </w:pPr>
      <w:bookmarkStart w:id="151" w:name="_Toc116314090"/>
      <w:bookmarkStart w:id="152" w:name="_Toc489430476"/>
      <w:bookmarkStart w:id="153" w:name="_Toc9483"/>
      <w:bookmarkStart w:id="154" w:name="_Toc259605238"/>
      <w:bookmarkStart w:id="155" w:name="_Toc427583666"/>
      <w:bookmarkStart w:id="156" w:name="_Toc489430836"/>
      <w:bookmarkStart w:id="157" w:name="_Toc407219597"/>
      <w:bookmarkStart w:id="158" w:name="_Toc152045540"/>
      <w:bookmarkStart w:id="159" w:name="_Toc144974508"/>
      <w:bookmarkStart w:id="160" w:name="_Toc427580053"/>
      <w:bookmarkStart w:id="161" w:name="_Toc152042316"/>
      <w:r>
        <w:rPr>
          <w:rFonts w:hint="eastAsia" w:ascii="宋体" w:hAnsi="宋体" w:eastAsia="宋体"/>
          <w:bCs/>
          <w:color w:val="auto"/>
          <w:szCs w:val="24"/>
        </w:rPr>
        <w:t>不组织踏勘现场；</w:t>
      </w:r>
      <w:bookmarkEnd w:id="151"/>
    </w:p>
    <w:p>
      <w:pPr>
        <w:pStyle w:val="57"/>
        <w:spacing w:line="360" w:lineRule="auto"/>
        <w:rPr>
          <w:rFonts w:ascii="宋体" w:hAnsi="宋体" w:eastAsia="宋体"/>
          <w:b/>
          <w:color w:val="auto"/>
          <w:szCs w:val="24"/>
        </w:rPr>
      </w:pPr>
      <w:bookmarkStart w:id="162" w:name="_Toc116314091"/>
      <w:r>
        <w:rPr>
          <w:rFonts w:hint="eastAsia" w:ascii="宋体" w:hAnsi="宋体" w:eastAsia="宋体"/>
          <w:b/>
          <w:color w:val="auto"/>
          <w:szCs w:val="24"/>
        </w:rPr>
        <w:t>1.10 投标预备会</w:t>
      </w:r>
      <w:bookmarkEnd w:id="152"/>
      <w:bookmarkEnd w:id="153"/>
      <w:bookmarkEnd w:id="154"/>
      <w:bookmarkEnd w:id="155"/>
      <w:bookmarkEnd w:id="156"/>
      <w:bookmarkEnd w:id="157"/>
      <w:bookmarkEnd w:id="158"/>
      <w:bookmarkEnd w:id="159"/>
      <w:bookmarkEnd w:id="160"/>
      <w:bookmarkEnd w:id="161"/>
      <w:bookmarkEnd w:id="162"/>
    </w:p>
    <w:p>
      <w:pPr>
        <w:spacing w:line="360" w:lineRule="auto"/>
        <w:ind w:firstLine="480" w:firstLineChars="200"/>
        <w:rPr>
          <w:rFonts w:ascii="宋体" w:hAnsi="宋体"/>
          <w:color w:val="auto"/>
          <w:sz w:val="24"/>
        </w:rPr>
      </w:pPr>
      <w:r>
        <w:rPr>
          <w:rFonts w:hint="eastAsia" w:ascii="宋体" w:hAnsi="宋体"/>
          <w:color w:val="auto"/>
          <w:sz w:val="24"/>
        </w:rPr>
        <w:t>1.10.1 投标人须知前附表已明确规定不召开投标预备会。</w:t>
      </w:r>
    </w:p>
    <w:p>
      <w:pPr>
        <w:spacing w:line="360" w:lineRule="auto"/>
        <w:ind w:firstLine="480" w:firstLineChars="200"/>
        <w:rPr>
          <w:rFonts w:ascii="宋体" w:hAnsi="宋体"/>
          <w:color w:val="auto"/>
          <w:sz w:val="24"/>
        </w:rPr>
      </w:pPr>
      <w:r>
        <w:rPr>
          <w:rFonts w:hint="eastAsia" w:ascii="宋体" w:hAnsi="宋体"/>
          <w:color w:val="auto"/>
          <w:sz w:val="24"/>
        </w:rPr>
        <w:t>1.10.2 投标人应在投标人须知前附表规定的时间前，以书面形式将提出的问题送达招标人，以便招标人澄清。</w:t>
      </w:r>
    </w:p>
    <w:p>
      <w:pPr>
        <w:spacing w:line="360" w:lineRule="auto"/>
        <w:ind w:firstLine="480" w:firstLineChars="200"/>
        <w:rPr>
          <w:rFonts w:ascii="宋体" w:hAnsi="宋体"/>
          <w:color w:val="auto"/>
          <w:sz w:val="24"/>
        </w:rPr>
      </w:pPr>
      <w:r>
        <w:rPr>
          <w:rFonts w:hint="eastAsia" w:ascii="宋体" w:hAnsi="宋体"/>
          <w:color w:val="auto"/>
          <w:sz w:val="24"/>
        </w:rPr>
        <w:t>1.10.3招标人在投标人须知前附表规定的时间内，将对投标人所提问题的澄清，以书面方式通知所有购买招标文件的投标人。该澄清内容为招标文件的组成部分。</w:t>
      </w:r>
    </w:p>
    <w:p>
      <w:pPr>
        <w:pStyle w:val="57"/>
        <w:spacing w:line="360" w:lineRule="auto"/>
        <w:rPr>
          <w:rFonts w:ascii="宋体" w:hAnsi="宋体" w:eastAsia="宋体"/>
          <w:b/>
          <w:color w:val="auto"/>
          <w:szCs w:val="24"/>
        </w:rPr>
      </w:pPr>
      <w:bookmarkStart w:id="163" w:name="_Toc116314092"/>
      <w:bookmarkStart w:id="164" w:name="_Toc427580054"/>
      <w:bookmarkStart w:id="165" w:name="_Toc407219598"/>
      <w:bookmarkStart w:id="166" w:name="_Toc489430477"/>
      <w:bookmarkStart w:id="167" w:name="_Toc427583667"/>
      <w:bookmarkStart w:id="168" w:name="_Toc489430837"/>
      <w:bookmarkStart w:id="169" w:name="_Toc144974509"/>
      <w:bookmarkStart w:id="170" w:name="_Toc152042317"/>
      <w:bookmarkStart w:id="171" w:name="_Toc152045541"/>
      <w:bookmarkStart w:id="172" w:name="_Toc259605239"/>
      <w:bookmarkStart w:id="173" w:name="_Toc6091"/>
      <w:r>
        <w:rPr>
          <w:rFonts w:hint="eastAsia" w:ascii="宋体" w:hAnsi="宋体" w:eastAsia="宋体"/>
          <w:b/>
          <w:color w:val="auto"/>
          <w:szCs w:val="24"/>
        </w:rPr>
        <w:t>1.11 分包</w:t>
      </w:r>
      <w:bookmarkEnd w:id="163"/>
      <w:bookmarkEnd w:id="164"/>
      <w:bookmarkEnd w:id="165"/>
      <w:bookmarkEnd w:id="166"/>
      <w:bookmarkEnd w:id="167"/>
      <w:bookmarkEnd w:id="168"/>
      <w:bookmarkEnd w:id="169"/>
      <w:bookmarkEnd w:id="170"/>
      <w:bookmarkEnd w:id="171"/>
      <w:bookmarkEnd w:id="172"/>
      <w:bookmarkEnd w:id="173"/>
    </w:p>
    <w:p>
      <w:pPr>
        <w:spacing w:line="360" w:lineRule="auto"/>
        <w:ind w:firstLine="480" w:firstLineChars="200"/>
        <w:rPr>
          <w:rFonts w:ascii="宋体" w:hAnsi="宋体"/>
          <w:color w:val="auto"/>
          <w:sz w:val="24"/>
        </w:rPr>
      </w:pPr>
      <w:r>
        <w:rPr>
          <w:rFonts w:hint="eastAsia" w:ascii="宋体" w:hAnsi="宋体"/>
          <w:color w:val="auto"/>
          <w:sz w:val="24"/>
        </w:rPr>
        <w:t>不允许分包。</w:t>
      </w:r>
    </w:p>
    <w:p>
      <w:pPr>
        <w:pStyle w:val="57"/>
        <w:rPr>
          <w:rFonts w:ascii="宋体" w:hAnsi="宋体" w:eastAsia="宋体"/>
          <w:b/>
          <w:color w:val="auto"/>
          <w:szCs w:val="24"/>
        </w:rPr>
      </w:pPr>
      <w:bookmarkStart w:id="174" w:name="_Toc407219599"/>
      <w:bookmarkStart w:id="175" w:name="_Toc25326"/>
      <w:bookmarkStart w:id="176" w:name="_Toc116314093"/>
      <w:bookmarkStart w:id="177" w:name="_Toc427580055"/>
      <w:bookmarkStart w:id="178" w:name="_Toc489430838"/>
      <w:bookmarkStart w:id="179" w:name="_Toc259605240"/>
      <w:bookmarkStart w:id="180" w:name="_Toc489430478"/>
      <w:bookmarkStart w:id="181" w:name="_Toc427583668"/>
      <w:r>
        <w:rPr>
          <w:rFonts w:hint="eastAsia" w:ascii="宋体" w:hAnsi="宋体" w:eastAsia="宋体"/>
          <w:b/>
          <w:color w:val="auto"/>
          <w:szCs w:val="24"/>
        </w:rPr>
        <w:t>1.12 偏离</w:t>
      </w:r>
      <w:bookmarkEnd w:id="174"/>
      <w:bookmarkEnd w:id="175"/>
      <w:bookmarkEnd w:id="176"/>
      <w:bookmarkEnd w:id="177"/>
      <w:bookmarkEnd w:id="178"/>
      <w:bookmarkEnd w:id="179"/>
      <w:bookmarkEnd w:id="180"/>
      <w:bookmarkEnd w:id="181"/>
    </w:p>
    <w:p>
      <w:pPr>
        <w:spacing w:line="360" w:lineRule="auto"/>
        <w:ind w:firstLine="480" w:firstLineChars="200"/>
        <w:rPr>
          <w:rFonts w:ascii="宋体" w:hAnsi="宋体"/>
          <w:color w:val="auto"/>
          <w:sz w:val="24"/>
        </w:rPr>
      </w:pPr>
      <w:r>
        <w:rPr>
          <w:rFonts w:hint="eastAsia" w:ascii="宋体" w:hAnsi="宋体"/>
          <w:color w:val="auto"/>
          <w:sz w:val="24"/>
        </w:rPr>
        <w:t>不允许偏离。</w:t>
      </w:r>
    </w:p>
    <w:p>
      <w:pPr>
        <w:pStyle w:val="56"/>
        <w:rPr>
          <w:rFonts w:ascii="宋体" w:hAnsi="宋体" w:eastAsia="宋体"/>
          <w:b/>
          <w:color w:val="auto"/>
        </w:rPr>
      </w:pPr>
      <w:bookmarkStart w:id="182" w:name="_Toc116314094"/>
      <w:bookmarkStart w:id="183" w:name="_Toc152042318"/>
      <w:bookmarkStart w:id="184" w:name="_Toc144974510"/>
      <w:bookmarkStart w:id="185" w:name="_Toc16720"/>
      <w:bookmarkStart w:id="186" w:name="_Toc475691309"/>
      <w:bookmarkStart w:id="187" w:name="_Toc489430479"/>
      <w:bookmarkStart w:id="188" w:name="_Toc489430839"/>
      <w:bookmarkStart w:id="189" w:name="_Toc152045542"/>
      <w:r>
        <w:rPr>
          <w:rFonts w:hint="eastAsia" w:ascii="宋体" w:hAnsi="宋体" w:eastAsia="宋体"/>
          <w:b/>
          <w:color w:val="auto"/>
        </w:rPr>
        <w:t>2. 招标文件</w:t>
      </w:r>
      <w:bookmarkEnd w:id="182"/>
      <w:bookmarkEnd w:id="183"/>
      <w:bookmarkEnd w:id="184"/>
      <w:bookmarkEnd w:id="185"/>
      <w:bookmarkEnd w:id="186"/>
      <w:bookmarkEnd w:id="187"/>
      <w:bookmarkEnd w:id="188"/>
      <w:bookmarkEnd w:id="189"/>
    </w:p>
    <w:p>
      <w:pPr>
        <w:pStyle w:val="57"/>
        <w:rPr>
          <w:rFonts w:ascii="宋体" w:hAnsi="宋体" w:eastAsia="宋体"/>
          <w:b/>
          <w:color w:val="auto"/>
          <w:szCs w:val="24"/>
        </w:rPr>
      </w:pPr>
      <w:bookmarkStart w:id="190" w:name="_Toc259605242"/>
      <w:bookmarkStart w:id="191" w:name="_Toc10490"/>
      <w:bookmarkStart w:id="192" w:name="_Toc407219601"/>
      <w:bookmarkStart w:id="193" w:name="_Toc144974511"/>
      <w:bookmarkStart w:id="194" w:name="_Toc475691310"/>
      <w:bookmarkStart w:id="195" w:name="_Toc427580057"/>
      <w:bookmarkStart w:id="196" w:name="_Toc152042319"/>
      <w:bookmarkStart w:id="197" w:name="_Toc489430840"/>
      <w:bookmarkStart w:id="198" w:name="_Toc116314095"/>
      <w:bookmarkStart w:id="199" w:name="_Toc427583670"/>
      <w:bookmarkStart w:id="200" w:name="_Toc152045543"/>
      <w:bookmarkStart w:id="201" w:name="_Toc489430480"/>
      <w:r>
        <w:rPr>
          <w:rFonts w:hint="eastAsia" w:ascii="宋体" w:hAnsi="宋体" w:eastAsia="宋体"/>
          <w:b/>
          <w:color w:val="auto"/>
          <w:szCs w:val="24"/>
        </w:rPr>
        <w:t>2.1 招标文件的组成</w:t>
      </w:r>
      <w:bookmarkEnd w:id="190"/>
      <w:bookmarkEnd w:id="191"/>
      <w:bookmarkEnd w:id="192"/>
      <w:bookmarkEnd w:id="193"/>
      <w:bookmarkEnd w:id="194"/>
      <w:bookmarkEnd w:id="195"/>
      <w:bookmarkEnd w:id="196"/>
      <w:bookmarkEnd w:id="197"/>
      <w:bookmarkEnd w:id="198"/>
      <w:bookmarkEnd w:id="199"/>
      <w:bookmarkEnd w:id="200"/>
      <w:bookmarkEnd w:id="201"/>
    </w:p>
    <w:p>
      <w:pPr>
        <w:spacing w:line="440" w:lineRule="exact"/>
        <w:ind w:firstLine="480" w:firstLineChars="200"/>
        <w:rPr>
          <w:rFonts w:ascii="宋体" w:hAnsi="宋体"/>
          <w:color w:val="auto"/>
          <w:sz w:val="24"/>
        </w:rPr>
      </w:pPr>
      <w:r>
        <w:rPr>
          <w:rFonts w:hint="eastAsia" w:ascii="宋体" w:hAnsi="宋体"/>
          <w:color w:val="auto"/>
          <w:sz w:val="24"/>
        </w:rPr>
        <w:t>本招标文件包括：</w:t>
      </w:r>
    </w:p>
    <w:p>
      <w:pPr>
        <w:spacing w:line="440" w:lineRule="exact"/>
        <w:ind w:firstLine="480" w:firstLineChars="200"/>
        <w:rPr>
          <w:rFonts w:ascii="宋体" w:hAnsi="宋体"/>
          <w:color w:val="auto"/>
          <w:sz w:val="24"/>
        </w:rPr>
      </w:pPr>
      <w:r>
        <w:rPr>
          <w:rFonts w:hint="eastAsia" w:ascii="宋体" w:hAnsi="宋体"/>
          <w:color w:val="auto"/>
          <w:sz w:val="24"/>
        </w:rPr>
        <w:t>（1）招标公告；</w:t>
      </w:r>
    </w:p>
    <w:p>
      <w:pPr>
        <w:spacing w:line="440" w:lineRule="exact"/>
        <w:ind w:firstLine="480" w:firstLineChars="200"/>
        <w:rPr>
          <w:rFonts w:ascii="宋体" w:hAnsi="宋体"/>
          <w:color w:val="auto"/>
          <w:sz w:val="24"/>
        </w:rPr>
      </w:pPr>
      <w:r>
        <w:rPr>
          <w:rFonts w:hint="eastAsia" w:ascii="宋体" w:hAnsi="宋体"/>
          <w:color w:val="auto"/>
          <w:sz w:val="24"/>
        </w:rPr>
        <w:t>（2）投标人须知；</w:t>
      </w:r>
    </w:p>
    <w:p>
      <w:pPr>
        <w:spacing w:line="360" w:lineRule="auto"/>
        <w:ind w:firstLine="480" w:firstLineChars="200"/>
        <w:rPr>
          <w:rFonts w:ascii="宋体" w:hAnsi="宋体"/>
          <w:color w:val="auto"/>
          <w:sz w:val="24"/>
        </w:rPr>
      </w:pPr>
      <w:r>
        <w:rPr>
          <w:rFonts w:hint="eastAsia" w:ascii="宋体" w:hAnsi="宋体"/>
          <w:color w:val="auto"/>
          <w:sz w:val="24"/>
        </w:rPr>
        <w:t>（3）评标办法；</w:t>
      </w:r>
    </w:p>
    <w:p>
      <w:pPr>
        <w:spacing w:line="360" w:lineRule="auto"/>
        <w:ind w:firstLine="480" w:firstLineChars="200"/>
        <w:rPr>
          <w:rFonts w:ascii="宋体" w:hAnsi="宋体"/>
          <w:color w:val="auto"/>
          <w:sz w:val="24"/>
        </w:rPr>
      </w:pPr>
      <w:r>
        <w:rPr>
          <w:rFonts w:hint="eastAsia" w:ascii="宋体" w:hAnsi="宋体"/>
          <w:color w:val="auto"/>
          <w:sz w:val="24"/>
        </w:rPr>
        <w:t>（4）合同条款及格式；</w:t>
      </w:r>
    </w:p>
    <w:p>
      <w:pPr>
        <w:spacing w:line="360" w:lineRule="auto"/>
        <w:ind w:firstLine="480" w:firstLineChars="200"/>
        <w:rPr>
          <w:rFonts w:ascii="宋体" w:hAnsi="宋体"/>
          <w:color w:val="auto"/>
          <w:sz w:val="24"/>
        </w:rPr>
      </w:pPr>
      <w:r>
        <w:rPr>
          <w:rFonts w:hint="eastAsia" w:ascii="宋体" w:hAnsi="宋体"/>
          <w:color w:val="auto"/>
          <w:sz w:val="24"/>
        </w:rPr>
        <w:t>（5）技术标准及规范；</w:t>
      </w:r>
    </w:p>
    <w:p>
      <w:pPr>
        <w:spacing w:line="360" w:lineRule="auto"/>
        <w:ind w:firstLine="480" w:firstLineChars="200"/>
        <w:rPr>
          <w:rFonts w:ascii="宋体" w:hAnsi="宋体"/>
          <w:color w:val="auto"/>
          <w:sz w:val="24"/>
        </w:rPr>
      </w:pPr>
      <w:r>
        <w:rPr>
          <w:rFonts w:hint="eastAsia" w:ascii="宋体" w:hAnsi="宋体"/>
          <w:color w:val="auto"/>
          <w:sz w:val="24"/>
        </w:rPr>
        <w:t>（6）监理任务范围及监理工作大纲；</w:t>
      </w:r>
    </w:p>
    <w:p>
      <w:pPr>
        <w:spacing w:line="360" w:lineRule="auto"/>
        <w:ind w:firstLine="480" w:firstLineChars="200"/>
        <w:rPr>
          <w:rFonts w:ascii="宋体" w:hAnsi="宋体"/>
          <w:color w:val="auto"/>
          <w:sz w:val="24"/>
        </w:rPr>
      </w:pPr>
      <w:r>
        <w:rPr>
          <w:rFonts w:hint="eastAsia" w:ascii="宋体" w:hAnsi="宋体"/>
          <w:color w:val="auto"/>
          <w:sz w:val="24"/>
        </w:rPr>
        <w:t>（7）投标文件格式；</w:t>
      </w:r>
    </w:p>
    <w:p>
      <w:pPr>
        <w:spacing w:line="360" w:lineRule="auto"/>
        <w:ind w:firstLine="480" w:firstLineChars="200"/>
        <w:rPr>
          <w:rFonts w:ascii="宋体" w:hAnsi="宋体"/>
          <w:color w:val="auto"/>
          <w:sz w:val="24"/>
        </w:rPr>
      </w:pPr>
      <w:r>
        <w:rPr>
          <w:rFonts w:hint="eastAsia" w:ascii="宋体" w:hAnsi="宋体"/>
          <w:color w:val="auto"/>
          <w:sz w:val="24"/>
        </w:rPr>
        <w:t>根据本章第1.10款、第2.2款和第2.3款对招标文件所作的澄清、修改，构成招标文件的组成部分。</w:t>
      </w:r>
    </w:p>
    <w:p>
      <w:pPr>
        <w:pStyle w:val="57"/>
        <w:rPr>
          <w:rFonts w:ascii="宋体" w:hAnsi="宋体" w:eastAsia="宋体"/>
          <w:color w:val="auto"/>
          <w:szCs w:val="24"/>
        </w:rPr>
      </w:pPr>
      <w:bookmarkStart w:id="202" w:name="_Toc407219602"/>
      <w:bookmarkStart w:id="203" w:name="_Toc489430481"/>
      <w:bookmarkStart w:id="204" w:name="_Toc489430841"/>
      <w:bookmarkStart w:id="205" w:name="_Toc152045544"/>
      <w:bookmarkStart w:id="206" w:name="_Toc116314096"/>
      <w:bookmarkStart w:id="207" w:name="_Toc144974512"/>
      <w:bookmarkStart w:id="208" w:name="_Toc25341"/>
      <w:bookmarkStart w:id="209" w:name="_Toc427583671"/>
      <w:bookmarkStart w:id="210" w:name="_Toc427580058"/>
      <w:bookmarkStart w:id="211" w:name="_Toc259605243"/>
      <w:bookmarkStart w:id="212" w:name="_Toc475691311"/>
      <w:bookmarkStart w:id="213" w:name="_Toc152042320"/>
      <w:r>
        <w:rPr>
          <w:rFonts w:hint="eastAsia" w:ascii="宋体" w:hAnsi="宋体" w:eastAsia="宋体"/>
          <w:b/>
          <w:color w:val="auto"/>
          <w:szCs w:val="24"/>
        </w:rPr>
        <w:t>2.2 招标文件的澄清</w:t>
      </w:r>
      <w:bookmarkEnd w:id="202"/>
      <w:bookmarkEnd w:id="203"/>
      <w:bookmarkEnd w:id="204"/>
      <w:bookmarkEnd w:id="205"/>
      <w:bookmarkEnd w:id="206"/>
      <w:bookmarkEnd w:id="207"/>
      <w:bookmarkEnd w:id="208"/>
      <w:bookmarkEnd w:id="209"/>
      <w:bookmarkEnd w:id="210"/>
      <w:bookmarkEnd w:id="211"/>
      <w:bookmarkEnd w:id="212"/>
      <w:bookmarkEnd w:id="213"/>
    </w:p>
    <w:p>
      <w:pPr>
        <w:spacing w:line="360" w:lineRule="auto"/>
        <w:ind w:firstLine="480" w:firstLineChars="200"/>
        <w:rPr>
          <w:rFonts w:ascii="宋体" w:hAnsi="宋体"/>
          <w:color w:val="auto"/>
          <w:sz w:val="24"/>
        </w:rPr>
      </w:pPr>
      <w:bookmarkStart w:id="214" w:name="_Toc407219603"/>
      <w:bookmarkStart w:id="215" w:name="_Toc475691312"/>
      <w:bookmarkStart w:id="216" w:name="_Toc427580059"/>
      <w:bookmarkStart w:id="217" w:name="_Toc13729"/>
      <w:bookmarkStart w:id="218" w:name="_Toc427583672"/>
      <w:bookmarkStart w:id="219" w:name="_Toc489430482"/>
      <w:bookmarkStart w:id="220" w:name="_Toc152045545"/>
      <w:bookmarkStart w:id="221" w:name="_Toc259605244"/>
      <w:bookmarkStart w:id="222" w:name="_Toc144974513"/>
      <w:bookmarkStart w:id="223" w:name="_Toc489430842"/>
      <w:bookmarkStart w:id="224" w:name="_Toc152042321"/>
      <w:r>
        <w:rPr>
          <w:rFonts w:hint="eastAsia" w:ascii="宋体" w:hAnsi="宋体"/>
          <w:color w:val="auto"/>
          <w:sz w:val="24"/>
        </w:rPr>
        <w:t>2.2.1投标人应仔细阅读和检查招标文件的全部内容。如发现缺页或附件不全，应及时在电子交易系统中提出，以便补齐。如有疑问，应在投标人须知前附表规定的时间前在电子交易系统中提出。</w:t>
      </w:r>
    </w:p>
    <w:p>
      <w:pPr>
        <w:spacing w:line="360" w:lineRule="auto"/>
        <w:ind w:firstLine="480" w:firstLineChars="200"/>
        <w:rPr>
          <w:rFonts w:ascii="宋体" w:hAnsi="宋体"/>
          <w:color w:val="auto"/>
          <w:sz w:val="24"/>
        </w:rPr>
      </w:pPr>
      <w:r>
        <w:rPr>
          <w:rFonts w:hint="eastAsia" w:ascii="宋体" w:hAnsi="宋体"/>
          <w:color w:val="auto"/>
          <w:sz w:val="24"/>
        </w:rPr>
        <w:t>2.2.2  招标文件的澄清在投标人须知前附表规定的投标截止时间15天前在电子交易系统中澄清。</w:t>
      </w:r>
    </w:p>
    <w:p>
      <w:pPr>
        <w:spacing w:line="360" w:lineRule="auto"/>
        <w:ind w:firstLine="480" w:firstLineChars="200"/>
        <w:rPr>
          <w:rFonts w:ascii="宋体" w:hAnsi="宋体"/>
          <w:color w:val="auto"/>
          <w:sz w:val="24"/>
        </w:rPr>
      </w:pPr>
      <w:r>
        <w:rPr>
          <w:rFonts w:hint="eastAsia" w:ascii="宋体" w:hAnsi="宋体"/>
          <w:color w:val="auto"/>
          <w:sz w:val="24"/>
        </w:rPr>
        <w:t>2.2.3 投标人应及时在发布的媒体查看澄清内容。</w:t>
      </w:r>
    </w:p>
    <w:p>
      <w:pPr>
        <w:pStyle w:val="57"/>
        <w:rPr>
          <w:rFonts w:ascii="宋体" w:hAnsi="宋体" w:eastAsia="宋体"/>
          <w:b/>
          <w:color w:val="auto"/>
          <w:szCs w:val="24"/>
        </w:rPr>
      </w:pPr>
      <w:bookmarkStart w:id="225" w:name="_Toc116314097"/>
      <w:r>
        <w:rPr>
          <w:rFonts w:hint="eastAsia" w:ascii="宋体" w:hAnsi="宋体" w:eastAsia="宋体"/>
          <w:b/>
          <w:color w:val="auto"/>
          <w:szCs w:val="24"/>
        </w:rPr>
        <w:t>2.3 招标文件的修改</w:t>
      </w:r>
      <w:bookmarkEnd w:id="214"/>
      <w:bookmarkEnd w:id="215"/>
      <w:bookmarkEnd w:id="216"/>
      <w:bookmarkEnd w:id="217"/>
      <w:bookmarkEnd w:id="218"/>
      <w:bookmarkEnd w:id="219"/>
      <w:bookmarkEnd w:id="220"/>
      <w:bookmarkEnd w:id="221"/>
      <w:bookmarkEnd w:id="222"/>
      <w:bookmarkEnd w:id="223"/>
      <w:bookmarkEnd w:id="224"/>
      <w:bookmarkEnd w:id="225"/>
    </w:p>
    <w:p>
      <w:pPr>
        <w:spacing w:line="360" w:lineRule="auto"/>
        <w:ind w:firstLine="480" w:firstLineChars="200"/>
        <w:rPr>
          <w:rFonts w:ascii="宋体" w:hAnsi="宋体"/>
          <w:color w:val="auto"/>
          <w:sz w:val="24"/>
        </w:rPr>
      </w:pPr>
      <w:r>
        <w:rPr>
          <w:rFonts w:hint="eastAsia" w:ascii="宋体" w:hAnsi="宋体"/>
          <w:color w:val="auto"/>
          <w:sz w:val="24"/>
        </w:rPr>
        <w:t>2.3.1在投标截止时间15天前，招标人可以在电子交易系统中修改招标文件。如果修改招标文件的时间距投标截止时间不足15天，相应延长投标截止时间。</w:t>
      </w:r>
    </w:p>
    <w:p>
      <w:pPr>
        <w:spacing w:line="360" w:lineRule="auto"/>
        <w:ind w:firstLine="480" w:firstLineChars="200"/>
        <w:rPr>
          <w:rFonts w:ascii="宋体" w:hAnsi="宋体"/>
          <w:color w:val="auto"/>
          <w:sz w:val="24"/>
        </w:rPr>
      </w:pPr>
      <w:r>
        <w:rPr>
          <w:rFonts w:hint="eastAsia" w:ascii="宋体" w:hAnsi="宋体"/>
          <w:color w:val="auto"/>
          <w:sz w:val="24"/>
        </w:rPr>
        <w:t>2.3.2 投标人应及时在发布的媒体查看修改内容。</w:t>
      </w:r>
    </w:p>
    <w:p>
      <w:pPr>
        <w:spacing w:line="360" w:lineRule="auto"/>
        <w:rPr>
          <w:rFonts w:ascii="宋体" w:hAnsi="宋体"/>
          <w:b/>
          <w:bCs/>
          <w:color w:val="auto"/>
          <w:sz w:val="24"/>
        </w:rPr>
      </w:pPr>
      <w:r>
        <w:rPr>
          <w:rFonts w:hint="eastAsia" w:ascii="宋体" w:hAnsi="宋体"/>
          <w:b/>
          <w:bCs/>
          <w:color w:val="auto"/>
          <w:sz w:val="24"/>
        </w:rPr>
        <w:t>2.4</w:t>
      </w:r>
      <w:r>
        <w:rPr>
          <w:rFonts w:hint="eastAsia" w:ascii="宋体" w:hAnsi="宋体" w:cs="宋体"/>
          <w:b/>
          <w:color w:val="auto"/>
          <w:sz w:val="24"/>
        </w:rPr>
        <w:t>招标文件的解释</w:t>
      </w:r>
    </w:p>
    <w:p>
      <w:pPr>
        <w:spacing w:line="360" w:lineRule="auto"/>
        <w:ind w:firstLine="480" w:firstLineChars="200"/>
        <w:rPr>
          <w:rFonts w:ascii="宋体" w:hAnsi="宋体"/>
          <w:color w:val="auto"/>
          <w:sz w:val="24"/>
        </w:rPr>
      </w:pPr>
      <w:r>
        <w:rPr>
          <w:rFonts w:hint="eastAsia" w:ascii="宋体" w:hAnsi="宋体"/>
          <w:color w:val="auto"/>
          <w:sz w:val="24"/>
        </w:rPr>
        <w:t>招标文件最终解释权归招标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pPr>
        <w:pStyle w:val="56"/>
        <w:spacing w:before="0" w:line="360" w:lineRule="auto"/>
        <w:rPr>
          <w:rFonts w:ascii="宋体" w:hAnsi="宋体" w:eastAsia="宋体"/>
          <w:b/>
          <w:color w:val="auto"/>
        </w:rPr>
      </w:pPr>
      <w:bookmarkStart w:id="226" w:name="_Toc152042322"/>
      <w:bookmarkStart w:id="227" w:name="_Toc475691313"/>
      <w:bookmarkStart w:id="228" w:name="_Toc144974514"/>
      <w:bookmarkStart w:id="229" w:name="_Toc116314098"/>
      <w:bookmarkStart w:id="230" w:name="_Toc489430843"/>
      <w:bookmarkStart w:id="231" w:name="_Toc489430483"/>
      <w:bookmarkStart w:id="232" w:name="_Toc152045546"/>
      <w:bookmarkStart w:id="233" w:name="_Toc160"/>
      <w:r>
        <w:rPr>
          <w:rFonts w:hint="eastAsia" w:ascii="宋体" w:hAnsi="宋体" w:eastAsia="宋体"/>
          <w:b/>
          <w:color w:val="auto"/>
        </w:rPr>
        <w:t>3. 投标文件</w:t>
      </w:r>
      <w:bookmarkEnd w:id="226"/>
      <w:bookmarkEnd w:id="227"/>
      <w:bookmarkEnd w:id="228"/>
      <w:bookmarkEnd w:id="229"/>
      <w:bookmarkEnd w:id="230"/>
      <w:bookmarkEnd w:id="231"/>
      <w:bookmarkEnd w:id="232"/>
      <w:bookmarkEnd w:id="233"/>
    </w:p>
    <w:p>
      <w:pPr>
        <w:pStyle w:val="57"/>
        <w:spacing w:line="360" w:lineRule="auto"/>
        <w:rPr>
          <w:rFonts w:hint="eastAsia" w:ascii="宋体" w:hAnsi="宋体" w:eastAsia="宋体"/>
          <w:color w:val="auto"/>
          <w:lang w:eastAsia="zh-CN"/>
        </w:rPr>
      </w:pPr>
      <w:bookmarkStart w:id="234" w:name="_Toc489430484"/>
      <w:bookmarkStart w:id="235" w:name="_Toc144974515"/>
      <w:bookmarkStart w:id="236" w:name="_Toc152045547"/>
      <w:bookmarkStart w:id="237" w:name="_Toc427580061"/>
      <w:bookmarkStart w:id="238" w:name="_Toc475691314"/>
      <w:bookmarkStart w:id="239" w:name="_Toc18450"/>
      <w:bookmarkStart w:id="240" w:name="_Toc427583674"/>
      <w:bookmarkStart w:id="241" w:name="_Toc407219606"/>
      <w:bookmarkStart w:id="242" w:name="_Toc489430844"/>
      <w:bookmarkStart w:id="243" w:name="_Toc152042323"/>
      <w:bookmarkStart w:id="244" w:name="_Toc259605246"/>
      <w:bookmarkStart w:id="245" w:name="_Toc116314099"/>
      <w:r>
        <w:rPr>
          <w:rFonts w:hint="eastAsia" w:ascii="宋体" w:hAnsi="宋体" w:eastAsia="宋体"/>
          <w:b/>
          <w:color w:val="auto"/>
          <w:szCs w:val="24"/>
        </w:rPr>
        <w:t>3.1 投标文件的组成</w:t>
      </w:r>
      <w:bookmarkEnd w:id="234"/>
      <w:bookmarkEnd w:id="235"/>
      <w:bookmarkEnd w:id="236"/>
      <w:bookmarkEnd w:id="237"/>
      <w:bookmarkEnd w:id="238"/>
      <w:bookmarkEnd w:id="239"/>
      <w:bookmarkEnd w:id="240"/>
      <w:bookmarkEnd w:id="241"/>
      <w:bookmarkEnd w:id="242"/>
      <w:bookmarkEnd w:id="243"/>
      <w:bookmarkEnd w:id="244"/>
      <w:r>
        <w:rPr>
          <w:rFonts w:hint="eastAsia" w:ascii="宋体" w:hAnsi="宋体" w:eastAsia="宋体"/>
          <w:b/>
          <w:color w:val="auto"/>
          <w:szCs w:val="24"/>
        </w:rPr>
        <w:t>:详见第七章投标文件格式</w:t>
      </w:r>
      <w:bookmarkEnd w:id="245"/>
      <w:r>
        <w:rPr>
          <w:rFonts w:hint="eastAsia" w:ascii="宋体" w:hAnsi="宋体" w:eastAsia="宋体"/>
          <w:b/>
          <w:color w:val="auto"/>
          <w:szCs w:val="24"/>
          <w:lang w:eastAsia="zh-CN"/>
        </w:rPr>
        <w:t>，投标文件格式以《全国公共资源交易平台(河南省▪宝丰县)》公共资源交易系统最终生成的为准。</w:t>
      </w:r>
    </w:p>
    <w:p>
      <w:pPr>
        <w:pStyle w:val="57"/>
        <w:spacing w:line="360" w:lineRule="auto"/>
        <w:rPr>
          <w:rFonts w:ascii="宋体" w:hAnsi="宋体" w:eastAsia="宋体"/>
          <w:b/>
          <w:color w:val="auto"/>
          <w:szCs w:val="24"/>
        </w:rPr>
      </w:pPr>
      <w:bookmarkStart w:id="246" w:name="_Toc116314100"/>
      <w:bookmarkStart w:id="247" w:name="_Toc407219607"/>
      <w:bookmarkStart w:id="248" w:name="_Toc152042324"/>
      <w:bookmarkStart w:id="249" w:name="_Toc259605247"/>
      <w:bookmarkStart w:id="250" w:name="_Toc144974516"/>
      <w:bookmarkStart w:id="251" w:name="_Toc489430485"/>
      <w:bookmarkStart w:id="252" w:name="_Toc489430845"/>
      <w:bookmarkStart w:id="253" w:name="_Toc427583675"/>
      <w:bookmarkStart w:id="254" w:name="_Toc475691315"/>
      <w:bookmarkStart w:id="255" w:name="_Toc152045548"/>
      <w:bookmarkStart w:id="256" w:name="_Toc427580062"/>
      <w:bookmarkStart w:id="257" w:name="_Toc25818"/>
      <w:r>
        <w:rPr>
          <w:rFonts w:hint="eastAsia" w:ascii="宋体" w:hAnsi="宋体" w:eastAsia="宋体"/>
          <w:b/>
          <w:color w:val="auto"/>
          <w:szCs w:val="24"/>
        </w:rPr>
        <w:t>3.2 投标报价</w:t>
      </w:r>
      <w:bookmarkEnd w:id="246"/>
      <w:bookmarkEnd w:id="247"/>
      <w:bookmarkEnd w:id="248"/>
      <w:bookmarkEnd w:id="249"/>
      <w:bookmarkEnd w:id="250"/>
      <w:bookmarkEnd w:id="251"/>
      <w:bookmarkEnd w:id="252"/>
      <w:bookmarkEnd w:id="253"/>
      <w:bookmarkEnd w:id="254"/>
      <w:bookmarkEnd w:id="255"/>
      <w:bookmarkEnd w:id="256"/>
      <w:bookmarkEnd w:id="257"/>
    </w:p>
    <w:p>
      <w:pPr>
        <w:spacing w:line="360" w:lineRule="auto"/>
        <w:ind w:firstLine="480" w:firstLineChars="200"/>
        <w:rPr>
          <w:rFonts w:ascii="宋体" w:hAnsi="宋体"/>
          <w:color w:val="auto"/>
          <w:sz w:val="24"/>
        </w:rPr>
      </w:pPr>
      <w:bookmarkStart w:id="258" w:name="_Toc152045549"/>
      <w:bookmarkStart w:id="259" w:name="_Toc407219608"/>
      <w:bookmarkStart w:id="260" w:name="_Toc259605248"/>
      <w:bookmarkStart w:id="261" w:name="_Toc144974517"/>
      <w:bookmarkStart w:id="262" w:name="_Toc152042325"/>
      <w:r>
        <w:rPr>
          <w:rFonts w:hint="eastAsia" w:ascii="宋体" w:hAnsi="宋体"/>
          <w:color w:val="auto"/>
          <w:sz w:val="24"/>
        </w:rPr>
        <w:t>3.2.1投标人应参考招标人所提供的监理工作内容及招标控制价，根据工程建设监理收费标准，结合本工程实际情况和企业成本、市场行情自主投报。</w:t>
      </w:r>
    </w:p>
    <w:p>
      <w:pPr>
        <w:spacing w:line="360" w:lineRule="auto"/>
        <w:ind w:firstLine="480" w:firstLineChars="200"/>
        <w:rPr>
          <w:rFonts w:ascii="宋体" w:hAnsi="宋体"/>
          <w:color w:val="auto"/>
          <w:sz w:val="24"/>
        </w:rPr>
      </w:pPr>
      <w:r>
        <w:rPr>
          <w:rFonts w:hint="eastAsia" w:ascii="宋体" w:hAnsi="宋体"/>
          <w:color w:val="auto"/>
          <w:sz w:val="24"/>
        </w:rPr>
        <w:t>3.2.2投标人的监理酬金是在监理服务期内，投标人按合同规定的范围所提供全部服务所需的费用。</w:t>
      </w:r>
    </w:p>
    <w:p>
      <w:pPr>
        <w:spacing w:line="360" w:lineRule="auto"/>
        <w:ind w:firstLine="480" w:firstLineChars="200"/>
        <w:rPr>
          <w:rFonts w:ascii="宋体" w:hAnsi="宋体"/>
          <w:color w:val="auto"/>
          <w:sz w:val="24"/>
        </w:rPr>
      </w:pPr>
      <w:r>
        <w:rPr>
          <w:rFonts w:hint="eastAsia" w:ascii="宋体" w:hAnsi="宋体"/>
          <w:color w:val="auto"/>
          <w:sz w:val="24"/>
        </w:rPr>
        <w:t>3.2.3投标人在报价时应考虑监理期间的物价上涨、政策性调整等诸多因素以及由此引起的费用变动，并计入报价。</w:t>
      </w:r>
    </w:p>
    <w:p>
      <w:pPr>
        <w:spacing w:line="360" w:lineRule="auto"/>
        <w:ind w:firstLine="480" w:firstLineChars="200"/>
        <w:rPr>
          <w:rFonts w:ascii="宋体" w:hAnsi="宋体"/>
          <w:color w:val="auto"/>
          <w:sz w:val="24"/>
        </w:rPr>
      </w:pPr>
      <w:r>
        <w:rPr>
          <w:rFonts w:hint="eastAsia" w:ascii="宋体" w:hAnsi="宋体"/>
          <w:color w:val="auto"/>
          <w:sz w:val="24"/>
        </w:rPr>
        <w:t>3.2.4投标人只能提交一个报价，招标人不接受任何有选择性的报价。</w:t>
      </w:r>
    </w:p>
    <w:p>
      <w:pPr>
        <w:spacing w:line="360" w:lineRule="auto"/>
        <w:ind w:firstLine="480" w:firstLineChars="200"/>
        <w:rPr>
          <w:rFonts w:ascii="宋体" w:hAnsi="宋体"/>
          <w:color w:val="auto"/>
          <w:sz w:val="24"/>
        </w:rPr>
      </w:pPr>
      <w:r>
        <w:rPr>
          <w:rFonts w:hint="eastAsia" w:ascii="宋体" w:hAnsi="宋体"/>
          <w:color w:val="auto"/>
          <w:sz w:val="24"/>
        </w:rPr>
        <w:t>3.2.5本项目以人民币结算。</w:t>
      </w:r>
    </w:p>
    <w:p>
      <w:pPr>
        <w:pStyle w:val="57"/>
        <w:spacing w:line="360" w:lineRule="auto"/>
        <w:rPr>
          <w:rFonts w:ascii="宋体" w:hAnsi="宋体" w:eastAsia="宋体"/>
          <w:b/>
          <w:color w:val="auto"/>
          <w:szCs w:val="24"/>
        </w:rPr>
      </w:pPr>
      <w:bookmarkStart w:id="263" w:name="_Toc12247"/>
      <w:bookmarkStart w:id="264" w:name="_Toc116314101"/>
      <w:bookmarkStart w:id="265" w:name="_Toc489430846"/>
      <w:bookmarkStart w:id="266" w:name="_Toc489430486"/>
      <w:bookmarkStart w:id="267" w:name="_Toc475691316"/>
      <w:bookmarkStart w:id="268" w:name="_Toc427583676"/>
      <w:bookmarkStart w:id="269" w:name="_Toc427580063"/>
      <w:r>
        <w:rPr>
          <w:rFonts w:hint="eastAsia" w:ascii="宋体" w:hAnsi="宋体" w:eastAsia="宋体"/>
          <w:b/>
          <w:color w:val="auto"/>
          <w:szCs w:val="24"/>
        </w:rPr>
        <w:t>3.3 投标有效期</w:t>
      </w:r>
      <w:bookmarkEnd w:id="258"/>
      <w:bookmarkEnd w:id="259"/>
      <w:bookmarkEnd w:id="260"/>
      <w:bookmarkEnd w:id="261"/>
      <w:bookmarkEnd w:id="262"/>
      <w:bookmarkEnd w:id="263"/>
      <w:bookmarkEnd w:id="264"/>
      <w:bookmarkEnd w:id="265"/>
      <w:bookmarkEnd w:id="266"/>
      <w:bookmarkEnd w:id="267"/>
      <w:bookmarkEnd w:id="268"/>
      <w:bookmarkEnd w:id="269"/>
    </w:p>
    <w:p>
      <w:pPr>
        <w:spacing w:line="360" w:lineRule="auto"/>
        <w:ind w:firstLine="480" w:firstLineChars="200"/>
        <w:rPr>
          <w:rFonts w:ascii="宋体" w:hAnsi="宋体"/>
          <w:color w:val="auto"/>
          <w:sz w:val="24"/>
        </w:rPr>
      </w:pPr>
      <w:r>
        <w:rPr>
          <w:rFonts w:hint="eastAsia" w:ascii="宋体" w:hAnsi="宋体"/>
          <w:color w:val="auto"/>
          <w:sz w:val="24"/>
        </w:rPr>
        <w:t>3.3.1在投标人须知前附表规定的投标有效期内，投标人不得要求撤销或修改其投标文件。</w:t>
      </w:r>
    </w:p>
    <w:p>
      <w:pPr>
        <w:spacing w:line="360" w:lineRule="auto"/>
        <w:ind w:firstLine="480" w:firstLineChars="200"/>
        <w:rPr>
          <w:rFonts w:ascii="宋体" w:hAnsi="宋体"/>
          <w:color w:val="auto"/>
          <w:sz w:val="24"/>
        </w:rPr>
      </w:pPr>
      <w:r>
        <w:rPr>
          <w:rFonts w:hint="eastAsia" w:ascii="宋体" w:hAnsi="宋体"/>
          <w:color w:val="auto"/>
          <w:sz w:val="24"/>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7"/>
        <w:spacing w:line="360" w:lineRule="auto"/>
        <w:rPr>
          <w:rFonts w:ascii="宋体" w:hAnsi="宋体" w:eastAsia="宋体"/>
          <w:b/>
          <w:color w:val="auto"/>
          <w:szCs w:val="24"/>
        </w:rPr>
      </w:pPr>
      <w:bookmarkStart w:id="270" w:name="_Toc475691317"/>
      <w:bookmarkStart w:id="271" w:name="_Toc144974518"/>
      <w:bookmarkStart w:id="272" w:name="_Toc407219609"/>
      <w:bookmarkStart w:id="273" w:name="_Toc152045550"/>
      <w:bookmarkStart w:id="274" w:name="_Toc489430847"/>
      <w:bookmarkStart w:id="275" w:name="_Toc489430487"/>
      <w:bookmarkStart w:id="276" w:name="_Toc259605249"/>
      <w:bookmarkStart w:id="277" w:name="_Toc427580064"/>
      <w:bookmarkStart w:id="278" w:name="_Toc116314102"/>
      <w:bookmarkStart w:id="279" w:name="_Toc152042326"/>
      <w:bookmarkStart w:id="280" w:name="_Toc427583677"/>
      <w:bookmarkStart w:id="281" w:name="_Toc15062"/>
      <w:r>
        <w:rPr>
          <w:rFonts w:hint="eastAsia" w:ascii="宋体" w:hAnsi="宋体" w:eastAsia="宋体"/>
          <w:b/>
          <w:color w:val="auto"/>
          <w:szCs w:val="24"/>
        </w:rPr>
        <w:t>3.4 投标保证金</w:t>
      </w:r>
      <w:bookmarkEnd w:id="270"/>
      <w:bookmarkEnd w:id="271"/>
      <w:bookmarkEnd w:id="272"/>
      <w:bookmarkEnd w:id="273"/>
      <w:bookmarkEnd w:id="274"/>
      <w:bookmarkEnd w:id="275"/>
      <w:bookmarkEnd w:id="276"/>
      <w:bookmarkEnd w:id="277"/>
      <w:bookmarkEnd w:id="278"/>
      <w:bookmarkEnd w:id="279"/>
      <w:bookmarkEnd w:id="280"/>
      <w:bookmarkEnd w:id="281"/>
    </w:p>
    <w:p>
      <w:pPr>
        <w:spacing w:line="360" w:lineRule="auto"/>
        <w:ind w:firstLine="480" w:firstLineChars="200"/>
        <w:rPr>
          <w:rFonts w:ascii="宋体" w:hAnsi="宋体"/>
          <w:color w:val="auto"/>
          <w:sz w:val="24"/>
        </w:rPr>
      </w:pPr>
      <w:r>
        <w:rPr>
          <w:rFonts w:hint="eastAsia" w:ascii="宋体" w:hAnsi="宋体"/>
          <w:color w:val="auto"/>
          <w:sz w:val="24"/>
        </w:rPr>
        <w:t>3.4.1 投标人在递交投标文件的同时，应按投标人须知前附表的规定</w:t>
      </w:r>
      <w:r>
        <w:rPr>
          <w:rFonts w:hint="eastAsia" w:ascii="宋体" w:hAnsi="宋体" w:cs="Times New Roman"/>
          <w:color w:val="auto"/>
          <w:sz w:val="24"/>
        </w:rPr>
        <w:t>递交投标保证金</w:t>
      </w:r>
      <w:r>
        <w:rPr>
          <w:rFonts w:hint="eastAsia" w:ascii="宋体" w:hAnsi="宋体"/>
          <w:color w:val="auto"/>
          <w:sz w:val="24"/>
        </w:rPr>
        <w:t>，并作为其投标文件的组成部分。</w:t>
      </w:r>
    </w:p>
    <w:p>
      <w:pPr>
        <w:spacing w:line="360" w:lineRule="auto"/>
        <w:ind w:firstLine="480" w:firstLineChars="200"/>
        <w:rPr>
          <w:rFonts w:ascii="宋体" w:hAnsi="宋体"/>
          <w:color w:val="auto"/>
          <w:sz w:val="24"/>
        </w:rPr>
      </w:pPr>
      <w:r>
        <w:rPr>
          <w:rFonts w:hint="eastAsia" w:ascii="宋体" w:hAnsi="宋体"/>
          <w:color w:val="auto"/>
          <w:sz w:val="24"/>
        </w:rPr>
        <w:t>3.4.2 投标人不按本章第3.4.1项要求提交投标保证金的，其投标文件将被否决。</w:t>
      </w:r>
    </w:p>
    <w:p>
      <w:pPr>
        <w:spacing w:line="360" w:lineRule="auto"/>
        <w:ind w:firstLine="480" w:firstLineChars="200"/>
        <w:rPr>
          <w:rFonts w:ascii="宋体" w:hAnsi="宋体"/>
          <w:color w:val="auto"/>
          <w:sz w:val="24"/>
        </w:rPr>
      </w:pPr>
      <w:r>
        <w:rPr>
          <w:rFonts w:hint="eastAsia" w:ascii="宋体" w:hAnsi="宋体"/>
          <w:color w:val="auto"/>
          <w:sz w:val="24"/>
        </w:rPr>
        <w:t>3.4.3招标人或者招标代理机构应当自中标通知书发出之日起5个工作日内退还未中标投标人的投标保证金，自合同签订之日起5日内退还中标投标人的投标保证金。</w:t>
      </w:r>
    </w:p>
    <w:p>
      <w:pPr>
        <w:spacing w:line="360" w:lineRule="auto"/>
        <w:ind w:firstLine="480" w:firstLineChars="200"/>
        <w:rPr>
          <w:rFonts w:ascii="宋体" w:hAnsi="宋体"/>
          <w:color w:val="auto"/>
          <w:sz w:val="24"/>
        </w:rPr>
      </w:pPr>
      <w:r>
        <w:rPr>
          <w:rFonts w:hint="eastAsia" w:ascii="宋体" w:hAnsi="宋体"/>
          <w:color w:val="auto"/>
          <w:sz w:val="24"/>
        </w:rPr>
        <w:t>3.4.4 有下列情形之一的，投标保证金将不予退还：</w:t>
      </w:r>
    </w:p>
    <w:p>
      <w:pPr>
        <w:spacing w:line="360" w:lineRule="auto"/>
        <w:ind w:firstLine="480" w:firstLineChars="200"/>
        <w:rPr>
          <w:rFonts w:ascii="宋体" w:hAnsi="宋体"/>
          <w:color w:val="auto"/>
          <w:sz w:val="24"/>
        </w:rPr>
      </w:pPr>
      <w:r>
        <w:rPr>
          <w:rFonts w:hint="eastAsia" w:ascii="宋体" w:hAnsi="宋体"/>
          <w:color w:val="auto"/>
          <w:sz w:val="24"/>
        </w:rPr>
        <w:t>（1）投标人在规定的投标有效期内撤销或修改其投标文件；</w:t>
      </w:r>
    </w:p>
    <w:p>
      <w:pPr>
        <w:spacing w:line="360" w:lineRule="auto"/>
        <w:ind w:firstLine="480" w:firstLineChars="200"/>
        <w:rPr>
          <w:rFonts w:ascii="宋体" w:hAnsi="宋体"/>
          <w:color w:val="auto"/>
          <w:sz w:val="24"/>
        </w:rPr>
      </w:pPr>
      <w:r>
        <w:rPr>
          <w:rFonts w:hint="eastAsia" w:ascii="宋体" w:hAnsi="宋体"/>
          <w:color w:val="auto"/>
          <w:sz w:val="24"/>
        </w:rPr>
        <w:t>（2）中标人在收到中标通知书后，无正当理由拒签合同协议书。</w:t>
      </w:r>
    </w:p>
    <w:p>
      <w:pPr>
        <w:spacing w:line="360" w:lineRule="auto"/>
        <w:ind w:firstLine="480" w:firstLineChars="200"/>
        <w:rPr>
          <w:rFonts w:ascii="宋体" w:hAnsi="宋体"/>
          <w:color w:val="auto"/>
          <w:sz w:val="24"/>
        </w:rPr>
      </w:pPr>
      <w:r>
        <w:rPr>
          <w:rFonts w:hint="eastAsia" w:ascii="宋体" w:hAnsi="宋体"/>
          <w:color w:val="auto"/>
          <w:sz w:val="24"/>
        </w:rPr>
        <w:t>（3）投标文件中提供虚假文件的；</w:t>
      </w:r>
    </w:p>
    <w:p>
      <w:pPr>
        <w:spacing w:line="360" w:lineRule="auto"/>
        <w:ind w:firstLine="480" w:firstLineChars="200"/>
        <w:rPr>
          <w:rFonts w:ascii="宋体" w:hAnsi="宋体"/>
          <w:color w:val="auto"/>
          <w:sz w:val="24"/>
        </w:rPr>
      </w:pPr>
      <w:r>
        <w:rPr>
          <w:rFonts w:hint="eastAsia" w:ascii="宋体" w:hAnsi="宋体"/>
          <w:color w:val="auto"/>
          <w:sz w:val="24"/>
        </w:rPr>
        <w:t>（4）投标人在评标期间用不正当手段试图影响、改变评标结果的；</w:t>
      </w:r>
    </w:p>
    <w:p>
      <w:pPr>
        <w:spacing w:line="360" w:lineRule="auto"/>
        <w:ind w:firstLine="480" w:firstLineChars="200"/>
        <w:rPr>
          <w:rFonts w:ascii="宋体" w:hAnsi="宋体"/>
          <w:color w:val="auto"/>
          <w:sz w:val="24"/>
          <w:highlight w:val="yellow"/>
        </w:rPr>
      </w:pPr>
      <w:r>
        <w:rPr>
          <w:rFonts w:hint="eastAsia" w:ascii="宋体" w:hAnsi="宋体"/>
          <w:color w:val="auto"/>
          <w:sz w:val="24"/>
        </w:rPr>
        <w:t>（5）与采购人、其他供应商或招标人工作人员恶意串通的；</w:t>
      </w:r>
    </w:p>
    <w:p>
      <w:pPr>
        <w:pStyle w:val="57"/>
        <w:spacing w:line="360" w:lineRule="auto"/>
        <w:rPr>
          <w:rFonts w:ascii="宋体" w:hAnsi="宋体" w:eastAsia="宋体"/>
          <w:b/>
          <w:color w:val="auto"/>
          <w:szCs w:val="24"/>
        </w:rPr>
      </w:pPr>
      <w:bookmarkStart w:id="282" w:name="_Toc407219610"/>
      <w:bookmarkStart w:id="283" w:name="_Toc489430488"/>
      <w:bookmarkStart w:id="284" w:name="_Toc475691318"/>
      <w:bookmarkStart w:id="285" w:name="_Toc9766"/>
      <w:bookmarkStart w:id="286" w:name="_Toc427583678"/>
      <w:bookmarkStart w:id="287" w:name="_Toc489430848"/>
      <w:bookmarkStart w:id="288" w:name="_Toc144974520"/>
      <w:bookmarkStart w:id="289" w:name="_Toc152042328"/>
      <w:bookmarkStart w:id="290" w:name="_Toc152045552"/>
      <w:bookmarkStart w:id="291" w:name="_Toc259605250"/>
      <w:bookmarkStart w:id="292" w:name="_Toc427580065"/>
      <w:bookmarkStart w:id="293" w:name="_Toc116314103"/>
      <w:r>
        <w:rPr>
          <w:rFonts w:hint="eastAsia" w:ascii="宋体" w:hAnsi="宋体" w:eastAsia="宋体"/>
          <w:b/>
          <w:color w:val="auto"/>
          <w:szCs w:val="24"/>
        </w:rPr>
        <w:t>3.5 资格审查资料</w:t>
      </w:r>
      <w:bookmarkEnd w:id="282"/>
      <w:bookmarkEnd w:id="283"/>
      <w:bookmarkEnd w:id="284"/>
      <w:bookmarkEnd w:id="285"/>
      <w:bookmarkEnd w:id="286"/>
      <w:bookmarkEnd w:id="287"/>
      <w:bookmarkEnd w:id="288"/>
      <w:bookmarkEnd w:id="289"/>
      <w:bookmarkEnd w:id="290"/>
      <w:bookmarkEnd w:id="291"/>
      <w:bookmarkEnd w:id="292"/>
      <w:bookmarkEnd w:id="293"/>
    </w:p>
    <w:p>
      <w:pPr>
        <w:spacing w:line="360" w:lineRule="auto"/>
        <w:ind w:firstLine="480" w:firstLineChars="200"/>
        <w:rPr>
          <w:rFonts w:ascii="宋体" w:hAnsi="宋体"/>
          <w:color w:val="auto"/>
          <w:sz w:val="24"/>
        </w:rPr>
      </w:pPr>
      <w:r>
        <w:rPr>
          <w:rFonts w:hint="eastAsia" w:ascii="宋体" w:hAnsi="宋体"/>
          <w:color w:val="auto"/>
          <w:sz w:val="24"/>
        </w:rPr>
        <w:t>3.5.1 本项目采用资格后审方式，审查内容见“第三章 评标办法前附表”。</w:t>
      </w:r>
    </w:p>
    <w:p>
      <w:pPr>
        <w:pStyle w:val="57"/>
        <w:spacing w:line="360" w:lineRule="auto"/>
        <w:rPr>
          <w:rFonts w:ascii="宋体" w:hAnsi="宋体" w:eastAsia="宋体"/>
          <w:b/>
          <w:color w:val="auto"/>
          <w:szCs w:val="24"/>
        </w:rPr>
      </w:pPr>
      <w:bookmarkStart w:id="294" w:name="_Toc489430489"/>
      <w:bookmarkStart w:id="295" w:name="_Toc489430849"/>
      <w:bookmarkStart w:id="296" w:name="_Toc152042329"/>
      <w:bookmarkStart w:id="297" w:name="_Toc427580066"/>
      <w:bookmarkStart w:id="298" w:name="_Toc3775"/>
      <w:bookmarkStart w:id="299" w:name="_Toc152045553"/>
      <w:bookmarkStart w:id="300" w:name="_Toc259605251"/>
      <w:bookmarkStart w:id="301" w:name="_Toc407219611"/>
      <w:bookmarkStart w:id="302" w:name="_Toc475691319"/>
      <w:bookmarkStart w:id="303" w:name="_Toc116314104"/>
      <w:bookmarkStart w:id="304" w:name="_Toc144974521"/>
      <w:bookmarkStart w:id="305" w:name="_Toc427583679"/>
      <w:r>
        <w:rPr>
          <w:rFonts w:hint="eastAsia" w:ascii="宋体" w:hAnsi="宋体" w:eastAsia="宋体"/>
          <w:b/>
          <w:color w:val="auto"/>
          <w:szCs w:val="24"/>
        </w:rPr>
        <w:t>3.6 备选投标方案</w:t>
      </w:r>
      <w:bookmarkEnd w:id="294"/>
      <w:bookmarkEnd w:id="295"/>
      <w:bookmarkEnd w:id="296"/>
      <w:bookmarkEnd w:id="297"/>
      <w:bookmarkEnd w:id="298"/>
      <w:bookmarkEnd w:id="299"/>
      <w:bookmarkEnd w:id="300"/>
      <w:bookmarkEnd w:id="301"/>
      <w:bookmarkEnd w:id="302"/>
      <w:bookmarkEnd w:id="303"/>
      <w:bookmarkEnd w:id="304"/>
      <w:bookmarkEnd w:id="305"/>
    </w:p>
    <w:p>
      <w:pPr>
        <w:spacing w:line="360" w:lineRule="auto"/>
        <w:ind w:firstLine="480" w:firstLineChars="200"/>
        <w:rPr>
          <w:rFonts w:ascii="宋体" w:hAnsi="宋体"/>
          <w:color w:val="auto"/>
          <w:sz w:val="24"/>
        </w:rPr>
      </w:pPr>
      <w:r>
        <w:rPr>
          <w:rFonts w:hint="eastAsia" w:ascii="宋体" w:hAnsi="宋体"/>
          <w:color w:val="auto"/>
          <w:sz w:val="24"/>
        </w:rPr>
        <w:t>本项目拒绝投标人递交备选投标方案。</w:t>
      </w:r>
    </w:p>
    <w:p>
      <w:pPr>
        <w:pStyle w:val="57"/>
        <w:spacing w:line="360" w:lineRule="auto"/>
        <w:rPr>
          <w:rFonts w:ascii="宋体" w:hAnsi="宋体" w:eastAsia="宋体"/>
          <w:b/>
          <w:color w:val="auto"/>
          <w:szCs w:val="24"/>
        </w:rPr>
      </w:pPr>
      <w:bookmarkStart w:id="306" w:name="_Toc152042330"/>
      <w:bookmarkStart w:id="307" w:name="_Toc9993"/>
      <w:bookmarkStart w:id="308" w:name="_Toc407219612"/>
      <w:bookmarkStart w:id="309" w:name="_Toc475691320"/>
      <w:bookmarkStart w:id="310" w:name="_Toc427583680"/>
      <w:bookmarkStart w:id="311" w:name="_Toc116314105"/>
      <w:bookmarkStart w:id="312" w:name="_Toc259605252"/>
      <w:bookmarkStart w:id="313" w:name="_Toc489430490"/>
      <w:bookmarkStart w:id="314" w:name="_Toc144974522"/>
      <w:bookmarkStart w:id="315" w:name="_Toc489430850"/>
      <w:bookmarkStart w:id="316" w:name="_Toc427580067"/>
      <w:bookmarkStart w:id="317" w:name="_Toc152045554"/>
      <w:r>
        <w:rPr>
          <w:rFonts w:hint="eastAsia" w:ascii="宋体" w:hAnsi="宋体" w:eastAsia="宋体"/>
          <w:b/>
          <w:color w:val="auto"/>
          <w:szCs w:val="24"/>
        </w:rPr>
        <w:t>3.7 投标文件的编制</w:t>
      </w:r>
      <w:bookmarkEnd w:id="306"/>
      <w:bookmarkEnd w:id="307"/>
      <w:bookmarkEnd w:id="308"/>
      <w:bookmarkEnd w:id="309"/>
      <w:bookmarkEnd w:id="310"/>
      <w:bookmarkEnd w:id="311"/>
      <w:bookmarkEnd w:id="312"/>
      <w:bookmarkEnd w:id="313"/>
      <w:bookmarkEnd w:id="314"/>
      <w:bookmarkEnd w:id="315"/>
      <w:bookmarkEnd w:id="316"/>
      <w:bookmarkEnd w:id="317"/>
    </w:p>
    <w:p>
      <w:pPr>
        <w:spacing w:line="360" w:lineRule="auto"/>
        <w:ind w:firstLine="480" w:firstLineChars="200"/>
        <w:rPr>
          <w:rFonts w:ascii="宋体" w:hAnsi="宋体"/>
          <w:color w:val="auto"/>
          <w:sz w:val="24"/>
        </w:rPr>
      </w:pPr>
      <w:r>
        <w:rPr>
          <w:rFonts w:hint="eastAsia" w:ascii="宋体" w:hAnsi="宋体"/>
          <w:color w:val="auto"/>
          <w:sz w:val="24"/>
        </w:rPr>
        <w:t>3.7.1投标文件应按第七章 “投标文件格式”进行编写，如有必要，可以增加附页，作为投标文件的组成部分。其中，投标函附录在满足招标文件实质性要求的基础上，可以提出比招标文件要求更有利于招标人的承诺。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宋体" w:hAnsi="宋体"/>
          <w:color w:val="auto"/>
          <w:sz w:val="24"/>
        </w:rPr>
      </w:pPr>
      <w:r>
        <w:rPr>
          <w:rFonts w:hint="eastAsia" w:ascii="宋体" w:hAnsi="宋体"/>
          <w:color w:val="auto"/>
          <w:sz w:val="24"/>
        </w:rPr>
        <w:t>3.7.2 投标文件应当对招标文件有关、投标有效期、质量、监理工作范围等实质性内容作出响应。</w:t>
      </w:r>
    </w:p>
    <w:p>
      <w:pPr>
        <w:spacing w:line="360" w:lineRule="auto"/>
        <w:ind w:firstLine="480" w:firstLineChars="200"/>
        <w:rPr>
          <w:rFonts w:ascii="宋体" w:hAnsi="宋体"/>
          <w:color w:val="auto"/>
          <w:sz w:val="24"/>
        </w:rPr>
      </w:pPr>
      <w:r>
        <w:rPr>
          <w:rFonts w:hint="eastAsia" w:ascii="宋体" w:hAnsi="宋体"/>
          <w:color w:val="auto"/>
          <w:sz w:val="24"/>
        </w:rPr>
        <w:t>3.7.3投标文件全部采用电子文档，除投标人须知前附表另有规定外，投标文件所附证书证件均为原件扫描件，并采用单位和个人数字证书，按招标文件要求在相应位置加盖电子印章。签字或盖章的具体要求见投标人须知前附表。</w:t>
      </w:r>
    </w:p>
    <w:p>
      <w:pPr>
        <w:spacing w:line="360" w:lineRule="auto"/>
        <w:ind w:firstLine="480" w:firstLineChars="200"/>
        <w:rPr>
          <w:rFonts w:ascii="宋体" w:hAnsi="宋体"/>
          <w:color w:val="auto"/>
          <w:sz w:val="24"/>
        </w:rPr>
      </w:pPr>
      <w:r>
        <w:rPr>
          <w:rFonts w:hint="eastAsia" w:ascii="宋体" w:hAnsi="宋体"/>
          <w:color w:val="auto"/>
          <w:sz w:val="24"/>
        </w:rPr>
        <w:t>特别注意事项</w:t>
      </w:r>
    </w:p>
    <w:p>
      <w:pPr>
        <w:spacing w:line="360" w:lineRule="auto"/>
        <w:ind w:firstLine="480" w:firstLineChars="200"/>
        <w:rPr>
          <w:rFonts w:ascii="宋体" w:hAnsi="宋体"/>
          <w:color w:val="auto"/>
          <w:sz w:val="24"/>
        </w:rPr>
      </w:pPr>
      <w:r>
        <w:rPr>
          <w:rFonts w:hint="eastAsia" w:ascii="宋体" w:hAnsi="宋体"/>
          <w:color w:val="auto"/>
          <w:sz w:val="24"/>
        </w:rPr>
        <w:t>本项目为电子化交易项目，投标文件是投标人、投标人（以下简称“投标人”） 通过中心投标文件制作系统制作，并经过电子签章和加密后生成的电子版投标文件。投标人投标时，需要上传电子版投标文件。</w:t>
      </w:r>
    </w:p>
    <w:p>
      <w:pPr>
        <w:spacing w:line="360" w:lineRule="auto"/>
        <w:ind w:firstLine="480" w:firstLineChars="200"/>
        <w:rPr>
          <w:rFonts w:ascii="宋体" w:hAnsi="宋体"/>
          <w:color w:val="auto"/>
          <w:sz w:val="24"/>
        </w:rPr>
      </w:pPr>
      <w:r>
        <w:rPr>
          <w:rFonts w:hint="eastAsia" w:ascii="宋体" w:hAnsi="宋体"/>
          <w:color w:val="auto"/>
          <w:sz w:val="24"/>
        </w:rPr>
        <w:t>电子化投标文件具体制作教材请投标人通过 CA 证书登录宝丰县公共资源电子化交易网在 “组件下载”中查看。</w:t>
      </w:r>
    </w:p>
    <w:p>
      <w:pPr>
        <w:pStyle w:val="56"/>
        <w:spacing w:before="0" w:line="360" w:lineRule="auto"/>
        <w:rPr>
          <w:rFonts w:ascii="宋体" w:hAnsi="宋体" w:eastAsia="宋体"/>
          <w:b/>
          <w:color w:val="auto"/>
        </w:rPr>
      </w:pPr>
      <w:bookmarkStart w:id="318" w:name="_Toc489430851"/>
      <w:bookmarkStart w:id="319" w:name="_Toc13016"/>
      <w:bookmarkStart w:id="320" w:name="_Toc475691321"/>
      <w:bookmarkStart w:id="321" w:name="_Toc144974523"/>
      <w:bookmarkStart w:id="322" w:name="_Toc116314106"/>
      <w:bookmarkStart w:id="323" w:name="_Toc152045555"/>
      <w:bookmarkStart w:id="324" w:name="_Toc489430491"/>
      <w:bookmarkStart w:id="325" w:name="_Toc152042331"/>
      <w:r>
        <w:rPr>
          <w:rFonts w:hint="eastAsia" w:ascii="宋体" w:hAnsi="宋体" w:eastAsia="宋体"/>
          <w:b/>
          <w:color w:val="auto"/>
        </w:rPr>
        <w:t>4. 投标</w:t>
      </w:r>
      <w:bookmarkEnd w:id="318"/>
      <w:bookmarkEnd w:id="319"/>
      <w:bookmarkEnd w:id="320"/>
      <w:bookmarkEnd w:id="321"/>
      <w:bookmarkEnd w:id="322"/>
      <w:bookmarkEnd w:id="323"/>
      <w:bookmarkEnd w:id="324"/>
      <w:bookmarkEnd w:id="325"/>
    </w:p>
    <w:p>
      <w:pPr>
        <w:spacing w:line="360" w:lineRule="auto"/>
        <w:rPr>
          <w:rFonts w:ascii="宋体" w:hAnsi="宋体"/>
          <w:b/>
          <w:bCs/>
          <w:color w:val="auto"/>
          <w:sz w:val="24"/>
        </w:rPr>
      </w:pPr>
      <w:bookmarkStart w:id="326" w:name="_Toc489430493"/>
      <w:bookmarkStart w:id="327" w:name="_Toc259605255"/>
      <w:bookmarkStart w:id="328" w:name="_Toc475691323"/>
      <w:bookmarkStart w:id="329" w:name="_Toc427580070"/>
      <w:bookmarkStart w:id="330" w:name="_Toc407219615"/>
      <w:bookmarkStart w:id="331" w:name="_Toc152045557"/>
      <w:bookmarkStart w:id="332" w:name="_Toc152042333"/>
      <w:bookmarkStart w:id="333" w:name="_Toc13925"/>
      <w:bookmarkStart w:id="334" w:name="_Toc489430853"/>
      <w:bookmarkStart w:id="335" w:name="_Toc144974525"/>
      <w:bookmarkStart w:id="336" w:name="_Toc427583683"/>
      <w:r>
        <w:rPr>
          <w:rFonts w:hint="eastAsia" w:ascii="宋体" w:hAnsi="宋体"/>
          <w:b/>
          <w:bCs/>
          <w:color w:val="auto"/>
          <w:sz w:val="24"/>
        </w:rPr>
        <w:t>4.1 投标文件的加密</w:t>
      </w:r>
    </w:p>
    <w:p>
      <w:pPr>
        <w:spacing w:line="360" w:lineRule="auto"/>
        <w:ind w:firstLine="480" w:firstLineChars="200"/>
        <w:rPr>
          <w:rFonts w:ascii="宋体" w:hAnsi="宋体"/>
          <w:color w:val="auto"/>
          <w:sz w:val="24"/>
        </w:rPr>
      </w:pPr>
      <w:r>
        <w:rPr>
          <w:rFonts w:hint="eastAsia" w:ascii="宋体" w:hAnsi="宋体"/>
          <w:color w:val="auto"/>
          <w:sz w:val="24"/>
        </w:rPr>
        <w:t>4.1.1实行电子招标投标时，</w:t>
      </w:r>
      <w:r>
        <w:rPr>
          <w:rFonts w:ascii="宋体" w:hAnsi="宋体"/>
          <w:color w:val="auto"/>
          <w:sz w:val="24"/>
        </w:rPr>
        <w:t>供应商应当按照招标文件和电子招标投标交易平台的要求加密投标文件。</w:t>
      </w:r>
    </w:p>
    <w:p>
      <w:pPr>
        <w:spacing w:line="360" w:lineRule="auto"/>
        <w:rPr>
          <w:rFonts w:ascii="宋体" w:hAnsi="宋体"/>
          <w:b/>
          <w:bCs/>
          <w:color w:val="auto"/>
          <w:sz w:val="24"/>
        </w:rPr>
      </w:pPr>
      <w:r>
        <w:rPr>
          <w:rFonts w:hint="eastAsia" w:ascii="宋体" w:hAnsi="宋体"/>
          <w:b/>
          <w:bCs/>
          <w:color w:val="auto"/>
          <w:sz w:val="24"/>
        </w:rPr>
        <w:t>4.2 投标文件的递交</w:t>
      </w:r>
      <w:bookmarkEnd w:id="326"/>
      <w:bookmarkEnd w:id="327"/>
      <w:bookmarkEnd w:id="328"/>
      <w:bookmarkEnd w:id="329"/>
      <w:bookmarkEnd w:id="330"/>
      <w:bookmarkEnd w:id="331"/>
      <w:bookmarkEnd w:id="332"/>
      <w:bookmarkEnd w:id="333"/>
      <w:bookmarkEnd w:id="334"/>
      <w:bookmarkEnd w:id="335"/>
      <w:bookmarkEnd w:id="336"/>
    </w:p>
    <w:p>
      <w:pPr>
        <w:spacing w:line="360" w:lineRule="auto"/>
        <w:ind w:firstLine="480" w:firstLineChars="200"/>
        <w:rPr>
          <w:rFonts w:ascii="宋体" w:hAnsi="宋体"/>
          <w:color w:val="auto"/>
          <w:sz w:val="24"/>
        </w:rPr>
      </w:pPr>
      <w:bookmarkStart w:id="337" w:name="_Toc152045558"/>
      <w:bookmarkStart w:id="338" w:name="_Toc152042334"/>
      <w:bookmarkStart w:id="339" w:name="_Toc489430854"/>
      <w:bookmarkStart w:id="340" w:name="_Toc144974526"/>
      <w:bookmarkStart w:id="341" w:name="_Toc407219616"/>
      <w:bookmarkStart w:id="342" w:name="_Toc427580071"/>
      <w:bookmarkStart w:id="343" w:name="_Toc475691324"/>
      <w:bookmarkStart w:id="344" w:name="_Toc16543"/>
      <w:bookmarkStart w:id="345" w:name="_Toc489430494"/>
      <w:bookmarkStart w:id="346" w:name="_Toc427583684"/>
      <w:bookmarkStart w:id="347" w:name="_Toc259605256"/>
      <w:r>
        <w:rPr>
          <w:rFonts w:hint="eastAsia" w:ascii="宋体" w:hAnsi="宋体"/>
          <w:color w:val="auto"/>
          <w:sz w:val="24"/>
        </w:rPr>
        <w:t>4.2.1 加密电子投标文件应在招标文件规定的投标截止时间（开标时间）之前成功提交至 《 全 国 公 共 资 源 交 易 平 台 ( 河 南 省 ▪ 平 顶 山 市 ) 》 公 共 资 源 交 易 系 统（http://221.176.192.166:8080/ggzy/）。投标人应充分考虑并预留技术处理和上传数据所需时间。上传时必须得到电脑“上传成功”的确认。请投标人在上传时认真检查上传投标文件是否完整、正确。</w:t>
      </w:r>
    </w:p>
    <w:p>
      <w:pPr>
        <w:spacing w:line="360" w:lineRule="auto"/>
        <w:ind w:firstLine="480" w:firstLineChars="200"/>
        <w:rPr>
          <w:rFonts w:ascii="宋体" w:hAnsi="宋体"/>
          <w:color w:val="auto"/>
          <w:sz w:val="24"/>
        </w:rPr>
      </w:pPr>
      <w:r>
        <w:rPr>
          <w:rFonts w:hint="eastAsia" w:ascii="宋体" w:hAnsi="宋体"/>
          <w:color w:val="auto"/>
          <w:sz w:val="24"/>
        </w:rPr>
        <w:t>投标人对同一项目多个标段进行投标的，加密电子投标文件应按标段分别提交。</w:t>
      </w:r>
    </w:p>
    <w:p>
      <w:pPr>
        <w:spacing w:line="360" w:lineRule="auto"/>
        <w:ind w:firstLine="480" w:firstLineChars="200"/>
        <w:rPr>
          <w:rFonts w:ascii="宋体" w:hAnsi="宋体"/>
          <w:color w:val="auto"/>
          <w:sz w:val="24"/>
        </w:rPr>
      </w:pPr>
      <w:r>
        <w:rPr>
          <w:rFonts w:hint="eastAsia" w:ascii="宋体" w:hAnsi="宋体"/>
          <w:color w:val="auto"/>
          <w:sz w:val="24"/>
        </w:rPr>
        <w:t>逾期未完成上传或未按要求递交投标文件电子文档的，招标人不予受理。</w:t>
      </w:r>
    </w:p>
    <w:p>
      <w:pPr>
        <w:pStyle w:val="57"/>
        <w:spacing w:line="360" w:lineRule="auto"/>
        <w:rPr>
          <w:rFonts w:ascii="宋体" w:hAnsi="宋体" w:eastAsia="宋体"/>
          <w:b/>
          <w:color w:val="auto"/>
          <w:szCs w:val="24"/>
        </w:rPr>
      </w:pPr>
      <w:bookmarkStart w:id="348" w:name="_Toc116314107"/>
      <w:r>
        <w:rPr>
          <w:rFonts w:hint="eastAsia" w:ascii="宋体" w:hAnsi="宋体" w:eastAsia="宋体"/>
          <w:b/>
          <w:color w:val="auto"/>
          <w:szCs w:val="24"/>
        </w:rPr>
        <w:t>4.3 投标文件的修改与撤回</w:t>
      </w:r>
      <w:bookmarkEnd w:id="337"/>
      <w:bookmarkEnd w:id="338"/>
      <w:bookmarkEnd w:id="339"/>
      <w:bookmarkEnd w:id="340"/>
      <w:bookmarkEnd w:id="341"/>
      <w:bookmarkEnd w:id="342"/>
      <w:bookmarkEnd w:id="343"/>
      <w:bookmarkEnd w:id="344"/>
      <w:bookmarkEnd w:id="345"/>
      <w:bookmarkEnd w:id="346"/>
      <w:bookmarkEnd w:id="347"/>
      <w:bookmarkEnd w:id="348"/>
    </w:p>
    <w:p>
      <w:pPr>
        <w:spacing w:line="360" w:lineRule="auto"/>
        <w:ind w:firstLine="480" w:firstLineChars="200"/>
        <w:rPr>
          <w:rFonts w:ascii="宋体" w:hAnsi="宋体"/>
          <w:color w:val="auto"/>
          <w:sz w:val="24"/>
        </w:rPr>
      </w:pPr>
      <w:bookmarkStart w:id="349" w:name="_Toc152042335"/>
      <w:bookmarkStart w:id="350" w:name="_Toc489430495"/>
      <w:bookmarkStart w:id="351" w:name="_Toc152045559"/>
      <w:bookmarkStart w:id="352" w:name="_Toc475691325"/>
      <w:bookmarkStart w:id="353" w:name="_Toc144974527"/>
      <w:bookmarkStart w:id="354" w:name="_Toc17602"/>
      <w:bookmarkStart w:id="355" w:name="_Toc489430855"/>
      <w:r>
        <w:rPr>
          <w:rFonts w:hint="eastAsia" w:ascii="宋体" w:hAnsi="宋体"/>
          <w:color w:val="auto"/>
          <w:sz w:val="24"/>
        </w:rPr>
        <w:t>4.3.1 在本章规定的投标截止时间前，投标人可以修改或撤回已递交的投标文件，应在电子交易系统中通知招标人。</w:t>
      </w:r>
    </w:p>
    <w:p>
      <w:pPr>
        <w:spacing w:line="360" w:lineRule="auto"/>
        <w:ind w:firstLine="480" w:firstLineChars="200"/>
        <w:rPr>
          <w:rFonts w:ascii="宋体" w:hAnsi="宋体"/>
          <w:color w:val="auto"/>
          <w:sz w:val="24"/>
        </w:rPr>
      </w:pPr>
      <w:r>
        <w:rPr>
          <w:rFonts w:hint="eastAsia" w:ascii="宋体" w:hAnsi="宋体"/>
          <w:color w:val="auto"/>
          <w:sz w:val="24"/>
        </w:rPr>
        <w:t>4.3.2 投标人撤回投标文件的，招标人自收到投标人书面撤回通知之日起5日内退还已收取的投标保证金。</w:t>
      </w:r>
    </w:p>
    <w:p>
      <w:pPr>
        <w:spacing w:line="360" w:lineRule="auto"/>
        <w:ind w:firstLine="480" w:firstLineChars="200"/>
        <w:rPr>
          <w:rFonts w:ascii="宋体" w:hAnsi="宋体"/>
          <w:color w:val="auto"/>
          <w:sz w:val="24"/>
        </w:rPr>
      </w:pPr>
      <w:r>
        <w:rPr>
          <w:rFonts w:hint="eastAsia" w:ascii="宋体" w:hAnsi="宋体"/>
          <w:color w:val="auto"/>
          <w:sz w:val="24"/>
        </w:rPr>
        <w:t>4.3.4 修改的内容为投标文件的组成部分。</w:t>
      </w:r>
    </w:p>
    <w:p>
      <w:pPr>
        <w:pStyle w:val="56"/>
        <w:spacing w:before="0" w:line="360" w:lineRule="auto"/>
        <w:rPr>
          <w:rFonts w:ascii="宋体" w:hAnsi="宋体" w:eastAsia="宋体"/>
          <w:b/>
          <w:color w:val="auto"/>
        </w:rPr>
      </w:pPr>
      <w:bookmarkStart w:id="356" w:name="_Toc116314108"/>
      <w:r>
        <w:rPr>
          <w:rFonts w:hint="eastAsia" w:ascii="宋体" w:hAnsi="宋体" w:eastAsia="宋体"/>
          <w:b/>
          <w:color w:val="auto"/>
        </w:rPr>
        <w:t>5. 开标</w:t>
      </w:r>
      <w:bookmarkEnd w:id="349"/>
      <w:bookmarkEnd w:id="350"/>
      <w:bookmarkEnd w:id="351"/>
      <w:bookmarkEnd w:id="352"/>
      <w:bookmarkEnd w:id="353"/>
      <w:bookmarkEnd w:id="354"/>
      <w:bookmarkEnd w:id="355"/>
      <w:bookmarkEnd w:id="356"/>
    </w:p>
    <w:p>
      <w:pPr>
        <w:pStyle w:val="57"/>
        <w:spacing w:line="360" w:lineRule="auto"/>
        <w:rPr>
          <w:rFonts w:ascii="宋体" w:hAnsi="宋体" w:eastAsia="宋体"/>
          <w:b/>
          <w:color w:val="auto"/>
          <w:szCs w:val="24"/>
        </w:rPr>
      </w:pPr>
      <w:bookmarkStart w:id="357" w:name="_Toc152042336"/>
      <w:bookmarkStart w:id="358" w:name="_Toc427580073"/>
      <w:bookmarkStart w:id="359" w:name="_Toc152045560"/>
      <w:bookmarkStart w:id="360" w:name="_Toc489430856"/>
      <w:bookmarkStart w:id="361" w:name="_Toc116314109"/>
      <w:bookmarkStart w:id="362" w:name="_Toc475691326"/>
      <w:bookmarkStart w:id="363" w:name="_Toc28178"/>
      <w:bookmarkStart w:id="364" w:name="_Toc489430496"/>
      <w:bookmarkStart w:id="365" w:name="_Toc144974528"/>
      <w:bookmarkStart w:id="366" w:name="_Toc407219618"/>
      <w:bookmarkStart w:id="367" w:name="_Toc427583686"/>
      <w:r>
        <w:rPr>
          <w:rFonts w:hint="eastAsia" w:ascii="宋体" w:hAnsi="宋体" w:eastAsia="宋体"/>
          <w:b/>
          <w:color w:val="auto"/>
          <w:szCs w:val="24"/>
        </w:rPr>
        <w:t>5.1 开标时间和地点</w:t>
      </w:r>
      <w:bookmarkEnd w:id="357"/>
      <w:bookmarkEnd w:id="358"/>
      <w:bookmarkEnd w:id="359"/>
      <w:bookmarkEnd w:id="360"/>
      <w:bookmarkEnd w:id="361"/>
      <w:bookmarkEnd w:id="362"/>
      <w:bookmarkEnd w:id="363"/>
      <w:bookmarkEnd w:id="364"/>
      <w:bookmarkEnd w:id="365"/>
      <w:bookmarkEnd w:id="366"/>
      <w:bookmarkEnd w:id="367"/>
    </w:p>
    <w:p>
      <w:pPr>
        <w:spacing w:line="360" w:lineRule="auto"/>
        <w:ind w:firstLine="480" w:firstLineChars="200"/>
        <w:rPr>
          <w:rFonts w:ascii="宋体" w:hAnsi="宋体"/>
          <w:color w:val="auto"/>
          <w:sz w:val="24"/>
        </w:rPr>
      </w:pPr>
      <w:r>
        <w:rPr>
          <w:rFonts w:hint="eastAsia" w:ascii="宋体" w:hAnsi="宋体"/>
          <w:color w:val="auto"/>
          <w:sz w:val="24"/>
        </w:rPr>
        <w:t>招标人在本章规定的投标截止时间（开标时间）和投标人须知前附表规定的地点公开开标。</w:t>
      </w:r>
    </w:p>
    <w:p>
      <w:pPr>
        <w:pStyle w:val="57"/>
        <w:spacing w:line="360" w:lineRule="auto"/>
        <w:rPr>
          <w:rFonts w:ascii="宋体" w:hAnsi="宋体" w:eastAsia="宋体"/>
          <w:b/>
          <w:color w:val="auto"/>
          <w:szCs w:val="24"/>
        </w:rPr>
      </w:pPr>
      <w:bookmarkStart w:id="368" w:name="_Toc475691327"/>
      <w:bookmarkStart w:id="369" w:name="_Toc489430857"/>
      <w:bookmarkStart w:id="370" w:name="_Toc489430497"/>
      <w:bookmarkStart w:id="371" w:name="_Toc152045561"/>
      <w:bookmarkStart w:id="372" w:name="_Toc152042337"/>
      <w:bookmarkStart w:id="373" w:name="_Toc144974529"/>
      <w:bookmarkStart w:id="374" w:name="_Toc407219619"/>
      <w:bookmarkStart w:id="375" w:name="_Toc116314110"/>
      <w:bookmarkStart w:id="376" w:name="_Toc13923"/>
      <w:bookmarkStart w:id="377" w:name="_Toc427580074"/>
      <w:bookmarkStart w:id="378" w:name="_Toc427583687"/>
      <w:r>
        <w:rPr>
          <w:rFonts w:hint="eastAsia" w:ascii="宋体" w:hAnsi="宋体" w:eastAsia="宋体"/>
          <w:b/>
          <w:color w:val="auto"/>
          <w:szCs w:val="24"/>
        </w:rPr>
        <w:t>5.2 开标程序</w:t>
      </w:r>
      <w:bookmarkEnd w:id="368"/>
      <w:bookmarkEnd w:id="369"/>
      <w:bookmarkEnd w:id="370"/>
      <w:bookmarkEnd w:id="371"/>
      <w:bookmarkEnd w:id="372"/>
      <w:bookmarkEnd w:id="373"/>
      <w:bookmarkEnd w:id="374"/>
      <w:bookmarkEnd w:id="375"/>
      <w:bookmarkEnd w:id="376"/>
      <w:bookmarkEnd w:id="377"/>
      <w:bookmarkEnd w:id="378"/>
    </w:p>
    <w:p>
      <w:pPr>
        <w:spacing w:line="360" w:lineRule="auto"/>
        <w:ind w:firstLine="480" w:firstLineChars="200"/>
        <w:rPr>
          <w:rFonts w:ascii="宋体" w:hAnsi="宋体"/>
          <w:color w:val="auto"/>
          <w:sz w:val="24"/>
        </w:rPr>
      </w:pPr>
      <w:bookmarkStart w:id="379" w:name="_Toc475691328"/>
      <w:bookmarkStart w:id="380" w:name="_Toc427583688"/>
      <w:bookmarkStart w:id="381" w:name="_Toc489430858"/>
      <w:bookmarkStart w:id="382" w:name="_Toc8289"/>
      <w:bookmarkStart w:id="383" w:name="_Toc489430498"/>
      <w:bookmarkStart w:id="384" w:name="_Toc427580075"/>
      <w:r>
        <w:rPr>
          <w:rFonts w:hint="eastAsia" w:ascii="宋体" w:hAnsi="宋体"/>
          <w:color w:val="auto"/>
          <w:sz w:val="24"/>
        </w:rPr>
        <w:t>（1）电子化投标文件采用双重加密方式。开标时，投标人采用网上远程异地解密时，请用CA证书登录宝丰县公共资源交易中心业务系统，进入本项目开标大厅点击解密来完成投标文件的解密工作（每位投标人的解密时间为开标时间起30分钟内完成，超过规定时间解密的投标文件不予接收）。投标人解密完成后，再由中介服务机构使用CA证书对投标文件进行再次解密。</w:t>
      </w:r>
      <w:r>
        <w:rPr>
          <w:rFonts w:hint="eastAsia" w:ascii="宋体" w:hAnsi="宋体"/>
          <w:color w:val="auto"/>
          <w:sz w:val="24"/>
        </w:rPr>
        <w:tab/>
      </w:r>
    </w:p>
    <w:p>
      <w:pPr>
        <w:spacing w:line="360" w:lineRule="auto"/>
        <w:ind w:firstLine="480" w:firstLineChars="200"/>
        <w:rPr>
          <w:rFonts w:ascii="宋体" w:hAnsi="宋体"/>
          <w:color w:val="auto"/>
          <w:sz w:val="24"/>
        </w:rPr>
      </w:pPr>
      <w:r>
        <w:rPr>
          <w:rFonts w:hint="eastAsia" w:ascii="宋体" w:hAnsi="宋体"/>
          <w:color w:val="auto"/>
          <w:sz w:val="24"/>
        </w:rPr>
        <w:t>（2）电子化投标文件解密异常的处理</w:t>
      </w:r>
    </w:p>
    <w:p>
      <w:pPr>
        <w:spacing w:line="360" w:lineRule="auto"/>
        <w:ind w:firstLine="480" w:firstLineChars="200"/>
        <w:rPr>
          <w:rFonts w:ascii="宋体" w:hAnsi="宋体"/>
          <w:color w:val="auto"/>
          <w:sz w:val="24"/>
        </w:rPr>
      </w:pPr>
      <w:r>
        <w:rPr>
          <w:rFonts w:hint="eastAsia" w:ascii="宋体" w:hAnsi="宋体"/>
          <w:color w:val="auto"/>
          <w:sz w:val="24"/>
        </w:rPr>
        <w:t>如出现投标人的电子投标文件无法解密的情况，投标人应及时致电中介服务机构说明。投标文件解密异常，按以下步骤进行处理：</w:t>
      </w:r>
    </w:p>
    <w:p>
      <w:pPr>
        <w:spacing w:line="360" w:lineRule="auto"/>
        <w:ind w:firstLine="480" w:firstLineChars="200"/>
        <w:rPr>
          <w:rFonts w:ascii="宋体" w:hAnsi="宋体"/>
          <w:color w:val="auto"/>
          <w:sz w:val="24"/>
        </w:rPr>
      </w:pPr>
      <w:r>
        <w:rPr>
          <w:rFonts w:hint="eastAsia" w:ascii="宋体" w:hAnsi="宋体"/>
          <w:color w:val="auto"/>
          <w:sz w:val="24"/>
        </w:rPr>
        <w:t>①首先由技术人员进行问题排查。</w:t>
      </w:r>
    </w:p>
    <w:p>
      <w:pPr>
        <w:spacing w:line="360" w:lineRule="auto"/>
        <w:ind w:firstLine="480" w:firstLineChars="200"/>
        <w:rPr>
          <w:rFonts w:ascii="宋体" w:hAnsi="宋体"/>
          <w:color w:val="auto"/>
          <w:sz w:val="24"/>
        </w:rPr>
      </w:pPr>
      <w:r>
        <w:rPr>
          <w:rFonts w:hint="eastAsia" w:ascii="宋体" w:hAnsi="宋体"/>
          <w:color w:val="auto"/>
          <w:sz w:val="24"/>
        </w:rPr>
        <w:t>②经技术人员排查后，是投标文件自身问题导致投标文件无法解密的，该投标文件将不予接收、解密和唱标。开标会议继续进行。</w:t>
      </w:r>
    </w:p>
    <w:p>
      <w:pPr>
        <w:spacing w:line="360" w:lineRule="auto"/>
        <w:ind w:firstLine="480" w:firstLineChars="200"/>
        <w:rPr>
          <w:rFonts w:ascii="宋体" w:hAnsi="宋体"/>
          <w:color w:val="auto"/>
          <w:sz w:val="24"/>
        </w:rPr>
      </w:pPr>
      <w:r>
        <w:rPr>
          <w:rFonts w:hint="eastAsia" w:ascii="宋体" w:hAnsi="宋体"/>
          <w:color w:val="auto"/>
          <w:sz w:val="24"/>
        </w:rPr>
        <w:t>③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pPr>
        <w:spacing w:line="360" w:lineRule="auto"/>
        <w:ind w:firstLine="480" w:firstLineChars="200"/>
        <w:rPr>
          <w:rFonts w:ascii="宋体" w:hAnsi="宋体"/>
          <w:color w:val="auto"/>
          <w:sz w:val="24"/>
        </w:rPr>
      </w:pPr>
      <w:r>
        <w:rPr>
          <w:rFonts w:hint="eastAsia" w:ascii="宋体" w:hAnsi="宋体"/>
          <w:color w:val="auto"/>
          <w:sz w:val="24"/>
        </w:rPr>
        <w:t>（3）待所有投标人投标文件解密完成后，由中介服务机构操作，对所有已解密投标文件进行唱标。</w:t>
      </w:r>
    </w:p>
    <w:p>
      <w:pPr>
        <w:spacing w:line="360" w:lineRule="auto"/>
        <w:ind w:firstLine="480" w:firstLineChars="200"/>
        <w:rPr>
          <w:rFonts w:ascii="宋体" w:hAnsi="宋体"/>
          <w:color w:val="auto"/>
          <w:sz w:val="24"/>
        </w:rPr>
      </w:pPr>
      <w:r>
        <w:rPr>
          <w:rFonts w:hint="eastAsia" w:ascii="宋体" w:hAnsi="宋体"/>
          <w:color w:val="auto"/>
          <w:sz w:val="24"/>
        </w:rPr>
        <w:t>（4）投标人应保证在开标期间电话、电脑、网络能够正常工作，投标人因停电、电脑病毒、网络堵塞等原因，未在规定的解密时间内对投标文件进行解密的，其投标文件不予接收、唱标。</w:t>
      </w:r>
    </w:p>
    <w:p>
      <w:pPr>
        <w:spacing w:line="360" w:lineRule="auto"/>
        <w:ind w:firstLine="480" w:firstLineChars="200"/>
        <w:rPr>
          <w:rFonts w:ascii="宋体" w:hAnsi="宋体"/>
          <w:color w:val="auto"/>
          <w:sz w:val="24"/>
        </w:rPr>
      </w:pPr>
      <w:r>
        <w:rPr>
          <w:rFonts w:hint="eastAsia" w:ascii="宋体" w:hAnsi="宋体"/>
          <w:color w:val="auto"/>
          <w:sz w:val="24"/>
        </w:rPr>
        <w:t>（5）开标时投标人可登录到交易系统在开标大厅中点击开标一览表查看自己的投标报价。如对自己的唱标内容有异议的，应在唱标内容显示后20分钟内通过系统操作导航下方“标中质询”向中介服务机构在线网上提出质疑。投标人未在规定时间内提出质疑的，视为认可唱标内容。</w:t>
      </w:r>
    </w:p>
    <w:p>
      <w:pPr>
        <w:spacing w:line="360" w:lineRule="auto"/>
        <w:ind w:firstLine="480" w:firstLineChars="200"/>
        <w:rPr>
          <w:rFonts w:ascii="宋体" w:hAnsi="宋体"/>
          <w:color w:val="auto"/>
          <w:sz w:val="24"/>
        </w:rPr>
      </w:pPr>
      <w:r>
        <w:rPr>
          <w:rFonts w:hint="eastAsia" w:ascii="宋体" w:hAnsi="宋体"/>
          <w:color w:val="auto"/>
          <w:sz w:val="24"/>
        </w:rPr>
        <w:t>（6）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pPr>
        <w:spacing w:line="360" w:lineRule="auto"/>
        <w:ind w:firstLine="480" w:firstLineChars="200"/>
        <w:rPr>
          <w:rFonts w:ascii="宋体" w:hAnsi="宋体"/>
          <w:color w:val="auto"/>
          <w:sz w:val="24"/>
        </w:rPr>
      </w:pPr>
      <w:r>
        <w:rPr>
          <w:rFonts w:hint="eastAsia" w:ascii="宋体" w:hAnsi="宋体"/>
          <w:color w:val="auto"/>
          <w:sz w:val="24"/>
        </w:rPr>
        <w:t>（7）如评标委员会对需要回复的投标人回复内容有异议的，经过几次回复仍不清楚的，需在监督下进行免提电话进行质疑。</w:t>
      </w:r>
    </w:p>
    <w:p>
      <w:pPr>
        <w:spacing w:line="360" w:lineRule="auto"/>
        <w:ind w:firstLine="480" w:firstLineChars="200"/>
        <w:rPr>
          <w:rFonts w:ascii="宋体" w:hAnsi="宋体" w:cs="宋体"/>
          <w:bCs/>
          <w:color w:val="auto"/>
        </w:rPr>
      </w:pPr>
      <w:r>
        <w:rPr>
          <w:rFonts w:hint="eastAsia" w:ascii="宋体" w:hAnsi="宋体"/>
          <w:color w:val="auto"/>
          <w:sz w:val="24"/>
        </w:rPr>
        <w:t>（8）评标时如因系统异常、停电、电脑病毒、网络堵塞等原因无法正常进行的，由技术人员排查解决，短时间无法解决的，经监督部门同意后，暂停评标活动，待问题解决后继续评标。</w:t>
      </w:r>
    </w:p>
    <w:p>
      <w:pPr>
        <w:pStyle w:val="57"/>
        <w:spacing w:line="360" w:lineRule="auto"/>
        <w:rPr>
          <w:rFonts w:ascii="宋体" w:hAnsi="宋体" w:eastAsia="宋体"/>
          <w:b/>
          <w:color w:val="auto"/>
          <w:szCs w:val="24"/>
        </w:rPr>
      </w:pPr>
      <w:bookmarkStart w:id="385" w:name="_Toc116314111"/>
      <w:r>
        <w:rPr>
          <w:rFonts w:hint="eastAsia" w:ascii="宋体" w:hAnsi="宋体" w:eastAsia="宋体"/>
          <w:b/>
          <w:color w:val="auto"/>
          <w:szCs w:val="24"/>
        </w:rPr>
        <w:t>5.3开标异议</w:t>
      </w:r>
      <w:bookmarkEnd w:id="379"/>
      <w:bookmarkEnd w:id="380"/>
      <w:bookmarkEnd w:id="381"/>
      <w:bookmarkEnd w:id="382"/>
      <w:bookmarkEnd w:id="383"/>
      <w:bookmarkEnd w:id="384"/>
      <w:bookmarkEnd w:id="385"/>
    </w:p>
    <w:p>
      <w:pPr>
        <w:spacing w:line="360" w:lineRule="auto"/>
        <w:ind w:firstLine="480" w:firstLineChars="200"/>
        <w:rPr>
          <w:rFonts w:ascii="宋体" w:hAnsi="宋体"/>
          <w:color w:val="auto"/>
          <w:sz w:val="24"/>
        </w:rPr>
      </w:pPr>
      <w:bookmarkStart w:id="386" w:name="_Toc144974530"/>
      <w:bookmarkStart w:id="387" w:name="_Toc152045562"/>
      <w:bookmarkStart w:id="388" w:name="_Toc489430859"/>
      <w:bookmarkStart w:id="389" w:name="_Toc152042338"/>
      <w:bookmarkStart w:id="390" w:name="_Toc489430499"/>
      <w:bookmarkStart w:id="391" w:name="_Toc10889"/>
      <w:bookmarkStart w:id="392" w:name="_Toc475691329"/>
      <w:r>
        <w:rPr>
          <w:rFonts w:hint="eastAsia" w:ascii="宋体" w:hAnsi="宋体"/>
          <w:color w:val="auto"/>
          <w:sz w:val="24"/>
        </w:rPr>
        <w:t>投标人对开标有异议的，应当在开标现场提出，招标人当场作出答复，并制作记录。</w:t>
      </w:r>
    </w:p>
    <w:p>
      <w:pPr>
        <w:pStyle w:val="56"/>
        <w:spacing w:line="360" w:lineRule="auto"/>
        <w:rPr>
          <w:rFonts w:ascii="宋体" w:hAnsi="宋体" w:eastAsia="宋体"/>
          <w:b/>
          <w:color w:val="auto"/>
        </w:rPr>
      </w:pPr>
      <w:bookmarkStart w:id="393" w:name="_Toc116314112"/>
      <w:r>
        <w:rPr>
          <w:rFonts w:hint="eastAsia" w:ascii="宋体" w:hAnsi="宋体" w:eastAsia="宋体"/>
          <w:b/>
          <w:color w:val="auto"/>
        </w:rPr>
        <w:t>6. 评标</w:t>
      </w:r>
      <w:bookmarkEnd w:id="386"/>
      <w:bookmarkEnd w:id="387"/>
      <w:bookmarkEnd w:id="388"/>
      <w:bookmarkEnd w:id="389"/>
      <w:bookmarkEnd w:id="390"/>
      <w:bookmarkEnd w:id="391"/>
      <w:bookmarkEnd w:id="392"/>
      <w:bookmarkEnd w:id="393"/>
    </w:p>
    <w:p>
      <w:pPr>
        <w:pStyle w:val="57"/>
        <w:spacing w:line="360" w:lineRule="auto"/>
        <w:rPr>
          <w:rFonts w:ascii="宋体" w:hAnsi="宋体" w:eastAsia="宋体"/>
          <w:b/>
          <w:color w:val="auto"/>
          <w:szCs w:val="24"/>
        </w:rPr>
      </w:pPr>
      <w:bookmarkStart w:id="394" w:name="_Toc16603"/>
      <w:bookmarkStart w:id="395" w:name="_Toc407219621"/>
      <w:bookmarkStart w:id="396" w:name="_Toc475691330"/>
      <w:bookmarkStart w:id="397" w:name="_Toc116314113"/>
      <w:bookmarkStart w:id="398" w:name="_Toc152042339"/>
      <w:bookmarkStart w:id="399" w:name="_Toc489430860"/>
      <w:bookmarkStart w:id="400" w:name="_Toc427580077"/>
      <w:bookmarkStart w:id="401" w:name="_Toc152045563"/>
      <w:bookmarkStart w:id="402" w:name="_Toc427583690"/>
      <w:bookmarkStart w:id="403" w:name="_Toc144974531"/>
      <w:bookmarkStart w:id="404" w:name="_Toc489430500"/>
      <w:r>
        <w:rPr>
          <w:rFonts w:hint="eastAsia" w:ascii="宋体" w:hAnsi="宋体" w:eastAsia="宋体"/>
          <w:b/>
          <w:color w:val="auto"/>
          <w:szCs w:val="24"/>
        </w:rPr>
        <w:t>6.1 评标委员会</w:t>
      </w:r>
      <w:bookmarkEnd w:id="394"/>
      <w:bookmarkEnd w:id="395"/>
      <w:bookmarkEnd w:id="396"/>
      <w:bookmarkEnd w:id="397"/>
      <w:bookmarkEnd w:id="398"/>
      <w:bookmarkEnd w:id="399"/>
      <w:bookmarkEnd w:id="400"/>
      <w:bookmarkEnd w:id="401"/>
      <w:bookmarkEnd w:id="402"/>
      <w:bookmarkEnd w:id="403"/>
      <w:bookmarkEnd w:id="404"/>
    </w:p>
    <w:p>
      <w:pPr>
        <w:spacing w:line="360" w:lineRule="auto"/>
        <w:ind w:firstLine="480" w:firstLineChars="200"/>
        <w:rPr>
          <w:rFonts w:ascii="宋体" w:hAnsi="宋体"/>
          <w:color w:val="auto"/>
          <w:sz w:val="24"/>
        </w:rPr>
      </w:pPr>
      <w:r>
        <w:rPr>
          <w:rFonts w:hint="eastAsia" w:ascii="宋体" w:hAnsi="宋体"/>
          <w:color w:val="auto"/>
          <w:sz w:val="24"/>
        </w:rPr>
        <w:t>6.1.1 评标由招标人依法组建的评标委员会负责。评标委员会由招标人代表及具备相关技术、经济能力等方面的专家组成。评标委员会成员人数以及技术、经济等方面专家的确定方式见投标人须知前附表。</w:t>
      </w:r>
    </w:p>
    <w:p>
      <w:pPr>
        <w:spacing w:line="360" w:lineRule="auto"/>
        <w:ind w:firstLine="480" w:firstLineChars="200"/>
        <w:rPr>
          <w:rFonts w:ascii="宋体" w:hAnsi="宋体"/>
          <w:color w:val="auto"/>
          <w:sz w:val="24"/>
        </w:rPr>
      </w:pPr>
      <w:r>
        <w:rPr>
          <w:rFonts w:hint="eastAsia" w:ascii="宋体" w:hAnsi="宋体"/>
          <w:color w:val="auto"/>
          <w:sz w:val="24"/>
        </w:rPr>
        <w:t>6.1.2 评标委员会成员有下列情形之一的，应当回避：</w:t>
      </w:r>
    </w:p>
    <w:p>
      <w:pPr>
        <w:spacing w:line="360" w:lineRule="auto"/>
        <w:ind w:firstLine="480" w:firstLineChars="200"/>
        <w:rPr>
          <w:rFonts w:ascii="宋体" w:hAnsi="宋体"/>
          <w:color w:val="auto"/>
          <w:sz w:val="24"/>
        </w:rPr>
      </w:pPr>
      <w:r>
        <w:rPr>
          <w:rFonts w:hint="eastAsia" w:ascii="宋体" w:hAnsi="宋体"/>
          <w:color w:val="auto"/>
          <w:sz w:val="24"/>
        </w:rPr>
        <w:t>（1）投标人或投标人的主要负责人的近亲属；</w:t>
      </w:r>
    </w:p>
    <w:p>
      <w:pPr>
        <w:spacing w:line="360" w:lineRule="auto"/>
        <w:ind w:firstLine="480" w:firstLineChars="200"/>
        <w:rPr>
          <w:rFonts w:ascii="宋体" w:hAnsi="宋体"/>
          <w:color w:val="auto"/>
          <w:sz w:val="24"/>
        </w:rPr>
      </w:pPr>
      <w:r>
        <w:rPr>
          <w:rFonts w:hint="eastAsia" w:ascii="宋体" w:hAnsi="宋体"/>
          <w:color w:val="auto"/>
          <w:sz w:val="24"/>
        </w:rPr>
        <w:t>（2）项目主管部门或者行政监督部门的人员；</w:t>
      </w:r>
    </w:p>
    <w:p>
      <w:pPr>
        <w:spacing w:line="360" w:lineRule="auto"/>
        <w:ind w:firstLine="480" w:firstLineChars="200"/>
        <w:rPr>
          <w:rFonts w:ascii="宋体" w:hAnsi="宋体"/>
          <w:color w:val="auto"/>
          <w:sz w:val="24"/>
        </w:rPr>
      </w:pPr>
      <w:r>
        <w:rPr>
          <w:rFonts w:hint="eastAsia" w:ascii="宋体" w:hAnsi="宋体"/>
          <w:color w:val="auto"/>
          <w:sz w:val="24"/>
        </w:rPr>
        <w:t>（3）与投标人有经济利益关系，可能影响对投标公正评审的；</w:t>
      </w:r>
    </w:p>
    <w:p>
      <w:pPr>
        <w:spacing w:line="360" w:lineRule="auto"/>
        <w:ind w:firstLine="410" w:firstLineChars="171"/>
        <w:rPr>
          <w:rFonts w:ascii="宋体" w:hAnsi="宋体"/>
          <w:color w:val="auto"/>
          <w:sz w:val="24"/>
        </w:rPr>
      </w:pPr>
      <w:r>
        <w:rPr>
          <w:rFonts w:hint="eastAsia" w:ascii="宋体" w:hAnsi="宋体"/>
          <w:color w:val="auto"/>
          <w:sz w:val="24"/>
        </w:rPr>
        <w:t>（4）曾因在招标、评标以及其他与招标投标有关活动中从事违法行为而受过行政处罚或刑事处罚的。</w:t>
      </w:r>
    </w:p>
    <w:p>
      <w:pPr>
        <w:spacing w:line="360" w:lineRule="auto"/>
        <w:ind w:firstLine="410" w:firstLineChars="171"/>
        <w:rPr>
          <w:rFonts w:ascii="宋体" w:hAnsi="宋体"/>
          <w:color w:val="auto"/>
          <w:sz w:val="24"/>
        </w:rPr>
      </w:pPr>
      <w:r>
        <w:rPr>
          <w:rFonts w:hint="eastAsia" w:ascii="宋体" w:hAnsi="宋体"/>
          <w:color w:val="auto"/>
          <w:sz w:val="24"/>
        </w:rPr>
        <w:t>（5）与投标人有其他利害关系。</w:t>
      </w:r>
    </w:p>
    <w:p>
      <w:pPr>
        <w:pStyle w:val="57"/>
        <w:spacing w:line="360" w:lineRule="auto"/>
        <w:rPr>
          <w:rFonts w:ascii="宋体" w:hAnsi="宋体" w:eastAsia="宋体"/>
          <w:b/>
          <w:color w:val="auto"/>
          <w:szCs w:val="24"/>
        </w:rPr>
      </w:pPr>
      <w:bookmarkStart w:id="405" w:name="_Toc152042340"/>
      <w:bookmarkStart w:id="406" w:name="_Toc30708"/>
      <w:bookmarkStart w:id="407" w:name="_Toc427580078"/>
      <w:bookmarkStart w:id="408" w:name="_Toc144974532"/>
      <w:bookmarkStart w:id="409" w:name="_Toc152045564"/>
      <w:bookmarkStart w:id="410" w:name="_Toc475691331"/>
      <w:bookmarkStart w:id="411" w:name="_Toc489430861"/>
      <w:bookmarkStart w:id="412" w:name="_Toc116314114"/>
      <w:bookmarkStart w:id="413" w:name="_Toc427583691"/>
      <w:bookmarkStart w:id="414" w:name="_Toc407219622"/>
      <w:bookmarkStart w:id="415" w:name="_Toc489430501"/>
      <w:r>
        <w:rPr>
          <w:rFonts w:hint="eastAsia" w:ascii="宋体" w:hAnsi="宋体" w:eastAsia="宋体"/>
          <w:b/>
          <w:color w:val="auto"/>
          <w:szCs w:val="24"/>
        </w:rPr>
        <w:t>6.2 评标原则</w:t>
      </w:r>
      <w:bookmarkEnd w:id="405"/>
      <w:bookmarkEnd w:id="406"/>
      <w:bookmarkEnd w:id="407"/>
      <w:bookmarkEnd w:id="408"/>
      <w:bookmarkEnd w:id="409"/>
      <w:bookmarkEnd w:id="410"/>
      <w:bookmarkEnd w:id="411"/>
      <w:bookmarkEnd w:id="412"/>
      <w:bookmarkEnd w:id="413"/>
      <w:bookmarkEnd w:id="414"/>
      <w:bookmarkEnd w:id="415"/>
    </w:p>
    <w:p>
      <w:pPr>
        <w:spacing w:line="360" w:lineRule="auto"/>
        <w:ind w:firstLine="480" w:firstLineChars="200"/>
        <w:rPr>
          <w:rFonts w:ascii="宋体" w:hAnsi="宋体"/>
          <w:color w:val="auto"/>
          <w:sz w:val="24"/>
        </w:rPr>
      </w:pPr>
      <w:r>
        <w:rPr>
          <w:rFonts w:hint="eastAsia" w:ascii="宋体" w:hAnsi="宋体"/>
          <w:color w:val="auto"/>
          <w:sz w:val="24"/>
        </w:rPr>
        <w:t>评标活动遵循公平、公正、科学和择优的原则。招标人不承诺最低价中标，而且招标人没有义务向未中标人解释未中标原因。</w:t>
      </w:r>
    </w:p>
    <w:p>
      <w:pPr>
        <w:pStyle w:val="57"/>
        <w:spacing w:line="360" w:lineRule="auto"/>
        <w:rPr>
          <w:rFonts w:ascii="宋体" w:hAnsi="宋体" w:eastAsia="宋体"/>
          <w:b/>
          <w:color w:val="auto"/>
          <w:szCs w:val="24"/>
        </w:rPr>
      </w:pPr>
      <w:bookmarkStart w:id="416" w:name="_Toc407219623"/>
      <w:bookmarkStart w:id="417" w:name="_Toc427580079"/>
      <w:bookmarkStart w:id="418" w:name="_Toc23342"/>
      <w:bookmarkStart w:id="419" w:name="_Toc489430502"/>
      <w:bookmarkStart w:id="420" w:name="_Toc116314115"/>
      <w:bookmarkStart w:id="421" w:name="_Toc152045565"/>
      <w:bookmarkStart w:id="422" w:name="_Toc144974533"/>
      <w:bookmarkStart w:id="423" w:name="_Toc427583692"/>
      <w:bookmarkStart w:id="424" w:name="_Toc152042341"/>
      <w:bookmarkStart w:id="425" w:name="_Toc489430862"/>
      <w:bookmarkStart w:id="426" w:name="_Toc475691332"/>
      <w:r>
        <w:rPr>
          <w:rFonts w:hint="eastAsia" w:ascii="宋体" w:hAnsi="宋体" w:eastAsia="宋体"/>
          <w:b/>
          <w:color w:val="auto"/>
          <w:szCs w:val="24"/>
        </w:rPr>
        <w:t>6.3 评标</w:t>
      </w:r>
      <w:bookmarkEnd w:id="416"/>
      <w:bookmarkEnd w:id="417"/>
      <w:bookmarkEnd w:id="418"/>
      <w:bookmarkEnd w:id="419"/>
      <w:bookmarkEnd w:id="420"/>
      <w:bookmarkEnd w:id="421"/>
      <w:bookmarkEnd w:id="422"/>
      <w:bookmarkEnd w:id="423"/>
      <w:bookmarkEnd w:id="424"/>
      <w:bookmarkEnd w:id="425"/>
      <w:bookmarkEnd w:id="426"/>
    </w:p>
    <w:p>
      <w:pPr>
        <w:spacing w:line="400" w:lineRule="exact"/>
        <w:ind w:firstLine="480" w:firstLineChars="200"/>
        <w:rPr>
          <w:rFonts w:ascii="宋体" w:hAnsi="宋体"/>
          <w:color w:val="auto"/>
          <w:sz w:val="24"/>
        </w:rPr>
      </w:pPr>
      <w:r>
        <w:rPr>
          <w:rFonts w:hint="eastAsia" w:ascii="宋体" w:hAnsi="宋体"/>
          <w:color w:val="auto"/>
          <w:sz w:val="24"/>
        </w:rPr>
        <w:t>评标委员会按照第三章“评标办法”规定的方法、评审因素、标准和程序对投标文件进行评审。第三章“评标办法”没有规定的方法、评审因素和标准，不作为评标依据。        投标人在开标结束后，应实时保持交易系统处于登录状态，确保能及时收到评标评审专家的澄清、说明或者补正的要求。因网络安全的需要，登录系统后长时间不操作将自动退出登录状态，建议投标人5分钟刷新一次。</w:t>
      </w:r>
    </w:p>
    <w:p>
      <w:pPr>
        <w:spacing w:line="400" w:lineRule="exact"/>
        <w:ind w:firstLine="480" w:firstLineChars="200"/>
        <w:rPr>
          <w:rFonts w:ascii="宋体" w:hAnsi="宋体"/>
          <w:color w:val="auto"/>
          <w:sz w:val="24"/>
        </w:rPr>
      </w:pPr>
      <w:r>
        <w:rPr>
          <w:rFonts w:hint="eastAsia" w:ascii="宋体" w:hAnsi="宋体"/>
          <w:color w:val="auto"/>
          <w:sz w:val="24"/>
        </w:rPr>
        <w:t>澄清、说明时需要上传交易系统的文件，必须是 PDF 格式并且加盖有投标人电子签章。如果文件是用 word 编辑的，投标人可点击文件左上角文件选择“输出为 PDF”，将 word 文件转变为 PDF 格式后加盖电子签章上传。</w:t>
      </w:r>
    </w:p>
    <w:p>
      <w:pPr>
        <w:spacing w:line="400" w:lineRule="exact"/>
        <w:ind w:firstLine="480" w:firstLineChars="200"/>
        <w:rPr>
          <w:rFonts w:ascii="宋体" w:hAnsi="宋体"/>
          <w:color w:val="auto"/>
          <w:sz w:val="24"/>
        </w:rPr>
      </w:pPr>
      <w:r>
        <w:rPr>
          <w:rFonts w:hint="eastAsia" w:ascii="宋体" w:hAnsi="宋体"/>
          <w:color w:val="auto"/>
          <w:sz w:val="24"/>
        </w:rPr>
        <w:t>评审专家对投标人进行澄清的要求均有时间限制，并且在投标人澄清页面有倒计时提示，投标人应在评标专家规定时间内完成所有操作。</w:t>
      </w:r>
    </w:p>
    <w:p>
      <w:pPr>
        <w:pStyle w:val="56"/>
        <w:spacing w:before="0" w:line="360" w:lineRule="auto"/>
        <w:rPr>
          <w:rFonts w:ascii="宋体" w:hAnsi="宋体" w:eastAsia="宋体"/>
          <w:b/>
          <w:color w:val="auto"/>
        </w:rPr>
      </w:pPr>
      <w:bookmarkStart w:id="427" w:name="_Toc152042342"/>
      <w:bookmarkStart w:id="428" w:name="_Toc29663"/>
      <w:bookmarkStart w:id="429" w:name="_Toc144974534"/>
      <w:bookmarkStart w:id="430" w:name="_Toc489430863"/>
      <w:bookmarkStart w:id="431" w:name="_Toc116314116"/>
      <w:bookmarkStart w:id="432" w:name="_Toc152045566"/>
      <w:bookmarkStart w:id="433" w:name="_Toc475691333"/>
      <w:bookmarkStart w:id="434" w:name="_Toc489430503"/>
      <w:r>
        <w:rPr>
          <w:rFonts w:hint="eastAsia" w:ascii="宋体" w:hAnsi="宋体" w:eastAsia="宋体"/>
          <w:b/>
          <w:color w:val="auto"/>
        </w:rPr>
        <w:t>7. 合同授予</w:t>
      </w:r>
      <w:bookmarkEnd w:id="427"/>
      <w:bookmarkEnd w:id="428"/>
      <w:bookmarkEnd w:id="429"/>
      <w:bookmarkEnd w:id="430"/>
      <w:bookmarkEnd w:id="431"/>
      <w:bookmarkEnd w:id="432"/>
      <w:bookmarkEnd w:id="433"/>
      <w:bookmarkEnd w:id="434"/>
    </w:p>
    <w:p>
      <w:pPr>
        <w:pStyle w:val="57"/>
        <w:spacing w:line="360" w:lineRule="auto"/>
        <w:rPr>
          <w:rFonts w:ascii="宋体" w:hAnsi="宋体" w:eastAsia="宋体"/>
          <w:b/>
          <w:color w:val="auto"/>
          <w:szCs w:val="24"/>
        </w:rPr>
      </w:pPr>
      <w:bookmarkStart w:id="435" w:name="_Toc489430864"/>
      <w:bookmarkStart w:id="436" w:name="_Toc427583694"/>
      <w:bookmarkStart w:id="437" w:name="_Toc427580081"/>
      <w:bookmarkStart w:id="438" w:name="_Toc152042343"/>
      <w:bookmarkStart w:id="439" w:name="_Toc116314117"/>
      <w:bookmarkStart w:id="440" w:name="_Toc3812"/>
      <w:bookmarkStart w:id="441" w:name="_Toc407219625"/>
      <w:bookmarkStart w:id="442" w:name="_Toc489430504"/>
      <w:bookmarkStart w:id="443" w:name="_Toc475691334"/>
      <w:bookmarkStart w:id="444" w:name="_Toc144974535"/>
      <w:bookmarkStart w:id="445" w:name="_Toc152045567"/>
      <w:r>
        <w:rPr>
          <w:rFonts w:hint="eastAsia" w:ascii="宋体" w:hAnsi="宋体" w:eastAsia="宋体"/>
          <w:b/>
          <w:color w:val="auto"/>
          <w:szCs w:val="24"/>
        </w:rPr>
        <w:t>7.1 定标方式</w:t>
      </w:r>
      <w:bookmarkEnd w:id="435"/>
      <w:bookmarkEnd w:id="436"/>
      <w:bookmarkEnd w:id="437"/>
      <w:bookmarkEnd w:id="438"/>
      <w:bookmarkEnd w:id="439"/>
      <w:bookmarkEnd w:id="440"/>
      <w:bookmarkEnd w:id="441"/>
      <w:bookmarkEnd w:id="442"/>
      <w:bookmarkEnd w:id="443"/>
      <w:bookmarkEnd w:id="444"/>
      <w:bookmarkEnd w:id="445"/>
    </w:p>
    <w:p>
      <w:pPr>
        <w:spacing w:line="360" w:lineRule="auto"/>
        <w:ind w:firstLine="480" w:firstLineChars="200"/>
        <w:rPr>
          <w:rFonts w:ascii="宋体" w:hAnsi="宋体"/>
          <w:color w:val="auto"/>
          <w:sz w:val="24"/>
        </w:rPr>
      </w:pPr>
      <w:r>
        <w:rPr>
          <w:rFonts w:hint="eastAsia" w:ascii="宋体" w:hAnsi="宋体"/>
          <w:color w:val="auto"/>
          <w:sz w:val="24"/>
        </w:rPr>
        <w:t>招标人依据评标委员会推荐的中标候选人确定中标人，评标委员会推荐中标候选人的人数见投标人须知前附表。</w:t>
      </w:r>
    </w:p>
    <w:p>
      <w:pPr>
        <w:pStyle w:val="57"/>
        <w:spacing w:line="360" w:lineRule="auto"/>
        <w:rPr>
          <w:rFonts w:ascii="宋体" w:hAnsi="宋体" w:eastAsia="宋体"/>
          <w:b/>
          <w:color w:val="auto"/>
          <w:szCs w:val="24"/>
        </w:rPr>
      </w:pPr>
      <w:bookmarkStart w:id="446" w:name="_Toc489430505"/>
      <w:bookmarkStart w:id="447" w:name="_Toc475691335"/>
      <w:bookmarkStart w:id="448" w:name="_Toc152042344"/>
      <w:bookmarkStart w:id="449" w:name="_Toc152045568"/>
      <w:bookmarkStart w:id="450" w:name="_Toc407219626"/>
      <w:bookmarkStart w:id="451" w:name="_Toc18939"/>
      <w:bookmarkStart w:id="452" w:name="_Toc427580082"/>
      <w:bookmarkStart w:id="453" w:name="_Toc427583695"/>
      <w:bookmarkStart w:id="454" w:name="_Toc144974536"/>
      <w:bookmarkStart w:id="455" w:name="_Toc116314118"/>
      <w:bookmarkStart w:id="456" w:name="_Toc489430865"/>
      <w:r>
        <w:rPr>
          <w:rFonts w:hint="eastAsia" w:ascii="宋体" w:hAnsi="宋体" w:eastAsia="宋体"/>
          <w:b/>
          <w:color w:val="auto"/>
          <w:szCs w:val="24"/>
        </w:rPr>
        <w:t>7.2 中标通知</w:t>
      </w:r>
      <w:bookmarkEnd w:id="446"/>
      <w:bookmarkEnd w:id="447"/>
      <w:bookmarkEnd w:id="448"/>
      <w:bookmarkEnd w:id="449"/>
      <w:bookmarkEnd w:id="450"/>
      <w:bookmarkEnd w:id="451"/>
      <w:bookmarkEnd w:id="452"/>
      <w:bookmarkEnd w:id="453"/>
      <w:bookmarkEnd w:id="454"/>
      <w:bookmarkEnd w:id="455"/>
      <w:bookmarkEnd w:id="456"/>
    </w:p>
    <w:p>
      <w:pPr>
        <w:spacing w:line="360" w:lineRule="auto"/>
        <w:ind w:firstLine="480" w:firstLineChars="200"/>
        <w:rPr>
          <w:rFonts w:hint="eastAsia" w:ascii="宋体" w:hAnsi="宋体" w:eastAsia="宋体" w:cs="黑体"/>
          <w:color w:val="auto"/>
          <w:sz w:val="24"/>
          <w:lang w:eastAsia="zh-CN"/>
        </w:rPr>
      </w:pPr>
      <w:bookmarkStart w:id="457" w:name="_Toc489430866"/>
      <w:bookmarkStart w:id="458" w:name="_Toc427580083"/>
      <w:bookmarkStart w:id="459" w:name="_Toc116314119"/>
      <w:bookmarkStart w:id="460" w:name="_Toc496"/>
      <w:bookmarkStart w:id="461" w:name="_Toc427583696"/>
      <w:bookmarkStart w:id="462" w:name="_Toc489430506"/>
      <w:bookmarkStart w:id="463" w:name="_Toc475691336"/>
      <w:bookmarkStart w:id="464" w:name="_Toc152042345"/>
      <w:bookmarkStart w:id="465" w:name="_Toc152045569"/>
      <w:bookmarkStart w:id="466" w:name="_Toc407219627"/>
      <w:bookmarkStart w:id="467" w:name="_Toc144974537"/>
      <w:r>
        <w:rPr>
          <w:rFonts w:hint="eastAsia" w:ascii="宋体" w:hAnsi="宋体" w:cs="黑体"/>
          <w:color w:val="auto"/>
          <w:sz w:val="24"/>
        </w:rPr>
        <w:t>采购人或其委托的采购代理机构在发布中标（成交）公告的同时，上传评标（审）报告。评标（审）报告包括开标记录、资格性审查情况、符合性审查情况、评审结果排序，以及全体评标（审）专家对各供应商的详细打分情况，切实保障供应商知情权。除法定的中标（成交）供应商及主要中标（成交）标的信息公开外，采购人或其委托的采购代理机构在发布中标（成交）公告的同时，一并对未中标（成交）供应商名单和地址进行公开，广泛接受社会监督。对未中标（成交）供应商原因采用公开告知制度，采购人或其委托的采购代理机构在发布中标（成交）公告的同时，对未中标（成交）供应商告知未通过原因，包括资格性审查、符合性审查情况、认定为无效投标（响应）的原因、评审得分及排序</w:t>
      </w:r>
      <w:r>
        <w:rPr>
          <w:rFonts w:hint="eastAsia" w:ascii="宋体" w:hAnsi="宋体" w:cs="黑体"/>
          <w:color w:val="auto"/>
          <w:sz w:val="24"/>
          <w:lang w:eastAsia="zh-CN"/>
        </w:rPr>
        <w:t>。</w:t>
      </w:r>
    </w:p>
    <w:p>
      <w:pPr>
        <w:spacing w:line="360" w:lineRule="auto"/>
        <w:ind w:firstLine="480" w:firstLineChars="200"/>
        <w:rPr>
          <w:rFonts w:hint="eastAsia" w:ascii="宋体" w:hAnsi="宋体" w:cs="黑体"/>
          <w:color w:val="auto"/>
          <w:sz w:val="24"/>
        </w:rPr>
      </w:pPr>
      <w:r>
        <w:rPr>
          <w:rFonts w:hint="eastAsia" w:ascii="宋体" w:hAnsi="宋体" w:cs="黑体"/>
          <w:color w:val="auto"/>
          <w:sz w:val="24"/>
        </w:rPr>
        <w:t>在本章第3.3 款规定的投标有效期内，招标人在公示期过后1个工作日内以书面形式向中标人发出中标通知书，同时将中标结果通知未中标的投标人。</w:t>
      </w:r>
    </w:p>
    <w:p>
      <w:pPr>
        <w:pStyle w:val="57"/>
        <w:spacing w:line="360" w:lineRule="auto"/>
        <w:rPr>
          <w:rFonts w:ascii="宋体" w:hAnsi="宋体" w:eastAsia="宋体"/>
          <w:b/>
          <w:color w:val="auto"/>
          <w:szCs w:val="24"/>
        </w:rPr>
      </w:pPr>
      <w:r>
        <w:rPr>
          <w:rFonts w:hint="eastAsia" w:ascii="宋体" w:hAnsi="宋体" w:eastAsia="宋体"/>
          <w:b/>
          <w:color w:val="auto"/>
          <w:szCs w:val="24"/>
        </w:rPr>
        <w:t>7.3 履约担保</w:t>
      </w:r>
      <w:bookmarkEnd w:id="457"/>
      <w:bookmarkEnd w:id="458"/>
      <w:bookmarkEnd w:id="459"/>
      <w:bookmarkEnd w:id="460"/>
      <w:bookmarkEnd w:id="461"/>
      <w:bookmarkEnd w:id="462"/>
      <w:bookmarkEnd w:id="463"/>
      <w:bookmarkEnd w:id="464"/>
      <w:bookmarkEnd w:id="465"/>
      <w:bookmarkEnd w:id="466"/>
      <w:bookmarkEnd w:id="467"/>
    </w:p>
    <w:p>
      <w:pPr>
        <w:pStyle w:val="57"/>
        <w:spacing w:line="360" w:lineRule="auto"/>
        <w:rPr>
          <w:rFonts w:ascii="宋体" w:hAnsi="宋体" w:eastAsia="宋体"/>
          <w:b/>
          <w:color w:val="auto"/>
          <w:szCs w:val="24"/>
        </w:rPr>
      </w:pPr>
      <w:bookmarkStart w:id="468" w:name="_Toc407219628"/>
      <w:bookmarkStart w:id="469" w:name="_Toc116314120"/>
      <w:bookmarkStart w:id="470" w:name="_Toc144974538"/>
      <w:bookmarkStart w:id="471" w:name="_Toc427580084"/>
      <w:bookmarkStart w:id="472" w:name="_Toc152042346"/>
      <w:bookmarkStart w:id="473" w:name="_Toc489430507"/>
      <w:bookmarkStart w:id="474" w:name="_Toc427583697"/>
      <w:bookmarkStart w:id="475" w:name="_Toc152045570"/>
      <w:bookmarkStart w:id="476" w:name="_Toc13654"/>
      <w:bookmarkStart w:id="477" w:name="_Toc475691337"/>
      <w:bookmarkStart w:id="478" w:name="_Toc489430867"/>
      <w:r>
        <w:rPr>
          <w:rFonts w:hint="eastAsia" w:ascii="宋体" w:hAnsi="宋体" w:eastAsia="宋体"/>
          <w:b/>
          <w:color w:val="auto"/>
          <w:szCs w:val="24"/>
        </w:rPr>
        <w:t>7.4 签订合同</w:t>
      </w:r>
      <w:bookmarkEnd w:id="468"/>
      <w:bookmarkEnd w:id="469"/>
      <w:bookmarkEnd w:id="470"/>
      <w:bookmarkEnd w:id="471"/>
      <w:bookmarkEnd w:id="472"/>
      <w:bookmarkEnd w:id="473"/>
      <w:bookmarkEnd w:id="474"/>
      <w:bookmarkEnd w:id="475"/>
      <w:bookmarkEnd w:id="476"/>
      <w:bookmarkEnd w:id="477"/>
      <w:bookmarkEnd w:id="478"/>
    </w:p>
    <w:p>
      <w:pPr>
        <w:spacing w:line="360" w:lineRule="auto"/>
        <w:ind w:firstLine="480" w:firstLineChars="200"/>
        <w:rPr>
          <w:rFonts w:hint="eastAsia" w:ascii="宋体" w:hAnsi="宋体" w:cs="黑体"/>
          <w:color w:val="auto"/>
          <w:sz w:val="24"/>
        </w:rPr>
      </w:pPr>
      <w:bookmarkStart w:id="479" w:name="_Toc144974539"/>
      <w:bookmarkStart w:id="480" w:name="_Toc152042347"/>
      <w:bookmarkStart w:id="481" w:name="_Toc1157"/>
      <w:bookmarkStart w:id="482" w:name="_Toc489430508"/>
      <w:bookmarkStart w:id="483" w:name="_Toc475691338"/>
      <w:bookmarkStart w:id="484" w:name="_Toc489430868"/>
      <w:bookmarkStart w:id="485" w:name="_Toc152045571"/>
      <w:bookmarkStart w:id="486" w:name="_Toc116314121"/>
      <w:r>
        <w:rPr>
          <w:rFonts w:hint="eastAsia" w:ascii="宋体" w:hAnsi="宋体" w:cs="黑体"/>
          <w:color w:val="auto"/>
          <w:sz w:val="24"/>
        </w:rPr>
        <w:t>7.4.1 招标人和中标人应当自中标通知书发出之日起1个工作日内，根据招标文件和中标人的投标文件订立书面合同并备案。中标人无正当理由拒签合同的，招标人取消其中标资格，其投标保证金不予退还；给招标人造成的损失超过投标保证金数额的，中标人还应当对超过部分予以赔偿。</w:t>
      </w:r>
    </w:p>
    <w:p>
      <w:pPr>
        <w:spacing w:line="360" w:lineRule="auto"/>
        <w:ind w:firstLine="480" w:firstLineChars="200"/>
        <w:rPr>
          <w:rFonts w:hint="eastAsia" w:ascii="宋体" w:hAnsi="宋体" w:cs="黑体"/>
          <w:color w:val="auto"/>
          <w:sz w:val="24"/>
        </w:rPr>
      </w:pPr>
      <w:r>
        <w:rPr>
          <w:rFonts w:hint="eastAsia" w:ascii="宋体" w:hAnsi="宋体" w:cs="黑体"/>
          <w:color w:val="auto"/>
          <w:sz w:val="24"/>
        </w:rPr>
        <w:t>7.4.2 发出中标通知书后，招标人无正当理由拒签合同的，招标人向中标人退还投标保证金；给中标人造成损失的，还应当赔偿损失。</w:t>
      </w:r>
    </w:p>
    <w:p>
      <w:pPr>
        <w:pStyle w:val="56"/>
        <w:spacing w:before="0" w:line="360" w:lineRule="auto"/>
        <w:rPr>
          <w:rFonts w:ascii="宋体" w:hAnsi="宋体" w:eastAsia="宋体"/>
          <w:color w:val="auto"/>
        </w:rPr>
      </w:pPr>
      <w:r>
        <w:rPr>
          <w:rFonts w:hint="eastAsia" w:ascii="宋体" w:hAnsi="宋体" w:eastAsia="宋体"/>
          <w:b/>
          <w:color w:val="auto"/>
        </w:rPr>
        <w:t>8. 重新招标和不再招标</w:t>
      </w:r>
      <w:bookmarkEnd w:id="479"/>
      <w:bookmarkEnd w:id="480"/>
      <w:bookmarkEnd w:id="481"/>
      <w:bookmarkEnd w:id="482"/>
      <w:bookmarkEnd w:id="483"/>
      <w:bookmarkEnd w:id="484"/>
      <w:bookmarkEnd w:id="485"/>
      <w:bookmarkEnd w:id="486"/>
    </w:p>
    <w:p>
      <w:pPr>
        <w:pStyle w:val="57"/>
        <w:spacing w:line="360" w:lineRule="auto"/>
        <w:rPr>
          <w:rFonts w:ascii="宋体" w:hAnsi="宋体" w:eastAsia="宋体"/>
          <w:b/>
          <w:color w:val="auto"/>
          <w:szCs w:val="24"/>
        </w:rPr>
      </w:pPr>
      <w:bookmarkStart w:id="487" w:name="_Toc10564"/>
      <w:bookmarkStart w:id="488" w:name="_Toc427580086"/>
      <w:bookmarkStart w:id="489" w:name="_Toc152042348"/>
      <w:bookmarkStart w:id="490" w:name="_Toc489430869"/>
      <w:bookmarkStart w:id="491" w:name="_Toc489430509"/>
      <w:bookmarkStart w:id="492" w:name="_Toc407219630"/>
      <w:bookmarkStart w:id="493" w:name="_Toc144974540"/>
      <w:bookmarkStart w:id="494" w:name="_Toc427583699"/>
      <w:bookmarkStart w:id="495" w:name="_Toc116314122"/>
      <w:bookmarkStart w:id="496" w:name="_Toc152045572"/>
      <w:bookmarkStart w:id="497" w:name="_Toc475691339"/>
      <w:r>
        <w:rPr>
          <w:rFonts w:hint="eastAsia" w:ascii="宋体" w:hAnsi="宋体" w:eastAsia="宋体"/>
          <w:b/>
          <w:color w:val="auto"/>
          <w:szCs w:val="24"/>
        </w:rPr>
        <w:t>8.1 重新招标</w:t>
      </w:r>
      <w:bookmarkEnd w:id="487"/>
      <w:bookmarkEnd w:id="488"/>
      <w:bookmarkEnd w:id="489"/>
      <w:bookmarkEnd w:id="490"/>
      <w:bookmarkEnd w:id="491"/>
      <w:bookmarkEnd w:id="492"/>
      <w:bookmarkEnd w:id="493"/>
      <w:bookmarkEnd w:id="494"/>
      <w:bookmarkEnd w:id="495"/>
      <w:bookmarkEnd w:id="496"/>
      <w:bookmarkEnd w:id="497"/>
    </w:p>
    <w:p>
      <w:pPr>
        <w:spacing w:line="360" w:lineRule="auto"/>
        <w:ind w:firstLine="480" w:firstLineChars="200"/>
        <w:rPr>
          <w:rFonts w:ascii="宋体" w:hAnsi="宋体"/>
          <w:color w:val="auto"/>
          <w:sz w:val="24"/>
        </w:rPr>
      </w:pPr>
      <w:r>
        <w:rPr>
          <w:rFonts w:hint="eastAsia" w:ascii="宋体" w:hAnsi="宋体"/>
          <w:color w:val="auto"/>
          <w:sz w:val="24"/>
        </w:rPr>
        <w:t>有下列情形之一的，招标人将重新招标：</w:t>
      </w:r>
    </w:p>
    <w:p>
      <w:pPr>
        <w:spacing w:line="360" w:lineRule="auto"/>
        <w:ind w:firstLine="480" w:firstLineChars="200"/>
        <w:rPr>
          <w:rFonts w:ascii="宋体" w:hAnsi="宋体"/>
          <w:color w:val="auto"/>
          <w:sz w:val="24"/>
        </w:rPr>
      </w:pPr>
      <w:r>
        <w:rPr>
          <w:rFonts w:hint="eastAsia" w:ascii="宋体" w:hAnsi="宋体"/>
          <w:color w:val="auto"/>
          <w:sz w:val="24"/>
        </w:rPr>
        <w:t>（1）投标截止时间止，投标人少于3个的；</w:t>
      </w:r>
    </w:p>
    <w:p>
      <w:pPr>
        <w:spacing w:line="360" w:lineRule="auto"/>
        <w:ind w:firstLine="480" w:firstLineChars="200"/>
        <w:rPr>
          <w:rFonts w:ascii="宋体" w:hAnsi="宋体"/>
          <w:color w:val="auto"/>
          <w:sz w:val="24"/>
        </w:rPr>
      </w:pPr>
      <w:r>
        <w:rPr>
          <w:rFonts w:hint="eastAsia" w:ascii="宋体" w:hAnsi="宋体"/>
          <w:color w:val="auto"/>
          <w:sz w:val="24"/>
        </w:rPr>
        <w:t>（2）经评标委员会评审后否决所有投标的。</w:t>
      </w:r>
    </w:p>
    <w:p>
      <w:pPr>
        <w:pStyle w:val="57"/>
        <w:spacing w:line="360" w:lineRule="auto"/>
        <w:rPr>
          <w:rFonts w:ascii="宋体" w:hAnsi="宋体" w:eastAsia="宋体"/>
          <w:b/>
          <w:color w:val="auto"/>
          <w:szCs w:val="24"/>
        </w:rPr>
      </w:pPr>
      <w:bookmarkStart w:id="498" w:name="_Toc489430870"/>
      <w:bookmarkStart w:id="499" w:name="_Toc152045573"/>
      <w:bookmarkStart w:id="500" w:name="_Toc152042349"/>
      <w:bookmarkStart w:id="501" w:name="_Toc427583700"/>
      <w:bookmarkStart w:id="502" w:name="_Toc116314123"/>
      <w:bookmarkStart w:id="503" w:name="_Toc489430510"/>
      <w:bookmarkStart w:id="504" w:name="_Toc407219631"/>
      <w:bookmarkStart w:id="505" w:name="_Toc22735"/>
      <w:bookmarkStart w:id="506" w:name="_Toc475691340"/>
      <w:bookmarkStart w:id="507" w:name="_Toc427580087"/>
      <w:bookmarkStart w:id="508" w:name="_Toc144974541"/>
      <w:r>
        <w:rPr>
          <w:rFonts w:hint="eastAsia" w:ascii="宋体" w:hAnsi="宋体" w:eastAsia="宋体"/>
          <w:b/>
          <w:color w:val="auto"/>
          <w:szCs w:val="24"/>
        </w:rPr>
        <w:t>8.2 不再招标</w:t>
      </w:r>
      <w:bookmarkEnd w:id="498"/>
      <w:bookmarkEnd w:id="499"/>
      <w:bookmarkEnd w:id="500"/>
      <w:bookmarkEnd w:id="501"/>
      <w:bookmarkEnd w:id="502"/>
      <w:bookmarkEnd w:id="503"/>
      <w:bookmarkEnd w:id="504"/>
      <w:bookmarkEnd w:id="505"/>
      <w:bookmarkEnd w:id="506"/>
      <w:bookmarkEnd w:id="507"/>
      <w:bookmarkEnd w:id="508"/>
    </w:p>
    <w:p>
      <w:pPr>
        <w:spacing w:line="360" w:lineRule="auto"/>
        <w:ind w:firstLine="480" w:firstLineChars="200"/>
        <w:rPr>
          <w:rFonts w:ascii="宋体" w:hAnsi="宋体"/>
          <w:color w:val="auto"/>
          <w:sz w:val="24"/>
        </w:rPr>
      </w:pPr>
      <w:r>
        <w:rPr>
          <w:rFonts w:hint="eastAsia" w:ascii="宋体" w:hAnsi="宋体"/>
          <w:color w:val="auto"/>
          <w:sz w:val="24"/>
        </w:rPr>
        <w:t>重新招标后投标人仍少于3个或者所有投标被否决的，属于必须审批或核准的工程建设项目，经原审批或核准部门批准后不再进行招标。</w:t>
      </w:r>
    </w:p>
    <w:p>
      <w:pPr>
        <w:pStyle w:val="56"/>
        <w:spacing w:before="0" w:line="360" w:lineRule="auto"/>
        <w:rPr>
          <w:rFonts w:ascii="宋体" w:hAnsi="宋体" w:eastAsia="宋体"/>
          <w:b/>
          <w:color w:val="auto"/>
        </w:rPr>
      </w:pPr>
      <w:bookmarkStart w:id="509" w:name="_Toc144974542"/>
      <w:bookmarkStart w:id="510" w:name="_Toc489430511"/>
      <w:bookmarkStart w:id="511" w:name="_Toc116314124"/>
      <w:bookmarkStart w:id="512" w:name="_Toc152045574"/>
      <w:bookmarkStart w:id="513" w:name="_Toc475691341"/>
      <w:bookmarkStart w:id="514" w:name="_Toc152042350"/>
      <w:bookmarkStart w:id="515" w:name="_Toc12999"/>
      <w:bookmarkStart w:id="516" w:name="_Toc407219632"/>
      <w:bookmarkStart w:id="517" w:name="_Toc489430871"/>
      <w:r>
        <w:rPr>
          <w:rFonts w:hint="eastAsia" w:ascii="宋体" w:hAnsi="宋体" w:eastAsia="宋体"/>
          <w:b/>
          <w:color w:val="auto"/>
        </w:rPr>
        <w:t>9. 纪律和监督</w:t>
      </w:r>
      <w:bookmarkEnd w:id="509"/>
      <w:bookmarkEnd w:id="510"/>
      <w:bookmarkEnd w:id="511"/>
      <w:bookmarkEnd w:id="512"/>
      <w:bookmarkEnd w:id="513"/>
      <w:bookmarkEnd w:id="514"/>
      <w:bookmarkEnd w:id="515"/>
      <w:bookmarkEnd w:id="516"/>
      <w:bookmarkEnd w:id="517"/>
    </w:p>
    <w:p>
      <w:pPr>
        <w:pStyle w:val="57"/>
        <w:spacing w:line="360" w:lineRule="auto"/>
        <w:rPr>
          <w:rFonts w:ascii="宋体" w:hAnsi="宋体" w:eastAsia="宋体"/>
          <w:b/>
          <w:color w:val="auto"/>
          <w:szCs w:val="24"/>
        </w:rPr>
      </w:pPr>
      <w:bookmarkStart w:id="518" w:name="_Toc475691342"/>
      <w:bookmarkStart w:id="519" w:name="_Toc489430872"/>
      <w:bookmarkStart w:id="520" w:name="_Toc427580089"/>
      <w:bookmarkStart w:id="521" w:name="_Toc152042351"/>
      <w:bookmarkStart w:id="522" w:name="_Toc152045575"/>
      <w:bookmarkStart w:id="523" w:name="_Toc116314125"/>
      <w:bookmarkStart w:id="524" w:name="_Toc427583702"/>
      <w:bookmarkStart w:id="525" w:name="_Toc144974543"/>
      <w:bookmarkStart w:id="526" w:name="_Toc25924"/>
      <w:bookmarkStart w:id="527" w:name="_Toc407219633"/>
      <w:bookmarkStart w:id="528" w:name="_Toc489430512"/>
      <w:r>
        <w:rPr>
          <w:rFonts w:hint="eastAsia" w:ascii="宋体" w:hAnsi="宋体" w:eastAsia="宋体"/>
          <w:b/>
          <w:color w:val="auto"/>
          <w:szCs w:val="24"/>
        </w:rPr>
        <w:t>9.1 对招标人的纪律要求</w:t>
      </w:r>
      <w:bookmarkEnd w:id="518"/>
      <w:bookmarkEnd w:id="519"/>
      <w:bookmarkEnd w:id="520"/>
      <w:bookmarkEnd w:id="521"/>
      <w:bookmarkEnd w:id="522"/>
      <w:bookmarkEnd w:id="523"/>
      <w:bookmarkEnd w:id="524"/>
      <w:bookmarkEnd w:id="525"/>
      <w:bookmarkEnd w:id="526"/>
      <w:bookmarkEnd w:id="527"/>
      <w:bookmarkEnd w:id="528"/>
    </w:p>
    <w:p>
      <w:pPr>
        <w:spacing w:line="360" w:lineRule="auto"/>
        <w:ind w:firstLine="480" w:firstLineChars="200"/>
        <w:rPr>
          <w:rFonts w:ascii="宋体" w:hAnsi="宋体"/>
          <w:color w:val="auto"/>
          <w:sz w:val="24"/>
        </w:rPr>
      </w:pPr>
      <w:r>
        <w:rPr>
          <w:rFonts w:hint="eastAsia" w:ascii="宋体" w:hAnsi="宋体"/>
          <w:color w:val="auto"/>
          <w:sz w:val="24"/>
        </w:rPr>
        <w:t>招标人不得泄漏招标投标活动中应当保密的情况和资料，不得与投标人串通损害国家利益、社会公共利益或者他人合法权益。</w:t>
      </w:r>
    </w:p>
    <w:p>
      <w:pPr>
        <w:pStyle w:val="57"/>
        <w:spacing w:line="360" w:lineRule="auto"/>
        <w:rPr>
          <w:rFonts w:ascii="宋体" w:hAnsi="宋体" w:eastAsia="宋体"/>
          <w:b/>
          <w:color w:val="auto"/>
          <w:szCs w:val="24"/>
        </w:rPr>
      </w:pPr>
      <w:bookmarkStart w:id="529" w:name="_Toc24077"/>
      <w:bookmarkStart w:id="530" w:name="_Toc152042352"/>
      <w:bookmarkStart w:id="531" w:name="_Toc427583703"/>
      <w:bookmarkStart w:id="532" w:name="_Toc427580090"/>
      <w:bookmarkStart w:id="533" w:name="_Toc475691343"/>
      <w:bookmarkStart w:id="534" w:name="_Toc116314126"/>
      <w:bookmarkStart w:id="535" w:name="_Toc152045576"/>
      <w:bookmarkStart w:id="536" w:name="_Toc489430513"/>
      <w:bookmarkStart w:id="537" w:name="_Toc489430873"/>
      <w:bookmarkStart w:id="538" w:name="_Toc144974544"/>
      <w:bookmarkStart w:id="539" w:name="_Toc407219634"/>
      <w:r>
        <w:rPr>
          <w:rFonts w:hint="eastAsia" w:ascii="宋体" w:hAnsi="宋体" w:eastAsia="宋体"/>
          <w:b/>
          <w:color w:val="auto"/>
          <w:szCs w:val="24"/>
        </w:rPr>
        <w:t>9.2 对投标人的纪律要求</w:t>
      </w:r>
      <w:bookmarkEnd w:id="529"/>
      <w:bookmarkEnd w:id="530"/>
      <w:bookmarkEnd w:id="531"/>
      <w:bookmarkEnd w:id="532"/>
      <w:bookmarkEnd w:id="533"/>
      <w:bookmarkEnd w:id="534"/>
      <w:bookmarkEnd w:id="535"/>
      <w:bookmarkEnd w:id="536"/>
      <w:bookmarkEnd w:id="537"/>
      <w:bookmarkEnd w:id="538"/>
      <w:bookmarkEnd w:id="539"/>
    </w:p>
    <w:p>
      <w:pPr>
        <w:spacing w:line="360" w:lineRule="auto"/>
        <w:ind w:firstLine="480" w:firstLineChars="200"/>
        <w:rPr>
          <w:rFonts w:ascii="宋体" w:hAnsi="宋体"/>
          <w:color w:val="auto"/>
          <w:sz w:val="24"/>
        </w:rPr>
      </w:pPr>
      <w:r>
        <w:rPr>
          <w:rFonts w:hint="eastAsia" w:ascii="宋体" w:hAnsi="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7"/>
        <w:spacing w:line="360" w:lineRule="auto"/>
        <w:rPr>
          <w:rFonts w:ascii="宋体" w:hAnsi="宋体" w:eastAsia="宋体"/>
          <w:b/>
          <w:color w:val="auto"/>
          <w:szCs w:val="24"/>
        </w:rPr>
      </w:pPr>
      <w:bookmarkStart w:id="540" w:name="_Toc489430514"/>
      <w:bookmarkStart w:id="541" w:name="_Toc144974545"/>
      <w:bookmarkStart w:id="542" w:name="_Toc489430874"/>
      <w:bookmarkStart w:id="543" w:name="_Toc475691344"/>
      <w:bookmarkStart w:id="544" w:name="_Toc407219635"/>
      <w:bookmarkStart w:id="545" w:name="_Toc116314127"/>
      <w:bookmarkStart w:id="546" w:name="_Toc427583704"/>
      <w:bookmarkStart w:id="547" w:name="_Toc427580091"/>
      <w:bookmarkStart w:id="548" w:name="_Toc3749"/>
      <w:bookmarkStart w:id="549" w:name="_Toc152042353"/>
      <w:bookmarkStart w:id="550" w:name="_Toc152045577"/>
      <w:r>
        <w:rPr>
          <w:rFonts w:hint="eastAsia" w:ascii="宋体" w:hAnsi="宋体" w:eastAsia="宋体"/>
          <w:b/>
          <w:color w:val="auto"/>
          <w:szCs w:val="24"/>
        </w:rPr>
        <w:t>9.3 对评标委员会成员的纪律要求</w:t>
      </w:r>
      <w:bookmarkEnd w:id="540"/>
      <w:bookmarkEnd w:id="541"/>
      <w:bookmarkEnd w:id="542"/>
      <w:bookmarkEnd w:id="543"/>
      <w:bookmarkEnd w:id="544"/>
      <w:bookmarkEnd w:id="545"/>
      <w:bookmarkEnd w:id="546"/>
      <w:bookmarkEnd w:id="547"/>
      <w:bookmarkEnd w:id="548"/>
      <w:bookmarkEnd w:id="549"/>
      <w:bookmarkEnd w:id="550"/>
    </w:p>
    <w:p>
      <w:pPr>
        <w:spacing w:line="360" w:lineRule="auto"/>
        <w:ind w:firstLine="480" w:firstLineChars="200"/>
        <w:rPr>
          <w:rFonts w:ascii="宋体" w:hAnsi="宋体"/>
          <w:color w:val="auto"/>
          <w:sz w:val="24"/>
        </w:rPr>
      </w:pPr>
      <w:r>
        <w:rPr>
          <w:rFonts w:hint="eastAsia" w:ascii="宋体" w:hAnsi="宋体"/>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7"/>
        <w:spacing w:line="360" w:lineRule="auto"/>
        <w:rPr>
          <w:rFonts w:ascii="宋体" w:hAnsi="宋体" w:eastAsia="宋体"/>
          <w:b/>
          <w:color w:val="auto"/>
          <w:szCs w:val="24"/>
        </w:rPr>
      </w:pPr>
      <w:bookmarkStart w:id="551" w:name="_Toc152042354"/>
      <w:bookmarkStart w:id="552" w:name="_Toc489430515"/>
      <w:bookmarkStart w:id="553" w:name="_Toc427583705"/>
      <w:bookmarkStart w:id="554" w:name="_Toc489430875"/>
      <w:bookmarkStart w:id="555" w:name="_Toc407219636"/>
      <w:bookmarkStart w:id="556" w:name="_Toc475691345"/>
      <w:bookmarkStart w:id="557" w:name="_Toc427580092"/>
      <w:bookmarkStart w:id="558" w:name="_Toc2293"/>
      <w:bookmarkStart w:id="559" w:name="_Toc152045578"/>
      <w:bookmarkStart w:id="560" w:name="_Toc116314128"/>
      <w:bookmarkStart w:id="561" w:name="_Toc144974546"/>
      <w:r>
        <w:rPr>
          <w:rFonts w:hint="eastAsia" w:ascii="宋体" w:hAnsi="宋体" w:eastAsia="宋体"/>
          <w:b/>
          <w:color w:val="auto"/>
          <w:szCs w:val="24"/>
        </w:rPr>
        <w:t>9.4 对与评标活动有关的工作人员的纪律要求</w:t>
      </w:r>
      <w:bookmarkEnd w:id="551"/>
      <w:bookmarkEnd w:id="552"/>
      <w:bookmarkEnd w:id="553"/>
      <w:bookmarkEnd w:id="554"/>
      <w:bookmarkEnd w:id="555"/>
      <w:bookmarkEnd w:id="556"/>
      <w:bookmarkEnd w:id="557"/>
      <w:bookmarkEnd w:id="558"/>
      <w:bookmarkEnd w:id="559"/>
      <w:bookmarkEnd w:id="560"/>
    </w:p>
    <w:p>
      <w:pPr>
        <w:spacing w:line="360" w:lineRule="auto"/>
        <w:ind w:firstLine="480" w:firstLineChars="200"/>
        <w:rPr>
          <w:rFonts w:ascii="宋体" w:hAnsi="宋体"/>
          <w:color w:val="auto"/>
          <w:sz w:val="24"/>
        </w:rPr>
      </w:pPr>
      <w:bookmarkStart w:id="562" w:name="_Toc152042355"/>
      <w:r>
        <w:rPr>
          <w:rFonts w:hint="eastAsia" w:ascii="宋体" w:hAnsi="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62"/>
    </w:p>
    <w:p>
      <w:pPr>
        <w:pStyle w:val="57"/>
        <w:spacing w:line="360" w:lineRule="auto"/>
        <w:rPr>
          <w:rFonts w:ascii="宋体" w:hAnsi="宋体" w:eastAsia="宋体"/>
          <w:b/>
          <w:color w:val="auto"/>
          <w:szCs w:val="24"/>
        </w:rPr>
      </w:pPr>
      <w:bookmarkStart w:id="563" w:name="_Toc489430516"/>
      <w:bookmarkStart w:id="564" w:name="_Toc489430876"/>
      <w:bookmarkStart w:id="565" w:name="_Toc427583706"/>
      <w:bookmarkStart w:id="566" w:name="_Toc7916"/>
      <w:bookmarkStart w:id="567" w:name="_Toc152045579"/>
      <w:bookmarkStart w:id="568" w:name="_Toc427580093"/>
      <w:bookmarkStart w:id="569" w:name="_Toc407219637"/>
      <w:bookmarkStart w:id="570" w:name="_Toc475691346"/>
      <w:bookmarkStart w:id="571" w:name="_Toc152042356"/>
      <w:bookmarkStart w:id="572" w:name="_Toc116314129"/>
      <w:r>
        <w:rPr>
          <w:rFonts w:hint="eastAsia" w:ascii="宋体" w:hAnsi="宋体" w:eastAsia="宋体"/>
          <w:b/>
          <w:color w:val="auto"/>
          <w:szCs w:val="24"/>
        </w:rPr>
        <w:t>9.5 投诉</w:t>
      </w:r>
      <w:bookmarkEnd w:id="561"/>
      <w:bookmarkEnd w:id="563"/>
      <w:bookmarkEnd w:id="564"/>
      <w:bookmarkEnd w:id="565"/>
      <w:bookmarkEnd w:id="566"/>
      <w:bookmarkEnd w:id="567"/>
      <w:bookmarkEnd w:id="568"/>
      <w:bookmarkEnd w:id="569"/>
      <w:bookmarkEnd w:id="570"/>
      <w:bookmarkEnd w:id="571"/>
      <w:bookmarkEnd w:id="572"/>
    </w:p>
    <w:p>
      <w:pPr>
        <w:spacing w:line="360" w:lineRule="auto"/>
        <w:ind w:firstLine="480" w:firstLineChars="200"/>
        <w:rPr>
          <w:rFonts w:ascii="宋体" w:hAnsi="宋体"/>
          <w:color w:val="auto"/>
          <w:sz w:val="24"/>
        </w:rPr>
      </w:pPr>
      <w:r>
        <w:rPr>
          <w:rFonts w:hint="eastAsia" w:ascii="宋体" w:hAnsi="宋体"/>
          <w:color w:val="auto"/>
          <w:sz w:val="24"/>
        </w:rPr>
        <w:t>投标人和其他利害关系人认为本次招标活动违反法律、法规和规章规定的，有权向有关行政监督部门投诉。</w:t>
      </w:r>
    </w:p>
    <w:p>
      <w:pPr>
        <w:pStyle w:val="56"/>
        <w:spacing w:before="0" w:line="360" w:lineRule="auto"/>
        <w:rPr>
          <w:rFonts w:ascii="宋体" w:hAnsi="宋体" w:eastAsia="宋体"/>
          <w:b/>
          <w:color w:val="auto"/>
        </w:rPr>
      </w:pPr>
      <w:bookmarkStart w:id="573" w:name="_Toc4805"/>
      <w:bookmarkStart w:id="574" w:name="_Toc152042357"/>
      <w:bookmarkStart w:id="575" w:name="_Toc152045580"/>
      <w:bookmarkStart w:id="576" w:name="_Toc475691347"/>
      <w:bookmarkStart w:id="577" w:name="_Toc116314130"/>
      <w:bookmarkStart w:id="578" w:name="_Toc489430877"/>
      <w:bookmarkStart w:id="579" w:name="_Toc144974547"/>
      <w:bookmarkStart w:id="580" w:name="_Toc489430517"/>
      <w:r>
        <w:rPr>
          <w:rFonts w:hint="eastAsia" w:ascii="宋体" w:hAnsi="宋体" w:eastAsia="宋体"/>
          <w:b/>
          <w:color w:val="auto"/>
        </w:rPr>
        <w:t>10. 需要补充的其他内容</w:t>
      </w:r>
      <w:bookmarkEnd w:id="573"/>
      <w:bookmarkEnd w:id="574"/>
      <w:bookmarkEnd w:id="575"/>
      <w:bookmarkEnd w:id="576"/>
      <w:bookmarkEnd w:id="577"/>
      <w:bookmarkEnd w:id="578"/>
      <w:bookmarkEnd w:id="579"/>
      <w:bookmarkEnd w:id="580"/>
    </w:p>
    <w:p>
      <w:pPr>
        <w:spacing w:line="360" w:lineRule="auto"/>
        <w:ind w:firstLine="480" w:firstLineChars="200"/>
        <w:rPr>
          <w:rFonts w:ascii="宋体" w:hAnsi="宋体"/>
          <w:color w:val="auto"/>
          <w:sz w:val="24"/>
        </w:rPr>
      </w:pPr>
      <w:r>
        <w:rPr>
          <w:rFonts w:hint="eastAsia" w:ascii="宋体" w:hAnsi="宋体"/>
          <w:color w:val="auto"/>
          <w:sz w:val="24"/>
        </w:rPr>
        <w:t>需要补充的其他内容：见投标人须知前附表。</w:t>
      </w:r>
    </w:p>
    <w:p>
      <w:pPr>
        <w:pStyle w:val="3"/>
        <w:keepNext/>
        <w:keepLines/>
        <w:pageBreakBefore/>
        <w:widowControl w:val="0"/>
        <w:kinsoku/>
        <w:wordWrap/>
        <w:overflowPunct/>
        <w:topLinePunct w:val="0"/>
        <w:autoSpaceDE/>
        <w:autoSpaceDN/>
        <w:bidi w:val="0"/>
        <w:adjustRightInd/>
        <w:snapToGrid/>
        <w:spacing w:before="120" w:after="120" w:line="400" w:lineRule="exact"/>
        <w:jc w:val="center"/>
        <w:textAlignment w:val="auto"/>
        <w:rPr>
          <w:rFonts w:ascii="宋体" w:hAnsi="宋体"/>
          <w:bCs w:val="0"/>
          <w:color w:val="auto"/>
          <w:sz w:val="32"/>
        </w:rPr>
      </w:pPr>
      <w:bookmarkStart w:id="581" w:name="_Toc116314131"/>
      <w:bookmarkStart w:id="582" w:name="_Toc152045598"/>
      <w:bookmarkStart w:id="583" w:name="_Toc489430878"/>
      <w:bookmarkStart w:id="584" w:name="_Toc253729347"/>
      <w:bookmarkStart w:id="585" w:name="_Toc144974565"/>
      <w:bookmarkStart w:id="586" w:name="_Toc489430518"/>
      <w:bookmarkStart w:id="587" w:name="_Toc152042375"/>
      <w:bookmarkStart w:id="588" w:name="_Toc250721523"/>
      <w:bookmarkStart w:id="589" w:name="_Toc2226"/>
      <w:r>
        <w:rPr>
          <w:rFonts w:hint="eastAsia" w:ascii="宋体" w:hAnsi="宋体"/>
          <w:bCs w:val="0"/>
          <w:color w:val="auto"/>
          <w:sz w:val="32"/>
        </w:rPr>
        <w:t>第三章评标办法（综合评估法）</w:t>
      </w:r>
      <w:bookmarkEnd w:id="581"/>
      <w:bookmarkEnd w:id="582"/>
      <w:bookmarkEnd w:id="583"/>
      <w:bookmarkEnd w:id="584"/>
      <w:bookmarkEnd w:id="585"/>
      <w:bookmarkEnd w:id="586"/>
      <w:bookmarkEnd w:id="587"/>
      <w:bookmarkEnd w:id="588"/>
      <w:bookmarkEnd w:id="589"/>
    </w:p>
    <w:p>
      <w:pPr>
        <w:pStyle w:val="56"/>
        <w:jc w:val="center"/>
        <w:rPr>
          <w:rFonts w:ascii="宋体" w:hAnsi="宋体" w:eastAsia="宋体"/>
          <w:b/>
          <w:color w:val="auto"/>
        </w:rPr>
      </w:pPr>
      <w:bookmarkStart w:id="590" w:name="_Toc152042376"/>
      <w:bookmarkStart w:id="591" w:name="_Toc144974566"/>
      <w:bookmarkStart w:id="592" w:name="_Toc287530871"/>
      <w:bookmarkStart w:id="593" w:name="_Toc489430519"/>
      <w:bookmarkStart w:id="594" w:name="_Toc152045599"/>
      <w:bookmarkStart w:id="595" w:name="_Toc6766"/>
      <w:bookmarkStart w:id="596" w:name="_Toc489430879"/>
      <w:bookmarkStart w:id="597" w:name="_Toc249716021"/>
      <w:bookmarkStart w:id="598" w:name="_Toc116314132"/>
      <w:bookmarkStart w:id="599" w:name="_Toc253729348"/>
      <w:r>
        <w:rPr>
          <w:rFonts w:hint="eastAsia" w:ascii="宋体" w:hAnsi="宋体" w:eastAsia="宋体"/>
          <w:b/>
          <w:color w:val="auto"/>
        </w:rPr>
        <w:t>评标办法前附表</w:t>
      </w:r>
      <w:bookmarkEnd w:id="590"/>
      <w:bookmarkEnd w:id="591"/>
      <w:bookmarkEnd w:id="592"/>
      <w:bookmarkEnd w:id="593"/>
      <w:bookmarkEnd w:id="594"/>
      <w:bookmarkEnd w:id="595"/>
      <w:bookmarkEnd w:id="596"/>
      <w:bookmarkEnd w:id="597"/>
      <w:bookmarkEnd w:id="598"/>
      <w:bookmarkEnd w:id="599"/>
    </w:p>
    <w:tbl>
      <w:tblPr>
        <w:tblStyle w:val="28"/>
        <w:tblW w:w="95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92"/>
        <w:gridCol w:w="1248"/>
        <w:gridCol w:w="2437"/>
        <w:gridCol w:w="4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2276" w:type="dxa"/>
            <w:gridSpan w:val="3"/>
            <w:tcBorders>
              <w:top w:val="single" w:color="auto" w:sz="12" w:space="0"/>
            </w:tcBorders>
            <w:vAlign w:val="center"/>
          </w:tcPr>
          <w:p>
            <w:pPr>
              <w:spacing w:line="400" w:lineRule="exact"/>
              <w:jc w:val="center"/>
              <w:rPr>
                <w:rFonts w:ascii="宋体" w:cs="宋体"/>
                <w:b/>
                <w:color w:val="auto"/>
                <w:sz w:val="24"/>
              </w:rPr>
            </w:pPr>
            <w:r>
              <w:rPr>
                <w:rFonts w:hint="eastAsia" w:ascii="宋体" w:hAnsi="宋体" w:cs="宋体"/>
                <w:b/>
                <w:color w:val="auto"/>
                <w:sz w:val="24"/>
              </w:rPr>
              <w:t>条款号</w:t>
            </w:r>
          </w:p>
        </w:tc>
        <w:tc>
          <w:tcPr>
            <w:tcW w:w="2437" w:type="dxa"/>
            <w:tcBorders>
              <w:top w:val="single" w:color="auto" w:sz="12" w:space="0"/>
            </w:tcBorders>
            <w:vAlign w:val="center"/>
          </w:tcPr>
          <w:p>
            <w:pPr>
              <w:spacing w:line="400" w:lineRule="exact"/>
              <w:jc w:val="center"/>
              <w:rPr>
                <w:rFonts w:ascii="宋体" w:cs="宋体"/>
                <w:b/>
                <w:color w:val="auto"/>
                <w:sz w:val="24"/>
              </w:rPr>
            </w:pPr>
            <w:r>
              <w:rPr>
                <w:rFonts w:hint="eastAsia" w:ascii="宋体" w:hAnsi="宋体" w:cs="宋体"/>
                <w:b/>
                <w:color w:val="auto"/>
                <w:sz w:val="24"/>
              </w:rPr>
              <w:t>条款内容</w:t>
            </w:r>
          </w:p>
        </w:tc>
        <w:tc>
          <w:tcPr>
            <w:tcW w:w="4797" w:type="dxa"/>
            <w:tcBorders>
              <w:top w:val="single" w:color="auto" w:sz="12" w:space="0"/>
            </w:tcBorders>
            <w:vAlign w:val="center"/>
          </w:tcPr>
          <w:p>
            <w:pPr>
              <w:spacing w:line="400" w:lineRule="exact"/>
              <w:jc w:val="center"/>
              <w:rPr>
                <w:rFonts w:ascii="宋体" w:cs="宋体"/>
                <w:b/>
                <w:color w:val="auto"/>
                <w:sz w:val="24"/>
              </w:rPr>
            </w:pPr>
            <w:r>
              <w:rPr>
                <w:rFonts w:hint="eastAsia" w:ascii="宋体" w:hAnsi="宋体" w:cs="宋体"/>
                <w:b/>
                <w:color w:val="auto"/>
                <w:sz w:val="24"/>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restart"/>
            <w:vAlign w:val="center"/>
          </w:tcPr>
          <w:p>
            <w:pPr>
              <w:spacing w:line="400" w:lineRule="exact"/>
              <w:jc w:val="center"/>
              <w:rPr>
                <w:rFonts w:ascii="宋体" w:cs="宋体"/>
                <w:bCs/>
                <w:color w:val="auto"/>
                <w:sz w:val="24"/>
              </w:rPr>
            </w:pPr>
            <w:r>
              <w:rPr>
                <w:rFonts w:ascii="宋体" w:hAnsi="宋体" w:cs="宋体"/>
                <w:bCs/>
                <w:color w:val="auto"/>
                <w:sz w:val="24"/>
              </w:rPr>
              <w:t>2.1.1</w:t>
            </w:r>
          </w:p>
        </w:tc>
        <w:tc>
          <w:tcPr>
            <w:tcW w:w="1248" w:type="dxa"/>
            <w:vMerge w:val="restart"/>
            <w:vAlign w:val="center"/>
          </w:tcPr>
          <w:p>
            <w:pPr>
              <w:spacing w:line="400" w:lineRule="exact"/>
              <w:jc w:val="center"/>
              <w:rPr>
                <w:rFonts w:ascii="宋体" w:cs="宋体"/>
                <w:bCs/>
                <w:color w:val="auto"/>
                <w:sz w:val="24"/>
              </w:rPr>
            </w:pPr>
            <w:r>
              <w:rPr>
                <w:rFonts w:hint="eastAsia" w:ascii="宋体" w:hAnsi="宋体" w:cs="宋体"/>
                <w:bCs/>
                <w:color w:val="auto"/>
                <w:sz w:val="24"/>
              </w:rPr>
              <w:t>形式评审</w:t>
            </w:r>
          </w:p>
          <w:p>
            <w:pPr>
              <w:spacing w:line="400" w:lineRule="exact"/>
              <w:jc w:val="center"/>
              <w:rPr>
                <w:rFonts w:ascii="宋体" w:cs="宋体"/>
                <w:bCs/>
                <w:color w:val="auto"/>
                <w:sz w:val="24"/>
              </w:rPr>
            </w:pPr>
            <w:r>
              <w:rPr>
                <w:rFonts w:hint="eastAsia" w:ascii="宋体" w:hAnsi="宋体" w:cs="宋体"/>
                <w:bCs/>
                <w:color w:val="auto"/>
                <w:sz w:val="24"/>
              </w:rPr>
              <w:t>标准</w:t>
            </w:r>
          </w:p>
        </w:tc>
        <w:tc>
          <w:tcPr>
            <w:tcW w:w="2437" w:type="dxa"/>
            <w:vAlign w:val="center"/>
          </w:tcPr>
          <w:p>
            <w:pPr>
              <w:spacing w:line="400" w:lineRule="exact"/>
              <w:jc w:val="center"/>
              <w:rPr>
                <w:rFonts w:ascii="宋体" w:cs="宋体"/>
                <w:bCs/>
                <w:color w:val="auto"/>
                <w:sz w:val="24"/>
              </w:rPr>
            </w:pPr>
            <w:r>
              <w:rPr>
                <w:rFonts w:hint="eastAsia" w:ascii="宋体" w:hAnsi="宋体" w:cs="宋体"/>
                <w:bCs/>
                <w:color w:val="auto"/>
                <w:sz w:val="24"/>
              </w:rPr>
              <w:t>投标人名称</w:t>
            </w:r>
          </w:p>
        </w:tc>
        <w:tc>
          <w:tcPr>
            <w:tcW w:w="4797" w:type="dxa"/>
            <w:vAlign w:val="center"/>
          </w:tcPr>
          <w:p>
            <w:pPr>
              <w:spacing w:line="400" w:lineRule="exact"/>
              <w:jc w:val="center"/>
              <w:rPr>
                <w:rFonts w:ascii="宋体" w:cs="宋体"/>
                <w:bCs/>
                <w:color w:val="auto"/>
                <w:sz w:val="24"/>
              </w:rPr>
            </w:pPr>
            <w:r>
              <w:rPr>
                <w:rFonts w:hint="eastAsia" w:ascii="宋体" w:hAnsi="宋体" w:cs="宋体"/>
                <w:bCs/>
                <w:color w:val="auto"/>
                <w:sz w:val="24"/>
              </w:rPr>
              <w:t>与营业执照、资质证书一致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color w:val="auto"/>
                <w:sz w:val="24"/>
              </w:rPr>
            </w:pPr>
          </w:p>
        </w:tc>
        <w:tc>
          <w:tcPr>
            <w:tcW w:w="1248" w:type="dxa"/>
            <w:vMerge w:val="continue"/>
            <w:vAlign w:val="center"/>
          </w:tcPr>
          <w:p>
            <w:pPr>
              <w:widowControl/>
              <w:spacing w:line="400" w:lineRule="exact"/>
              <w:jc w:val="left"/>
              <w:rPr>
                <w:rFonts w:ascii="宋体" w:cs="宋体"/>
                <w:bCs/>
                <w:color w:val="auto"/>
                <w:sz w:val="24"/>
              </w:rPr>
            </w:pPr>
          </w:p>
        </w:tc>
        <w:tc>
          <w:tcPr>
            <w:tcW w:w="2437" w:type="dxa"/>
            <w:vAlign w:val="center"/>
          </w:tcPr>
          <w:p>
            <w:pPr>
              <w:spacing w:line="400" w:lineRule="exact"/>
              <w:jc w:val="center"/>
              <w:rPr>
                <w:rFonts w:ascii="宋体" w:cs="宋体"/>
                <w:bCs/>
                <w:color w:val="auto"/>
                <w:sz w:val="24"/>
              </w:rPr>
            </w:pPr>
            <w:r>
              <w:rPr>
                <w:rFonts w:hint="eastAsia" w:ascii="宋体" w:hAnsi="宋体" w:cs="宋体"/>
                <w:bCs/>
                <w:color w:val="auto"/>
                <w:sz w:val="24"/>
              </w:rPr>
              <w:t>投标函签字盖章</w:t>
            </w:r>
          </w:p>
        </w:tc>
        <w:tc>
          <w:tcPr>
            <w:tcW w:w="4797" w:type="dxa"/>
            <w:vAlign w:val="center"/>
          </w:tcPr>
          <w:p>
            <w:pPr>
              <w:spacing w:line="400" w:lineRule="exact"/>
              <w:jc w:val="center"/>
              <w:rPr>
                <w:rFonts w:ascii="宋体" w:cs="宋体"/>
                <w:bCs/>
                <w:color w:val="auto"/>
                <w:sz w:val="24"/>
              </w:rPr>
            </w:pPr>
            <w:r>
              <w:rPr>
                <w:rFonts w:hint="eastAsia" w:ascii="宋体" w:hAnsi="宋体" w:cs="宋体"/>
                <w:bCs/>
                <w:color w:val="auto"/>
                <w:sz w:val="24"/>
              </w:rPr>
              <w:t>符合第七章“投标文件格式”的要求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color w:val="auto"/>
                <w:sz w:val="24"/>
              </w:rPr>
            </w:pPr>
          </w:p>
        </w:tc>
        <w:tc>
          <w:tcPr>
            <w:tcW w:w="1248" w:type="dxa"/>
            <w:vMerge w:val="continue"/>
            <w:vAlign w:val="center"/>
          </w:tcPr>
          <w:p>
            <w:pPr>
              <w:widowControl/>
              <w:spacing w:line="400" w:lineRule="exact"/>
              <w:jc w:val="left"/>
              <w:rPr>
                <w:rFonts w:ascii="宋体" w:cs="宋体"/>
                <w:bCs/>
                <w:color w:val="auto"/>
                <w:sz w:val="24"/>
              </w:rPr>
            </w:pPr>
          </w:p>
        </w:tc>
        <w:tc>
          <w:tcPr>
            <w:tcW w:w="2437" w:type="dxa"/>
            <w:vAlign w:val="center"/>
          </w:tcPr>
          <w:p>
            <w:pPr>
              <w:spacing w:line="400" w:lineRule="exact"/>
              <w:jc w:val="center"/>
              <w:rPr>
                <w:rFonts w:ascii="宋体" w:cs="宋体"/>
                <w:bCs/>
                <w:color w:val="auto"/>
                <w:sz w:val="24"/>
              </w:rPr>
            </w:pPr>
            <w:r>
              <w:rPr>
                <w:rFonts w:hint="eastAsia" w:ascii="宋体" w:hAnsi="宋体" w:cs="宋体"/>
                <w:bCs/>
                <w:color w:val="auto"/>
                <w:sz w:val="24"/>
              </w:rPr>
              <w:t>投标文件格式</w:t>
            </w:r>
          </w:p>
        </w:tc>
        <w:tc>
          <w:tcPr>
            <w:tcW w:w="4797" w:type="dxa"/>
            <w:vAlign w:val="center"/>
          </w:tcPr>
          <w:p>
            <w:pPr>
              <w:spacing w:line="400" w:lineRule="exact"/>
              <w:jc w:val="center"/>
              <w:rPr>
                <w:rFonts w:ascii="宋体" w:cs="宋体"/>
                <w:bCs/>
                <w:color w:val="auto"/>
                <w:sz w:val="24"/>
              </w:rPr>
            </w:pPr>
            <w:r>
              <w:rPr>
                <w:rFonts w:hint="eastAsia" w:ascii="宋体" w:hAnsi="宋体" w:cs="宋体"/>
                <w:bCs/>
                <w:color w:val="auto"/>
                <w:sz w:val="24"/>
              </w:rPr>
              <w:t>符合第七章“投标文件格式”的要求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color w:val="auto"/>
                <w:sz w:val="24"/>
              </w:rPr>
            </w:pPr>
          </w:p>
        </w:tc>
        <w:tc>
          <w:tcPr>
            <w:tcW w:w="1248" w:type="dxa"/>
            <w:vMerge w:val="continue"/>
            <w:vAlign w:val="center"/>
          </w:tcPr>
          <w:p>
            <w:pPr>
              <w:widowControl/>
              <w:spacing w:line="400" w:lineRule="exact"/>
              <w:jc w:val="left"/>
              <w:rPr>
                <w:rFonts w:ascii="宋体" w:cs="宋体"/>
                <w:bCs/>
                <w:color w:val="auto"/>
                <w:sz w:val="24"/>
              </w:rPr>
            </w:pPr>
          </w:p>
        </w:tc>
        <w:tc>
          <w:tcPr>
            <w:tcW w:w="2437" w:type="dxa"/>
            <w:vAlign w:val="center"/>
          </w:tcPr>
          <w:p>
            <w:pPr>
              <w:spacing w:line="400" w:lineRule="exact"/>
              <w:jc w:val="center"/>
              <w:rPr>
                <w:rFonts w:ascii="宋体" w:cs="宋体"/>
                <w:bCs/>
                <w:color w:val="auto"/>
                <w:sz w:val="24"/>
              </w:rPr>
            </w:pPr>
            <w:r>
              <w:rPr>
                <w:rFonts w:hint="eastAsia" w:ascii="宋体" w:hAnsi="宋体" w:cs="宋体"/>
                <w:bCs/>
                <w:color w:val="auto"/>
                <w:sz w:val="24"/>
              </w:rPr>
              <w:t>报价唯一</w:t>
            </w:r>
          </w:p>
        </w:tc>
        <w:tc>
          <w:tcPr>
            <w:tcW w:w="4797" w:type="dxa"/>
            <w:vAlign w:val="center"/>
          </w:tcPr>
          <w:p>
            <w:pPr>
              <w:spacing w:line="400" w:lineRule="exact"/>
              <w:jc w:val="center"/>
              <w:rPr>
                <w:rFonts w:ascii="宋体" w:cs="宋体"/>
                <w:bCs/>
                <w:color w:val="auto"/>
                <w:sz w:val="24"/>
              </w:rPr>
            </w:pPr>
            <w:r>
              <w:rPr>
                <w:rFonts w:hint="eastAsia" w:ascii="宋体" w:hAnsi="宋体" w:cs="宋体"/>
                <w:bCs/>
                <w:color w:val="auto"/>
                <w:sz w:val="24"/>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restart"/>
            <w:vAlign w:val="center"/>
          </w:tcPr>
          <w:p>
            <w:pPr>
              <w:spacing w:line="400" w:lineRule="exact"/>
              <w:jc w:val="center"/>
              <w:rPr>
                <w:rFonts w:ascii="宋体" w:cs="宋体"/>
                <w:bCs/>
                <w:color w:val="auto"/>
                <w:sz w:val="24"/>
              </w:rPr>
            </w:pPr>
            <w:r>
              <w:rPr>
                <w:rFonts w:ascii="宋体" w:hAnsi="宋体" w:cs="宋体"/>
                <w:bCs/>
                <w:color w:val="auto"/>
                <w:sz w:val="24"/>
              </w:rPr>
              <w:t>2.1.2</w:t>
            </w:r>
          </w:p>
        </w:tc>
        <w:tc>
          <w:tcPr>
            <w:tcW w:w="1248" w:type="dxa"/>
            <w:vMerge w:val="restart"/>
            <w:vAlign w:val="center"/>
          </w:tcPr>
          <w:p>
            <w:pPr>
              <w:spacing w:line="400" w:lineRule="exact"/>
              <w:jc w:val="center"/>
              <w:rPr>
                <w:rFonts w:ascii="宋体" w:cs="宋体"/>
                <w:bCs/>
                <w:color w:val="auto"/>
                <w:sz w:val="24"/>
              </w:rPr>
            </w:pPr>
            <w:r>
              <w:rPr>
                <w:rFonts w:hint="eastAsia" w:ascii="宋体" w:hAnsi="宋体" w:cs="宋体"/>
                <w:bCs/>
                <w:color w:val="auto"/>
                <w:sz w:val="24"/>
              </w:rPr>
              <w:t>资格评审</w:t>
            </w:r>
          </w:p>
          <w:p>
            <w:pPr>
              <w:spacing w:line="400" w:lineRule="exact"/>
              <w:jc w:val="center"/>
              <w:rPr>
                <w:rFonts w:ascii="宋体" w:cs="宋体"/>
                <w:bCs/>
                <w:color w:val="auto"/>
                <w:sz w:val="24"/>
              </w:rPr>
            </w:pPr>
            <w:r>
              <w:rPr>
                <w:rFonts w:hint="eastAsia" w:ascii="宋体" w:hAnsi="宋体" w:cs="宋体"/>
                <w:bCs/>
                <w:color w:val="auto"/>
                <w:sz w:val="24"/>
              </w:rPr>
              <w:t>标准</w:t>
            </w:r>
          </w:p>
        </w:tc>
        <w:tc>
          <w:tcPr>
            <w:tcW w:w="2437" w:type="dxa"/>
            <w:vAlign w:val="center"/>
          </w:tcPr>
          <w:p>
            <w:pPr>
              <w:spacing w:line="400" w:lineRule="exact"/>
              <w:jc w:val="center"/>
              <w:rPr>
                <w:rFonts w:ascii="宋体"/>
                <w:bCs/>
                <w:color w:val="auto"/>
                <w:sz w:val="24"/>
              </w:rPr>
            </w:pPr>
            <w:r>
              <w:rPr>
                <w:rFonts w:hint="eastAsia"/>
                <w:color w:val="auto"/>
                <w:sz w:val="24"/>
              </w:rPr>
              <w:t>营业执照</w:t>
            </w:r>
          </w:p>
        </w:tc>
        <w:tc>
          <w:tcPr>
            <w:tcW w:w="4797" w:type="dxa"/>
            <w:vAlign w:val="center"/>
          </w:tcPr>
          <w:p>
            <w:pPr>
              <w:spacing w:line="400" w:lineRule="exact"/>
              <w:rPr>
                <w:color w:val="auto"/>
                <w:sz w:val="24"/>
              </w:rPr>
            </w:pPr>
            <w:r>
              <w:rPr>
                <w:rFonts w:hint="eastAsia"/>
                <w:color w:val="auto"/>
                <w:sz w:val="24"/>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color w:val="auto"/>
                <w:sz w:val="24"/>
              </w:rPr>
            </w:pPr>
          </w:p>
        </w:tc>
        <w:tc>
          <w:tcPr>
            <w:tcW w:w="1248" w:type="dxa"/>
            <w:vMerge w:val="continue"/>
            <w:vAlign w:val="center"/>
          </w:tcPr>
          <w:p>
            <w:pPr>
              <w:widowControl/>
              <w:spacing w:line="400" w:lineRule="exact"/>
              <w:jc w:val="left"/>
              <w:rPr>
                <w:rFonts w:ascii="宋体" w:cs="宋体"/>
                <w:bCs/>
                <w:color w:val="auto"/>
                <w:sz w:val="24"/>
              </w:rPr>
            </w:pPr>
          </w:p>
        </w:tc>
        <w:tc>
          <w:tcPr>
            <w:tcW w:w="2437" w:type="dxa"/>
            <w:vAlign w:val="center"/>
          </w:tcPr>
          <w:p>
            <w:pPr>
              <w:spacing w:line="400" w:lineRule="exact"/>
              <w:jc w:val="center"/>
              <w:rPr>
                <w:rFonts w:ascii="宋体"/>
                <w:bCs/>
                <w:color w:val="auto"/>
                <w:sz w:val="24"/>
              </w:rPr>
            </w:pPr>
            <w:r>
              <w:rPr>
                <w:rFonts w:hint="eastAsia"/>
                <w:color w:val="auto"/>
                <w:sz w:val="24"/>
              </w:rPr>
              <w:t>资质等级</w:t>
            </w:r>
          </w:p>
        </w:tc>
        <w:tc>
          <w:tcPr>
            <w:tcW w:w="4797" w:type="dxa"/>
            <w:vAlign w:val="center"/>
          </w:tcPr>
          <w:p>
            <w:pPr>
              <w:spacing w:line="400" w:lineRule="exact"/>
              <w:rPr>
                <w:color w:val="auto"/>
                <w:sz w:val="24"/>
              </w:rPr>
            </w:pPr>
            <w:r>
              <w:rPr>
                <w:rFonts w:hint="eastAsia"/>
                <w:color w:val="auto"/>
                <w:sz w:val="24"/>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color w:val="auto"/>
                <w:sz w:val="24"/>
              </w:rPr>
            </w:pPr>
          </w:p>
        </w:tc>
        <w:tc>
          <w:tcPr>
            <w:tcW w:w="1248" w:type="dxa"/>
            <w:vMerge w:val="continue"/>
            <w:vAlign w:val="center"/>
          </w:tcPr>
          <w:p>
            <w:pPr>
              <w:widowControl/>
              <w:spacing w:line="400" w:lineRule="exact"/>
              <w:jc w:val="left"/>
              <w:rPr>
                <w:rFonts w:ascii="宋体" w:cs="宋体"/>
                <w:bCs/>
                <w:color w:val="auto"/>
                <w:sz w:val="24"/>
              </w:rPr>
            </w:pPr>
          </w:p>
        </w:tc>
        <w:tc>
          <w:tcPr>
            <w:tcW w:w="2437" w:type="dxa"/>
            <w:vAlign w:val="center"/>
          </w:tcPr>
          <w:p>
            <w:pPr>
              <w:spacing w:line="400" w:lineRule="exact"/>
              <w:jc w:val="center"/>
              <w:rPr>
                <w:color w:val="auto"/>
                <w:sz w:val="24"/>
              </w:rPr>
            </w:pPr>
            <w:r>
              <w:rPr>
                <w:rFonts w:hint="eastAsia"/>
                <w:color w:val="auto"/>
                <w:sz w:val="24"/>
              </w:rPr>
              <w:t>项目总监</w:t>
            </w:r>
          </w:p>
        </w:tc>
        <w:tc>
          <w:tcPr>
            <w:tcW w:w="4797" w:type="dxa"/>
            <w:vAlign w:val="center"/>
          </w:tcPr>
          <w:p>
            <w:pPr>
              <w:spacing w:line="400" w:lineRule="exact"/>
              <w:rPr>
                <w:color w:val="auto"/>
                <w:sz w:val="24"/>
              </w:rPr>
            </w:pPr>
            <w:r>
              <w:rPr>
                <w:rFonts w:hint="eastAsia"/>
                <w:color w:val="auto"/>
                <w:sz w:val="24"/>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cs="宋体"/>
                <w:bCs/>
                <w:color w:val="auto"/>
                <w:sz w:val="24"/>
              </w:rPr>
            </w:pPr>
          </w:p>
        </w:tc>
        <w:tc>
          <w:tcPr>
            <w:tcW w:w="1248" w:type="dxa"/>
            <w:vMerge w:val="continue"/>
            <w:vAlign w:val="center"/>
          </w:tcPr>
          <w:p>
            <w:pPr>
              <w:widowControl/>
              <w:spacing w:line="400" w:lineRule="exact"/>
              <w:jc w:val="left"/>
              <w:rPr>
                <w:rFonts w:ascii="宋体" w:cs="宋体"/>
                <w:bCs/>
                <w:color w:val="auto"/>
                <w:sz w:val="24"/>
              </w:rPr>
            </w:pPr>
          </w:p>
        </w:tc>
        <w:tc>
          <w:tcPr>
            <w:tcW w:w="2437" w:type="dxa"/>
            <w:vAlign w:val="center"/>
          </w:tcPr>
          <w:p>
            <w:pPr>
              <w:spacing w:line="400" w:lineRule="exact"/>
              <w:jc w:val="center"/>
              <w:rPr>
                <w:rFonts w:ascii="宋体"/>
                <w:bCs/>
                <w:color w:val="auto"/>
                <w:sz w:val="24"/>
              </w:rPr>
            </w:pPr>
            <w:r>
              <w:rPr>
                <w:rFonts w:hint="eastAsia"/>
                <w:color w:val="auto"/>
                <w:sz w:val="24"/>
              </w:rPr>
              <w:t>其他要求</w:t>
            </w:r>
          </w:p>
        </w:tc>
        <w:tc>
          <w:tcPr>
            <w:tcW w:w="4797" w:type="dxa"/>
            <w:vAlign w:val="center"/>
          </w:tcPr>
          <w:p>
            <w:pPr>
              <w:spacing w:line="400" w:lineRule="exact"/>
              <w:rPr>
                <w:rFonts w:ascii="宋体" w:hAnsi="宋体"/>
                <w:bCs/>
                <w:color w:val="auto"/>
                <w:sz w:val="24"/>
              </w:rPr>
            </w:pPr>
            <w:r>
              <w:rPr>
                <w:rFonts w:hint="eastAsia"/>
                <w:color w:val="auto"/>
                <w:sz w:val="24"/>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restart"/>
            <w:vAlign w:val="center"/>
          </w:tcPr>
          <w:p>
            <w:pPr>
              <w:spacing w:line="400" w:lineRule="exact"/>
              <w:jc w:val="center"/>
              <w:rPr>
                <w:rFonts w:ascii="宋体"/>
                <w:bCs/>
                <w:color w:val="auto"/>
                <w:sz w:val="24"/>
              </w:rPr>
            </w:pPr>
            <w:r>
              <w:rPr>
                <w:rFonts w:ascii="宋体" w:hAnsi="宋体"/>
                <w:bCs/>
                <w:color w:val="auto"/>
                <w:sz w:val="24"/>
              </w:rPr>
              <w:t>2.1.3</w:t>
            </w:r>
          </w:p>
        </w:tc>
        <w:tc>
          <w:tcPr>
            <w:tcW w:w="1248" w:type="dxa"/>
            <w:vMerge w:val="restart"/>
            <w:vAlign w:val="center"/>
          </w:tcPr>
          <w:p>
            <w:pPr>
              <w:spacing w:line="400" w:lineRule="exact"/>
              <w:jc w:val="center"/>
              <w:rPr>
                <w:rFonts w:ascii="宋体"/>
                <w:bCs/>
                <w:color w:val="auto"/>
                <w:sz w:val="24"/>
              </w:rPr>
            </w:pPr>
            <w:r>
              <w:rPr>
                <w:rFonts w:hint="eastAsia" w:ascii="宋体" w:hAnsi="宋体"/>
                <w:bCs/>
                <w:color w:val="auto"/>
                <w:sz w:val="24"/>
              </w:rPr>
              <w:t>响应性评审标准</w:t>
            </w:r>
          </w:p>
        </w:tc>
        <w:tc>
          <w:tcPr>
            <w:tcW w:w="2437" w:type="dxa"/>
            <w:vAlign w:val="center"/>
          </w:tcPr>
          <w:p>
            <w:pPr>
              <w:spacing w:line="400" w:lineRule="exact"/>
              <w:jc w:val="center"/>
              <w:rPr>
                <w:color w:val="auto"/>
                <w:sz w:val="24"/>
              </w:rPr>
            </w:pPr>
            <w:r>
              <w:rPr>
                <w:rFonts w:hint="eastAsia"/>
                <w:color w:val="auto"/>
                <w:sz w:val="24"/>
              </w:rPr>
              <w:t>监理范围</w:t>
            </w:r>
          </w:p>
        </w:tc>
        <w:tc>
          <w:tcPr>
            <w:tcW w:w="4797" w:type="dxa"/>
            <w:vAlign w:val="center"/>
          </w:tcPr>
          <w:p>
            <w:pPr>
              <w:spacing w:line="400" w:lineRule="exact"/>
              <w:rPr>
                <w:color w:val="auto"/>
                <w:sz w:val="24"/>
              </w:rPr>
            </w:pPr>
            <w:r>
              <w:rPr>
                <w:rFonts w:hint="eastAsia"/>
                <w:color w:val="auto"/>
                <w:sz w:val="24"/>
              </w:rPr>
              <w:t>符合第二章“投标人须知”第1.3.1项规定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bCs/>
                <w:color w:val="auto"/>
                <w:sz w:val="24"/>
              </w:rPr>
            </w:pPr>
          </w:p>
        </w:tc>
        <w:tc>
          <w:tcPr>
            <w:tcW w:w="1248" w:type="dxa"/>
            <w:vMerge w:val="continue"/>
            <w:vAlign w:val="center"/>
          </w:tcPr>
          <w:p>
            <w:pPr>
              <w:widowControl/>
              <w:spacing w:line="400" w:lineRule="exact"/>
              <w:jc w:val="left"/>
              <w:rPr>
                <w:rFonts w:ascii="宋体"/>
                <w:bCs/>
                <w:color w:val="auto"/>
                <w:sz w:val="24"/>
              </w:rPr>
            </w:pPr>
          </w:p>
        </w:tc>
        <w:tc>
          <w:tcPr>
            <w:tcW w:w="2437" w:type="dxa"/>
            <w:vAlign w:val="center"/>
          </w:tcPr>
          <w:p>
            <w:pPr>
              <w:spacing w:line="400" w:lineRule="exact"/>
              <w:jc w:val="center"/>
              <w:rPr>
                <w:rFonts w:ascii="宋体"/>
                <w:bCs/>
                <w:color w:val="auto"/>
                <w:sz w:val="24"/>
              </w:rPr>
            </w:pPr>
            <w:r>
              <w:rPr>
                <w:rFonts w:hint="eastAsia"/>
                <w:color w:val="auto"/>
                <w:sz w:val="24"/>
              </w:rPr>
              <w:t>监理服务期限</w:t>
            </w:r>
          </w:p>
        </w:tc>
        <w:tc>
          <w:tcPr>
            <w:tcW w:w="4797" w:type="dxa"/>
            <w:vAlign w:val="center"/>
          </w:tcPr>
          <w:p>
            <w:pPr>
              <w:spacing w:line="400" w:lineRule="exact"/>
              <w:rPr>
                <w:rFonts w:ascii="宋体"/>
                <w:bCs/>
                <w:color w:val="auto"/>
                <w:sz w:val="24"/>
              </w:rPr>
            </w:pPr>
            <w:r>
              <w:rPr>
                <w:rFonts w:hint="eastAsia"/>
                <w:color w:val="auto"/>
                <w:sz w:val="24"/>
              </w:rPr>
              <w:t>符合第二章“投标人须知”第1.3.2项规定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bCs/>
                <w:color w:val="auto"/>
                <w:sz w:val="24"/>
              </w:rPr>
            </w:pPr>
          </w:p>
        </w:tc>
        <w:tc>
          <w:tcPr>
            <w:tcW w:w="1248" w:type="dxa"/>
            <w:vMerge w:val="continue"/>
            <w:vAlign w:val="center"/>
          </w:tcPr>
          <w:p>
            <w:pPr>
              <w:widowControl/>
              <w:spacing w:line="400" w:lineRule="exact"/>
              <w:jc w:val="left"/>
              <w:rPr>
                <w:rFonts w:ascii="宋体"/>
                <w:bCs/>
                <w:color w:val="auto"/>
                <w:sz w:val="24"/>
              </w:rPr>
            </w:pPr>
          </w:p>
        </w:tc>
        <w:tc>
          <w:tcPr>
            <w:tcW w:w="2437" w:type="dxa"/>
            <w:vAlign w:val="center"/>
          </w:tcPr>
          <w:p>
            <w:pPr>
              <w:spacing w:line="400" w:lineRule="exact"/>
              <w:jc w:val="center"/>
              <w:rPr>
                <w:rFonts w:ascii="宋体"/>
                <w:bCs/>
                <w:color w:val="auto"/>
                <w:sz w:val="24"/>
              </w:rPr>
            </w:pPr>
            <w:r>
              <w:rPr>
                <w:rFonts w:hint="eastAsia" w:ascii="宋体" w:hAnsi="宋体" w:cs="宋体"/>
                <w:color w:val="auto"/>
                <w:sz w:val="24"/>
              </w:rPr>
              <w:t>质量</w:t>
            </w:r>
          </w:p>
        </w:tc>
        <w:tc>
          <w:tcPr>
            <w:tcW w:w="4797" w:type="dxa"/>
            <w:vAlign w:val="center"/>
          </w:tcPr>
          <w:p>
            <w:pPr>
              <w:spacing w:line="400" w:lineRule="exact"/>
              <w:rPr>
                <w:rFonts w:ascii="宋体"/>
                <w:bCs/>
                <w:color w:val="auto"/>
                <w:sz w:val="24"/>
              </w:rPr>
            </w:pPr>
            <w:r>
              <w:rPr>
                <w:rFonts w:hint="eastAsia"/>
                <w:color w:val="auto"/>
                <w:sz w:val="24"/>
              </w:rPr>
              <w:t>符合第二章“投标人须知”第1.3.3项规定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bCs/>
                <w:color w:val="auto"/>
                <w:sz w:val="24"/>
              </w:rPr>
            </w:pPr>
          </w:p>
        </w:tc>
        <w:tc>
          <w:tcPr>
            <w:tcW w:w="1248" w:type="dxa"/>
            <w:vMerge w:val="continue"/>
            <w:vAlign w:val="center"/>
          </w:tcPr>
          <w:p>
            <w:pPr>
              <w:widowControl/>
              <w:spacing w:line="400" w:lineRule="exact"/>
              <w:jc w:val="left"/>
              <w:rPr>
                <w:rFonts w:ascii="宋体"/>
                <w:bCs/>
                <w:color w:val="auto"/>
                <w:sz w:val="24"/>
              </w:rPr>
            </w:pPr>
          </w:p>
        </w:tc>
        <w:tc>
          <w:tcPr>
            <w:tcW w:w="2437" w:type="dxa"/>
            <w:vAlign w:val="center"/>
          </w:tcPr>
          <w:p>
            <w:pPr>
              <w:spacing w:line="400" w:lineRule="exact"/>
              <w:jc w:val="center"/>
              <w:rPr>
                <w:rFonts w:ascii="宋体"/>
                <w:bCs/>
                <w:color w:val="auto"/>
                <w:sz w:val="24"/>
              </w:rPr>
            </w:pPr>
            <w:r>
              <w:rPr>
                <w:rFonts w:hint="eastAsia"/>
                <w:color w:val="auto"/>
                <w:sz w:val="24"/>
              </w:rPr>
              <w:t>投标有效期</w:t>
            </w:r>
          </w:p>
        </w:tc>
        <w:tc>
          <w:tcPr>
            <w:tcW w:w="4797" w:type="dxa"/>
            <w:vAlign w:val="center"/>
          </w:tcPr>
          <w:p>
            <w:pPr>
              <w:spacing w:line="400" w:lineRule="exact"/>
              <w:rPr>
                <w:bCs/>
                <w:color w:val="auto"/>
                <w:sz w:val="24"/>
              </w:rPr>
            </w:pPr>
            <w:r>
              <w:rPr>
                <w:rFonts w:hint="eastAsia"/>
                <w:color w:val="auto"/>
                <w:sz w:val="24"/>
              </w:rPr>
              <w:t>符合第二章“投标人须知”第3.3.1项规定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bCs/>
                <w:color w:val="auto"/>
                <w:sz w:val="24"/>
              </w:rPr>
            </w:pPr>
          </w:p>
        </w:tc>
        <w:tc>
          <w:tcPr>
            <w:tcW w:w="1248" w:type="dxa"/>
            <w:vMerge w:val="continue"/>
            <w:vAlign w:val="center"/>
          </w:tcPr>
          <w:p>
            <w:pPr>
              <w:widowControl/>
              <w:spacing w:line="400" w:lineRule="exact"/>
              <w:jc w:val="left"/>
              <w:rPr>
                <w:rFonts w:ascii="宋体"/>
                <w:bCs/>
                <w:color w:val="auto"/>
                <w:sz w:val="24"/>
              </w:rPr>
            </w:pPr>
          </w:p>
        </w:tc>
        <w:tc>
          <w:tcPr>
            <w:tcW w:w="2437" w:type="dxa"/>
            <w:vAlign w:val="center"/>
          </w:tcPr>
          <w:p>
            <w:pPr>
              <w:spacing w:line="400" w:lineRule="exact"/>
              <w:jc w:val="center"/>
              <w:rPr>
                <w:rFonts w:ascii="宋体" w:hAnsi="宋体"/>
                <w:bCs/>
                <w:color w:val="auto"/>
                <w:sz w:val="24"/>
              </w:rPr>
            </w:pPr>
            <w:r>
              <w:rPr>
                <w:rFonts w:hint="eastAsia"/>
                <w:color w:val="auto"/>
                <w:sz w:val="24"/>
              </w:rPr>
              <w:t>投标保证金</w:t>
            </w:r>
          </w:p>
        </w:tc>
        <w:tc>
          <w:tcPr>
            <w:tcW w:w="4797" w:type="dxa"/>
            <w:vAlign w:val="center"/>
          </w:tcPr>
          <w:p>
            <w:pPr>
              <w:spacing w:line="400" w:lineRule="exact"/>
              <w:rPr>
                <w:rFonts w:ascii="宋体" w:hAnsi="宋体"/>
                <w:bCs/>
                <w:color w:val="auto"/>
                <w:sz w:val="24"/>
              </w:rPr>
            </w:pPr>
            <w:r>
              <w:rPr>
                <w:rFonts w:hint="eastAsia"/>
                <w:color w:val="auto"/>
                <w:sz w:val="24"/>
              </w:rPr>
              <w:t>符合第二章“投标人须知”第3.4.1项规定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1028" w:type="dxa"/>
            <w:gridSpan w:val="2"/>
            <w:vMerge w:val="continue"/>
            <w:vAlign w:val="center"/>
          </w:tcPr>
          <w:p>
            <w:pPr>
              <w:widowControl/>
              <w:spacing w:line="400" w:lineRule="exact"/>
              <w:jc w:val="left"/>
              <w:rPr>
                <w:rFonts w:ascii="宋体"/>
                <w:bCs/>
                <w:color w:val="auto"/>
                <w:sz w:val="24"/>
              </w:rPr>
            </w:pPr>
          </w:p>
        </w:tc>
        <w:tc>
          <w:tcPr>
            <w:tcW w:w="1248" w:type="dxa"/>
            <w:vMerge w:val="continue"/>
            <w:vAlign w:val="center"/>
          </w:tcPr>
          <w:p>
            <w:pPr>
              <w:widowControl/>
              <w:spacing w:line="400" w:lineRule="exact"/>
              <w:jc w:val="left"/>
              <w:rPr>
                <w:rFonts w:ascii="宋体"/>
                <w:bCs/>
                <w:color w:val="auto"/>
                <w:sz w:val="24"/>
              </w:rPr>
            </w:pPr>
          </w:p>
        </w:tc>
        <w:tc>
          <w:tcPr>
            <w:tcW w:w="2437" w:type="dxa"/>
            <w:vAlign w:val="center"/>
          </w:tcPr>
          <w:p>
            <w:pPr>
              <w:spacing w:line="400" w:lineRule="exact"/>
              <w:jc w:val="center"/>
              <w:rPr>
                <w:rFonts w:ascii="宋体" w:hAnsi="宋体"/>
                <w:bCs/>
                <w:color w:val="auto"/>
                <w:sz w:val="24"/>
              </w:rPr>
            </w:pPr>
            <w:r>
              <w:rPr>
                <w:rFonts w:hint="eastAsia"/>
                <w:color w:val="auto"/>
                <w:sz w:val="24"/>
              </w:rPr>
              <w:t>投标报价</w:t>
            </w:r>
          </w:p>
        </w:tc>
        <w:tc>
          <w:tcPr>
            <w:tcW w:w="4797" w:type="dxa"/>
            <w:vAlign w:val="center"/>
          </w:tcPr>
          <w:p>
            <w:pPr>
              <w:spacing w:line="400" w:lineRule="exact"/>
              <w:jc w:val="center"/>
              <w:rPr>
                <w:rFonts w:ascii="宋体" w:hAnsi="宋体"/>
                <w:bCs/>
                <w:color w:val="auto"/>
                <w:sz w:val="24"/>
              </w:rPr>
            </w:pPr>
            <w:r>
              <w:rPr>
                <w:rFonts w:hint="eastAsia"/>
                <w:color w:val="auto"/>
                <w:sz w:val="24"/>
              </w:rPr>
              <w:t>符合第二章“投标人须知前附表”第10.1项规定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2276" w:type="dxa"/>
            <w:gridSpan w:val="3"/>
            <w:vAlign w:val="center"/>
          </w:tcPr>
          <w:p>
            <w:pPr>
              <w:spacing w:line="400" w:lineRule="exact"/>
              <w:jc w:val="center"/>
              <w:rPr>
                <w:rFonts w:ascii="宋体" w:cs="宋体"/>
                <w:bCs/>
                <w:color w:val="auto"/>
                <w:sz w:val="24"/>
              </w:rPr>
            </w:pPr>
            <w:r>
              <w:rPr>
                <w:rFonts w:ascii="宋体" w:hAnsi="宋体" w:cs="宋体"/>
                <w:bCs/>
                <w:color w:val="auto"/>
                <w:sz w:val="24"/>
              </w:rPr>
              <w:t>2.2.1</w:t>
            </w:r>
          </w:p>
        </w:tc>
        <w:tc>
          <w:tcPr>
            <w:tcW w:w="2437" w:type="dxa"/>
            <w:vAlign w:val="center"/>
          </w:tcPr>
          <w:p>
            <w:pPr>
              <w:spacing w:line="400" w:lineRule="exact"/>
              <w:jc w:val="center"/>
              <w:rPr>
                <w:rFonts w:ascii="宋体" w:cs="宋体"/>
                <w:bCs/>
                <w:color w:val="auto"/>
                <w:sz w:val="24"/>
              </w:rPr>
            </w:pPr>
            <w:r>
              <w:rPr>
                <w:rFonts w:hint="eastAsia" w:ascii="宋体" w:hAnsi="宋体" w:cs="宋体"/>
                <w:bCs/>
                <w:color w:val="auto"/>
                <w:sz w:val="24"/>
              </w:rPr>
              <w:t>分值构成</w:t>
            </w:r>
          </w:p>
          <w:p>
            <w:pPr>
              <w:spacing w:line="400" w:lineRule="exact"/>
              <w:jc w:val="center"/>
              <w:rPr>
                <w:rFonts w:ascii="宋体" w:cs="宋体"/>
                <w:bCs/>
                <w:color w:val="auto"/>
                <w:sz w:val="24"/>
              </w:rPr>
            </w:pPr>
            <w:r>
              <w:rPr>
                <w:rFonts w:ascii="宋体" w:hAnsi="宋体" w:cs="宋体"/>
                <w:bCs/>
                <w:color w:val="auto"/>
                <w:sz w:val="24"/>
              </w:rPr>
              <w:t>(</w:t>
            </w:r>
            <w:r>
              <w:rPr>
                <w:rFonts w:hint="eastAsia" w:ascii="宋体" w:hAnsi="宋体" w:cs="宋体"/>
                <w:bCs/>
                <w:color w:val="auto"/>
                <w:sz w:val="24"/>
              </w:rPr>
              <w:t>总分</w:t>
            </w:r>
            <w:r>
              <w:rPr>
                <w:rFonts w:ascii="宋体" w:hAnsi="宋体" w:cs="宋体"/>
                <w:bCs/>
                <w:color w:val="auto"/>
                <w:sz w:val="24"/>
              </w:rPr>
              <w:t>100</w:t>
            </w:r>
            <w:r>
              <w:rPr>
                <w:rFonts w:hint="eastAsia" w:ascii="宋体" w:hAnsi="宋体" w:cs="宋体"/>
                <w:bCs/>
                <w:color w:val="auto"/>
                <w:sz w:val="24"/>
              </w:rPr>
              <w:t>分</w:t>
            </w:r>
            <w:r>
              <w:rPr>
                <w:rFonts w:ascii="宋体" w:hAnsi="宋体" w:cs="宋体"/>
                <w:bCs/>
                <w:color w:val="auto"/>
                <w:sz w:val="24"/>
              </w:rPr>
              <w:t>)</w:t>
            </w:r>
          </w:p>
        </w:tc>
        <w:tc>
          <w:tcPr>
            <w:tcW w:w="4797" w:type="dxa"/>
            <w:vAlign w:val="center"/>
          </w:tcPr>
          <w:p>
            <w:pPr>
              <w:spacing w:line="400" w:lineRule="exact"/>
              <w:jc w:val="center"/>
              <w:rPr>
                <w:rFonts w:ascii="宋体" w:cs="宋体"/>
                <w:bCs/>
                <w:color w:val="auto"/>
                <w:sz w:val="24"/>
              </w:rPr>
            </w:pPr>
            <w:r>
              <w:rPr>
                <w:rFonts w:hint="eastAsia" w:ascii="宋体" w:hAnsi="宋体" w:cs="宋体"/>
                <w:color w:val="auto"/>
                <w:sz w:val="24"/>
              </w:rPr>
              <w:t>监理大纲</w:t>
            </w:r>
            <w:r>
              <w:rPr>
                <w:rFonts w:hint="eastAsia" w:ascii="宋体" w:hAnsi="宋体" w:cs="宋体"/>
                <w:bCs/>
                <w:color w:val="auto"/>
                <w:sz w:val="24"/>
              </w:rPr>
              <w:t>：</w:t>
            </w:r>
            <w:r>
              <w:rPr>
                <w:rFonts w:hint="eastAsia" w:ascii="宋体" w:hAnsi="宋体" w:cs="宋体"/>
                <w:bCs/>
                <w:color w:val="auto"/>
                <w:sz w:val="24"/>
                <w:u w:val="single"/>
              </w:rPr>
              <w:t>55</w:t>
            </w:r>
            <w:r>
              <w:rPr>
                <w:rFonts w:hint="eastAsia" w:ascii="宋体" w:hAnsi="宋体" w:cs="宋体"/>
                <w:bCs/>
                <w:color w:val="auto"/>
                <w:sz w:val="24"/>
              </w:rPr>
              <w:t>分</w:t>
            </w:r>
          </w:p>
          <w:p>
            <w:pPr>
              <w:spacing w:line="400" w:lineRule="exact"/>
              <w:jc w:val="center"/>
              <w:rPr>
                <w:rFonts w:ascii="宋体" w:cs="宋体"/>
                <w:bCs/>
                <w:color w:val="auto"/>
                <w:sz w:val="24"/>
              </w:rPr>
            </w:pPr>
            <w:r>
              <w:rPr>
                <w:rFonts w:hint="eastAsia" w:ascii="宋体" w:hAnsi="宋体" w:cs="宋体"/>
                <w:bCs/>
                <w:color w:val="auto"/>
                <w:sz w:val="24"/>
              </w:rPr>
              <w:t>综合标：</w:t>
            </w:r>
            <w:r>
              <w:rPr>
                <w:rFonts w:hint="eastAsia" w:ascii="宋体" w:hAnsi="宋体" w:cs="宋体"/>
                <w:bCs/>
                <w:color w:val="auto"/>
                <w:sz w:val="24"/>
                <w:u w:val="single"/>
              </w:rPr>
              <w:t>20</w:t>
            </w:r>
            <w:r>
              <w:rPr>
                <w:rFonts w:hint="eastAsia" w:ascii="宋体" w:hAnsi="宋体" w:cs="宋体"/>
                <w:bCs/>
                <w:color w:val="auto"/>
                <w:sz w:val="24"/>
              </w:rPr>
              <w:t>分</w:t>
            </w:r>
          </w:p>
          <w:p>
            <w:pPr>
              <w:spacing w:line="400" w:lineRule="exact"/>
              <w:ind w:firstLine="1560" w:firstLineChars="650"/>
              <w:rPr>
                <w:rFonts w:ascii="宋体" w:cs="宋体"/>
                <w:bCs/>
                <w:color w:val="auto"/>
                <w:sz w:val="24"/>
              </w:rPr>
            </w:pPr>
            <w:r>
              <w:rPr>
                <w:rFonts w:hint="eastAsia" w:ascii="宋体" w:hAnsi="宋体" w:cs="宋体"/>
                <w:bCs/>
                <w:color w:val="auto"/>
                <w:sz w:val="24"/>
              </w:rPr>
              <w:t>商务标：</w:t>
            </w:r>
            <w:r>
              <w:rPr>
                <w:rFonts w:hint="eastAsia" w:ascii="宋体" w:hAnsi="宋体" w:cs="宋体"/>
                <w:bCs/>
                <w:color w:val="auto"/>
                <w:sz w:val="24"/>
                <w:u w:val="single"/>
              </w:rPr>
              <w:t>25</w:t>
            </w:r>
            <w:r>
              <w:rPr>
                <w:rFonts w:hint="eastAsia" w:ascii="宋体" w:hAnsi="宋体" w:cs="宋体"/>
                <w:bCs/>
                <w:color w:val="auto"/>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2276" w:type="dxa"/>
            <w:gridSpan w:val="3"/>
            <w:vAlign w:val="center"/>
          </w:tcPr>
          <w:p>
            <w:pPr>
              <w:spacing w:line="400" w:lineRule="exact"/>
              <w:jc w:val="center"/>
              <w:rPr>
                <w:rFonts w:ascii="宋体" w:cs="宋体"/>
                <w:bCs/>
                <w:color w:val="auto"/>
                <w:sz w:val="24"/>
              </w:rPr>
            </w:pPr>
            <w:r>
              <w:rPr>
                <w:rFonts w:ascii="宋体" w:hAnsi="宋体" w:cs="宋体"/>
                <w:bCs/>
                <w:color w:val="auto"/>
                <w:sz w:val="24"/>
              </w:rPr>
              <w:t>2.2.2</w:t>
            </w:r>
          </w:p>
        </w:tc>
        <w:tc>
          <w:tcPr>
            <w:tcW w:w="2437" w:type="dxa"/>
            <w:vAlign w:val="center"/>
          </w:tcPr>
          <w:p>
            <w:pPr>
              <w:snapToGrid w:val="0"/>
              <w:spacing w:line="400" w:lineRule="exact"/>
              <w:jc w:val="center"/>
              <w:rPr>
                <w:rFonts w:ascii="宋体" w:cs="宋体"/>
                <w:bCs/>
                <w:color w:val="auto"/>
                <w:sz w:val="24"/>
              </w:rPr>
            </w:pPr>
            <w:r>
              <w:rPr>
                <w:rFonts w:hint="eastAsia" w:ascii="宋体" w:hAnsi="宋体" w:cs="宋体"/>
                <w:bCs/>
                <w:color w:val="auto"/>
                <w:sz w:val="24"/>
              </w:rPr>
              <w:t>评标基准价</w:t>
            </w:r>
          </w:p>
        </w:tc>
        <w:tc>
          <w:tcPr>
            <w:tcW w:w="4797" w:type="dxa"/>
            <w:vAlign w:val="center"/>
          </w:tcPr>
          <w:p>
            <w:pPr>
              <w:spacing w:line="400" w:lineRule="exact"/>
              <w:jc w:val="left"/>
              <w:rPr>
                <w:rFonts w:ascii="宋体" w:hAnsi="宋体"/>
                <w:color w:val="auto"/>
                <w:sz w:val="24"/>
              </w:rPr>
            </w:pPr>
            <w:r>
              <w:rPr>
                <w:rFonts w:hint="eastAsia" w:ascii="宋体" w:hAnsi="宋体"/>
                <w:color w:val="auto"/>
                <w:sz w:val="24"/>
              </w:rPr>
              <w:t>评标基准价的确定：当有效投标报价大于等于五家时（含五家），评标基准价为各有效投标报价去掉一个最高和一个最低报价后的算术平均值。当有效  投标报价少于五家时（不含五家），则以所有有效投标报价的算术平均值作为评标基准价。</w:t>
            </w:r>
          </w:p>
          <w:p>
            <w:pPr>
              <w:spacing w:line="400" w:lineRule="exact"/>
              <w:jc w:val="left"/>
              <w:rPr>
                <w:rFonts w:ascii="宋体" w:hAnsi="宋体"/>
                <w:color w:val="auto"/>
                <w:szCs w:val="21"/>
              </w:rPr>
            </w:pPr>
            <w:r>
              <w:rPr>
                <w:rFonts w:hint="eastAsia" w:ascii="宋体" w:hAnsi="宋体"/>
                <w:color w:val="auto"/>
                <w:sz w:val="24"/>
              </w:rPr>
              <w:t>注：1、有效投标人指通过资格评审、形式评审及响应性评审的投标人，有效投标人的投标报价即为有效投标报价。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2276" w:type="dxa"/>
            <w:gridSpan w:val="3"/>
            <w:vAlign w:val="center"/>
          </w:tcPr>
          <w:p>
            <w:pPr>
              <w:spacing w:line="400" w:lineRule="exact"/>
              <w:jc w:val="center"/>
              <w:rPr>
                <w:rFonts w:ascii="宋体" w:cs="宋体"/>
                <w:bCs/>
                <w:color w:val="auto"/>
                <w:sz w:val="24"/>
              </w:rPr>
            </w:pPr>
            <w:r>
              <w:rPr>
                <w:rFonts w:ascii="宋体" w:hAnsi="宋体" w:cs="宋体"/>
                <w:bCs/>
                <w:color w:val="auto"/>
                <w:sz w:val="24"/>
              </w:rPr>
              <w:t>2.2.3</w:t>
            </w:r>
          </w:p>
        </w:tc>
        <w:tc>
          <w:tcPr>
            <w:tcW w:w="2437" w:type="dxa"/>
            <w:vAlign w:val="center"/>
          </w:tcPr>
          <w:p>
            <w:pPr>
              <w:spacing w:line="400" w:lineRule="exact"/>
              <w:jc w:val="center"/>
              <w:rPr>
                <w:rFonts w:ascii="宋体"/>
                <w:bCs/>
                <w:color w:val="auto"/>
                <w:sz w:val="24"/>
              </w:rPr>
            </w:pPr>
            <w:r>
              <w:rPr>
                <w:rFonts w:hint="eastAsia" w:ascii="宋体" w:hAnsi="宋体"/>
                <w:bCs/>
                <w:color w:val="auto"/>
                <w:sz w:val="24"/>
              </w:rPr>
              <w:t>商务标评分</w:t>
            </w:r>
          </w:p>
          <w:p>
            <w:pPr>
              <w:spacing w:line="400" w:lineRule="exact"/>
              <w:jc w:val="center"/>
              <w:rPr>
                <w:rFonts w:ascii="宋体"/>
                <w:b/>
                <w:color w:val="auto"/>
                <w:sz w:val="24"/>
              </w:rPr>
            </w:pPr>
            <w:r>
              <w:rPr>
                <w:rFonts w:hint="eastAsia" w:ascii="宋体" w:hAnsi="宋体" w:cs="宋体"/>
                <w:bCs/>
                <w:color w:val="auto"/>
                <w:sz w:val="24"/>
              </w:rPr>
              <w:t>（25分）</w:t>
            </w:r>
          </w:p>
        </w:tc>
        <w:tc>
          <w:tcPr>
            <w:tcW w:w="4797" w:type="dxa"/>
          </w:tcPr>
          <w:p>
            <w:pPr>
              <w:spacing w:line="400" w:lineRule="exact"/>
              <w:jc w:val="left"/>
              <w:rPr>
                <w:rFonts w:ascii="宋体" w:hAnsi="宋体"/>
                <w:color w:val="auto"/>
                <w:sz w:val="24"/>
              </w:rPr>
            </w:pPr>
            <w:r>
              <w:rPr>
                <w:rFonts w:hint="eastAsia" w:ascii="宋体" w:hAnsi="宋体"/>
                <w:color w:val="auto"/>
                <w:sz w:val="24"/>
              </w:rPr>
              <w:t>偏差率=100% ×（投标报价 - 评标基准价）/评标基准价</w:t>
            </w:r>
          </w:p>
          <w:p>
            <w:pPr>
              <w:spacing w:line="400" w:lineRule="exact"/>
              <w:jc w:val="left"/>
              <w:rPr>
                <w:rFonts w:ascii="宋体" w:hAnsi="宋体"/>
                <w:color w:val="auto"/>
                <w:sz w:val="24"/>
              </w:rPr>
            </w:pPr>
            <w:r>
              <w:rPr>
                <w:rFonts w:hint="eastAsia" w:ascii="宋体" w:hAnsi="宋体"/>
                <w:color w:val="auto"/>
                <w:sz w:val="24"/>
              </w:rPr>
              <w:t>投标报价与评标基准价相比较，当投标报价等于评标基准价的得20分，与评标基准价相比，每高于评标基准价1％在20分基础上扣1分，扣完为止；每低于评标基准价1％在20分基础上加1分，最多加 5 分；当投标报价低于评标基准价 5%以上（不含 5%）时，每再低1%范围内在满分 25 分的基础上扣 2 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276" w:type="dxa"/>
            <w:gridSpan w:val="3"/>
            <w:vAlign w:val="center"/>
          </w:tcPr>
          <w:p>
            <w:pPr>
              <w:spacing w:line="400" w:lineRule="exact"/>
              <w:jc w:val="center"/>
              <w:rPr>
                <w:rFonts w:ascii="宋体" w:cs="宋体"/>
                <w:bCs/>
                <w:color w:val="auto"/>
                <w:sz w:val="24"/>
              </w:rPr>
            </w:pPr>
            <w:r>
              <w:rPr>
                <w:rFonts w:hint="eastAsia" w:ascii="宋体" w:hAnsi="宋体" w:cs="宋体"/>
                <w:bCs/>
                <w:color w:val="auto"/>
                <w:sz w:val="24"/>
              </w:rPr>
              <w:t>条款号</w:t>
            </w:r>
          </w:p>
        </w:tc>
        <w:tc>
          <w:tcPr>
            <w:tcW w:w="2437" w:type="dxa"/>
            <w:vAlign w:val="center"/>
          </w:tcPr>
          <w:p>
            <w:pPr>
              <w:spacing w:line="400" w:lineRule="exact"/>
              <w:jc w:val="center"/>
              <w:rPr>
                <w:rFonts w:ascii="宋体" w:cs="宋体"/>
                <w:bCs/>
                <w:color w:val="auto"/>
                <w:sz w:val="24"/>
              </w:rPr>
            </w:pPr>
            <w:r>
              <w:rPr>
                <w:rFonts w:hint="eastAsia" w:ascii="宋体" w:hAnsi="宋体" w:cs="宋体"/>
                <w:bCs/>
                <w:color w:val="auto"/>
                <w:sz w:val="24"/>
              </w:rPr>
              <w:t>评分因素</w:t>
            </w:r>
          </w:p>
        </w:tc>
        <w:tc>
          <w:tcPr>
            <w:tcW w:w="4797" w:type="dxa"/>
            <w:vAlign w:val="center"/>
          </w:tcPr>
          <w:p>
            <w:pPr>
              <w:spacing w:line="400" w:lineRule="exact"/>
              <w:jc w:val="center"/>
              <w:rPr>
                <w:rFonts w:ascii="宋体" w:cs="宋体"/>
                <w:bCs/>
                <w:color w:val="auto"/>
                <w:sz w:val="24"/>
              </w:rPr>
            </w:pPr>
            <w:r>
              <w:rPr>
                <w:rFonts w:hint="eastAsia" w:ascii="宋体" w:hAnsi="宋体" w:cs="宋体"/>
                <w:bCs/>
                <w:color w:val="auto"/>
                <w:sz w:val="24"/>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restart"/>
            <w:vAlign w:val="center"/>
          </w:tcPr>
          <w:p>
            <w:pPr>
              <w:spacing w:line="400" w:lineRule="exact"/>
              <w:jc w:val="center"/>
              <w:rPr>
                <w:rFonts w:ascii="宋体" w:cs="宋体"/>
                <w:bCs/>
                <w:color w:val="auto"/>
                <w:sz w:val="24"/>
              </w:rPr>
            </w:pPr>
            <w:r>
              <w:rPr>
                <w:rFonts w:ascii="宋体" w:hAnsi="宋体" w:cs="宋体"/>
                <w:bCs/>
                <w:color w:val="auto"/>
                <w:sz w:val="24"/>
              </w:rPr>
              <w:t>2.2.4</w:t>
            </w:r>
          </w:p>
          <w:p>
            <w:pPr>
              <w:spacing w:line="400" w:lineRule="exact"/>
              <w:jc w:val="center"/>
              <w:rPr>
                <w:rFonts w:ascii="宋体" w:cs="宋体"/>
                <w:bCs/>
                <w:color w:val="auto"/>
                <w:sz w:val="24"/>
              </w:rPr>
            </w:pPr>
            <w:r>
              <w:rPr>
                <w:rFonts w:ascii="宋体" w:hAnsi="宋体" w:cs="宋体"/>
                <w:bCs/>
                <w:color w:val="auto"/>
                <w:sz w:val="24"/>
              </w:rPr>
              <w:t>(1)</w:t>
            </w:r>
          </w:p>
        </w:tc>
        <w:tc>
          <w:tcPr>
            <w:tcW w:w="1440" w:type="dxa"/>
            <w:gridSpan w:val="2"/>
            <w:vMerge w:val="restart"/>
            <w:vAlign w:val="center"/>
          </w:tcPr>
          <w:p>
            <w:pPr>
              <w:spacing w:line="400" w:lineRule="exact"/>
              <w:jc w:val="center"/>
              <w:rPr>
                <w:rFonts w:ascii="宋体" w:cs="宋体"/>
                <w:bCs/>
                <w:color w:val="auto"/>
                <w:sz w:val="24"/>
              </w:rPr>
            </w:pPr>
            <w:r>
              <w:rPr>
                <w:rFonts w:hint="eastAsia" w:ascii="宋体" w:hAnsi="宋体" w:cs="宋体"/>
                <w:color w:val="auto"/>
                <w:sz w:val="24"/>
              </w:rPr>
              <w:t>监理大纲</w:t>
            </w:r>
            <w:r>
              <w:rPr>
                <w:rFonts w:hint="eastAsia" w:ascii="宋体" w:hAnsi="宋体"/>
                <w:color w:val="auto"/>
                <w:sz w:val="24"/>
              </w:rPr>
              <w:t>55分</w:t>
            </w:r>
          </w:p>
        </w:tc>
        <w:tc>
          <w:tcPr>
            <w:tcW w:w="2437" w:type="dxa"/>
          </w:tcPr>
          <w:p>
            <w:pPr>
              <w:spacing w:line="400" w:lineRule="exact"/>
              <w:jc w:val="center"/>
              <w:rPr>
                <w:rFonts w:ascii="宋体" w:hAnsi="宋体"/>
                <w:color w:val="auto"/>
                <w:sz w:val="24"/>
              </w:rPr>
            </w:pPr>
          </w:p>
          <w:p>
            <w:pPr>
              <w:spacing w:line="400" w:lineRule="exact"/>
              <w:jc w:val="center"/>
              <w:rPr>
                <w:rFonts w:ascii="宋体" w:hAnsi="宋体"/>
                <w:color w:val="auto"/>
                <w:sz w:val="24"/>
              </w:rPr>
            </w:pPr>
          </w:p>
          <w:p>
            <w:pPr>
              <w:spacing w:line="400" w:lineRule="exact"/>
              <w:jc w:val="center"/>
              <w:rPr>
                <w:rFonts w:ascii="宋体" w:hAnsi="宋体"/>
                <w:color w:val="auto"/>
                <w:sz w:val="24"/>
              </w:rPr>
            </w:pPr>
            <w:r>
              <w:rPr>
                <w:rFonts w:hint="eastAsia" w:ascii="宋体" w:hAnsi="宋体"/>
                <w:color w:val="auto"/>
                <w:sz w:val="24"/>
              </w:rPr>
              <w:t>质量控制的措施</w:t>
            </w:r>
          </w:p>
          <w:p>
            <w:pPr>
              <w:spacing w:line="400" w:lineRule="exact"/>
              <w:jc w:val="center"/>
              <w:rPr>
                <w:rFonts w:ascii="宋体" w:hAnsi="宋体"/>
                <w:color w:val="auto"/>
                <w:sz w:val="24"/>
              </w:rPr>
            </w:pPr>
            <w:r>
              <w:rPr>
                <w:rFonts w:hint="eastAsia" w:ascii="宋体" w:hAnsi="宋体"/>
                <w:color w:val="auto"/>
                <w:sz w:val="24"/>
              </w:rPr>
              <w:t>和方法(7分)</w:t>
            </w:r>
          </w:p>
        </w:tc>
        <w:tc>
          <w:tcPr>
            <w:tcW w:w="4797" w:type="dxa"/>
          </w:tcPr>
          <w:p>
            <w:pPr>
              <w:spacing w:line="400" w:lineRule="exact"/>
              <w:jc w:val="left"/>
              <w:rPr>
                <w:rFonts w:ascii="宋体" w:hAnsi="宋体"/>
                <w:color w:val="auto"/>
                <w:sz w:val="24"/>
              </w:rPr>
            </w:pPr>
            <w:r>
              <w:rPr>
                <w:rFonts w:hint="eastAsia" w:ascii="宋体" w:hAnsi="宋体"/>
                <w:color w:val="auto"/>
                <w:sz w:val="24"/>
              </w:rPr>
              <w:t>原材料、事前、事中、事后质量控制措施和方法科学合理性全面的：得7分。</w:t>
            </w:r>
          </w:p>
          <w:p>
            <w:pPr>
              <w:spacing w:line="400" w:lineRule="exact"/>
              <w:jc w:val="left"/>
              <w:rPr>
                <w:rFonts w:ascii="宋体" w:hAnsi="宋体"/>
                <w:color w:val="auto"/>
                <w:sz w:val="24"/>
              </w:rPr>
            </w:pPr>
            <w:r>
              <w:rPr>
                <w:rFonts w:hint="eastAsia" w:ascii="宋体" w:hAnsi="宋体"/>
                <w:color w:val="auto"/>
                <w:sz w:val="24"/>
              </w:rPr>
              <w:t>原材料、事前、事中、事后质量控制措施和方法科学合理性基本全面的：得5分。</w:t>
            </w:r>
          </w:p>
          <w:p>
            <w:pPr>
              <w:spacing w:line="400" w:lineRule="exact"/>
              <w:jc w:val="left"/>
              <w:rPr>
                <w:rFonts w:ascii="宋体" w:hAnsi="宋体"/>
                <w:color w:val="auto"/>
                <w:sz w:val="24"/>
              </w:rPr>
            </w:pPr>
            <w:r>
              <w:rPr>
                <w:rFonts w:hint="eastAsia" w:ascii="宋体" w:hAnsi="宋体"/>
                <w:color w:val="auto"/>
                <w:sz w:val="24"/>
              </w:rPr>
              <w:t>原材料、事前、事中、事后质量控制措施和方法科学合理性较一般的：得2分。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color w:val="auto"/>
                <w:sz w:val="24"/>
              </w:rPr>
            </w:pPr>
          </w:p>
        </w:tc>
        <w:tc>
          <w:tcPr>
            <w:tcW w:w="1440" w:type="dxa"/>
            <w:gridSpan w:val="2"/>
            <w:vMerge w:val="continue"/>
            <w:vAlign w:val="center"/>
          </w:tcPr>
          <w:p>
            <w:pPr>
              <w:adjustRightInd w:val="0"/>
              <w:snapToGrid w:val="0"/>
              <w:spacing w:line="420" w:lineRule="exact"/>
              <w:jc w:val="center"/>
              <w:rPr>
                <w:rFonts w:ascii="宋体" w:cs="宋体"/>
                <w:color w:val="auto"/>
                <w:sz w:val="24"/>
              </w:rPr>
            </w:pPr>
          </w:p>
        </w:tc>
        <w:tc>
          <w:tcPr>
            <w:tcW w:w="2437" w:type="dxa"/>
          </w:tcPr>
          <w:p>
            <w:pPr>
              <w:spacing w:line="400" w:lineRule="exact"/>
              <w:jc w:val="center"/>
              <w:rPr>
                <w:rFonts w:ascii="宋体" w:hAnsi="宋体"/>
                <w:color w:val="auto"/>
                <w:sz w:val="24"/>
              </w:rPr>
            </w:pPr>
          </w:p>
          <w:p>
            <w:pPr>
              <w:spacing w:line="400" w:lineRule="exact"/>
              <w:jc w:val="center"/>
              <w:rPr>
                <w:rFonts w:ascii="宋体" w:hAnsi="宋体"/>
                <w:color w:val="auto"/>
                <w:sz w:val="24"/>
              </w:rPr>
            </w:pPr>
            <w:r>
              <w:rPr>
                <w:rFonts w:hint="eastAsia" w:ascii="宋体" w:hAnsi="宋体"/>
                <w:color w:val="auto"/>
                <w:sz w:val="24"/>
              </w:rPr>
              <w:t>进度控制的措施和方法(7分)</w:t>
            </w:r>
          </w:p>
        </w:tc>
        <w:tc>
          <w:tcPr>
            <w:tcW w:w="4797" w:type="dxa"/>
          </w:tcPr>
          <w:p>
            <w:pPr>
              <w:spacing w:line="400" w:lineRule="exact"/>
              <w:jc w:val="left"/>
              <w:rPr>
                <w:rFonts w:ascii="宋体" w:hAnsi="宋体"/>
                <w:color w:val="auto"/>
                <w:sz w:val="24"/>
              </w:rPr>
            </w:pPr>
            <w:r>
              <w:rPr>
                <w:rFonts w:hint="eastAsia" w:ascii="宋体" w:hAnsi="宋体"/>
                <w:color w:val="auto"/>
                <w:sz w:val="24"/>
              </w:rPr>
              <w:t>进度控制的监理工作措施详细，经济措施、技术措施、合同措施齐全可行的得 7分；</w:t>
            </w:r>
          </w:p>
          <w:p>
            <w:pPr>
              <w:spacing w:line="400" w:lineRule="exact"/>
              <w:jc w:val="left"/>
              <w:rPr>
                <w:rFonts w:ascii="宋体" w:hAnsi="宋体"/>
                <w:color w:val="auto"/>
                <w:sz w:val="24"/>
              </w:rPr>
            </w:pPr>
            <w:r>
              <w:rPr>
                <w:rFonts w:hint="eastAsia" w:ascii="宋体" w:hAnsi="宋体"/>
                <w:color w:val="auto"/>
                <w:sz w:val="24"/>
              </w:rPr>
              <w:t>基本齐全可行的得：5分；</w:t>
            </w:r>
          </w:p>
          <w:p>
            <w:pPr>
              <w:spacing w:line="400" w:lineRule="exact"/>
              <w:jc w:val="left"/>
              <w:rPr>
                <w:rFonts w:ascii="宋体" w:hAnsi="宋体"/>
                <w:color w:val="auto"/>
                <w:sz w:val="24"/>
              </w:rPr>
            </w:pPr>
            <w:r>
              <w:rPr>
                <w:rFonts w:hint="eastAsia" w:ascii="宋体" w:hAnsi="宋体"/>
                <w:color w:val="auto"/>
                <w:sz w:val="24"/>
              </w:rPr>
              <w:t>不全面不可行的得：2分；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color w:val="auto"/>
                <w:sz w:val="24"/>
              </w:rPr>
            </w:pPr>
          </w:p>
        </w:tc>
        <w:tc>
          <w:tcPr>
            <w:tcW w:w="1440" w:type="dxa"/>
            <w:gridSpan w:val="2"/>
            <w:vMerge w:val="continue"/>
            <w:vAlign w:val="center"/>
          </w:tcPr>
          <w:p>
            <w:pPr>
              <w:adjustRightInd w:val="0"/>
              <w:snapToGrid w:val="0"/>
              <w:spacing w:line="420" w:lineRule="exact"/>
              <w:jc w:val="center"/>
              <w:rPr>
                <w:rFonts w:ascii="宋体" w:cs="宋体"/>
                <w:color w:val="auto"/>
                <w:sz w:val="24"/>
              </w:rPr>
            </w:pPr>
          </w:p>
        </w:tc>
        <w:tc>
          <w:tcPr>
            <w:tcW w:w="2437" w:type="dxa"/>
          </w:tcPr>
          <w:p>
            <w:pPr>
              <w:spacing w:line="400" w:lineRule="exact"/>
              <w:jc w:val="center"/>
              <w:rPr>
                <w:rFonts w:ascii="宋体" w:hAnsi="宋体"/>
                <w:color w:val="auto"/>
                <w:sz w:val="24"/>
              </w:rPr>
            </w:pPr>
          </w:p>
          <w:p>
            <w:pPr>
              <w:spacing w:line="400" w:lineRule="exact"/>
              <w:jc w:val="center"/>
              <w:rPr>
                <w:rFonts w:ascii="宋体" w:hAnsi="宋体"/>
                <w:color w:val="auto"/>
                <w:sz w:val="24"/>
              </w:rPr>
            </w:pPr>
            <w:r>
              <w:rPr>
                <w:rFonts w:hint="eastAsia" w:ascii="宋体" w:hAnsi="宋体"/>
                <w:color w:val="auto"/>
                <w:sz w:val="24"/>
              </w:rPr>
              <w:t>投资控制的措施和方法(7分)</w:t>
            </w:r>
          </w:p>
        </w:tc>
        <w:tc>
          <w:tcPr>
            <w:tcW w:w="4797" w:type="dxa"/>
          </w:tcPr>
          <w:p>
            <w:pPr>
              <w:spacing w:line="400" w:lineRule="exact"/>
              <w:jc w:val="left"/>
              <w:rPr>
                <w:rFonts w:ascii="宋体" w:hAnsi="宋体"/>
                <w:color w:val="auto"/>
                <w:sz w:val="24"/>
              </w:rPr>
            </w:pPr>
            <w:r>
              <w:rPr>
                <w:rFonts w:hint="eastAsia" w:ascii="宋体" w:hAnsi="宋体"/>
                <w:color w:val="auto"/>
                <w:sz w:val="24"/>
              </w:rPr>
              <w:t>投资控制的措施详细，技术措施、组织措施、经济措施、合同措施齐全可行的得：7分，基本齐全可行的得：5分；</w:t>
            </w:r>
          </w:p>
          <w:p>
            <w:pPr>
              <w:spacing w:line="400" w:lineRule="exact"/>
              <w:jc w:val="left"/>
              <w:rPr>
                <w:rFonts w:ascii="宋体" w:hAnsi="宋体"/>
                <w:color w:val="auto"/>
                <w:sz w:val="24"/>
              </w:rPr>
            </w:pPr>
            <w:r>
              <w:rPr>
                <w:rFonts w:hint="eastAsia" w:ascii="宋体" w:hAnsi="宋体"/>
                <w:color w:val="auto"/>
                <w:sz w:val="24"/>
              </w:rPr>
              <w:t>不全面不可行的得：2分；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836" w:type="dxa"/>
            <w:vMerge w:val="continue"/>
            <w:vAlign w:val="center"/>
          </w:tcPr>
          <w:p>
            <w:pPr>
              <w:spacing w:line="400" w:lineRule="exact"/>
              <w:jc w:val="center"/>
              <w:rPr>
                <w:rFonts w:ascii="宋体" w:cs="宋体"/>
                <w:bCs/>
                <w:color w:val="auto"/>
                <w:sz w:val="24"/>
              </w:rPr>
            </w:pPr>
          </w:p>
        </w:tc>
        <w:tc>
          <w:tcPr>
            <w:tcW w:w="1440" w:type="dxa"/>
            <w:gridSpan w:val="2"/>
            <w:vMerge w:val="continue"/>
            <w:vAlign w:val="center"/>
          </w:tcPr>
          <w:p>
            <w:pPr>
              <w:adjustRightInd w:val="0"/>
              <w:snapToGrid w:val="0"/>
              <w:spacing w:line="420" w:lineRule="exact"/>
              <w:jc w:val="center"/>
              <w:rPr>
                <w:rFonts w:ascii="宋体" w:cs="宋体"/>
                <w:color w:val="auto"/>
                <w:sz w:val="24"/>
              </w:rPr>
            </w:pPr>
          </w:p>
        </w:tc>
        <w:tc>
          <w:tcPr>
            <w:tcW w:w="2437" w:type="dxa"/>
          </w:tcPr>
          <w:p>
            <w:pPr>
              <w:spacing w:line="400" w:lineRule="exact"/>
              <w:jc w:val="center"/>
              <w:rPr>
                <w:rFonts w:ascii="宋体" w:hAnsi="宋体"/>
                <w:color w:val="auto"/>
                <w:sz w:val="24"/>
              </w:rPr>
            </w:pPr>
            <w:r>
              <w:rPr>
                <w:rFonts w:hint="eastAsia" w:ascii="宋体" w:hAnsi="宋体"/>
                <w:color w:val="auto"/>
                <w:sz w:val="24"/>
              </w:rPr>
              <w:t>文明、安全管理的措施和方法</w:t>
            </w:r>
          </w:p>
          <w:p>
            <w:pPr>
              <w:spacing w:line="400" w:lineRule="exact"/>
              <w:jc w:val="center"/>
              <w:rPr>
                <w:rFonts w:ascii="宋体" w:hAnsi="宋体"/>
                <w:color w:val="auto"/>
                <w:sz w:val="24"/>
              </w:rPr>
            </w:pPr>
            <w:r>
              <w:rPr>
                <w:rFonts w:hint="eastAsia" w:ascii="宋体" w:hAnsi="宋体"/>
                <w:color w:val="auto"/>
                <w:sz w:val="24"/>
              </w:rPr>
              <w:t>（7分）</w:t>
            </w:r>
          </w:p>
        </w:tc>
        <w:tc>
          <w:tcPr>
            <w:tcW w:w="4797" w:type="dxa"/>
          </w:tcPr>
          <w:p>
            <w:pPr>
              <w:spacing w:line="400" w:lineRule="exact"/>
              <w:jc w:val="left"/>
              <w:rPr>
                <w:rFonts w:ascii="宋体" w:hAnsi="宋体"/>
                <w:color w:val="auto"/>
                <w:sz w:val="24"/>
              </w:rPr>
            </w:pPr>
            <w:r>
              <w:rPr>
                <w:rFonts w:hint="eastAsia" w:ascii="宋体" w:hAnsi="宋体"/>
                <w:color w:val="auto"/>
                <w:sz w:val="24"/>
              </w:rPr>
              <w:t>文明、安全管理监理措施详细，技术措施、组织措施、 经济措施、合同措施齐全可行的得：7分；</w:t>
            </w:r>
          </w:p>
          <w:p>
            <w:pPr>
              <w:spacing w:line="400" w:lineRule="exact"/>
              <w:jc w:val="left"/>
              <w:rPr>
                <w:rFonts w:ascii="宋体" w:hAnsi="宋体"/>
                <w:color w:val="auto"/>
                <w:sz w:val="24"/>
              </w:rPr>
            </w:pPr>
            <w:r>
              <w:rPr>
                <w:rFonts w:hint="eastAsia" w:ascii="宋体" w:hAnsi="宋体"/>
                <w:color w:val="auto"/>
                <w:sz w:val="24"/>
              </w:rPr>
              <w:t>基本齐全可行的得：5分；</w:t>
            </w:r>
          </w:p>
          <w:p>
            <w:pPr>
              <w:spacing w:line="400" w:lineRule="exact"/>
              <w:jc w:val="left"/>
              <w:rPr>
                <w:rFonts w:ascii="宋体" w:hAnsi="宋体"/>
                <w:color w:val="auto"/>
                <w:sz w:val="24"/>
              </w:rPr>
            </w:pPr>
            <w:r>
              <w:rPr>
                <w:rFonts w:hint="eastAsia" w:ascii="宋体" w:hAnsi="宋体"/>
                <w:color w:val="auto"/>
                <w:sz w:val="24"/>
              </w:rPr>
              <w:t>不全面不可行的得：2分；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color w:val="auto"/>
                <w:sz w:val="24"/>
              </w:rPr>
            </w:pPr>
          </w:p>
        </w:tc>
        <w:tc>
          <w:tcPr>
            <w:tcW w:w="1440" w:type="dxa"/>
            <w:gridSpan w:val="2"/>
            <w:vMerge w:val="continue"/>
            <w:vAlign w:val="center"/>
          </w:tcPr>
          <w:p>
            <w:pPr>
              <w:adjustRightInd w:val="0"/>
              <w:snapToGrid w:val="0"/>
              <w:spacing w:line="420" w:lineRule="exact"/>
              <w:jc w:val="center"/>
              <w:rPr>
                <w:rFonts w:ascii="宋体" w:cs="宋体"/>
                <w:color w:val="auto"/>
                <w:sz w:val="24"/>
              </w:rPr>
            </w:pPr>
          </w:p>
        </w:tc>
        <w:tc>
          <w:tcPr>
            <w:tcW w:w="2437" w:type="dxa"/>
          </w:tcPr>
          <w:p>
            <w:pPr>
              <w:spacing w:line="400" w:lineRule="exact"/>
              <w:jc w:val="center"/>
              <w:rPr>
                <w:rFonts w:ascii="宋体" w:hAnsi="宋体"/>
                <w:color w:val="auto"/>
                <w:sz w:val="24"/>
              </w:rPr>
            </w:pPr>
            <w:r>
              <w:rPr>
                <w:rFonts w:hint="eastAsia" w:ascii="宋体" w:hAnsi="宋体"/>
                <w:color w:val="auto"/>
                <w:sz w:val="24"/>
              </w:rPr>
              <w:t>合同管理、信息管理的措施和方法</w:t>
            </w:r>
          </w:p>
          <w:p>
            <w:pPr>
              <w:spacing w:line="400" w:lineRule="exact"/>
              <w:jc w:val="center"/>
              <w:rPr>
                <w:rFonts w:ascii="宋体" w:hAnsi="宋体"/>
                <w:color w:val="auto"/>
                <w:sz w:val="24"/>
              </w:rPr>
            </w:pPr>
            <w:r>
              <w:rPr>
                <w:rFonts w:hint="eastAsia" w:ascii="宋体" w:hAnsi="宋体"/>
                <w:color w:val="auto"/>
                <w:sz w:val="24"/>
              </w:rPr>
              <w:t>（7分）</w:t>
            </w:r>
          </w:p>
        </w:tc>
        <w:tc>
          <w:tcPr>
            <w:tcW w:w="4797" w:type="dxa"/>
          </w:tcPr>
          <w:p>
            <w:pPr>
              <w:spacing w:line="400" w:lineRule="exact"/>
              <w:jc w:val="left"/>
              <w:rPr>
                <w:rFonts w:ascii="宋体" w:hAnsi="宋体"/>
                <w:color w:val="auto"/>
                <w:sz w:val="24"/>
              </w:rPr>
            </w:pPr>
            <w:r>
              <w:rPr>
                <w:rFonts w:hint="eastAsia" w:ascii="宋体" w:hAnsi="宋体"/>
                <w:color w:val="auto"/>
                <w:sz w:val="24"/>
              </w:rPr>
              <w:t>合同、信息管理的措施和方法合理齐全、针对性强的得：7分；</w:t>
            </w:r>
          </w:p>
          <w:p>
            <w:pPr>
              <w:spacing w:line="400" w:lineRule="exact"/>
              <w:jc w:val="left"/>
              <w:rPr>
                <w:rFonts w:ascii="宋体" w:hAnsi="宋体"/>
                <w:color w:val="auto"/>
                <w:sz w:val="24"/>
              </w:rPr>
            </w:pPr>
            <w:r>
              <w:rPr>
                <w:rFonts w:hint="eastAsia" w:ascii="宋体" w:hAnsi="宋体"/>
                <w:color w:val="auto"/>
                <w:sz w:val="24"/>
              </w:rPr>
              <w:t>合同、信息管理的措施和方法基本合理齐全、针对性一般的得：5分；</w:t>
            </w:r>
          </w:p>
          <w:p>
            <w:pPr>
              <w:spacing w:line="400" w:lineRule="exact"/>
              <w:jc w:val="left"/>
              <w:rPr>
                <w:rFonts w:ascii="宋体" w:hAnsi="宋体"/>
                <w:color w:val="auto"/>
                <w:sz w:val="24"/>
              </w:rPr>
            </w:pPr>
            <w:r>
              <w:rPr>
                <w:rFonts w:hint="eastAsia" w:ascii="宋体" w:hAnsi="宋体"/>
                <w:color w:val="auto"/>
                <w:sz w:val="24"/>
              </w:rPr>
              <w:t>合同、信息管理的措施和方法齐全、针对性较差的得：2分；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color w:val="auto"/>
                <w:sz w:val="24"/>
              </w:rPr>
            </w:pPr>
          </w:p>
        </w:tc>
        <w:tc>
          <w:tcPr>
            <w:tcW w:w="1440" w:type="dxa"/>
            <w:gridSpan w:val="2"/>
            <w:vMerge w:val="continue"/>
            <w:vAlign w:val="center"/>
          </w:tcPr>
          <w:p>
            <w:pPr>
              <w:adjustRightInd w:val="0"/>
              <w:snapToGrid w:val="0"/>
              <w:spacing w:line="420" w:lineRule="exact"/>
              <w:jc w:val="center"/>
              <w:rPr>
                <w:rFonts w:ascii="宋体" w:cs="宋体"/>
                <w:color w:val="auto"/>
                <w:sz w:val="24"/>
              </w:rPr>
            </w:pPr>
          </w:p>
        </w:tc>
        <w:tc>
          <w:tcPr>
            <w:tcW w:w="2437" w:type="dxa"/>
          </w:tcPr>
          <w:p>
            <w:pPr>
              <w:spacing w:line="400" w:lineRule="exact"/>
              <w:jc w:val="center"/>
              <w:rPr>
                <w:rFonts w:ascii="宋体" w:hAnsi="宋体"/>
                <w:color w:val="auto"/>
                <w:sz w:val="24"/>
              </w:rPr>
            </w:pPr>
            <w:r>
              <w:rPr>
                <w:rFonts w:hint="eastAsia" w:ascii="宋体" w:hAnsi="宋体"/>
                <w:color w:val="auto"/>
                <w:sz w:val="24"/>
              </w:rPr>
              <w:t>工作协调的措施</w:t>
            </w:r>
          </w:p>
          <w:p>
            <w:pPr>
              <w:spacing w:line="400" w:lineRule="exact"/>
              <w:jc w:val="center"/>
              <w:rPr>
                <w:rFonts w:ascii="宋体" w:hAnsi="宋体"/>
                <w:color w:val="auto"/>
                <w:sz w:val="24"/>
              </w:rPr>
            </w:pPr>
            <w:r>
              <w:rPr>
                <w:rFonts w:hint="eastAsia" w:ascii="宋体" w:hAnsi="宋体"/>
                <w:color w:val="auto"/>
                <w:sz w:val="24"/>
              </w:rPr>
              <w:t>和方法（7分）</w:t>
            </w:r>
          </w:p>
        </w:tc>
        <w:tc>
          <w:tcPr>
            <w:tcW w:w="4797" w:type="dxa"/>
          </w:tcPr>
          <w:p>
            <w:pPr>
              <w:spacing w:line="400" w:lineRule="exact"/>
              <w:jc w:val="left"/>
              <w:rPr>
                <w:rFonts w:ascii="宋体" w:hAnsi="宋体"/>
                <w:color w:val="auto"/>
                <w:sz w:val="24"/>
              </w:rPr>
            </w:pPr>
            <w:r>
              <w:rPr>
                <w:rFonts w:hint="eastAsia" w:ascii="宋体" w:hAnsi="宋体"/>
                <w:color w:val="auto"/>
                <w:sz w:val="24"/>
              </w:rPr>
              <w:t>工作协调的工作内容、原则、程序、方法科学合理的得：7分；</w:t>
            </w:r>
          </w:p>
          <w:p>
            <w:pPr>
              <w:spacing w:line="400" w:lineRule="exact"/>
              <w:jc w:val="left"/>
              <w:rPr>
                <w:rFonts w:ascii="宋体" w:hAnsi="宋体"/>
                <w:color w:val="auto"/>
                <w:sz w:val="24"/>
              </w:rPr>
            </w:pPr>
            <w:r>
              <w:rPr>
                <w:rFonts w:hint="eastAsia" w:ascii="宋体" w:hAnsi="宋体"/>
                <w:color w:val="auto"/>
                <w:sz w:val="24"/>
              </w:rPr>
              <w:t>工作协调的工作内容、原则、程序、方法科学合理性一般的得：5分；</w:t>
            </w:r>
          </w:p>
          <w:p>
            <w:pPr>
              <w:spacing w:line="400" w:lineRule="exact"/>
              <w:jc w:val="left"/>
              <w:rPr>
                <w:rFonts w:ascii="宋体" w:hAnsi="宋体"/>
                <w:color w:val="auto"/>
                <w:sz w:val="24"/>
              </w:rPr>
            </w:pPr>
            <w:r>
              <w:rPr>
                <w:rFonts w:hint="eastAsia" w:ascii="宋体" w:hAnsi="宋体"/>
                <w:color w:val="auto"/>
                <w:sz w:val="24"/>
              </w:rPr>
              <w:t>工作协调的工作内容、原则、程序、方法科学合理性较差的得：2分；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color w:val="auto"/>
                <w:sz w:val="24"/>
              </w:rPr>
            </w:pPr>
          </w:p>
        </w:tc>
        <w:tc>
          <w:tcPr>
            <w:tcW w:w="1440" w:type="dxa"/>
            <w:gridSpan w:val="2"/>
            <w:vMerge w:val="continue"/>
            <w:vAlign w:val="center"/>
          </w:tcPr>
          <w:p>
            <w:pPr>
              <w:adjustRightInd w:val="0"/>
              <w:snapToGrid w:val="0"/>
              <w:spacing w:line="420" w:lineRule="exact"/>
              <w:jc w:val="center"/>
              <w:rPr>
                <w:rFonts w:ascii="宋体" w:cs="宋体"/>
                <w:color w:val="auto"/>
                <w:sz w:val="24"/>
              </w:rPr>
            </w:pPr>
          </w:p>
        </w:tc>
        <w:tc>
          <w:tcPr>
            <w:tcW w:w="2437" w:type="dxa"/>
          </w:tcPr>
          <w:p>
            <w:pPr>
              <w:spacing w:line="400" w:lineRule="exact"/>
              <w:jc w:val="center"/>
              <w:rPr>
                <w:rFonts w:ascii="宋体" w:hAnsi="宋体"/>
                <w:color w:val="auto"/>
                <w:sz w:val="24"/>
              </w:rPr>
            </w:pPr>
            <w:r>
              <w:rPr>
                <w:rFonts w:hint="eastAsia" w:ascii="宋体" w:hAnsi="宋体"/>
                <w:color w:val="auto"/>
                <w:sz w:val="24"/>
              </w:rPr>
              <w:t>监理部投入的检测设备、仪器、软件等（7分）</w:t>
            </w:r>
          </w:p>
        </w:tc>
        <w:tc>
          <w:tcPr>
            <w:tcW w:w="4797" w:type="dxa"/>
          </w:tcPr>
          <w:p>
            <w:pPr>
              <w:spacing w:line="400" w:lineRule="exact"/>
              <w:jc w:val="left"/>
              <w:rPr>
                <w:rFonts w:ascii="宋体" w:hAnsi="宋体"/>
                <w:color w:val="auto"/>
                <w:sz w:val="24"/>
              </w:rPr>
            </w:pPr>
            <w:r>
              <w:rPr>
                <w:rFonts w:hint="eastAsia" w:ascii="宋体" w:hAnsi="宋体"/>
                <w:color w:val="auto"/>
                <w:sz w:val="24"/>
              </w:rPr>
              <w:t>监理部投入的检测设备、仪器、软件等配备齐全，合理、可行得：7分；</w:t>
            </w:r>
          </w:p>
          <w:p>
            <w:pPr>
              <w:spacing w:line="400" w:lineRule="exact"/>
              <w:jc w:val="left"/>
              <w:rPr>
                <w:rFonts w:ascii="宋体" w:hAnsi="宋体"/>
                <w:color w:val="auto"/>
                <w:sz w:val="24"/>
              </w:rPr>
            </w:pPr>
            <w:r>
              <w:rPr>
                <w:rFonts w:hint="eastAsia" w:ascii="宋体" w:hAnsi="宋体"/>
                <w:color w:val="auto"/>
                <w:sz w:val="24"/>
              </w:rPr>
              <w:t>配备基本齐全，合理、可行得：5分；</w:t>
            </w:r>
          </w:p>
          <w:p>
            <w:pPr>
              <w:spacing w:line="400" w:lineRule="exact"/>
              <w:jc w:val="left"/>
              <w:rPr>
                <w:rFonts w:ascii="宋体" w:hAnsi="宋体"/>
                <w:color w:val="auto"/>
                <w:sz w:val="24"/>
              </w:rPr>
            </w:pPr>
            <w:r>
              <w:rPr>
                <w:rFonts w:hint="eastAsia" w:ascii="宋体" w:hAnsi="宋体"/>
                <w:color w:val="auto"/>
                <w:sz w:val="24"/>
              </w:rPr>
              <w:t>配备不齐全，不合理、可行得：2分；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36" w:type="dxa"/>
            <w:vMerge w:val="continue"/>
            <w:vAlign w:val="center"/>
          </w:tcPr>
          <w:p>
            <w:pPr>
              <w:spacing w:line="400" w:lineRule="exact"/>
              <w:jc w:val="center"/>
              <w:rPr>
                <w:rFonts w:ascii="宋体" w:cs="宋体"/>
                <w:bCs/>
                <w:color w:val="auto"/>
                <w:sz w:val="24"/>
              </w:rPr>
            </w:pPr>
          </w:p>
        </w:tc>
        <w:tc>
          <w:tcPr>
            <w:tcW w:w="1440" w:type="dxa"/>
            <w:gridSpan w:val="2"/>
            <w:vMerge w:val="continue"/>
            <w:vAlign w:val="center"/>
          </w:tcPr>
          <w:p>
            <w:pPr>
              <w:adjustRightInd w:val="0"/>
              <w:snapToGrid w:val="0"/>
              <w:spacing w:line="420" w:lineRule="exact"/>
              <w:jc w:val="center"/>
              <w:rPr>
                <w:rFonts w:ascii="宋体" w:cs="宋体"/>
                <w:color w:val="auto"/>
                <w:sz w:val="24"/>
              </w:rPr>
            </w:pPr>
          </w:p>
        </w:tc>
        <w:tc>
          <w:tcPr>
            <w:tcW w:w="2437" w:type="dxa"/>
          </w:tcPr>
          <w:p>
            <w:pPr>
              <w:spacing w:line="400" w:lineRule="exact"/>
              <w:jc w:val="center"/>
              <w:rPr>
                <w:rFonts w:ascii="宋体" w:hAnsi="宋体"/>
                <w:color w:val="auto"/>
                <w:sz w:val="24"/>
              </w:rPr>
            </w:pPr>
            <w:r>
              <w:rPr>
                <w:rFonts w:hint="eastAsia" w:ascii="宋体" w:hAnsi="宋体"/>
                <w:color w:val="auto"/>
                <w:sz w:val="24"/>
              </w:rPr>
              <w:t>合理化建议</w:t>
            </w:r>
          </w:p>
          <w:p>
            <w:pPr>
              <w:spacing w:line="400" w:lineRule="exact"/>
              <w:jc w:val="center"/>
              <w:rPr>
                <w:rFonts w:ascii="宋体" w:hAnsi="宋体"/>
                <w:color w:val="auto"/>
                <w:sz w:val="24"/>
              </w:rPr>
            </w:pPr>
            <w:r>
              <w:rPr>
                <w:rFonts w:hint="eastAsia" w:ascii="宋体" w:hAnsi="宋体"/>
                <w:color w:val="auto"/>
                <w:sz w:val="24"/>
              </w:rPr>
              <w:t>（6分）</w:t>
            </w:r>
          </w:p>
        </w:tc>
        <w:tc>
          <w:tcPr>
            <w:tcW w:w="4797" w:type="dxa"/>
          </w:tcPr>
          <w:p>
            <w:pPr>
              <w:spacing w:line="400" w:lineRule="exact"/>
              <w:jc w:val="left"/>
              <w:rPr>
                <w:rFonts w:ascii="宋体" w:hAnsi="宋体"/>
                <w:color w:val="auto"/>
                <w:sz w:val="24"/>
              </w:rPr>
            </w:pPr>
            <w:r>
              <w:rPr>
                <w:rFonts w:hint="eastAsia" w:ascii="宋体" w:hAnsi="宋体"/>
                <w:color w:val="auto"/>
                <w:sz w:val="24"/>
              </w:rPr>
              <w:t>提出各项合理化建议：建议合理、有效，能更好的满足采购需求及实施要求：得6分；建议基本合理、有效：得4分；</w:t>
            </w:r>
          </w:p>
          <w:p>
            <w:pPr>
              <w:spacing w:line="400" w:lineRule="exact"/>
              <w:jc w:val="left"/>
              <w:rPr>
                <w:rFonts w:ascii="宋体" w:hAnsi="宋体"/>
                <w:color w:val="auto"/>
                <w:sz w:val="24"/>
              </w:rPr>
            </w:pPr>
            <w:r>
              <w:rPr>
                <w:rFonts w:hint="eastAsia" w:ascii="宋体" w:hAnsi="宋体"/>
                <w:color w:val="auto"/>
                <w:sz w:val="24"/>
              </w:rPr>
              <w:t>建议不合理、有效：得1分；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15" w:hRule="atLeast"/>
          <w:jc w:val="center"/>
        </w:trPr>
        <w:tc>
          <w:tcPr>
            <w:tcW w:w="836" w:type="dxa"/>
            <w:vMerge w:val="restart"/>
            <w:vAlign w:val="center"/>
          </w:tcPr>
          <w:p>
            <w:pPr>
              <w:spacing w:line="400" w:lineRule="exact"/>
              <w:jc w:val="center"/>
              <w:rPr>
                <w:rFonts w:ascii="宋体" w:cs="宋体"/>
                <w:bCs/>
                <w:color w:val="auto"/>
                <w:sz w:val="24"/>
              </w:rPr>
            </w:pPr>
            <w:r>
              <w:rPr>
                <w:rFonts w:ascii="宋体" w:hAnsi="宋体" w:cs="宋体"/>
                <w:bCs/>
                <w:color w:val="auto"/>
                <w:sz w:val="24"/>
              </w:rPr>
              <w:t>2.2.4</w:t>
            </w:r>
            <w:r>
              <w:rPr>
                <w:rFonts w:hint="eastAsia" w:ascii="宋体" w:hAnsi="宋体" w:cs="宋体"/>
                <w:bCs/>
                <w:color w:val="auto"/>
                <w:sz w:val="24"/>
              </w:rPr>
              <w:t>（</w:t>
            </w:r>
            <w:r>
              <w:rPr>
                <w:rFonts w:ascii="宋体" w:hAnsi="宋体" w:cs="宋体"/>
                <w:bCs/>
                <w:color w:val="auto"/>
                <w:sz w:val="24"/>
              </w:rPr>
              <w:t>2</w:t>
            </w:r>
            <w:r>
              <w:rPr>
                <w:rFonts w:hint="eastAsia" w:ascii="宋体" w:hAnsi="宋体" w:cs="宋体"/>
                <w:bCs/>
                <w:color w:val="auto"/>
                <w:sz w:val="24"/>
              </w:rPr>
              <w:t>）</w:t>
            </w:r>
          </w:p>
        </w:tc>
        <w:tc>
          <w:tcPr>
            <w:tcW w:w="1440" w:type="dxa"/>
            <w:gridSpan w:val="2"/>
            <w:vMerge w:val="restart"/>
            <w:vAlign w:val="center"/>
          </w:tcPr>
          <w:p>
            <w:pPr>
              <w:adjustRightInd w:val="0"/>
              <w:snapToGrid w:val="0"/>
              <w:spacing w:line="420" w:lineRule="exact"/>
              <w:jc w:val="center"/>
              <w:rPr>
                <w:rFonts w:ascii="宋体" w:cs="宋体"/>
                <w:bCs/>
                <w:color w:val="auto"/>
                <w:sz w:val="24"/>
              </w:rPr>
            </w:pPr>
            <w:r>
              <w:rPr>
                <w:rFonts w:hint="eastAsia" w:ascii="宋体" w:hAnsi="宋体" w:cs="宋体"/>
                <w:bCs/>
                <w:color w:val="auto"/>
                <w:sz w:val="24"/>
              </w:rPr>
              <w:t>综合标评分</w:t>
            </w:r>
          </w:p>
          <w:p>
            <w:pPr>
              <w:spacing w:line="400" w:lineRule="exact"/>
              <w:jc w:val="center"/>
              <w:rPr>
                <w:rFonts w:ascii="宋体" w:cs="宋体"/>
                <w:bCs/>
                <w:color w:val="auto"/>
                <w:sz w:val="24"/>
              </w:rPr>
            </w:pPr>
            <w:r>
              <w:rPr>
                <w:rFonts w:hint="eastAsia" w:ascii="宋体" w:hAnsi="宋体" w:cs="宋体"/>
                <w:bCs/>
                <w:color w:val="auto"/>
                <w:sz w:val="24"/>
              </w:rPr>
              <w:t>20分</w:t>
            </w:r>
          </w:p>
        </w:tc>
        <w:tc>
          <w:tcPr>
            <w:tcW w:w="2437" w:type="dxa"/>
            <w:vAlign w:val="center"/>
          </w:tcPr>
          <w:p>
            <w:pPr>
              <w:autoSpaceDE w:val="0"/>
              <w:autoSpaceDN w:val="0"/>
              <w:adjustRightInd w:val="0"/>
              <w:spacing w:line="400" w:lineRule="exact"/>
              <w:jc w:val="left"/>
              <w:rPr>
                <w:rFonts w:ascii="宋体" w:cs="宋体"/>
                <w:bCs/>
                <w:color w:val="auto"/>
                <w:sz w:val="24"/>
              </w:rPr>
            </w:pPr>
            <w:r>
              <w:rPr>
                <w:rFonts w:hint="eastAsia" w:ascii="宋体" w:hAnsi="宋体"/>
                <w:color w:val="auto"/>
                <w:sz w:val="24"/>
              </w:rPr>
              <w:t>企业实力（12分）</w:t>
            </w:r>
          </w:p>
        </w:tc>
        <w:tc>
          <w:tcPr>
            <w:tcW w:w="4797" w:type="dxa"/>
            <w:vAlign w:val="center"/>
          </w:tcPr>
          <w:p>
            <w:pPr>
              <w:autoSpaceDE w:val="0"/>
              <w:autoSpaceDN w:val="0"/>
              <w:adjustRightInd w:val="0"/>
              <w:spacing w:line="400" w:lineRule="exact"/>
              <w:jc w:val="left"/>
              <w:rPr>
                <w:rFonts w:ascii="宋体" w:hAnsi="宋体"/>
                <w:color w:val="auto"/>
                <w:sz w:val="24"/>
              </w:rPr>
            </w:pPr>
            <w:r>
              <w:rPr>
                <w:rFonts w:hint="eastAsia" w:ascii="宋体" w:hAnsi="宋体"/>
                <w:color w:val="auto"/>
                <w:sz w:val="24"/>
              </w:rPr>
              <w:t>1、投标人通过质量、环境、职业健康安全体系认证的得6分；</w:t>
            </w:r>
          </w:p>
          <w:p>
            <w:pPr>
              <w:autoSpaceDE w:val="0"/>
              <w:autoSpaceDN w:val="0"/>
              <w:adjustRightInd w:val="0"/>
              <w:spacing w:line="400" w:lineRule="exact"/>
              <w:jc w:val="left"/>
              <w:rPr>
                <w:rFonts w:ascii="宋体" w:cs="宋体"/>
                <w:bCs/>
                <w:color w:val="auto"/>
                <w:sz w:val="24"/>
              </w:rPr>
            </w:pPr>
            <w:r>
              <w:rPr>
                <w:rFonts w:hint="eastAsia" w:ascii="宋体" w:hAnsi="宋体"/>
                <w:color w:val="auto"/>
                <w:sz w:val="24"/>
              </w:rPr>
              <w:t>2、20</w:t>
            </w:r>
            <w:r>
              <w:rPr>
                <w:rFonts w:hint="eastAsia" w:ascii="宋体" w:hAnsi="宋体"/>
                <w:color w:val="auto"/>
                <w:sz w:val="24"/>
                <w:lang w:val="en-US" w:eastAsia="zh-CN"/>
              </w:rPr>
              <w:t>20</w:t>
            </w:r>
            <w:r>
              <w:rPr>
                <w:rFonts w:hint="eastAsia" w:ascii="宋体" w:hAnsi="宋体"/>
                <w:color w:val="auto"/>
                <w:sz w:val="24"/>
              </w:rPr>
              <w:t>年1月1日以来企业承担的类似项目监理经历，每项得3分，最多6分；（注：以合同签订时间为准，提供合同、中标通知书）；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1" w:hRule="atLeast"/>
          <w:jc w:val="center"/>
        </w:trPr>
        <w:tc>
          <w:tcPr>
            <w:tcW w:w="836" w:type="dxa"/>
            <w:vMerge w:val="continue"/>
            <w:vAlign w:val="center"/>
          </w:tcPr>
          <w:p>
            <w:pPr>
              <w:widowControl/>
              <w:spacing w:line="400" w:lineRule="exact"/>
              <w:jc w:val="left"/>
              <w:rPr>
                <w:rFonts w:ascii="宋体" w:cs="宋体"/>
                <w:bCs/>
                <w:color w:val="auto"/>
                <w:sz w:val="24"/>
              </w:rPr>
            </w:pPr>
          </w:p>
        </w:tc>
        <w:tc>
          <w:tcPr>
            <w:tcW w:w="1440" w:type="dxa"/>
            <w:gridSpan w:val="2"/>
            <w:vMerge w:val="continue"/>
            <w:vAlign w:val="center"/>
          </w:tcPr>
          <w:p>
            <w:pPr>
              <w:widowControl/>
              <w:spacing w:line="400" w:lineRule="exact"/>
              <w:jc w:val="left"/>
              <w:rPr>
                <w:rFonts w:ascii="宋体" w:cs="宋体"/>
                <w:bCs/>
                <w:color w:val="auto"/>
                <w:sz w:val="24"/>
              </w:rPr>
            </w:pPr>
          </w:p>
        </w:tc>
        <w:tc>
          <w:tcPr>
            <w:tcW w:w="2437" w:type="dxa"/>
            <w:vAlign w:val="center"/>
          </w:tcPr>
          <w:p>
            <w:pPr>
              <w:autoSpaceDE w:val="0"/>
              <w:autoSpaceDN w:val="0"/>
              <w:adjustRightInd w:val="0"/>
              <w:spacing w:line="400" w:lineRule="exact"/>
              <w:jc w:val="center"/>
              <w:rPr>
                <w:rFonts w:ascii="宋体" w:hAnsi="宋体"/>
                <w:color w:val="auto"/>
                <w:sz w:val="24"/>
              </w:rPr>
            </w:pPr>
            <w:r>
              <w:rPr>
                <w:rFonts w:ascii="宋体" w:hAnsi="宋体"/>
                <w:color w:val="auto"/>
                <w:sz w:val="24"/>
              </w:rPr>
              <w:t>服务承诺</w:t>
            </w:r>
            <w:r>
              <w:rPr>
                <w:rFonts w:hint="eastAsia" w:ascii="宋体" w:hAnsi="宋体"/>
                <w:color w:val="auto"/>
                <w:sz w:val="24"/>
              </w:rPr>
              <w:t>（8分）</w:t>
            </w:r>
          </w:p>
        </w:tc>
        <w:tc>
          <w:tcPr>
            <w:tcW w:w="4797" w:type="dxa"/>
            <w:vAlign w:val="center"/>
          </w:tcPr>
          <w:p>
            <w:pPr>
              <w:autoSpaceDE w:val="0"/>
              <w:autoSpaceDN w:val="0"/>
              <w:adjustRightInd w:val="0"/>
              <w:spacing w:line="400" w:lineRule="exact"/>
              <w:jc w:val="left"/>
              <w:rPr>
                <w:rFonts w:ascii="宋体" w:hAnsi="宋体"/>
                <w:color w:val="auto"/>
                <w:sz w:val="24"/>
              </w:rPr>
            </w:pPr>
            <w:r>
              <w:rPr>
                <w:rFonts w:hint="eastAsia" w:ascii="宋体" w:hAnsi="宋体"/>
                <w:color w:val="auto"/>
                <w:sz w:val="24"/>
              </w:rPr>
              <w:t>服务承诺内容较好的，得 8 分；</w:t>
            </w:r>
          </w:p>
          <w:p>
            <w:pPr>
              <w:autoSpaceDE w:val="0"/>
              <w:autoSpaceDN w:val="0"/>
              <w:adjustRightInd w:val="0"/>
              <w:spacing w:line="400" w:lineRule="exact"/>
              <w:jc w:val="left"/>
              <w:rPr>
                <w:rFonts w:ascii="宋体" w:hAnsi="宋体"/>
                <w:color w:val="auto"/>
                <w:sz w:val="24"/>
              </w:rPr>
            </w:pPr>
            <w:r>
              <w:rPr>
                <w:rFonts w:hint="eastAsia" w:ascii="宋体" w:hAnsi="宋体"/>
                <w:color w:val="auto"/>
                <w:sz w:val="24"/>
              </w:rPr>
              <w:t>服务承诺内容一般的，得 4 分；</w:t>
            </w:r>
          </w:p>
          <w:p>
            <w:pPr>
              <w:autoSpaceDE w:val="0"/>
              <w:autoSpaceDN w:val="0"/>
              <w:adjustRightInd w:val="0"/>
              <w:spacing w:line="400" w:lineRule="exact"/>
              <w:jc w:val="left"/>
              <w:rPr>
                <w:rFonts w:ascii="宋体" w:hAnsi="宋体"/>
                <w:color w:val="auto"/>
                <w:sz w:val="24"/>
              </w:rPr>
            </w:pPr>
            <w:r>
              <w:rPr>
                <w:rFonts w:hint="eastAsia" w:ascii="宋体" w:hAnsi="宋体"/>
                <w:color w:val="auto"/>
                <w:sz w:val="24"/>
              </w:rPr>
              <w:t>服务承诺内容较差的，得 2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1" w:hRule="atLeast"/>
          <w:jc w:val="center"/>
        </w:trPr>
        <w:tc>
          <w:tcPr>
            <w:tcW w:w="9510" w:type="dxa"/>
            <w:gridSpan w:val="5"/>
            <w:tcBorders>
              <w:bottom w:val="single" w:color="auto" w:sz="12" w:space="0"/>
            </w:tcBorders>
            <w:vAlign w:val="center"/>
          </w:tcPr>
          <w:p>
            <w:pPr>
              <w:spacing w:line="400" w:lineRule="exact"/>
              <w:rPr>
                <w:rFonts w:ascii="宋体" w:hAnsi="宋体"/>
                <w:b/>
                <w:color w:val="auto"/>
                <w:szCs w:val="21"/>
              </w:rPr>
            </w:pPr>
            <w:r>
              <w:rPr>
                <w:rFonts w:hint="eastAsia" w:ascii="宋体" w:hAnsi="宋体"/>
                <w:b/>
                <w:bCs/>
              </w:rPr>
              <w:t>注：根据《政府采购促进中小企业发展管理办法》(财库[2020]46号)的规定，适用招标投标法的政府采购工程建设项目，采用综合评估法但未采用低价优先法计算价格分的，评标时应当在采用原报价进行评分的基础上增加其价格得分的5%作为其价格分（监狱企业、残疾人福利性单位视同小型、微型企业）。</w:t>
            </w:r>
          </w:p>
        </w:tc>
      </w:tr>
    </w:tbl>
    <w:p>
      <w:pPr>
        <w:pStyle w:val="56"/>
        <w:jc w:val="center"/>
        <w:rPr>
          <w:rFonts w:ascii="宋体" w:hAnsi="宋体" w:eastAsia="宋体"/>
          <w:b/>
          <w:color w:val="auto"/>
        </w:rPr>
      </w:pPr>
    </w:p>
    <w:p>
      <w:pPr>
        <w:pStyle w:val="56"/>
        <w:spacing w:before="0" w:line="360" w:lineRule="auto"/>
        <w:rPr>
          <w:rFonts w:ascii="宋体" w:hAnsi="宋体" w:eastAsia="宋体"/>
          <w:b/>
          <w:color w:val="auto"/>
          <w:sz w:val="24"/>
        </w:rPr>
      </w:pPr>
      <w:bookmarkStart w:id="600" w:name="_Toc489430883"/>
      <w:bookmarkStart w:id="601" w:name="_Toc116314133"/>
      <w:bookmarkStart w:id="602" w:name="_Toc489430522"/>
      <w:bookmarkStart w:id="603" w:name="_Toc152045600"/>
      <w:bookmarkStart w:id="604" w:name="_Toc4831"/>
      <w:bookmarkStart w:id="605" w:name="_Toc489430882"/>
      <w:bookmarkStart w:id="606" w:name="_Toc152042377"/>
      <w:bookmarkStart w:id="607" w:name="_Toc489430523"/>
      <w:bookmarkStart w:id="608" w:name="_Toc144974567"/>
      <w:r>
        <w:rPr>
          <w:rFonts w:hint="eastAsia" w:ascii="宋体" w:hAnsi="宋体" w:eastAsia="宋体"/>
          <w:b/>
          <w:color w:val="auto"/>
        </w:rPr>
        <w:t>1. 评标方法</w:t>
      </w:r>
      <w:bookmarkEnd w:id="600"/>
      <w:bookmarkEnd w:id="601"/>
      <w:bookmarkEnd w:id="602"/>
      <w:bookmarkEnd w:id="603"/>
      <w:bookmarkEnd w:id="604"/>
      <w:bookmarkEnd w:id="605"/>
      <w:bookmarkEnd w:id="606"/>
      <w:bookmarkEnd w:id="607"/>
      <w:bookmarkEnd w:id="608"/>
    </w:p>
    <w:p>
      <w:pPr>
        <w:spacing w:line="360" w:lineRule="auto"/>
        <w:ind w:firstLine="480" w:firstLineChars="200"/>
        <w:rPr>
          <w:rFonts w:ascii="宋体" w:hAnsi="宋体"/>
          <w:color w:val="auto"/>
          <w:sz w:val="24"/>
        </w:rPr>
      </w:pPr>
      <w:r>
        <w:rPr>
          <w:rFonts w:hint="eastAsia" w:ascii="宋体" w:hAnsi="宋体"/>
          <w:color w:val="auto"/>
          <w:sz w:val="24"/>
        </w:rPr>
        <w:t>本次评标采用综合评估法。评标委员会对满足招标文件实质性要求的投标文件，按照本章第2.2款规定的评分标准进行打分，并按得分由高到低顺序推荐3</w:t>
      </w:r>
      <w:r>
        <w:rPr>
          <w:rFonts w:ascii="宋体" w:hAnsi="宋体"/>
          <w:color w:val="auto"/>
          <w:sz w:val="24"/>
        </w:rPr>
        <w:t>名</w:t>
      </w:r>
      <w:r>
        <w:rPr>
          <w:rFonts w:hint="eastAsia" w:ascii="宋体" w:hAnsi="宋体"/>
          <w:color w:val="auto"/>
          <w:sz w:val="24"/>
        </w:rPr>
        <w:t>中标候选人，投标报价低于其成本的除外。综合评分相等时，以投标报价低的优先；投标报价也相等的，由招标人自行确定。</w:t>
      </w:r>
    </w:p>
    <w:p>
      <w:pPr>
        <w:pStyle w:val="56"/>
        <w:spacing w:line="360" w:lineRule="auto"/>
        <w:rPr>
          <w:rFonts w:ascii="宋体" w:hAnsi="宋体" w:eastAsia="宋体"/>
          <w:b/>
          <w:color w:val="auto"/>
        </w:rPr>
      </w:pPr>
      <w:bookmarkStart w:id="609" w:name="_Toc489430884"/>
      <w:bookmarkStart w:id="610" w:name="_Toc116314134"/>
      <w:bookmarkStart w:id="611" w:name="_Toc152045601"/>
      <w:bookmarkStart w:id="612" w:name="_Toc144974568"/>
      <w:bookmarkStart w:id="613" w:name="_Toc152042378"/>
      <w:bookmarkStart w:id="614" w:name="_Toc489430524"/>
      <w:bookmarkStart w:id="615" w:name="_Toc18451"/>
      <w:r>
        <w:rPr>
          <w:rFonts w:hint="eastAsia" w:ascii="宋体" w:hAnsi="宋体" w:eastAsia="宋体"/>
          <w:b/>
          <w:color w:val="auto"/>
        </w:rPr>
        <w:t>2. 评审标准</w:t>
      </w:r>
      <w:bookmarkEnd w:id="609"/>
      <w:bookmarkEnd w:id="610"/>
      <w:bookmarkEnd w:id="611"/>
      <w:bookmarkEnd w:id="612"/>
      <w:bookmarkEnd w:id="613"/>
      <w:bookmarkEnd w:id="614"/>
      <w:bookmarkEnd w:id="615"/>
    </w:p>
    <w:p>
      <w:pPr>
        <w:pStyle w:val="57"/>
        <w:spacing w:line="360" w:lineRule="auto"/>
        <w:rPr>
          <w:rFonts w:ascii="宋体" w:hAnsi="宋体" w:eastAsia="宋体"/>
          <w:b/>
          <w:color w:val="auto"/>
          <w:szCs w:val="24"/>
        </w:rPr>
      </w:pPr>
      <w:bookmarkStart w:id="616" w:name="_Toc5778"/>
      <w:bookmarkStart w:id="617" w:name="_Toc152042379"/>
      <w:bookmarkStart w:id="618" w:name="_Toc427580099"/>
      <w:bookmarkStart w:id="619" w:name="_Toc116314135"/>
      <w:bookmarkStart w:id="620" w:name="_Toc407219643"/>
      <w:bookmarkStart w:id="621" w:name="_Toc475691352"/>
      <w:bookmarkStart w:id="622" w:name="_Toc259605289"/>
      <w:bookmarkStart w:id="623" w:name="_Toc427583712"/>
      <w:bookmarkStart w:id="624" w:name="_Toc489430525"/>
      <w:bookmarkStart w:id="625" w:name="_Toc152045602"/>
      <w:bookmarkStart w:id="626" w:name="_Toc489430885"/>
      <w:bookmarkStart w:id="627" w:name="_Toc144974569"/>
      <w:r>
        <w:rPr>
          <w:rFonts w:hint="eastAsia" w:ascii="宋体" w:hAnsi="宋体" w:eastAsia="宋体"/>
          <w:b/>
          <w:color w:val="auto"/>
          <w:szCs w:val="24"/>
        </w:rPr>
        <w:t>2.1 初步评审标准</w:t>
      </w:r>
      <w:bookmarkEnd w:id="616"/>
      <w:bookmarkEnd w:id="617"/>
      <w:bookmarkEnd w:id="618"/>
      <w:bookmarkEnd w:id="619"/>
      <w:bookmarkEnd w:id="620"/>
      <w:bookmarkEnd w:id="621"/>
      <w:bookmarkEnd w:id="622"/>
      <w:bookmarkEnd w:id="623"/>
      <w:bookmarkEnd w:id="624"/>
      <w:bookmarkEnd w:id="625"/>
      <w:bookmarkEnd w:id="626"/>
      <w:bookmarkEnd w:id="627"/>
    </w:p>
    <w:p>
      <w:pPr>
        <w:spacing w:line="360" w:lineRule="auto"/>
        <w:ind w:firstLine="480" w:firstLineChars="200"/>
        <w:rPr>
          <w:rFonts w:ascii="宋体" w:hAnsi="宋体"/>
          <w:color w:val="auto"/>
          <w:sz w:val="24"/>
        </w:rPr>
      </w:pPr>
      <w:r>
        <w:rPr>
          <w:rFonts w:hint="eastAsia" w:ascii="宋体" w:hAnsi="宋体"/>
          <w:color w:val="auto"/>
          <w:sz w:val="24"/>
        </w:rPr>
        <w:t>2.1.1 形式评审标准：见评标办法前附表。</w:t>
      </w:r>
    </w:p>
    <w:p>
      <w:pPr>
        <w:spacing w:line="360" w:lineRule="auto"/>
        <w:ind w:firstLine="480" w:firstLineChars="200"/>
        <w:rPr>
          <w:rFonts w:ascii="宋体" w:hAnsi="宋体"/>
          <w:color w:val="auto"/>
          <w:sz w:val="24"/>
        </w:rPr>
      </w:pPr>
      <w:r>
        <w:rPr>
          <w:rFonts w:hint="eastAsia" w:ascii="宋体" w:hAnsi="宋体"/>
          <w:color w:val="auto"/>
          <w:sz w:val="24"/>
        </w:rPr>
        <w:t>2.1.2 资格评审标准：见评标办法前附表。</w:t>
      </w:r>
    </w:p>
    <w:p>
      <w:pPr>
        <w:spacing w:line="360" w:lineRule="auto"/>
        <w:ind w:firstLine="480" w:firstLineChars="200"/>
        <w:rPr>
          <w:rFonts w:ascii="宋体" w:hAnsi="宋体"/>
          <w:color w:val="auto"/>
          <w:sz w:val="24"/>
        </w:rPr>
      </w:pPr>
      <w:r>
        <w:rPr>
          <w:rFonts w:hint="eastAsia" w:ascii="宋体" w:hAnsi="宋体"/>
          <w:color w:val="auto"/>
          <w:sz w:val="24"/>
        </w:rPr>
        <w:t>2.1.3 响应性评审标准：见评标办法前附表。</w:t>
      </w:r>
    </w:p>
    <w:p>
      <w:pPr>
        <w:pStyle w:val="57"/>
        <w:spacing w:line="360" w:lineRule="auto"/>
        <w:rPr>
          <w:rFonts w:ascii="宋体" w:hAnsi="宋体" w:eastAsia="宋体"/>
          <w:b/>
          <w:color w:val="auto"/>
          <w:szCs w:val="24"/>
        </w:rPr>
      </w:pPr>
      <w:bookmarkStart w:id="628" w:name="_Toc407219644"/>
      <w:bookmarkStart w:id="629" w:name="_Toc259605290"/>
      <w:bookmarkStart w:id="630" w:name="_Toc152042380"/>
      <w:bookmarkStart w:id="631" w:name="_Toc152045603"/>
      <w:bookmarkStart w:id="632" w:name="_Toc427580100"/>
      <w:bookmarkStart w:id="633" w:name="_Toc489430526"/>
      <w:bookmarkStart w:id="634" w:name="_Toc144974570"/>
      <w:bookmarkStart w:id="635" w:name="_Toc475691353"/>
      <w:bookmarkStart w:id="636" w:name="_Toc17330"/>
      <w:bookmarkStart w:id="637" w:name="_Toc489430886"/>
      <w:bookmarkStart w:id="638" w:name="_Toc427583713"/>
      <w:bookmarkStart w:id="639" w:name="_Toc116314136"/>
      <w:r>
        <w:rPr>
          <w:rFonts w:hint="eastAsia" w:ascii="宋体" w:hAnsi="宋体" w:eastAsia="宋体"/>
          <w:b/>
          <w:color w:val="auto"/>
          <w:szCs w:val="24"/>
        </w:rPr>
        <w:t>2.2 分值构成与评分标准</w:t>
      </w:r>
      <w:bookmarkEnd w:id="628"/>
      <w:bookmarkEnd w:id="629"/>
      <w:bookmarkEnd w:id="630"/>
      <w:bookmarkEnd w:id="631"/>
      <w:bookmarkEnd w:id="632"/>
      <w:bookmarkEnd w:id="633"/>
      <w:bookmarkEnd w:id="634"/>
      <w:bookmarkEnd w:id="635"/>
      <w:bookmarkEnd w:id="636"/>
      <w:bookmarkEnd w:id="637"/>
      <w:bookmarkEnd w:id="638"/>
      <w:bookmarkEnd w:id="639"/>
    </w:p>
    <w:p>
      <w:pPr>
        <w:spacing w:line="440" w:lineRule="exact"/>
        <w:ind w:firstLine="480" w:firstLineChars="200"/>
        <w:rPr>
          <w:rFonts w:ascii="宋体" w:hAnsi="宋体"/>
          <w:color w:val="auto"/>
          <w:sz w:val="24"/>
        </w:rPr>
      </w:pPr>
      <w:r>
        <w:rPr>
          <w:rFonts w:hint="eastAsia" w:ascii="宋体" w:hAnsi="宋体"/>
          <w:color w:val="auto"/>
          <w:sz w:val="24"/>
        </w:rPr>
        <w:t>2.2.1 分值构成</w:t>
      </w:r>
    </w:p>
    <w:p>
      <w:pPr>
        <w:spacing w:line="440" w:lineRule="exact"/>
        <w:ind w:firstLine="820" w:firstLineChars="342"/>
        <w:rPr>
          <w:rFonts w:ascii="宋体" w:hAnsi="宋体"/>
          <w:color w:val="auto"/>
          <w:sz w:val="24"/>
        </w:rPr>
      </w:pPr>
      <w:r>
        <w:rPr>
          <w:rFonts w:hint="eastAsia" w:ascii="宋体" w:hAnsi="宋体"/>
          <w:color w:val="auto"/>
          <w:sz w:val="24"/>
        </w:rPr>
        <w:t>（1）监理大纲：见评标办法前附表；</w:t>
      </w:r>
    </w:p>
    <w:p>
      <w:pPr>
        <w:spacing w:line="440" w:lineRule="exact"/>
        <w:ind w:firstLine="820" w:firstLineChars="342"/>
        <w:rPr>
          <w:rFonts w:ascii="宋体" w:hAnsi="宋体"/>
          <w:color w:val="auto"/>
          <w:sz w:val="24"/>
        </w:rPr>
      </w:pPr>
      <w:r>
        <w:rPr>
          <w:rFonts w:hint="eastAsia" w:ascii="宋体" w:hAnsi="宋体"/>
          <w:color w:val="auto"/>
          <w:sz w:val="24"/>
        </w:rPr>
        <w:t>（2）综合标：见评标办法前附表；</w:t>
      </w:r>
    </w:p>
    <w:p>
      <w:pPr>
        <w:spacing w:line="440" w:lineRule="exact"/>
        <w:ind w:firstLine="820" w:firstLineChars="342"/>
        <w:rPr>
          <w:rFonts w:ascii="宋体" w:hAnsi="宋体"/>
          <w:color w:val="auto"/>
          <w:sz w:val="24"/>
        </w:rPr>
      </w:pPr>
      <w:r>
        <w:rPr>
          <w:rFonts w:hint="eastAsia" w:ascii="宋体" w:hAnsi="宋体"/>
          <w:color w:val="auto"/>
          <w:sz w:val="24"/>
        </w:rPr>
        <w:t>（3）商务标：见评标办法前附表；</w:t>
      </w:r>
    </w:p>
    <w:p>
      <w:pPr>
        <w:spacing w:line="440" w:lineRule="exact"/>
        <w:ind w:firstLine="480" w:firstLineChars="200"/>
        <w:rPr>
          <w:rFonts w:ascii="宋体" w:hAnsi="宋体"/>
          <w:color w:val="auto"/>
          <w:sz w:val="24"/>
        </w:rPr>
      </w:pPr>
      <w:r>
        <w:rPr>
          <w:rFonts w:hint="eastAsia" w:ascii="宋体" w:hAnsi="宋体"/>
          <w:color w:val="auto"/>
          <w:sz w:val="24"/>
        </w:rPr>
        <w:t>2.2.2 评标基准值计算</w:t>
      </w:r>
    </w:p>
    <w:p>
      <w:pPr>
        <w:spacing w:line="440" w:lineRule="exact"/>
        <w:ind w:firstLine="960" w:firstLineChars="400"/>
        <w:rPr>
          <w:rFonts w:ascii="宋体" w:hAnsi="宋体"/>
          <w:color w:val="auto"/>
          <w:sz w:val="24"/>
        </w:rPr>
      </w:pPr>
      <w:r>
        <w:rPr>
          <w:rFonts w:hint="eastAsia" w:ascii="宋体" w:hAnsi="宋体"/>
          <w:color w:val="auto"/>
          <w:sz w:val="24"/>
        </w:rPr>
        <w:t>评标基准值计算方法：见评标办法前附表。</w:t>
      </w:r>
    </w:p>
    <w:p>
      <w:pPr>
        <w:spacing w:line="440" w:lineRule="exact"/>
        <w:ind w:firstLine="480" w:firstLineChars="200"/>
        <w:rPr>
          <w:rFonts w:ascii="宋体" w:hAnsi="宋体"/>
          <w:color w:val="auto"/>
          <w:sz w:val="24"/>
        </w:rPr>
      </w:pPr>
      <w:r>
        <w:rPr>
          <w:rFonts w:hint="eastAsia" w:ascii="宋体" w:hAnsi="宋体"/>
          <w:color w:val="auto"/>
          <w:sz w:val="24"/>
        </w:rPr>
        <w:t>2.2.3评分标准</w:t>
      </w:r>
    </w:p>
    <w:p>
      <w:pPr>
        <w:spacing w:line="440" w:lineRule="exact"/>
        <w:ind w:firstLine="820" w:firstLineChars="342"/>
        <w:rPr>
          <w:rFonts w:ascii="宋体" w:hAnsi="宋体"/>
          <w:color w:val="auto"/>
          <w:sz w:val="24"/>
        </w:rPr>
      </w:pPr>
      <w:bookmarkStart w:id="640" w:name="_Toc489430527"/>
      <w:bookmarkStart w:id="641" w:name="_Toc2476"/>
      <w:bookmarkStart w:id="642" w:name="_Toc489430887"/>
      <w:bookmarkStart w:id="643" w:name="_Toc152042381"/>
      <w:bookmarkStart w:id="644" w:name="_Toc152045604"/>
      <w:bookmarkStart w:id="645" w:name="_Toc144974571"/>
      <w:r>
        <w:rPr>
          <w:rFonts w:hint="eastAsia" w:ascii="宋体" w:hAnsi="宋体"/>
          <w:color w:val="auto"/>
          <w:sz w:val="24"/>
        </w:rPr>
        <w:t>（1）监理大纲：见评标办法前附表；</w:t>
      </w:r>
    </w:p>
    <w:p>
      <w:pPr>
        <w:spacing w:line="440" w:lineRule="exact"/>
        <w:ind w:firstLine="820" w:firstLineChars="342"/>
        <w:rPr>
          <w:rFonts w:ascii="宋体" w:hAnsi="宋体"/>
          <w:color w:val="auto"/>
          <w:sz w:val="24"/>
        </w:rPr>
      </w:pPr>
      <w:r>
        <w:rPr>
          <w:rFonts w:hint="eastAsia" w:ascii="宋体" w:hAnsi="宋体"/>
          <w:color w:val="auto"/>
          <w:sz w:val="24"/>
        </w:rPr>
        <w:t>（2）综合标：见评标办法前附表；</w:t>
      </w:r>
    </w:p>
    <w:p>
      <w:pPr>
        <w:spacing w:line="440" w:lineRule="exact"/>
        <w:ind w:firstLine="820" w:firstLineChars="342"/>
        <w:rPr>
          <w:rFonts w:ascii="宋体" w:hAnsi="宋体"/>
          <w:color w:val="auto"/>
          <w:sz w:val="24"/>
        </w:rPr>
      </w:pPr>
      <w:r>
        <w:rPr>
          <w:rFonts w:hint="eastAsia" w:ascii="宋体" w:hAnsi="宋体"/>
          <w:color w:val="auto"/>
          <w:sz w:val="24"/>
        </w:rPr>
        <w:t>（3）商务标：见评标办法前附表；</w:t>
      </w:r>
    </w:p>
    <w:p>
      <w:pPr>
        <w:pStyle w:val="56"/>
        <w:spacing w:line="360" w:lineRule="auto"/>
        <w:rPr>
          <w:rFonts w:ascii="宋体" w:hAnsi="宋体" w:eastAsia="宋体"/>
          <w:b/>
          <w:color w:val="auto"/>
        </w:rPr>
      </w:pPr>
      <w:bookmarkStart w:id="646" w:name="_Toc116314137"/>
      <w:r>
        <w:rPr>
          <w:rFonts w:hint="eastAsia" w:ascii="宋体" w:hAnsi="宋体" w:eastAsia="宋体"/>
          <w:b/>
          <w:color w:val="auto"/>
        </w:rPr>
        <w:t>3. 评标程序</w:t>
      </w:r>
      <w:bookmarkEnd w:id="640"/>
      <w:bookmarkEnd w:id="641"/>
      <w:bookmarkEnd w:id="642"/>
      <w:bookmarkEnd w:id="643"/>
      <w:bookmarkEnd w:id="644"/>
      <w:bookmarkEnd w:id="645"/>
      <w:bookmarkEnd w:id="646"/>
    </w:p>
    <w:p>
      <w:pPr>
        <w:pStyle w:val="57"/>
        <w:spacing w:line="360" w:lineRule="auto"/>
        <w:rPr>
          <w:rFonts w:ascii="宋体" w:hAnsi="宋体" w:eastAsia="宋体"/>
          <w:b/>
          <w:color w:val="auto"/>
          <w:szCs w:val="24"/>
        </w:rPr>
      </w:pPr>
      <w:bookmarkStart w:id="647" w:name="_Toc152042382"/>
      <w:bookmarkStart w:id="648" w:name="_Toc116314138"/>
      <w:bookmarkStart w:id="649" w:name="_Toc152045605"/>
      <w:bookmarkStart w:id="650" w:name="_Toc427580102"/>
      <w:bookmarkStart w:id="651" w:name="_Toc427583715"/>
      <w:bookmarkStart w:id="652" w:name="_Toc259605292"/>
      <w:bookmarkStart w:id="653" w:name="_Toc18970"/>
      <w:bookmarkStart w:id="654" w:name="_Toc475691355"/>
      <w:bookmarkStart w:id="655" w:name="_Toc144974572"/>
      <w:bookmarkStart w:id="656" w:name="_Toc489430888"/>
      <w:bookmarkStart w:id="657" w:name="_Toc407219646"/>
      <w:bookmarkStart w:id="658" w:name="_Toc489430528"/>
      <w:r>
        <w:rPr>
          <w:rFonts w:hint="eastAsia" w:ascii="宋体" w:hAnsi="宋体" w:eastAsia="宋体"/>
          <w:b/>
          <w:color w:val="auto"/>
          <w:szCs w:val="24"/>
        </w:rPr>
        <w:t>3.1 初步评审</w:t>
      </w:r>
      <w:bookmarkEnd w:id="647"/>
      <w:bookmarkEnd w:id="648"/>
      <w:bookmarkEnd w:id="649"/>
      <w:bookmarkEnd w:id="650"/>
      <w:bookmarkEnd w:id="651"/>
      <w:bookmarkEnd w:id="652"/>
      <w:bookmarkEnd w:id="653"/>
      <w:bookmarkEnd w:id="654"/>
      <w:bookmarkEnd w:id="655"/>
      <w:bookmarkEnd w:id="656"/>
      <w:bookmarkEnd w:id="657"/>
      <w:bookmarkEnd w:id="658"/>
    </w:p>
    <w:p>
      <w:pPr>
        <w:spacing w:line="360" w:lineRule="auto"/>
        <w:ind w:firstLine="480" w:firstLineChars="200"/>
        <w:rPr>
          <w:rFonts w:ascii="宋体" w:hAnsi="宋体"/>
          <w:color w:val="auto"/>
          <w:sz w:val="24"/>
        </w:rPr>
      </w:pPr>
      <w:r>
        <w:rPr>
          <w:rFonts w:hint="eastAsia" w:ascii="宋体" w:hAnsi="宋体"/>
          <w:color w:val="auto"/>
          <w:sz w:val="24"/>
        </w:rPr>
        <w:t>3.1.1评标委员会依据本章第2.1款规定的标准对投标文件进行初步评审，有一项不符合评审标准的，其投标将被否决。</w:t>
      </w:r>
    </w:p>
    <w:p>
      <w:pPr>
        <w:spacing w:line="360" w:lineRule="auto"/>
        <w:ind w:firstLine="480" w:firstLineChars="200"/>
        <w:rPr>
          <w:rFonts w:ascii="宋体" w:hAnsi="宋体"/>
          <w:color w:val="auto"/>
          <w:sz w:val="24"/>
        </w:rPr>
      </w:pPr>
      <w:r>
        <w:rPr>
          <w:rFonts w:hint="eastAsia" w:ascii="宋体" w:hAnsi="宋体"/>
          <w:color w:val="auto"/>
          <w:sz w:val="24"/>
        </w:rPr>
        <w:t>3.1.2 投标人有以下情形之一的，其投标将被否决：</w:t>
      </w:r>
    </w:p>
    <w:p>
      <w:pPr>
        <w:spacing w:line="360" w:lineRule="auto"/>
        <w:ind w:firstLine="820" w:firstLineChars="342"/>
        <w:rPr>
          <w:rFonts w:ascii="宋体" w:hAnsi="宋体"/>
          <w:color w:val="auto"/>
          <w:sz w:val="24"/>
        </w:rPr>
      </w:pPr>
      <w:r>
        <w:rPr>
          <w:rFonts w:hint="eastAsia" w:ascii="宋体" w:hAnsi="宋体"/>
          <w:color w:val="auto"/>
          <w:sz w:val="24"/>
        </w:rPr>
        <w:t>（1）第二章“投标人须知”第1.4.3、1.4.4项规定的任何一种情形的；</w:t>
      </w:r>
    </w:p>
    <w:p>
      <w:pPr>
        <w:spacing w:line="360" w:lineRule="auto"/>
        <w:ind w:firstLine="820" w:firstLineChars="342"/>
        <w:rPr>
          <w:rFonts w:ascii="宋体" w:hAnsi="宋体"/>
          <w:color w:val="auto"/>
          <w:sz w:val="24"/>
        </w:rPr>
      </w:pPr>
      <w:r>
        <w:rPr>
          <w:rFonts w:hint="eastAsia" w:ascii="宋体" w:hAnsi="宋体"/>
          <w:color w:val="auto"/>
          <w:sz w:val="24"/>
        </w:rPr>
        <w:t>（2）串通投标或弄虚作假或有其他违法行为的；</w:t>
      </w:r>
    </w:p>
    <w:p>
      <w:pPr>
        <w:spacing w:line="360" w:lineRule="auto"/>
        <w:ind w:firstLine="820" w:firstLineChars="342"/>
        <w:rPr>
          <w:rFonts w:ascii="宋体" w:hAnsi="宋体"/>
          <w:color w:val="auto"/>
          <w:sz w:val="24"/>
        </w:rPr>
      </w:pPr>
      <w:r>
        <w:rPr>
          <w:rFonts w:hint="eastAsia" w:ascii="宋体" w:hAnsi="宋体"/>
          <w:color w:val="auto"/>
          <w:sz w:val="24"/>
        </w:rPr>
        <w:t>（3）不按评标委员会要求澄清、说明或补正的。</w:t>
      </w:r>
    </w:p>
    <w:p>
      <w:pPr>
        <w:spacing w:line="360" w:lineRule="auto"/>
        <w:ind w:firstLine="480" w:firstLineChars="200"/>
        <w:rPr>
          <w:rFonts w:ascii="宋体" w:hAnsi="宋体"/>
          <w:color w:val="auto"/>
          <w:sz w:val="24"/>
        </w:rPr>
      </w:pPr>
      <w:r>
        <w:rPr>
          <w:rFonts w:hint="eastAsia" w:ascii="宋体" w:hAnsi="宋体"/>
          <w:color w:val="auto"/>
          <w:sz w:val="24"/>
        </w:rPr>
        <w:t>3.1.3投标报价有算术错误的，评标委员会按以下原则对投标报价进行修正，修正的价格经投标人书面确认后具有约束力。投标人不接受修正价格的，其投标将被否决。</w:t>
      </w:r>
    </w:p>
    <w:p>
      <w:pPr>
        <w:spacing w:line="360" w:lineRule="auto"/>
        <w:ind w:firstLine="820" w:firstLineChars="342"/>
        <w:rPr>
          <w:rFonts w:ascii="宋体" w:hAnsi="宋体"/>
          <w:color w:val="auto"/>
          <w:sz w:val="24"/>
        </w:rPr>
      </w:pPr>
      <w:bookmarkStart w:id="659" w:name="_Toc152042383"/>
      <w:r>
        <w:rPr>
          <w:rFonts w:hint="eastAsia" w:ascii="宋体" w:hAnsi="宋体"/>
          <w:color w:val="auto"/>
          <w:sz w:val="24"/>
        </w:rPr>
        <w:t>（1）投标文件中的大写金额与小写金额不一致的，以大写金额为准；</w:t>
      </w:r>
      <w:bookmarkEnd w:id="659"/>
    </w:p>
    <w:p>
      <w:pPr>
        <w:spacing w:line="360" w:lineRule="auto"/>
        <w:ind w:firstLine="820" w:firstLineChars="342"/>
        <w:rPr>
          <w:rFonts w:ascii="宋体" w:hAnsi="宋体"/>
          <w:color w:val="auto"/>
          <w:sz w:val="24"/>
        </w:rPr>
      </w:pPr>
      <w:r>
        <w:rPr>
          <w:rFonts w:hint="eastAsia" w:ascii="宋体" w:hAnsi="宋体"/>
          <w:color w:val="auto"/>
          <w:sz w:val="24"/>
        </w:rPr>
        <w:t>（2）总价金额与依据单价计算出的结果不一致的，以单价金额为准修正总价，但单价金额小数点有明显错误的除外。</w:t>
      </w:r>
    </w:p>
    <w:p>
      <w:pPr>
        <w:pStyle w:val="57"/>
        <w:spacing w:line="360" w:lineRule="auto"/>
        <w:rPr>
          <w:rFonts w:ascii="宋体" w:hAnsi="宋体" w:eastAsia="宋体"/>
          <w:b/>
          <w:color w:val="auto"/>
          <w:szCs w:val="24"/>
        </w:rPr>
      </w:pPr>
      <w:bookmarkStart w:id="660" w:name="_Toc152045606"/>
      <w:bookmarkStart w:id="661" w:name="_Toc116314139"/>
      <w:bookmarkStart w:id="662" w:name="_Toc152042384"/>
      <w:bookmarkStart w:id="663" w:name="_Toc144974573"/>
      <w:bookmarkStart w:id="664" w:name="_Toc427580103"/>
      <w:bookmarkStart w:id="665" w:name="_Toc427583716"/>
      <w:bookmarkStart w:id="666" w:name="_Toc259605293"/>
      <w:bookmarkStart w:id="667" w:name="_Toc8811"/>
      <w:bookmarkStart w:id="668" w:name="_Toc489430889"/>
      <w:bookmarkStart w:id="669" w:name="_Toc475691356"/>
      <w:bookmarkStart w:id="670" w:name="_Toc407219647"/>
      <w:bookmarkStart w:id="671" w:name="_Toc489430529"/>
      <w:r>
        <w:rPr>
          <w:rFonts w:hint="eastAsia" w:ascii="宋体" w:hAnsi="宋体" w:eastAsia="宋体"/>
          <w:b/>
          <w:color w:val="auto"/>
          <w:szCs w:val="24"/>
        </w:rPr>
        <w:t>3.2 详细评审</w:t>
      </w:r>
      <w:bookmarkEnd w:id="660"/>
      <w:bookmarkEnd w:id="661"/>
      <w:bookmarkEnd w:id="662"/>
      <w:bookmarkEnd w:id="663"/>
      <w:bookmarkEnd w:id="664"/>
      <w:bookmarkEnd w:id="665"/>
      <w:bookmarkEnd w:id="666"/>
      <w:bookmarkEnd w:id="667"/>
      <w:bookmarkEnd w:id="668"/>
      <w:bookmarkEnd w:id="669"/>
      <w:bookmarkEnd w:id="670"/>
      <w:bookmarkEnd w:id="671"/>
    </w:p>
    <w:p>
      <w:pPr>
        <w:spacing w:line="360" w:lineRule="auto"/>
        <w:ind w:firstLine="480" w:firstLineChars="200"/>
        <w:rPr>
          <w:rFonts w:ascii="宋体" w:hAnsi="宋体"/>
          <w:color w:val="auto"/>
          <w:sz w:val="24"/>
        </w:rPr>
      </w:pPr>
      <w:r>
        <w:rPr>
          <w:rFonts w:hint="eastAsia" w:ascii="宋体" w:hAnsi="宋体"/>
          <w:color w:val="auto"/>
          <w:sz w:val="24"/>
        </w:rPr>
        <w:t>3.2.1 评标委员会按本章第2.2款规定的量化因素和分值进行打分，并计算出综合评估得分。</w:t>
      </w:r>
    </w:p>
    <w:p>
      <w:pPr>
        <w:spacing w:line="360" w:lineRule="auto"/>
        <w:ind w:firstLine="820" w:firstLineChars="342"/>
        <w:rPr>
          <w:rFonts w:ascii="宋体" w:hAnsi="宋体"/>
          <w:color w:val="auto"/>
          <w:sz w:val="24"/>
        </w:rPr>
      </w:pPr>
      <w:r>
        <w:rPr>
          <w:rFonts w:hint="eastAsia" w:ascii="宋体" w:hAnsi="宋体"/>
          <w:color w:val="auto"/>
          <w:sz w:val="24"/>
        </w:rPr>
        <w:t>（1）按本章第2.2.3目规定的评审因素和分值计算出得分A；</w:t>
      </w:r>
    </w:p>
    <w:p>
      <w:pPr>
        <w:spacing w:line="360" w:lineRule="auto"/>
        <w:ind w:firstLine="820" w:firstLineChars="342"/>
        <w:rPr>
          <w:rFonts w:ascii="宋体" w:hAnsi="宋体"/>
          <w:color w:val="auto"/>
          <w:sz w:val="24"/>
        </w:rPr>
      </w:pPr>
      <w:r>
        <w:rPr>
          <w:rFonts w:hint="eastAsia" w:ascii="宋体" w:hAnsi="宋体"/>
          <w:color w:val="auto"/>
          <w:sz w:val="24"/>
        </w:rPr>
        <w:t>（2）按本章第2.2.4（1）目规定的评审因素和分值计算出得分B；</w:t>
      </w:r>
    </w:p>
    <w:p>
      <w:pPr>
        <w:spacing w:line="360" w:lineRule="auto"/>
        <w:ind w:firstLine="820" w:firstLineChars="342"/>
        <w:rPr>
          <w:rFonts w:ascii="宋体" w:hAnsi="宋体"/>
          <w:color w:val="auto"/>
          <w:sz w:val="24"/>
        </w:rPr>
      </w:pPr>
      <w:r>
        <w:rPr>
          <w:rFonts w:hint="eastAsia" w:ascii="宋体" w:hAnsi="宋体"/>
          <w:color w:val="auto"/>
          <w:sz w:val="24"/>
        </w:rPr>
        <w:t>（3）按本章第2.2.4（2）目规定的评审因素和分值计算出得分C；</w:t>
      </w:r>
    </w:p>
    <w:p>
      <w:pPr>
        <w:spacing w:line="360" w:lineRule="auto"/>
        <w:ind w:firstLine="480" w:firstLineChars="200"/>
        <w:rPr>
          <w:rFonts w:ascii="宋体" w:hAnsi="宋体"/>
          <w:color w:val="auto"/>
          <w:sz w:val="24"/>
        </w:rPr>
      </w:pPr>
      <w:r>
        <w:rPr>
          <w:rFonts w:hint="eastAsia" w:ascii="宋体" w:hAnsi="宋体"/>
          <w:color w:val="auto"/>
          <w:sz w:val="24"/>
        </w:rPr>
        <w:t>3.2.2 评分分值计算保留小数点后两位，小数点后第三位“四舍五入”。</w:t>
      </w:r>
    </w:p>
    <w:p>
      <w:pPr>
        <w:spacing w:line="360" w:lineRule="auto"/>
        <w:ind w:firstLine="482" w:firstLineChars="200"/>
        <w:rPr>
          <w:rFonts w:ascii="宋体" w:hAnsi="宋体"/>
          <w:b/>
          <w:bCs/>
          <w:color w:val="auto"/>
          <w:sz w:val="24"/>
        </w:rPr>
      </w:pPr>
      <w:r>
        <w:rPr>
          <w:rFonts w:hint="eastAsia" w:ascii="宋体" w:hAnsi="宋体"/>
          <w:b/>
          <w:bCs/>
          <w:color w:val="auto"/>
          <w:sz w:val="24"/>
        </w:rPr>
        <w:t>3.2.3 投标人得分=A+B+C。</w:t>
      </w:r>
    </w:p>
    <w:p>
      <w:pPr>
        <w:spacing w:line="360" w:lineRule="auto"/>
        <w:ind w:firstLine="480" w:firstLineChars="200"/>
        <w:rPr>
          <w:rFonts w:ascii="宋体" w:hAnsi="宋体"/>
          <w:color w:val="auto"/>
          <w:sz w:val="24"/>
        </w:rPr>
      </w:pPr>
      <w:r>
        <w:rPr>
          <w:rFonts w:hint="eastAsia" w:ascii="宋体" w:hAnsi="宋体"/>
          <w:color w:val="auto"/>
          <w:sz w:val="24"/>
        </w:rPr>
        <w:t>3.2.4投标人最终得分=所有评委汇总之后的算术平均值。</w:t>
      </w:r>
    </w:p>
    <w:p>
      <w:pPr>
        <w:spacing w:line="360" w:lineRule="auto"/>
        <w:ind w:firstLine="480" w:firstLineChars="200"/>
        <w:rPr>
          <w:rFonts w:ascii="宋体" w:hAnsi="宋体"/>
          <w:color w:val="auto"/>
          <w:sz w:val="24"/>
        </w:rPr>
      </w:pPr>
      <w:r>
        <w:rPr>
          <w:rFonts w:hint="eastAsia" w:ascii="宋体" w:hAnsi="宋体"/>
          <w:color w:val="auto"/>
          <w:sz w:val="24"/>
        </w:rPr>
        <w:t>3.2.5 评标委员会发现投标人的投标报价明显低于其他投标报价，应当要求该投标人作出书面说明并提供相应的证明材料。投标人不能合理说明或者不能提供相应证明材料的，由评标委员会认定该投标人以低于成本报价竞标，其投标将被否决。</w:t>
      </w:r>
    </w:p>
    <w:p>
      <w:pPr>
        <w:pStyle w:val="57"/>
        <w:spacing w:line="360" w:lineRule="auto"/>
        <w:rPr>
          <w:rFonts w:ascii="宋体" w:hAnsi="宋体" w:eastAsia="宋体"/>
          <w:color w:val="auto"/>
          <w:szCs w:val="24"/>
        </w:rPr>
      </w:pPr>
      <w:bookmarkStart w:id="672" w:name="_Toc6807"/>
      <w:bookmarkStart w:id="673" w:name="_Toc475691357"/>
      <w:bookmarkStart w:id="674" w:name="_Toc116314140"/>
      <w:bookmarkStart w:id="675" w:name="_Toc427580104"/>
      <w:bookmarkStart w:id="676" w:name="_Toc489430890"/>
      <w:bookmarkStart w:id="677" w:name="_Toc427583717"/>
      <w:bookmarkStart w:id="678" w:name="_Toc489430530"/>
      <w:r>
        <w:rPr>
          <w:rFonts w:hint="eastAsia" w:ascii="宋体" w:hAnsi="宋体" w:eastAsia="宋体"/>
          <w:color w:val="auto"/>
          <w:szCs w:val="24"/>
        </w:rPr>
        <w:t>3.3 记名投票</w:t>
      </w:r>
      <w:bookmarkEnd w:id="672"/>
      <w:bookmarkEnd w:id="673"/>
      <w:bookmarkEnd w:id="674"/>
      <w:bookmarkEnd w:id="675"/>
      <w:bookmarkEnd w:id="676"/>
      <w:bookmarkEnd w:id="677"/>
      <w:bookmarkEnd w:id="678"/>
    </w:p>
    <w:p>
      <w:pPr>
        <w:spacing w:line="360" w:lineRule="auto"/>
        <w:ind w:firstLine="480" w:firstLineChars="200"/>
        <w:rPr>
          <w:rFonts w:ascii="宋体" w:hAnsi="宋体"/>
          <w:color w:val="auto"/>
          <w:sz w:val="24"/>
        </w:rPr>
      </w:pPr>
      <w:r>
        <w:rPr>
          <w:rFonts w:hint="eastAsia" w:ascii="宋体" w:hAnsi="宋体"/>
          <w:color w:val="auto"/>
          <w:sz w:val="24"/>
        </w:rPr>
        <w:t>在任何评标环节中，需评标委员会就某项定性的评审结论做出表决的，由评标委员会全体成员按照少数服从多数的原则，以记名投票方式表决。</w:t>
      </w:r>
    </w:p>
    <w:p>
      <w:pPr>
        <w:pStyle w:val="57"/>
        <w:spacing w:line="360" w:lineRule="auto"/>
        <w:rPr>
          <w:rFonts w:ascii="宋体" w:hAnsi="宋体" w:eastAsia="宋体"/>
          <w:b/>
          <w:color w:val="auto"/>
          <w:szCs w:val="24"/>
        </w:rPr>
      </w:pPr>
      <w:bookmarkStart w:id="679" w:name="_Toc144974575"/>
      <w:bookmarkStart w:id="680" w:name="_Toc1252"/>
      <w:bookmarkStart w:id="681" w:name="_Toc116314141"/>
      <w:bookmarkStart w:id="682" w:name="_Toc489430891"/>
      <w:bookmarkStart w:id="683" w:name="_Toc152045607"/>
      <w:bookmarkStart w:id="684" w:name="_Toc259605294"/>
      <w:bookmarkStart w:id="685" w:name="_Toc427580105"/>
      <w:bookmarkStart w:id="686" w:name="_Toc152042385"/>
      <w:bookmarkStart w:id="687" w:name="_Toc407219648"/>
      <w:bookmarkStart w:id="688" w:name="_Toc427583718"/>
      <w:bookmarkStart w:id="689" w:name="_Toc475691358"/>
      <w:bookmarkStart w:id="690" w:name="_Toc489430531"/>
      <w:r>
        <w:rPr>
          <w:rFonts w:hint="eastAsia" w:ascii="宋体" w:hAnsi="宋体" w:eastAsia="宋体"/>
          <w:b/>
          <w:color w:val="auto"/>
          <w:szCs w:val="24"/>
        </w:rPr>
        <w:t>3.4 投标文件的澄清</w:t>
      </w:r>
      <w:bookmarkEnd w:id="679"/>
      <w:r>
        <w:rPr>
          <w:rFonts w:hint="eastAsia" w:ascii="宋体" w:hAnsi="宋体" w:eastAsia="宋体"/>
          <w:b/>
          <w:color w:val="auto"/>
          <w:szCs w:val="24"/>
        </w:rPr>
        <w:t>和补正</w:t>
      </w:r>
      <w:bookmarkEnd w:id="680"/>
      <w:bookmarkEnd w:id="681"/>
      <w:bookmarkEnd w:id="682"/>
      <w:bookmarkEnd w:id="683"/>
      <w:bookmarkEnd w:id="684"/>
      <w:bookmarkEnd w:id="685"/>
      <w:bookmarkEnd w:id="686"/>
      <w:bookmarkEnd w:id="687"/>
      <w:bookmarkEnd w:id="688"/>
      <w:bookmarkEnd w:id="689"/>
      <w:bookmarkEnd w:id="690"/>
    </w:p>
    <w:p>
      <w:pPr>
        <w:spacing w:line="360" w:lineRule="auto"/>
        <w:ind w:firstLine="480" w:firstLineChars="200"/>
        <w:rPr>
          <w:rFonts w:ascii="宋体" w:hAnsi="宋体"/>
          <w:color w:val="auto"/>
          <w:sz w:val="24"/>
        </w:rPr>
      </w:pPr>
      <w:r>
        <w:rPr>
          <w:rFonts w:hint="eastAsia" w:ascii="宋体" w:hAnsi="宋体"/>
          <w:color w:val="auto"/>
          <w:sz w:val="24"/>
        </w:rPr>
        <w:t>3.4.1在评标过程中，评标委员会可以在电子投标系统中要求投标人对所提交投标文件中不明确的内容进行澄清或说明，或者对细微偏差进行补正。评标委员会不接受投标人主动提出的澄清、说明或补正。</w:t>
      </w:r>
    </w:p>
    <w:p>
      <w:pPr>
        <w:spacing w:line="360" w:lineRule="auto"/>
        <w:ind w:firstLine="480" w:firstLineChars="200"/>
        <w:rPr>
          <w:rFonts w:ascii="宋体" w:hAnsi="宋体"/>
          <w:color w:val="auto"/>
          <w:sz w:val="24"/>
        </w:rPr>
      </w:pPr>
      <w:r>
        <w:rPr>
          <w:rFonts w:hint="eastAsia" w:ascii="宋体" w:hAnsi="宋体"/>
          <w:color w:val="auto"/>
          <w:sz w:val="24"/>
        </w:rPr>
        <w:t>3.4.2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color w:val="auto"/>
          <w:sz w:val="24"/>
        </w:rPr>
      </w:pPr>
      <w:r>
        <w:rPr>
          <w:rFonts w:hint="eastAsia" w:ascii="宋体" w:hAnsi="宋体"/>
          <w:color w:val="auto"/>
          <w:sz w:val="24"/>
        </w:rPr>
        <w:t>3.4.3 评标委员会对投标人提交的澄清、说明或补正有疑问的，可以要求投标人进一步澄清、说明或补正，直至满足评标委员会的要求。</w:t>
      </w:r>
    </w:p>
    <w:p>
      <w:pPr>
        <w:pStyle w:val="57"/>
        <w:spacing w:line="360" w:lineRule="auto"/>
        <w:rPr>
          <w:rFonts w:ascii="宋体" w:hAnsi="宋体" w:eastAsia="宋体"/>
          <w:b/>
          <w:color w:val="auto"/>
          <w:szCs w:val="24"/>
        </w:rPr>
      </w:pPr>
      <w:bookmarkStart w:id="691" w:name="_Toc152045608"/>
      <w:bookmarkStart w:id="692" w:name="_Toc259605295"/>
      <w:bookmarkStart w:id="693" w:name="_Toc152042386"/>
      <w:bookmarkStart w:id="694" w:name="_Toc427580106"/>
      <w:bookmarkStart w:id="695" w:name="_Toc144974576"/>
      <w:bookmarkStart w:id="696" w:name="_Toc407219649"/>
      <w:bookmarkStart w:id="697" w:name="_Toc489430532"/>
      <w:bookmarkStart w:id="698" w:name="_Toc475691359"/>
      <w:bookmarkStart w:id="699" w:name="_Toc116314142"/>
      <w:bookmarkStart w:id="700" w:name="_Toc427583719"/>
      <w:bookmarkStart w:id="701" w:name="_Toc2812"/>
      <w:bookmarkStart w:id="702" w:name="_Toc489430892"/>
      <w:r>
        <w:rPr>
          <w:rFonts w:hint="eastAsia" w:ascii="宋体" w:hAnsi="宋体" w:eastAsia="宋体"/>
          <w:b/>
          <w:color w:val="auto"/>
          <w:szCs w:val="24"/>
        </w:rPr>
        <w:t>3.5 评标结果</w:t>
      </w:r>
      <w:bookmarkEnd w:id="691"/>
      <w:bookmarkEnd w:id="692"/>
      <w:bookmarkEnd w:id="693"/>
      <w:bookmarkEnd w:id="694"/>
      <w:bookmarkEnd w:id="695"/>
      <w:bookmarkEnd w:id="696"/>
      <w:bookmarkEnd w:id="697"/>
      <w:bookmarkEnd w:id="698"/>
      <w:bookmarkEnd w:id="699"/>
      <w:bookmarkEnd w:id="700"/>
      <w:bookmarkEnd w:id="701"/>
      <w:bookmarkEnd w:id="702"/>
    </w:p>
    <w:p>
      <w:pPr>
        <w:spacing w:line="360" w:lineRule="auto"/>
        <w:ind w:firstLine="480" w:firstLineChars="200"/>
        <w:rPr>
          <w:rFonts w:ascii="宋体" w:hAnsi="宋体"/>
          <w:color w:val="auto"/>
          <w:sz w:val="24"/>
        </w:rPr>
      </w:pPr>
      <w:r>
        <w:rPr>
          <w:rFonts w:hint="eastAsia" w:ascii="宋体" w:hAnsi="宋体"/>
          <w:color w:val="auto"/>
          <w:sz w:val="24"/>
        </w:rPr>
        <w:t>3.5.1除第二章“投标人须知”前附表授权直接确定中标人外，评标委员会按照得分由高到低的顺序推荐3名中标候选人。</w:t>
      </w:r>
    </w:p>
    <w:p>
      <w:pPr>
        <w:spacing w:line="360" w:lineRule="auto"/>
        <w:ind w:firstLine="480" w:firstLineChars="200"/>
        <w:rPr>
          <w:rFonts w:ascii="宋体" w:hAnsi="宋体"/>
          <w:color w:val="auto"/>
          <w:sz w:val="24"/>
        </w:rPr>
      </w:pPr>
      <w:r>
        <w:rPr>
          <w:rFonts w:hint="eastAsia" w:ascii="宋体" w:hAnsi="宋体"/>
          <w:color w:val="auto"/>
          <w:sz w:val="24"/>
        </w:rPr>
        <w:t>3.5.2 评标委员会完成评标后，应当向招标人提交评标报告。</w:t>
      </w:r>
    </w:p>
    <w:p>
      <w:pPr>
        <w:pStyle w:val="3"/>
        <w:pageBreakBefore/>
        <w:spacing w:before="120" w:after="120" w:line="400" w:lineRule="exact"/>
        <w:jc w:val="center"/>
        <w:rPr>
          <w:rFonts w:ascii="宋体" w:hAnsi="宋体"/>
          <w:bCs w:val="0"/>
          <w:color w:val="auto"/>
          <w:sz w:val="32"/>
        </w:rPr>
      </w:pPr>
      <w:bookmarkStart w:id="703" w:name="_Toc116314143"/>
      <w:bookmarkStart w:id="704" w:name="_Toc489430893"/>
      <w:bookmarkStart w:id="705" w:name="_Toc339895779"/>
      <w:bookmarkStart w:id="706" w:name="_Toc489430533"/>
      <w:bookmarkStart w:id="707" w:name="_Toc12651"/>
      <w:r>
        <w:rPr>
          <w:rFonts w:hint="eastAsia" w:ascii="宋体" w:hAnsi="宋体"/>
          <w:bCs w:val="0"/>
          <w:color w:val="auto"/>
          <w:sz w:val="32"/>
        </w:rPr>
        <w:t>第四章合同条款及格式</w:t>
      </w:r>
      <w:bookmarkEnd w:id="703"/>
      <w:bookmarkEnd w:id="704"/>
      <w:bookmarkEnd w:id="705"/>
      <w:bookmarkEnd w:id="706"/>
      <w:bookmarkEnd w:id="707"/>
      <w:bookmarkStart w:id="708" w:name="_Toc385317102"/>
    </w:p>
    <w:p>
      <w:pPr>
        <w:pStyle w:val="3"/>
        <w:spacing w:before="120" w:after="120" w:line="400" w:lineRule="exact"/>
        <w:jc w:val="center"/>
        <w:rPr>
          <w:rFonts w:ascii="宋体"/>
          <w:b w:val="0"/>
          <w:bCs w:val="0"/>
          <w:color w:val="auto"/>
          <w:sz w:val="24"/>
          <w:szCs w:val="24"/>
        </w:rPr>
      </w:pPr>
      <w:bookmarkStart w:id="709" w:name="_Toc116314144"/>
      <w:r>
        <w:rPr>
          <w:rFonts w:hint="eastAsia" w:ascii="宋体" w:hAnsi="宋体"/>
          <w:b w:val="0"/>
          <w:bCs w:val="0"/>
          <w:color w:val="auto"/>
          <w:sz w:val="24"/>
          <w:szCs w:val="24"/>
        </w:rPr>
        <w:t>（参考建设工程监理合同示范文本</w:t>
      </w:r>
      <w:r>
        <w:rPr>
          <w:rFonts w:ascii="宋体" w:hAnsi="宋体"/>
          <w:b w:val="0"/>
          <w:bCs w:val="0"/>
          <w:color w:val="auto"/>
          <w:sz w:val="24"/>
          <w:szCs w:val="24"/>
        </w:rPr>
        <w:t>GF</w:t>
      </w:r>
      <w:r>
        <w:rPr>
          <w:rFonts w:hint="eastAsia" w:ascii="宋体" w:hAnsi="宋体"/>
          <w:b w:val="0"/>
          <w:bCs w:val="0"/>
          <w:color w:val="auto"/>
          <w:sz w:val="24"/>
          <w:szCs w:val="24"/>
        </w:rPr>
        <w:t>－</w:t>
      </w:r>
      <w:r>
        <w:rPr>
          <w:rFonts w:ascii="宋体" w:hAnsi="宋体"/>
          <w:b w:val="0"/>
          <w:bCs w:val="0"/>
          <w:color w:val="auto"/>
          <w:sz w:val="24"/>
          <w:szCs w:val="24"/>
        </w:rPr>
        <w:t>2012</w:t>
      </w:r>
      <w:r>
        <w:rPr>
          <w:rFonts w:hint="eastAsia" w:ascii="宋体" w:hAnsi="宋体"/>
          <w:b w:val="0"/>
          <w:bCs w:val="0"/>
          <w:color w:val="auto"/>
          <w:sz w:val="24"/>
          <w:szCs w:val="24"/>
        </w:rPr>
        <w:t>－</w:t>
      </w:r>
      <w:r>
        <w:rPr>
          <w:rFonts w:ascii="宋体" w:hAnsi="宋体"/>
          <w:b w:val="0"/>
          <w:bCs w:val="0"/>
          <w:color w:val="auto"/>
          <w:sz w:val="24"/>
          <w:szCs w:val="24"/>
        </w:rPr>
        <w:t>0202</w:t>
      </w:r>
      <w:r>
        <w:rPr>
          <w:rFonts w:hint="eastAsia" w:ascii="宋体" w:hAnsi="宋体"/>
          <w:b w:val="0"/>
          <w:bCs w:val="0"/>
          <w:color w:val="auto"/>
          <w:sz w:val="24"/>
          <w:szCs w:val="24"/>
        </w:rPr>
        <w:t>及其他有关规定，以实际签订合同为准）</w:t>
      </w:r>
      <w:bookmarkEnd w:id="709"/>
    </w:p>
    <w:p>
      <w:pPr>
        <w:widowControl/>
        <w:jc w:val="center"/>
        <w:rPr>
          <w:rFonts w:ascii="仿宋" w:hAnsi="仿宋" w:eastAsia="仿宋" w:cs="仿宋"/>
          <w:b/>
          <w:color w:val="auto"/>
          <w:kern w:val="0"/>
          <w:sz w:val="43"/>
          <w:szCs w:val="43"/>
        </w:rPr>
      </w:pPr>
      <w:r>
        <w:rPr>
          <w:rFonts w:ascii="仿宋" w:hAnsi="仿宋" w:eastAsia="仿宋" w:cs="仿宋"/>
          <w:b/>
          <w:color w:val="auto"/>
          <w:kern w:val="0"/>
          <w:sz w:val="43"/>
          <w:szCs w:val="43"/>
        </w:rPr>
        <w:t>ＧＦ－2012－0202</w:t>
      </w:r>
    </w:p>
    <w:p>
      <w:pPr>
        <w:widowControl/>
        <w:jc w:val="center"/>
        <w:rPr>
          <w:rFonts w:ascii="宋体" w:hAnsi="宋体" w:cs="宋体"/>
          <w:color w:val="auto"/>
          <w:kern w:val="0"/>
          <w:sz w:val="43"/>
          <w:szCs w:val="43"/>
        </w:rPr>
      </w:pPr>
    </w:p>
    <w:p>
      <w:pPr>
        <w:pStyle w:val="27"/>
        <w:ind w:firstLine="0" w:firstLineChars="0"/>
        <w:rPr>
          <w:color w:val="auto"/>
        </w:rPr>
      </w:pPr>
    </w:p>
    <w:p>
      <w:pPr>
        <w:widowControl/>
        <w:jc w:val="center"/>
        <w:rPr>
          <w:rFonts w:ascii="宋体" w:hAnsi="宋体" w:cs="宋体"/>
          <w:color w:val="auto"/>
          <w:kern w:val="0"/>
          <w:sz w:val="43"/>
          <w:szCs w:val="43"/>
        </w:rPr>
      </w:pPr>
    </w:p>
    <w:p>
      <w:pPr>
        <w:widowControl/>
        <w:jc w:val="center"/>
        <w:rPr>
          <w:rFonts w:ascii="宋体" w:hAnsi="宋体" w:cs="宋体"/>
          <w:b/>
          <w:bCs/>
          <w:color w:val="auto"/>
          <w:kern w:val="0"/>
          <w:sz w:val="43"/>
          <w:szCs w:val="43"/>
        </w:rPr>
      </w:pPr>
    </w:p>
    <w:p>
      <w:pPr>
        <w:widowControl/>
        <w:jc w:val="center"/>
        <w:rPr>
          <w:b/>
          <w:bCs/>
          <w:color w:val="auto"/>
        </w:rPr>
      </w:pPr>
      <w:r>
        <w:rPr>
          <w:rFonts w:hint="eastAsia" w:ascii="宋体" w:hAnsi="宋体" w:cs="宋体"/>
          <w:b/>
          <w:bCs/>
          <w:color w:val="auto"/>
          <w:kern w:val="0"/>
          <w:sz w:val="43"/>
          <w:szCs w:val="43"/>
        </w:rPr>
        <w:t>建设工程监理合同</w:t>
      </w:r>
    </w:p>
    <w:p>
      <w:pPr>
        <w:widowControl/>
        <w:jc w:val="center"/>
        <w:rPr>
          <w:rFonts w:ascii="宋体" w:hAnsi="宋体" w:cs="宋体"/>
          <w:b/>
          <w:bCs/>
          <w:color w:val="auto"/>
          <w:kern w:val="0"/>
          <w:sz w:val="36"/>
          <w:szCs w:val="36"/>
        </w:rPr>
      </w:pPr>
    </w:p>
    <w:p>
      <w:pPr>
        <w:widowControl/>
        <w:jc w:val="center"/>
        <w:rPr>
          <w:rFonts w:ascii="宋体" w:hAnsi="宋体" w:cs="宋体"/>
          <w:b/>
          <w:bCs/>
          <w:color w:val="auto"/>
          <w:kern w:val="0"/>
          <w:sz w:val="36"/>
          <w:szCs w:val="36"/>
        </w:rPr>
      </w:pPr>
    </w:p>
    <w:p>
      <w:pPr>
        <w:widowControl/>
        <w:jc w:val="center"/>
        <w:rPr>
          <w:rFonts w:ascii="宋体" w:hAnsi="宋体" w:cs="宋体"/>
          <w:b/>
          <w:bCs/>
          <w:color w:val="auto"/>
          <w:kern w:val="0"/>
          <w:sz w:val="36"/>
          <w:szCs w:val="36"/>
        </w:rPr>
      </w:pPr>
    </w:p>
    <w:p>
      <w:pPr>
        <w:pStyle w:val="27"/>
        <w:ind w:firstLine="211"/>
        <w:rPr>
          <w:b/>
          <w:bCs/>
          <w:color w:val="auto"/>
        </w:rPr>
      </w:pPr>
    </w:p>
    <w:p>
      <w:pPr>
        <w:widowControl/>
        <w:jc w:val="center"/>
        <w:rPr>
          <w:rFonts w:ascii="宋体" w:hAnsi="宋体" w:cs="宋体"/>
          <w:b/>
          <w:bCs/>
          <w:color w:val="auto"/>
          <w:kern w:val="0"/>
          <w:sz w:val="36"/>
          <w:szCs w:val="36"/>
        </w:rPr>
      </w:pPr>
    </w:p>
    <w:p>
      <w:pPr>
        <w:widowControl/>
        <w:jc w:val="center"/>
        <w:rPr>
          <w:rFonts w:ascii="宋体" w:hAnsi="宋体" w:cs="宋体"/>
          <w:b/>
          <w:bCs/>
          <w:color w:val="auto"/>
          <w:kern w:val="0"/>
          <w:sz w:val="36"/>
          <w:szCs w:val="36"/>
        </w:rPr>
      </w:pPr>
    </w:p>
    <w:p>
      <w:pPr>
        <w:widowControl/>
        <w:jc w:val="center"/>
        <w:rPr>
          <w:rFonts w:ascii="宋体" w:hAnsi="宋体" w:cs="宋体"/>
          <w:b/>
          <w:bCs/>
          <w:color w:val="auto"/>
          <w:kern w:val="0"/>
          <w:sz w:val="36"/>
          <w:szCs w:val="36"/>
        </w:rPr>
      </w:pPr>
    </w:p>
    <w:p>
      <w:pPr>
        <w:pStyle w:val="27"/>
        <w:ind w:firstLine="211"/>
        <w:rPr>
          <w:b/>
          <w:bCs/>
          <w:color w:val="auto"/>
        </w:rPr>
      </w:pPr>
    </w:p>
    <w:p>
      <w:pPr>
        <w:widowControl/>
        <w:jc w:val="center"/>
        <w:rPr>
          <w:rFonts w:ascii="宋体" w:hAnsi="宋体" w:cs="宋体"/>
          <w:b/>
          <w:bCs/>
          <w:color w:val="auto"/>
          <w:kern w:val="0"/>
          <w:sz w:val="36"/>
          <w:szCs w:val="36"/>
        </w:rPr>
      </w:pPr>
    </w:p>
    <w:p>
      <w:pPr>
        <w:widowControl/>
        <w:jc w:val="center"/>
        <w:rPr>
          <w:rFonts w:ascii="宋体" w:hAnsi="宋体" w:cs="宋体"/>
          <w:b/>
          <w:bCs/>
          <w:color w:val="auto"/>
          <w:kern w:val="0"/>
          <w:sz w:val="36"/>
          <w:szCs w:val="36"/>
        </w:rPr>
      </w:pPr>
    </w:p>
    <w:p>
      <w:pPr>
        <w:widowControl/>
        <w:jc w:val="center"/>
        <w:rPr>
          <w:rFonts w:ascii="宋体" w:hAnsi="宋体" w:cs="宋体"/>
          <w:b/>
          <w:bCs/>
          <w:color w:val="auto"/>
          <w:kern w:val="0"/>
          <w:sz w:val="36"/>
          <w:szCs w:val="36"/>
        </w:rPr>
      </w:pPr>
    </w:p>
    <w:p>
      <w:pPr>
        <w:widowControl/>
        <w:jc w:val="center"/>
        <w:rPr>
          <w:rFonts w:ascii="宋体" w:hAnsi="宋体" w:cs="宋体"/>
          <w:b/>
          <w:bCs/>
          <w:color w:val="auto"/>
          <w:kern w:val="0"/>
          <w:sz w:val="36"/>
          <w:szCs w:val="36"/>
        </w:rPr>
      </w:pPr>
    </w:p>
    <w:p>
      <w:pPr>
        <w:widowControl/>
        <w:ind w:firstLine="2530" w:firstLineChars="700"/>
        <w:rPr>
          <w:rFonts w:ascii="宋体" w:hAnsi="宋体" w:cs="宋体"/>
          <w:b/>
          <w:bCs/>
          <w:color w:val="auto"/>
          <w:kern w:val="0"/>
          <w:sz w:val="36"/>
          <w:szCs w:val="36"/>
        </w:rPr>
      </w:pPr>
      <w:r>
        <w:rPr>
          <w:rFonts w:hint="eastAsia" w:ascii="宋体" w:hAnsi="宋体" w:cs="宋体"/>
          <w:b/>
          <w:bCs/>
          <w:color w:val="auto"/>
          <w:kern w:val="0"/>
          <w:sz w:val="36"/>
          <w:szCs w:val="36"/>
        </w:rPr>
        <w:t>住房和城乡建设部</w:t>
      </w:r>
    </w:p>
    <w:p>
      <w:pPr>
        <w:widowControl/>
        <w:jc w:val="center"/>
        <w:rPr>
          <w:b/>
          <w:bCs/>
          <w:color w:val="auto"/>
        </w:rPr>
      </w:pPr>
      <w:r>
        <w:rPr>
          <w:rFonts w:hint="eastAsia" w:ascii="宋体" w:hAnsi="宋体" w:cs="宋体"/>
          <w:b/>
          <w:bCs/>
          <w:color w:val="auto"/>
          <w:kern w:val="0"/>
          <w:sz w:val="36"/>
          <w:szCs w:val="36"/>
        </w:rPr>
        <w:t xml:space="preserve">                             制定 </w:t>
      </w:r>
    </w:p>
    <w:p>
      <w:pPr>
        <w:widowControl/>
        <w:ind w:firstLine="2530" w:firstLineChars="700"/>
        <w:jc w:val="left"/>
        <w:rPr>
          <w:b/>
          <w:bCs/>
          <w:color w:val="auto"/>
        </w:rPr>
      </w:pPr>
      <w:r>
        <w:rPr>
          <w:rFonts w:hint="eastAsia" w:ascii="宋体" w:hAnsi="宋体" w:cs="宋体"/>
          <w:b/>
          <w:bCs/>
          <w:color w:val="auto"/>
          <w:kern w:val="0"/>
          <w:sz w:val="36"/>
          <w:szCs w:val="36"/>
        </w:rPr>
        <w:t xml:space="preserve">国家工商行政管理总局 </w:t>
      </w:r>
    </w:p>
    <w:p>
      <w:pPr>
        <w:widowControl/>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p>
    <w:p>
      <w:pPr>
        <w:widowControl/>
        <w:jc w:val="left"/>
        <w:rPr>
          <w:rFonts w:ascii="仿宋" w:hAnsi="仿宋" w:eastAsia="仿宋" w:cs="仿宋"/>
          <w:b/>
          <w:color w:val="auto"/>
          <w:kern w:val="0"/>
          <w:sz w:val="24"/>
        </w:rPr>
      </w:pPr>
    </w:p>
    <w:p>
      <w:pPr>
        <w:pStyle w:val="27"/>
        <w:ind w:firstLine="210"/>
        <w:rPr>
          <w:color w:val="auto"/>
        </w:rPr>
      </w:pPr>
    </w:p>
    <w:p>
      <w:pPr>
        <w:spacing w:line="360" w:lineRule="auto"/>
        <w:ind w:firstLine="480" w:firstLineChars="200"/>
        <w:jc w:val="center"/>
        <w:rPr>
          <w:rFonts w:ascii="宋体" w:hAnsi="宋体"/>
          <w:color w:val="auto"/>
          <w:sz w:val="24"/>
        </w:rPr>
      </w:pPr>
    </w:p>
    <w:p>
      <w:pPr>
        <w:spacing w:line="360" w:lineRule="auto"/>
        <w:ind w:firstLine="480" w:firstLineChars="200"/>
        <w:jc w:val="center"/>
        <w:rPr>
          <w:rFonts w:ascii="宋体" w:hAnsi="宋体"/>
          <w:color w:val="auto"/>
          <w:sz w:val="24"/>
        </w:rPr>
      </w:pPr>
      <w:r>
        <w:rPr>
          <w:rFonts w:ascii="宋体" w:hAnsi="宋体"/>
          <w:color w:val="auto"/>
          <w:sz w:val="24"/>
        </w:rPr>
        <w:t>第一部分    协议书</w:t>
      </w:r>
    </w:p>
    <w:p>
      <w:pPr>
        <w:spacing w:line="360" w:lineRule="auto"/>
        <w:ind w:firstLine="480" w:firstLineChars="200"/>
        <w:rPr>
          <w:rFonts w:ascii="宋体" w:hAnsi="宋体"/>
          <w:color w:val="auto"/>
          <w:sz w:val="24"/>
        </w:rPr>
      </w:pPr>
      <w:r>
        <w:rPr>
          <w:rFonts w:ascii="宋体" w:hAnsi="宋体"/>
          <w:color w:val="auto"/>
          <w:sz w:val="24"/>
        </w:rPr>
        <w:t>委托人（全称）：</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ascii="宋体" w:hAnsi="宋体"/>
          <w:color w:val="auto"/>
          <w:sz w:val="24"/>
        </w:rPr>
        <w:t>监理人（全称）：</w:t>
      </w:r>
      <w:r>
        <w:rPr>
          <w:rFonts w:hint="eastAsia" w:ascii="宋体" w:hAnsi="宋体"/>
          <w:color w:val="auto"/>
          <w:sz w:val="24"/>
          <w:u w:val="single"/>
        </w:rPr>
        <w:t xml:space="preserve">                </w:t>
      </w:r>
    </w:p>
    <w:p>
      <w:pPr>
        <w:spacing w:line="360" w:lineRule="auto"/>
        <w:ind w:firstLine="480" w:firstLineChars="200"/>
        <w:rPr>
          <w:rFonts w:ascii="宋体" w:hAnsi="宋体"/>
          <w:color w:val="auto"/>
          <w:sz w:val="24"/>
        </w:rPr>
      </w:pPr>
      <w:r>
        <w:rPr>
          <w:rFonts w:ascii="宋体" w:hAnsi="宋体"/>
          <w:color w:val="auto"/>
          <w:sz w:val="24"/>
        </w:rPr>
        <w:t xml:space="preserve">根据《中华人民共和国合同法》、《中华人民共和国建筑法》及其他有关法律、法规，遵循平等、自愿、公平和诚信的原则，双方就下述工程委托监理与相关 服务事项协商一致，订立本合同。 </w:t>
      </w:r>
    </w:p>
    <w:p>
      <w:pPr>
        <w:spacing w:line="360" w:lineRule="auto"/>
        <w:ind w:firstLine="480" w:firstLineChars="200"/>
        <w:rPr>
          <w:rFonts w:ascii="宋体" w:hAnsi="宋体"/>
          <w:color w:val="auto"/>
          <w:sz w:val="24"/>
        </w:rPr>
      </w:pPr>
      <w:bookmarkStart w:id="710" w:name="一、工程概况"/>
      <w:bookmarkEnd w:id="710"/>
      <w:r>
        <w:rPr>
          <w:rFonts w:ascii="宋体" w:hAnsi="宋体"/>
          <w:color w:val="auto"/>
          <w:sz w:val="24"/>
        </w:rPr>
        <w:t xml:space="preserve">一、工程概况 </w:t>
      </w:r>
    </w:p>
    <w:p>
      <w:pPr>
        <w:spacing w:line="360" w:lineRule="auto"/>
        <w:ind w:firstLine="480" w:firstLineChars="200"/>
        <w:rPr>
          <w:rFonts w:ascii="宋体" w:hAnsi="宋体"/>
          <w:color w:val="auto"/>
          <w:sz w:val="24"/>
          <w:u w:val="single"/>
        </w:rPr>
      </w:pPr>
      <w:r>
        <w:rPr>
          <w:rFonts w:ascii="宋体" w:hAnsi="宋体"/>
          <w:color w:val="auto"/>
          <w:sz w:val="24"/>
        </w:rPr>
        <w:t>1. 工程名称：</w:t>
      </w:r>
      <w:r>
        <w:rPr>
          <w:rFonts w:ascii="宋体" w:hAnsi="宋体"/>
          <w:color w:val="auto"/>
          <w:sz w:val="24"/>
          <w:u w:val="single"/>
        </w:rPr>
        <w:t xml:space="preserve">                                        ； </w:t>
      </w:r>
    </w:p>
    <w:p>
      <w:pPr>
        <w:spacing w:line="360" w:lineRule="auto"/>
        <w:ind w:firstLine="480" w:firstLineChars="200"/>
        <w:rPr>
          <w:rFonts w:ascii="宋体" w:hAnsi="宋体"/>
          <w:color w:val="auto"/>
          <w:sz w:val="24"/>
          <w:u w:val="single"/>
        </w:rPr>
      </w:pPr>
      <w:r>
        <w:rPr>
          <w:rFonts w:ascii="宋体" w:hAnsi="宋体"/>
          <w:color w:val="auto"/>
          <w:sz w:val="24"/>
        </w:rPr>
        <w:t>2. 工程地点：</w:t>
      </w:r>
      <w:r>
        <w:rPr>
          <w:rFonts w:ascii="宋体" w:hAnsi="宋体"/>
          <w:color w:val="auto"/>
          <w:sz w:val="24"/>
          <w:u w:val="single"/>
        </w:rPr>
        <w:t xml:space="preserve">                                        ； </w:t>
      </w:r>
    </w:p>
    <w:p>
      <w:pPr>
        <w:spacing w:line="360" w:lineRule="auto"/>
        <w:ind w:firstLine="480" w:firstLineChars="200"/>
        <w:rPr>
          <w:rFonts w:ascii="宋体" w:hAnsi="宋体"/>
          <w:color w:val="auto"/>
          <w:sz w:val="24"/>
          <w:u w:val="single"/>
        </w:rPr>
      </w:pPr>
      <w:r>
        <w:rPr>
          <w:rFonts w:ascii="宋体" w:hAnsi="宋体"/>
          <w:color w:val="auto"/>
          <w:sz w:val="24"/>
        </w:rPr>
        <w:t>3. 工程规模：</w:t>
      </w:r>
      <w:r>
        <w:rPr>
          <w:rFonts w:ascii="宋体" w:hAnsi="宋体"/>
          <w:color w:val="auto"/>
          <w:sz w:val="24"/>
          <w:u w:val="single"/>
        </w:rPr>
        <w:t xml:space="preserve">                                        ； </w:t>
      </w:r>
    </w:p>
    <w:p>
      <w:pPr>
        <w:spacing w:line="360" w:lineRule="auto"/>
        <w:ind w:firstLine="480" w:firstLineChars="200"/>
        <w:rPr>
          <w:rFonts w:ascii="宋体" w:hAnsi="宋体"/>
          <w:color w:val="auto"/>
          <w:sz w:val="24"/>
        </w:rPr>
      </w:pPr>
      <w:r>
        <w:rPr>
          <w:rFonts w:ascii="宋体" w:hAnsi="宋体"/>
          <w:color w:val="auto"/>
          <w:sz w:val="24"/>
        </w:rPr>
        <w:t>4. 工程概算投资额或建筑安装工程费：</w:t>
      </w:r>
      <w:r>
        <w:rPr>
          <w:rFonts w:ascii="宋体" w:hAnsi="宋体"/>
          <w:color w:val="auto"/>
          <w:sz w:val="24"/>
          <w:u w:val="single"/>
        </w:rPr>
        <w:t xml:space="preserve">           </w:t>
      </w:r>
      <w:r>
        <w:rPr>
          <w:rFonts w:ascii="宋体" w:hAnsi="宋体"/>
          <w:color w:val="auto"/>
          <w:sz w:val="24"/>
        </w:rPr>
        <w:t xml:space="preserve">。 </w:t>
      </w:r>
    </w:p>
    <w:p>
      <w:pPr>
        <w:spacing w:line="360" w:lineRule="auto"/>
        <w:ind w:firstLine="480" w:firstLineChars="200"/>
        <w:rPr>
          <w:rFonts w:ascii="宋体" w:hAnsi="宋体"/>
          <w:color w:val="auto"/>
          <w:sz w:val="24"/>
        </w:rPr>
      </w:pPr>
      <w:bookmarkStart w:id="711" w:name="二、词语限定"/>
      <w:bookmarkEnd w:id="711"/>
      <w:r>
        <w:rPr>
          <w:rFonts w:ascii="宋体" w:hAnsi="宋体"/>
          <w:color w:val="auto"/>
          <w:sz w:val="24"/>
        </w:rPr>
        <w:t xml:space="preserve">二、词语限定 </w:t>
      </w:r>
    </w:p>
    <w:p>
      <w:pPr>
        <w:spacing w:line="360" w:lineRule="auto"/>
        <w:ind w:firstLine="480" w:firstLineChars="200"/>
        <w:rPr>
          <w:rFonts w:ascii="宋体" w:hAnsi="宋体"/>
          <w:color w:val="auto"/>
          <w:sz w:val="24"/>
        </w:rPr>
      </w:pPr>
      <w:r>
        <w:rPr>
          <w:rFonts w:ascii="宋体" w:hAnsi="宋体"/>
          <w:color w:val="auto"/>
          <w:sz w:val="24"/>
        </w:rPr>
        <w:t xml:space="preserve">协议书中相关词语的含义与通用条件中的定义与解释相同。 </w:t>
      </w:r>
    </w:p>
    <w:p>
      <w:pPr>
        <w:spacing w:line="360" w:lineRule="auto"/>
        <w:ind w:firstLine="480" w:firstLineChars="200"/>
        <w:rPr>
          <w:rFonts w:ascii="宋体" w:hAnsi="宋体"/>
          <w:color w:val="auto"/>
          <w:sz w:val="24"/>
        </w:rPr>
      </w:pPr>
      <w:bookmarkStart w:id="712" w:name="三、组成本合同的文件"/>
      <w:bookmarkEnd w:id="712"/>
      <w:r>
        <w:rPr>
          <w:rFonts w:ascii="宋体" w:hAnsi="宋体"/>
          <w:color w:val="auto"/>
          <w:sz w:val="24"/>
        </w:rPr>
        <w:t xml:space="preserve">三、组成本合同的文件 1. </w:t>
      </w:r>
      <w:r>
        <w:rPr>
          <w:rFonts w:hint="eastAsia" w:ascii="宋体" w:hAnsi="宋体"/>
          <w:color w:val="auto"/>
          <w:sz w:val="24"/>
        </w:rPr>
        <w:t xml:space="preserve">1.  </w:t>
      </w:r>
      <w:r>
        <w:rPr>
          <w:rFonts w:ascii="宋体" w:hAnsi="宋体"/>
          <w:color w:val="auto"/>
          <w:sz w:val="24"/>
        </w:rPr>
        <w:t xml:space="preserve">协议书； </w:t>
      </w:r>
    </w:p>
    <w:p>
      <w:pPr>
        <w:spacing w:line="360" w:lineRule="auto"/>
        <w:ind w:firstLine="480" w:firstLineChars="200"/>
        <w:rPr>
          <w:rFonts w:ascii="宋体" w:hAnsi="宋体"/>
          <w:color w:val="auto"/>
          <w:sz w:val="24"/>
        </w:rPr>
      </w:pPr>
      <w:r>
        <w:rPr>
          <w:rFonts w:ascii="宋体" w:hAnsi="宋体"/>
          <w:color w:val="auto"/>
          <w:sz w:val="24"/>
        </w:rPr>
        <w:t xml:space="preserve">2. 中标通知书（适用于招标工程）或委托书（适用于非招标工程）； </w:t>
      </w:r>
    </w:p>
    <w:p>
      <w:pPr>
        <w:spacing w:line="360" w:lineRule="auto"/>
        <w:ind w:firstLine="480" w:firstLineChars="200"/>
        <w:rPr>
          <w:rFonts w:ascii="宋体" w:hAnsi="宋体"/>
          <w:color w:val="auto"/>
          <w:sz w:val="24"/>
        </w:rPr>
      </w:pPr>
      <w:r>
        <w:rPr>
          <w:rFonts w:ascii="宋体" w:hAnsi="宋体"/>
          <w:color w:val="auto"/>
          <w:sz w:val="24"/>
        </w:rPr>
        <w:t xml:space="preserve">3. 投标文件（适用于招标工程）或监理与相关服务建议书（适用于非招标工 程）； </w:t>
      </w:r>
    </w:p>
    <w:p>
      <w:pPr>
        <w:spacing w:line="360" w:lineRule="auto"/>
        <w:ind w:firstLine="480" w:firstLineChars="200"/>
        <w:rPr>
          <w:rFonts w:ascii="宋体" w:hAnsi="宋体"/>
          <w:color w:val="auto"/>
          <w:sz w:val="24"/>
        </w:rPr>
      </w:pPr>
      <w:r>
        <w:rPr>
          <w:rFonts w:ascii="宋体" w:hAnsi="宋体"/>
          <w:color w:val="auto"/>
          <w:sz w:val="24"/>
        </w:rPr>
        <w:t xml:space="preserve">4. 专用条件； </w:t>
      </w:r>
    </w:p>
    <w:p>
      <w:pPr>
        <w:spacing w:line="360" w:lineRule="auto"/>
        <w:ind w:firstLine="480" w:firstLineChars="200"/>
        <w:rPr>
          <w:rFonts w:ascii="宋体" w:hAnsi="宋体"/>
          <w:color w:val="auto"/>
          <w:sz w:val="24"/>
        </w:rPr>
      </w:pPr>
      <w:r>
        <w:rPr>
          <w:rFonts w:ascii="宋体" w:hAnsi="宋体"/>
          <w:color w:val="auto"/>
          <w:sz w:val="24"/>
        </w:rPr>
        <w:t xml:space="preserve">5. 通用条件； </w:t>
      </w:r>
    </w:p>
    <w:p>
      <w:pPr>
        <w:spacing w:line="360" w:lineRule="auto"/>
        <w:ind w:firstLine="480" w:firstLineChars="200"/>
        <w:rPr>
          <w:rFonts w:ascii="宋体" w:hAnsi="宋体"/>
          <w:color w:val="auto"/>
          <w:sz w:val="24"/>
        </w:rPr>
      </w:pPr>
      <w:r>
        <w:rPr>
          <w:rFonts w:ascii="宋体" w:hAnsi="宋体"/>
          <w:color w:val="auto"/>
          <w:sz w:val="24"/>
        </w:rPr>
        <w:t xml:space="preserve">6. 附录，即： </w:t>
      </w:r>
    </w:p>
    <w:p>
      <w:pPr>
        <w:spacing w:line="360" w:lineRule="auto"/>
        <w:ind w:firstLine="480" w:firstLineChars="200"/>
        <w:rPr>
          <w:rFonts w:ascii="宋体" w:hAnsi="宋体"/>
          <w:color w:val="auto"/>
          <w:sz w:val="24"/>
        </w:rPr>
      </w:pPr>
      <w:r>
        <w:rPr>
          <w:rFonts w:ascii="宋体" w:hAnsi="宋体"/>
          <w:color w:val="auto"/>
          <w:sz w:val="24"/>
        </w:rPr>
        <w:t xml:space="preserve">附录 A 相关服务的范围和内容 </w:t>
      </w:r>
    </w:p>
    <w:p>
      <w:pPr>
        <w:spacing w:line="360" w:lineRule="auto"/>
        <w:ind w:firstLine="480" w:firstLineChars="200"/>
        <w:rPr>
          <w:rFonts w:ascii="宋体" w:hAnsi="宋体"/>
          <w:color w:val="auto"/>
          <w:sz w:val="24"/>
        </w:rPr>
      </w:pPr>
      <w:r>
        <w:rPr>
          <w:rFonts w:ascii="宋体" w:hAnsi="宋体"/>
          <w:color w:val="auto"/>
          <w:sz w:val="24"/>
        </w:rPr>
        <w:t xml:space="preserve">附录 B 委托人派遣的人员和提供的房屋、资料、设备 本合同签订后，双方依法签订的补充协议也是本合同文件的组成部分。 </w:t>
      </w:r>
    </w:p>
    <w:p>
      <w:pPr>
        <w:spacing w:line="360" w:lineRule="auto"/>
        <w:ind w:firstLine="480" w:firstLineChars="200"/>
        <w:rPr>
          <w:rFonts w:ascii="宋体" w:hAnsi="宋体"/>
          <w:color w:val="auto"/>
          <w:sz w:val="24"/>
        </w:rPr>
      </w:pPr>
      <w:bookmarkStart w:id="713" w:name="四、总监理工程师"/>
      <w:bookmarkEnd w:id="713"/>
      <w:r>
        <w:rPr>
          <w:rFonts w:ascii="宋体" w:hAnsi="宋体"/>
          <w:color w:val="auto"/>
          <w:sz w:val="24"/>
        </w:rPr>
        <w:t xml:space="preserve">四、总监理工程师 </w:t>
      </w:r>
    </w:p>
    <w:p>
      <w:pPr>
        <w:spacing w:line="360" w:lineRule="auto"/>
        <w:ind w:firstLine="480" w:firstLineChars="200"/>
        <w:rPr>
          <w:rFonts w:ascii="宋体" w:hAnsi="宋体"/>
          <w:color w:val="auto"/>
          <w:sz w:val="24"/>
        </w:rPr>
      </w:pPr>
      <w:r>
        <w:rPr>
          <w:rFonts w:ascii="宋体" w:hAnsi="宋体"/>
          <w:color w:val="auto"/>
          <w:sz w:val="24"/>
        </w:rPr>
        <w:t>总监理工程师姓名：</w:t>
      </w:r>
      <w:r>
        <w:rPr>
          <w:rFonts w:ascii="宋体" w:hAnsi="宋体"/>
          <w:color w:val="auto"/>
          <w:sz w:val="24"/>
          <w:u w:val="single"/>
        </w:rPr>
        <w:t xml:space="preserve">       </w:t>
      </w:r>
      <w:r>
        <w:rPr>
          <w:rFonts w:ascii="宋体" w:hAnsi="宋体"/>
          <w:color w:val="auto"/>
          <w:sz w:val="24"/>
        </w:rPr>
        <w:t>， 身份证号码：</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注册号：</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rPr>
          <w:rFonts w:ascii="宋体" w:hAnsi="宋体"/>
          <w:color w:val="auto"/>
          <w:sz w:val="24"/>
        </w:rPr>
      </w:pPr>
      <w:bookmarkStart w:id="714" w:name="五、签约酬金"/>
      <w:bookmarkEnd w:id="714"/>
      <w:r>
        <w:rPr>
          <w:rFonts w:ascii="宋体" w:hAnsi="宋体"/>
          <w:color w:val="auto"/>
          <w:sz w:val="24"/>
        </w:rPr>
        <w:t xml:space="preserve">五、签约酬金 </w:t>
      </w:r>
    </w:p>
    <w:p>
      <w:pPr>
        <w:spacing w:line="360" w:lineRule="auto"/>
        <w:ind w:firstLine="480" w:firstLineChars="200"/>
        <w:rPr>
          <w:rFonts w:ascii="宋体" w:hAnsi="宋体"/>
          <w:color w:val="auto"/>
          <w:sz w:val="24"/>
        </w:rPr>
      </w:pPr>
      <w:r>
        <w:rPr>
          <w:rFonts w:ascii="宋体" w:hAnsi="宋体"/>
          <w:color w:val="auto"/>
          <w:sz w:val="24"/>
        </w:rPr>
        <w:t>签约酬金（大写）：</w:t>
      </w:r>
      <w:r>
        <w:rPr>
          <w:rFonts w:ascii="宋体" w:hAnsi="宋体"/>
          <w:color w:val="auto"/>
          <w:sz w:val="24"/>
          <w:u w:val="single"/>
        </w:rPr>
        <w:t xml:space="preserve">                            </w:t>
      </w:r>
      <w:r>
        <w:rPr>
          <w:rFonts w:ascii="宋体" w:hAnsi="宋体"/>
          <w:color w:val="auto"/>
          <w:sz w:val="24"/>
        </w:rPr>
        <w:t>（¥        ）。</w:t>
      </w:r>
    </w:p>
    <w:p>
      <w:pPr>
        <w:spacing w:line="360" w:lineRule="auto"/>
        <w:ind w:firstLine="480" w:firstLineChars="200"/>
        <w:rPr>
          <w:rFonts w:ascii="宋体" w:hAnsi="宋体"/>
          <w:color w:val="auto"/>
          <w:sz w:val="24"/>
        </w:rPr>
      </w:pPr>
      <w:r>
        <w:rPr>
          <w:rFonts w:ascii="宋体" w:hAnsi="宋体"/>
          <w:color w:val="auto"/>
          <w:sz w:val="24"/>
        </w:rPr>
        <w:t xml:space="preserve">包括： </w:t>
      </w:r>
    </w:p>
    <w:p>
      <w:pPr>
        <w:spacing w:line="360" w:lineRule="auto"/>
        <w:ind w:firstLine="480" w:firstLineChars="200"/>
        <w:rPr>
          <w:rFonts w:ascii="宋体" w:hAnsi="宋体"/>
          <w:color w:val="auto"/>
          <w:sz w:val="24"/>
        </w:rPr>
      </w:pPr>
      <w:r>
        <w:rPr>
          <w:rFonts w:ascii="宋体" w:hAnsi="宋体"/>
          <w:color w:val="auto"/>
          <w:sz w:val="24"/>
        </w:rPr>
        <w:t>1. 监理酬金：</w:t>
      </w:r>
      <w:r>
        <w:rPr>
          <w:rFonts w:ascii="宋体" w:hAnsi="宋体"/>
          <w:color w:val="auto"/>
          <w:sz w:val="24"/>
          <w:u w:val="single"/>
        </w:rPr>
        <w:t xml:space="preserve">                                </w:t>
      </w:r>
      <w:r>
        <w:rPr>
          <w:rFonts w:ascii="宋体" w:hAnsi="宋体"/>
          <w:color w:val="auto"/>
          <w:sz w:val="24"/>
        </w:rPr>
        <w:t xml:space="preserve"> 。 </w:t>
      </w:r>
    </w:p>
    <w:p>
      <w:pPr>
        <w:spacing w:line="360" w:lineRule="auto"/>
        <w:ind w:firstLine="480" w:firstLineChars="200"/>
        <w:rPr>
          <w:rFonts w:ascii="宋体" w:hAnsi="宋体"/>
          <w:color w:val="auto"/>
          <w:sz w:val="24"/>
        </w:rPr>
      </w:pPr>
      <w:r>
        <w:rPr>
          <w:rFonts w:ascii="宋体" w:hAnsi="宋体"/>
          <w:color w:val="auto"/>
          <w:sz w:val="24"/>
        </w:rPr>
        <w:t>2. 相关服务酬金：</w:t>
      </w:r>
      <w:r>
        <w:rPr>
          <w:rFonts w:ascii="宋体" w:hAnsi="宋体"/>
          <w:color w:val="auto"/>
          <w:sz w:val="24"/>
          <w:u w:val="single"/>
        </w:rPr>
        <w:t xml:space="preserve">                       </w:t>
      </w:r>
      <w:r>
        <w:rPr>
          <w:rFonts w:ascii="宋体" w:hAnsi="宋体"/>
          <w:color w:val="auto"/>
          <w:sz w:val="24"/>
        </w:rPr>
        <w:t xml:space="preserve"> 。 </w:t>
      </w:r>
    </w:p>
    <w:p>
      <w:pPr>
        <w:spacing w:line="360" w:lineRule="auto"/>
        <w:ind w:firstLine="480" w:firstLineChars="200"/>
        <w:rPr>
          <w:rFonts w:ascii="宋体" w:hAnsi="宋体"/>
          <w:color w:val="auto"/>
          <w:sz w:val="24"/>
        </w:rPr>
      </w:pPr>
      <w:r>
        <w:rPr>
          <w:rFonts w:ascii="宋体" w:hAnsi="宋体"/>
          <w:color w:val="auto"/>
          <w:sz w:val="24"/>
        </w:rPr>
        <w:t xml:space="preserve">其中： </w:t>
      </w:r>
    </w:p>
    <w:p>
      <w:pPr>
        <w:spacing w:line="360" w:lineRule="auto"/>
        <w:ind w:firstLine="480" w:firstLineChars="200"/>
        <w:rPr>
          <w:rFonts w:ascii="宋体" w:hAnsi="宋体"/>
          <w:color w:val="auto"/>
          <w:sz w:val="24"/>
        </w:rPr>
      </w:pPr>
      <w:r>
        <w:rPr>
          <w:rFonts w:ascii="宋体" w:hAnsi="宋体"/>
          <w:color w:val="auto"/>
          <w:sz w:val="24"/>
        </w:rPr>
        <w:t>（1）勘察阶段服务酬金：</w:t>
      </w:r>
      <w:r>
        <w:rPr>
          <w:rFonts w:ascii="宋体" w:hAnsi="宋体"/>
          <w:color w:val="auto"/>
          <w:sz w:val="24"/>
          <w:u w:val="single"/>
        </w:rPr>
        <w:t xml:space="preserve">                           </w:t>
      </w:r>
      <w:r>
        <w:rPr>
          <w:rFonts w:ascii="宋体" w:hAnsi="宋体"/>
          <w:color w:val="auto"/>
          <w:sz w:val="24"/>
        </w:rPr>
        <w:t xml:space="preserve">。 </w:t>
      </w:r>
    </w:p>
    <w:p>
      <w:pPr>
        <w:spacing w:line="360" w:lineRule="auto"/>
        <w:ind w:firstLine="480" w:firstLineChars="200"/>
        <w:rPr>
          <w:rFonts w:ascii="宋体" w:hAnsi="宋体"/>
          <w:color w:val="auto"/>
          <w:sz w:val="24"/>
        </w:rPr>
      </w:pPr>
      <w:r>
        <w:rPr>
          <w:rFonts w:ascii="宋体" w:hAnsi="宋体"/>
          <w:color w:val="auto"/>
          <w:sz w:val="24"/>
        </w:rPr>
        <w:t>（2）设计阶段服务酬金：</w:t>
      </w:r>
      <w:r>
        <w:rPr>
          <w:rFonts w:ascii="宋体" w:hAnsi="宋体"/>
          <w:color w:val="auto"/>
          <w:sz w:val="24"/>
          <w:u w:val="single"/>
        </w:rPr>
        <w:t xml:space="preserve">                           </w:t>
      </w:r>
      <w:r>
        <w:rPr>
          <w:rFonts w:ascii="宋体" w:hAnsi="宋体"/>
          <w:color w:val="auto"/>
          <w:sz w:val="24"/>
        </w:rPr>
        <w:t xml:space="preserve">。 </w:t>
      </w:r>
    </w:p>
    <w:p>
      <w:pPr>
        <w:spacing w:line="360" w:lineRule="auto"/>
        <w:ind w:firstLine="480" w:firstLineChars="200"/>
        <w:rPr>
          <w:rFonts w:ascii="宋体" w:hAnsi="宋体"/>
          <w:color w:val="auto"/>
          <w:sz w:val="24"/>
        </w:rPr>
      </w:pPr>
      <w:r>
        <w:rPr>
          <w:rFonts w:ascii="宋体" w:hAnsi="宋体"/>
          <w:color w:val="auto"/>
          <w:sz w:val="24"/>
        </w:rPr>
        <w:t>（3）保修阶段服务酬金：</w:t>
      </w:r>
      <w:r>
        <w:rPr>
          <w:rFonts w:ascii="宋体" w:hAnsi="宋体"/>
          <w:color w:val="auto"/>
          <w:sz w:val="24"/>
          <w:u w:val="single"/>
        </w:rPr>
        <w:t xml:space="preserve">                           </w:t>
      </w:r>
      <w:r>
        <w:rPr>
          <w:rFonts w:ascii="宋体" w:hAnsi="宋体"/>
          <w:color w:val="auto"/>
          <w:sz w:val="24"/>
        </w:rPr>
        <w:t xml:space="preserve">。 </w:t>
      </w:r>
    </w:p>
    <w:p>
      <w:pPr>
        <w:spacing w:line="360" w:lineRule="auto"/>
        <w:ind w:firstLine="480" w:firstLineChars="200"/>
        <w:rPr>
          <w:rFonts w:ascii="宋体" w:hAnsi="宋体"/>
          <w:color w:val="auto"/>
          <w:sz w:val="24"/>
        </w:rPr>
      </w:pPr>
      <w:r>
        <w:rPr>
          <w:rFonts w:ascii="宋体" w:hAnsi="宋体"/>
          <w:color w:val="auto"/>
          <w:sz w:val="24"/>
        </w:rPr>
        <w:t>（4）其他相关服务酬金：</w:t>
      </w:r>
      <w:r>
        <w:rPr>
          <w:rFonts w:ascii="宋体" w:hAnsi="宋体"/>
          <w:color w:val="auto"/>
          <w:sz w:val="24"/>
          <w:u w:val="single"/>
        </w:rPr>
        <w:t xml:space="preserve">                          </w:t>
      </w:r>
      <w:r>
        <w:rPr>
          <w:rFonts w:ascii="宋体" w:hAnsi="宋体"/>
          <w:color w:val="auto"/>
          <w:sz w:val="24"/>
        </w:rPr>
        <w:t xml:space="preserve"> 。 </w:t>
      </w:r>
      <w:bookmarkStart w:id="715" w:name="六、期限"/>
      <w:bookmarkEnd w:id="715"/>
    </w:p>
    <w:p>
      <w:pPr>
        <w:spacing w:line="360" w:lineRule="auto"/>
        <w:ind w:firstLine="480" w:firstLineChars="200"/>
        <w:rPr>
          <w:rFonts w:ascii="宋体" w:hAnsi="宋体"/>
          <w:color w:val="auto"/>
          <w:sz w:val="24"/>
        </w:rPr>
      </w:pPr>
      <w:r>
        <w:rPr>
          <w:rFonts w:ascii="宋体" w:hAnsi="宋体"/>
          <w:color w:val="auto"/>
          <w:sz w:val="24"/>
        </w:rPr>
        <w:t xml:space="preserve">六、期限 </w:t>
      </w:r>
    </w:p>
    <w:p>
      <w:pPr>
        <w:spacing w:line="360" w:lineRule="auto"/>
        <w:ind w:firstLine="480" w:firstLineChars="200"/>
        <w:rPr>
          <w:rFonts w:ascii="宋体" w:hAnsi="宋体"/>
          <w:color w:val="auto"/>
          <w:sz w:val="24"/>
        </w:rPr>
      </w:pPr>
      <w:r>
        <w:rPr>
          <w:rFonts w:ascii="宋体" w:hAnsi="宋体"/>
          <w:color w:val="auto"/>
          <w:sz w:val="24"/>
        </w:rPr>
        <w:t>1. 监理期限：</w:t>
      </w:r>
      <w:r>
        <w:rPr>
          <w:rFonts w:hint="eastAsia" w:ascii="宋体" w:hAnsi="宋体"/>
          <w:color w:val="auto"/>
          <w:sz w:val="24"/>
        </w:rPr>
        <w:t xml:space="preserve">  </w:t>
      </w:r>
      <w:r>
        <w:rPr>
          <w:rFonts w:ascii="宋体" w:hAnsi="宋体"/>
          <w:color w:val="auto"/>
          <w:sz w:val="24"/>
        </w:rPr>
        <w:t xml:space="preserve"> </w:t>
      </w:r>
    </w:p>
    <w:p>
      <w:pPr>
        <w:spacing w:line="360" w:lineRule="auto"/>
        <w:ind w:firstLine="480" w:firstLineChars="200"/>
        <w:rPr>
          <w:rFonts w:ascii="宋体" w:hAnsi="宋体"/>
          <w:color w:val="auto"/>
          <w:sz w:val="24"/>
        </w:rPr>
      </w:pPr>
      <w:r>
        <w:rPr>
          <w:rFonts w:ascii="宋体" w:hAnsi="宋体"/>
          <w:color w:val="auto"/>
          <w:sz w:val="24"/>
        </w:rPr>
        <w:t xml:space="preserve">2. 相关服务期限： </w:t>
      </w:r>
    </w:p>
    <w:p>
      <w:pPr>
        <w:spacing w:line="360" w:lineRule="auto"/>
        <w:ind w:firstLine="480" w:firstLineChars="200"/>
        <w:rPr>
          <w:rFonts w:ascii="宋体" w:hAnsi="宋体"/>
          <w:color w:val="auto"/>
          <w:sz w:val="24"/>
        </w:rPr>
      </w:pPr>
      <w:r>
        <w:rPr>
          <w:rFonts w:ascii="宋体" w:hAnsi="宋体"/>
          <w:color w:val="auto"/>
          <w:sz w:val="24"/>
        </w:rPr>
        <w:t xml:space="preserve">（1）勘察阶段服务期限自    年   月   日始，至    年    月    日止。 </w:t>
      </w:r>
    </w:p>
    <w:p>
      <w:pPr>
        <w:spacing w:line="360" w:lineRule="auto"/>
        <w:ind w:firstLine="480" w:firstLineChars="200"/>
        <w:rPr>
          <w:rFonts w:ascii="宋体" w:hAnsi="宋体"/>
          <w:color w:val="auto"/>
          <w:sz w:val="24"/>
        </w:rPr>
      </w:pPr>
      <w:r>
        <w:rPr>
          <w:rFonts w:ascii="宋体" w:hAnsi="宋体"/>
          <w:color w:val="auto"/>
          <w:sz w:val="24"/>
        </w:rPr>
        <w:t xml:space="preserve">（2）设计阶段服务期限自    年   月   日始，至    年    月    日止。 </w:t>
      </w:r>
    </w:p>
    <w:p>
      <w:pPr>
        <w:spacing w:line="360" w:lineRule="auto"/>
        <w:ind w:firstLine="480" w:firstLineChars="200"/>
        <w:rPr>
          <w:rFonts w:ascii="宋体" w:hAnsi="宋体"/>
          <w:color w:val="auto"/>
          <w:sz w:val="24"/>
        </w:rPr>
      </w:pPr>
      <w:r>
        <w:rPr>
          <w:rFonts w:ascii="宋体" w:hAnsi="宋体"/>
          <w:color w:val="auto"/>
          <w:sz w:val="24"/>
        </w:rPr>
        <w:t xml:space="preserve">（3）保修阶段服务期限自    年   月   日始，至    年  </w:t>
      </w:r>
      <w:r>
        <w:rPr>
          <w:rFonts w:hint="eastAsia" w:ascii="宋体" w:hAnsi="宋体"/>
          <w:color w:val="auto"/>
          <w:sz w:val="24"/>
        </w:rPr>
        <w:t xml:space="preserve"> </w:t>
      </w:r>
      <w:r>
        <w:rPr>
          <w:rFonts w:ascii="宋体" w:hAnsi="宋体"/>
          <w:color w:val="auto"/>
          <w:sz w:val="24"/>
        </w:rPr>
        <w:t xml:space="preserve"> 月    日止。 </w:t>
      </w:r>
    </w:p>
    <w:p>
      <w:pPr>
        <w:spacing w:line="360" w:lineRule="auto"/>
        <w:ind w:firstLine="480" w:firstLineChars="200"/>
        <w:rPr>
          <w:rFonts w:ascii="宋体" w:hAnsi="宋体"/>
          <w:color w:val="auto"/>
          <w:sz w:val="24"/>
        </w:rPr>
      </w:pPr>
      <w:r>
        <w:rPr>
          <w:rFonts w:ascii="宋体" w:hAnsi="宋体"/>
          <w:color w:val="auto"/>
          <w:sz w:val="24"/>
        </w:rPr>
        <w:t xml:space="preserve">（4）其他相关服务期限自    年   月   日始，至   </w:t>
      </w:r>
      <w:r>
        <w:rPr>
          <w:rFonts w:hint="eastAsia" w:ascii="宋体" w:hAnsi="宋体"/>
          <w:color w:val="auto"/>
          <w:sz w:val="24"/>
        </w:rPr>
        <w:t xml:space="preserve"> </w:t>
      </w:r>
      <w:r>
        <w:rPr>
          <w:rFonts w:ascii="宋体" w:hAnsi="宋体"/>
          <w:color w:val="auto"/>
          <w:sz w:val="24"/>
        </w:rPr>
        <w:t xml:space="preserve">年  </w:t>
      </w:r>
      <w:r>
        <w:rPr>
          <w:rFonts w:hint="eastAsia" w:ascii="宋体" w:hAnsi="宋体"/>
          <w:color w:val="auto"/>
          <w:sz w:val="24"/>
        </w:rPr>
        <w:t xml:space="preserve"> </w:t>
      </w:r>
      <w:r>
        <w:rPr>
          <w:rFonts w:ascii="宋体" w:hAnsi="宋体"/>
          <w:color w:val="auto"/>
          <w:sz w:val="24"/>
        </w:rPr>
        <w:t xml:space="preserve"> 月    日止。 </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bookmarkStart w:id="716" w:name="七、双方承诺"/>
      <w:bookmarkEnd w:id="716"/>
      <w:r>
        <w:rPr>
          <w:rFonts w:ascii="宋体" w:hAnsi="宋体"/>
          <w:color w:val="auto"/>
          <w:sz w:val="24"/>
        </w:rPr>
        <w:t xml:space="preserve">七、双方承诺 </w:t>
      </w:r>
    </w:p>
    <w:p>
      <w:pPr>
        <w:spacing w:line="360" w:lineRule="auto"/>
        <w:ind w:firstLine="480" w:firstLineChars="200"/>
        <w:rPr>
          <w:rFonts w:ascii="宋体" w:hAnsi="宋体"/>
          <w:color w:val="auto"/>
          <w:sz w:val="24"/>
        </w:rPr>
      </w:pPr>
      <w:bookmarkStart w:id="717" w:name="1._监理人向委托人承诺，按照本合同约定提供监理与相关服务。"/>
      <w:bookmarkEnd w:id="717"/>
      <w:r>
        <w:rPr>
          <w:rFonts w:ascii="宋体" w:hAnsi="宋体"/>
          <w:color w:val="auto"/>
          <w:sz w:val="24"/>
        </w:rPr>
        <w:t xml:space="preserve">1. 监理人向委托人承诺，按照本合同约定提供监理与相关服务。 </w:t>
      </w:r>
    </w:p>
    <w:p>
      <w:pPr>
        <w:spacing w:line="360" w:lineRule="auto"/>
        <w:ind w:firstLine="480" w:firstLineChars="200"/>
        <w:rPr>
          <w:rFonts w:ascii="宋体" w:hAnsi="宋体"/>
          <w:color w:val="auto"/>
          <w:sz w:val="24"/>
        </w:rPr>
      </w:pPr>
      <w:bookmarkStart w:id="718" w:name="2._委托人向监理人承诺，按照本合同约定派遣相应的人员，提供房屋、资料、设备，并"/>
      <w:bookmarkEnd w:id="718"/>
      <w:r>
        <w:rPr>
          <w:rFonts w:ascii="宋体" w:hAnsi="宋体"/>
          <w:color w:val="auto"/>
          <w:sz w:val="24"/>
        </w:rPr>
        <w:t xml:space="preserve">2. 委托人向监理人承诺，按照本合同约定派遣相应的人员，提供房屋、资料、设备，并按本合同约定支付酬金。 </w:t>
      </w:r>
    </w:p>
    <w:p>
      <w:pPr>
        <w:spacing w:line="360" w:lineRule="auto"/>
        <w:ind w:firstLine="480" w:firstLineChars="200"/>
        <w:rPr>
          <w:rFonts w:ascii="宋体" w:hAnsi="宋体"/>
          <w:color w:val="auto"/>
          <w:sz w:val="24"/>
        </w:rPr>
      </w:pPr>
      <w:bookmarkStart w:id="719" w:name="八、合同订立"/>
      <w:bookmarkEnd w:id="719"/>
      <w:r>
        <w:rPr>
          <w:rFonts w:ascii="宋体" w:hAnsi="宋体"/>
          <w:color w:val="auto"/>
          <w:sz w:val="24"/>
        </w:rPr>
        <w:t xml:space="preserve">八、合同订立 </w:t>
      </w:r>
    </w:p>
    <w:p>
      <w:pPr>
        <w:spacing w:line="360" w:lineRule="auto"/>
        <w:ind w:firstLine="480" w:firstLineChars="200"/>
        <w:rPr>
          <w:rFonts w:ascii="宋体" w:hAnsi="宋体"/>
          <w:color w:val="auto"/>
          <w:sz w:val="24"/>
        </w:rPr>
      </w:pPr>
      <w:r>
        <w:rPr>
          <w:rFonts w:ascii="宋体" w:hAnsi="宋体"/>
          <w:color w:val="auto"/>
          <w:sz w:val="24"/>
        </w:rPr>
        <w:t xml:space="preserve">1. 订立时间：          年       月      日。 </w:t>
      </w:r>
    </w:p>
    <w:p>
      <w:pPr>
        <w:spacing w:line="360" w:lineRule="auto"/>
        <w:ind w:firstLine="480" w:firstLineChars="200"/>
        <w:rPr>
          <w:rFonts w:ascii="宋体" w:hAnsi="宋体"/>
          <w:color w:val="auto"/>
          <w:sz w:val="24"/>
        </w:rPr>
      </w:pPr>
      <w:r>
        <w:rPr>
          <w:rFonts w:ascii="宋体" w:hAnsi="宋体"/>
          <w:color w:val="auto"/>
          <w:sz w:val="24"/>
        </w:rPr>
        <w:t xml:space="preserve">2. 订立地点：                             。 </w:t>
      </w:r>
    </w:p>
    <w:p>
      <w:pPr>
        <w:spacing w:line="360" w:lineRule="auto"/>
        <w:ind w:firstLine="480" w:firstLineChars="200"/>
        <w:rPr>
          <w:rFonts w:ascii="宋体" w:hAnsi="宋体"/>
          <w:color w:val="auto"/>
          <w:sz w:val="24"/>
        </w:rPr>
      </w:pPr>
      <w:r>
        <w:rPr>
          <w:rFonts w:ascii="宋体" w:hAnsi="宋体"/>
          <w:color w:val="auto"/>
          <w:sz w:val="24"/>
        </w:rPr>
        <w:t xml:space="preserve">3.  本合同一式     份，具有同等法律效力，双方各执     份。   </w:t>
      </w:r>
    </w:p>
    <w:p>
      <w:pPr>
        <w:spacing w:line="360" w:lineRule="auto"/>
        <w:ind w:left="479" w:leftChars="228"/>
        <w:rPr>
          <w:rFonts w:ascii="宋体" w:hAnsi="宋体"/>
          <w:color w:val="auto"/>
          <w:sz w:val="24"/>
        </w:rPr>
      </w:pPr>
      <w:r>
        <w:rPr>
          <w:rFonts w:ascii="宋体" w:hAnsi="宋体"/>
          <w:color w:val="auto"/>
          <w:sz w:val="24"/>
        </w:rPr>
        <w:t xml:space="preserve">委托人：     （盖章）               </w:t>
      </w:r>
      <w:r>
        <w:rPr>
          <w:rFonts w:hint="eastAsia" w:ascii="宋体" w:hAnsi="宋体"/>
          <w:color w:val="auto"/>
          <w:sz w:val="24"/>
        </w:rPr>
        <w:t xml:space="preserve">     </w:t>
      </w:r>
      <w:r>
        <w:rPr>
          <w:rFonts w:ascii="宋体" w:hAnsi="宋体"/>
          <w:color w:val="auto"/>
          <w:sz w:val="24"/>
        </w:rPr>
        <w:t xml:space="preserve">监理人：    （盖章）          </w:t>
      </w:r>
      <w:r>
        <w:rPr>
          <w:rFonts w:hint="eastAsia" w:ascii="宋体" w:hAnsi="宋体"/>
          <w:color w:val="auto"/>
          <w:sz w:val="24"/>
        </w:rPr>
        <w:t xml:space="preserve">      </w:t>
      </w:r>
      <w:r>
        <w:rPr>
          <w:rFonts w:ascii="宋体" w:hAnsi="宋体"/>
          <w:color w:val="auto"/>
          <w:sz w:val="24"/>
        </w:rPr>
        <w:t xml:space="preserve">住所：                          </w:t>
      </w:r>
      <w:r>
        <w:rPr>
          <w:rFonts w:hint="eastAsia" w:ascii="宋体" w:hAnsi="宋体"/>
          <w:color w:val="auto"/>
          <w:sz w:val="24"/>
        </w:rPr>
        <w:t xml:space="preserve">                 </w:t>
      </w:r>
      <w:r>
        <w:rPr>
          <w:rFonts w:ascii="宋体" w:hAnsi="宋体"/>
          <w:color w:val="auto"/>
          <w:sz w:val="24"/>
        </w:rPr>
        <w:t xml:space="preserve">住所：                        </w:t>
      </w:r>
    </w:p>
    <w:p>
      <w:pPr>
        <w:spacing w:line="360" w:lineRule="auto"/>
        <w:ind w:left="479" w:leftChars="228"/>
        <w:rPr>
          <w:rFonts w:ascii="宋体" w:hAnsi="宋体"/>
          <w:color w:val="auto"/>
          <w:sz w:val="24"/>
        </w:rPr>
      </w:pPr>
      <w:r>
        <w:rPr>
          <w:rFonts w:ascii="宋体" w:hAnsi="宋体"/>
          <w:color w:val="auto"/>
          <w:sz w:val="24"/>
        </w:rPr>
        <w:t>邮政编码：</w:t>
      </w:r>
      <w:r>
        <w:rPr>
          <w:rFonts w:hint="eastAsia" w:ascii="宋体" w:hAnsi="宋体"/>
          <w:color w:val="auto"/>
          <w:sz w:val="24"/>
        </w:rPr>
        <w:t xml:space="preserve">      </w:t>
      </w:r>
      <w:r>
        <w:rPr>
          <w:rFonts w:ascii="宋体" w:hAnsi="宋体"/>
          <w:color w:val="auto"/>
          <w:sz w:val="24"/>
        </w:rPr>
        <w:t xml:space="preserve">邮政编码：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法定代表人或其授权的代理人：（签字）   法定代表人或其授权 的代理人：（签字）            </w:t>
      </w:r>
    </w:p>
    <w:p>
      <w:pPr>
        <w:spacing w:line="360" w:lineRule="auto"/>
        <w:ind w:left="479" w:leftChars="228"/>
        <w:rPr>
          <w:rFonts w:ascii="宋体" w:hAnsi="宋体"/>
          <w:color w:val="auto"/>
          <w:sz w:val="24"/>
        </w:rPr>
      </w:pPr>
      <w:r>
        <w:rPr>
          <w:rFonts w:ascii="宋体" w:hAnsi="宋体"/>
          <w:color w:val="auto"/>
          <w:sz w:val="24"/>
        </w:rPr>
        <w:t xml:space="preserve">开户银行：                                  开户银行：                   </w:t>
      </w:r>
    </w:p>
    <w:p>
      <w:pPr>
        <w:spacing w:line="360" w:lineRule="auto"/>
        <w:ind w:firstLine="480" w:firstLineChars="200"/>
        <w:rPr>
          <w:rFonts w:ascii="宋体" w:hAnsi="宋体"/>
          <w:color w:val="auto"/>
          <w:sz w:val="24"/>
        </w:rPr>
      </w:pPr>
      <w:r>
        <w:rPr>
          <w:rFonts w:ascii="宋体" w:hAnsi="宋体"/>
          <w:color w:val="auto"/>
          <w:sz w:val="24"/>
        </w:rPr>
        <w:t xml:space="preserve">账号：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账号：   </w:t>
      </w:r>
    </w:p>
    <w:p>
      <w:pPr>
        <w:spacing w:line="360" w:lineRule="auto"/>
        <w:ind w:firstLine="480" w:firstLineChars="200"/>
        <w:rPr>
          <w:rFonts w:ascii="宋体" w:hAnsi="宋体"/>
          <w:color w:val="auto"/>
          <w:sz w:val="24"/>
        </w:rPr>
      </w:pPr>
      <w:r>
        <w:rPr>
          <w:rFonts w:ascii="宋体" w:hAnsi="宋体"/>
          <w:color w:val="auto"/>
          <w:sz w:val="24"/>
        </w:rPr>
        <w:t xml:space="preserve">电话：                                      电话：                       </w:t>
      </w:r>
    </w:p>
    <w:p>
      <w:pPr>
        <w:spacing w:line="360" w:lineRule="auto"/>
        <w:ind w:firstLine="480" w:firstLineChars="200"/>
        <w:rPr>
          <w:rFonts w:ascii="宋体" w:hAnsi="宋体"/>
          <w:color w:val="auto"/>
          <w:sz w:val="24"/>
        </w:rPr>
      </w:pPr>
      <w:r>
        <w:rPr>
          <w:rFonts w:ascii="宋体" w:hAnsi="宋体"/>
          <w:color w:val="auto"/>
          <w:sz w:val="24"/>
        </w:rPr>
        <w:t xml:space="preserve">传真：                                      传真：                       </w:t>
      </w:r>
    </w:p>
    <w:p>
      <w:pPr>
        <w:spacing w:line="360" w:lineRule="auto"/>
        <w:ind w:firstLine="480" w:firstLineChars="200"/>
        <w:rPr>
          <w:rFonts w:ascii="宋体" w:hAnsi="宋体"/>
          <w:color w:val="auto"/>
          <w:sz w:val="24"/>
        </w:rPr>
      </w:pPr>
      <w:r>
        <w:rPr>
          <w:rFonts w:ascii="宋体" w:hAnsi="宋体"/>
          <w:color w:val="auto"/>
          <w:sz w:val="24"/>
        </w:rPr>
        <w:t xml:space="preserve">电子邮箱：                      </w:t>
      </w:r>
      <w:r>
        <w:rPr>
          <w:rFonts w:hint="eastAsia" w:ascii="宋体" w:hAnsi="宋体"/>
          <w:color w:val="auto"/>
          <w:sz w:val="24"/>
        </w:rPr>
        <w:t xml:space="preserve">            </w:t>
      </w:r>
      <w:r>
        <w:rPr>
          <w:rFonts w:ascii="宋体" w:hAnsi="宋体"/>
          <w:color w:val="auto"/>
          <w:sz w:val="24"/>
        </w:rPr>
        <w:t xml:space="preserve">电子邮箱：     </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2" w:firstLineChars="200"/>
        <w:rPr>
          <w:rFonts w:ascii="宋体" w:hAnsi="宋体"/>
          <w:b/>
          <w:bCs/>
          <w:color w:val="auto"/>
          <w:sz w:val="24"/>
        </w:rPr>
      </w:pPr>
      <w:r>
        <w:rPr>
          <w:rFonts w:hint="eastAsia" w:ascii="宋体" w:hAnsi="宋体"/>
          <w:b/>
          <w:bCs/>
          <w:color w:val="auto"/>
          <w:sz w:val="24"/>
        </w:rPr>
        <w:t>合同主要内容：</w:t>
      </w:r>
      <w:r>
        <w:rPr>
          <w:rFonts w:ascii="宋体" w:hAnsi="宋体"/>
          <w:b/>
          <w:bCs/>
          <w:color w:val="auto"/>
          <w:sz w:val="24"/>
        </w:rPr>
        <w:t xml:space="preserve"> </w:t>
      </w:r>
    </w:p>
    <w:p>
      <w:pPr>
        <w:spacing w:line="360" w:lineRule="auto"/>
        <w:ind w:firstLine="480" w:firstLineChars="200"/>
        <w:rPr>
          <w:rFonts w:hint="eastAsia" w:ascii="宋体" w:hAnsi="宋体"/>
          <w:color w:val="auto"/>
          <w:sz w:val="24"/>
          <w:u w:val="single"/>
          <w:lang w:eastAsia="zh-CN"/>
        </w:rPr>
      </w:pPr>
      <w:r>
        <w:rPr>
          <w:rFonts w:hint="eastAsia" w:ascii="宋体" w:hAnsi="宋体"/>
          <w:color w:val="auto"/>
          <w:sz w:val="24"/>
          <w:u w:val="single"/>
        </w:rPr>
        <w:t>工程名称：</w:t>
      </w:r>
      <w:r>
        <w:rPr>
          <w:rFonts w:hint="eastAsia" w:ascii="宋体" w:hAnsi="宋体"/>
          <w:color w:val="auto"/>
          <w:sz w:val="24"/>
          <w:u w:val="single"/>
          <w:lang w:eastAsia="zh-CN"/>
        </w:rPr>
        <w:t>宝丰县重点采煤沉陷区S241洛驻线芮庄至 G311连栾线段改建工程</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工程概述：本项目道路起点位于</w:t>
      </w:r>
      <w:r>
        <w:rPr>
          <w:rFonts w:hint="eastAsia" w:ascii="宋体" w:hAnsi="宋体"/>
          <w:color w:val="auto"/>
          <w:sz w:val="24"/>
          <w:u w:val="single"/>
          <w:lang w:val="en-US" w:eastAsia="en-US"/>
        </w:rPr>
        <w:t>S241</w:t>
      </w:r>
      <w:r>
        <w:rPr>
          <w:rFonts w:hint="eastAsia" w:ascii="宋体" w:hAnsi="宋体"/>
          <w:color w:val="auto"/>
          <w:sz w:val="24"/>
          <w:u w:val="single"/>
        </w:rPr>
        <w:t>洛驻线张八桥镇芮庄村，自北向南，终点止于大地路与</w:t>
      </w:r>
      <w:r>
        <w:rPr>
          <w:rFonts w:hint="eastAsia" w:ascii="宋体" w:hAnsi="宋体"/>
          <w:color w:val="auto"/>
          <w:sz w:val="24"/>
          <w:u w:val="single"/>
          <w:lang w:val="en-US" w:eastAsia="en-US"/>
        </w:rPr>
        <w:t>G311</w:t>
      </w:r>
      <w:r>
        <w:rPr>
          <w:rFonts w:hint="eastAsia" w:ascii="宋体" w:hAnsi="宋体"/>
          <w:color w:val="auto"/>
          <w:sz w:val="24"/>
          <w:u w:val="single"/>
        </w:rPr>
        <w:t>连栾线交叉处，道路全长</w:t>
      </w:r>
      <w:r>
        <w:rPr>
          <w:rFonts w:hint="eastAsia" w:ascii="宋体" w:hAnsi="宋体"/>
          <w:color w:val="auto"/>
          <w:sz w:val="24"/>
          <w:u w:val="single"/>
          <w:lang w:val="en-US" w:eastAsia="en-US"/>
        </w:rPr>
        <w:t>10.</w:t>
      </w:r>
      <w:r>
        <w:rPr>
          <w:rFonts w:hint="eastAsia" w:ascii="宋体" w:hAnsi="宋体"/>
          <w:color w:val="auto"/>
          <w:sz w:val="24"/>
          <w:u w:val="single"/>
        </w:rPr>
        <w:t>704千米，改建里程</w:t>
      </w:r>
      <w:r>
        <w:rPr>
          <w:rFonts w:hint="eastAsia" w:ascii="宋体" w:hAnsi="宋体"/>
          <w:color w:val="auto"/>
          <w:sz w:val="24"/>
          <w:u w:val="single"/>
          <w:lang w:val="en-US" w:eastAsia="en-US"/>
        </w:rPr>
        <w:t>9.</w:t>
      </w:r>
      <w:r>
        <w:rPr>
          <w:rFonts w:hint="eastAsia" w:ascii="宋体" w:hAnsi="宋体"/>
          <w:color w:val="auto"/>
          <w:sz w:val="24"/>
          <w:u w:val="single"/>
        </w:rPr>
        <w:t>834千米（共线利用已改建路段</w:t>
      </w:r>
      <w:r>
        <w:rPr>
          <w:rFonts w:hint="eastAsia" w:ascii="宋体" w:hAnsi="宋体"/>
          <w:color w:val="auto"/>
          <w:sz w:val="24"/>
          <w:u w:val="single"/>
          <w:lang w:val="en-US" w:eastAsia="en-US"/>
        </w:rPr>
        <w:t>0.</w:t>
      </w:r>
      <w:r>
        <w:rPr>
          <w:rFonts w:hint="eastAsia" w:ascii="宋体" w:hAnsi="宋体"/>
          <w:color w:val="auto"/>
          <w:sz w:val="24"/>
          <w:u w:val="single"/>
        </w:rPr>
        <w:t>87千米），路面宽9/12/15米、路基宽12/15/18米。工程内容为：采用二级公路标准对既有道路进行改造，拆除混凝土旧路面，修复沉降路基，铺筑沥青混凝土路面，改造中桥2座、小桥1座、拆除重建中桥1座，改造道路平面交叉、交通工程、排水工程及绿化等。</w:t>
      </w:r>
    </w:p>
    <w:p>
      <w:pPr>
        <w:spacing w:line="360" w:lineRule="auto"/>
        <w:ind w:firstLine="480" w:firstLineChars="200"/>
        <w:rPr>
          <w:rFonts w:ascii="宋体" w:hAnsi="宋体"/>
          <w:color w:val="auto"/>
          <w:sz w:val="24"/>
          <w:u w:val="single"/>
        </w:rPr>
      </w:pPr>
      <w:r>
        <w:rPr>
          <w:rFonts w:hint="eastAsia" w:ascii="宋体" w:hAnsi="宋体"/>
          <w:color w:val="auto"/>
          <w:sz w:val="24"/>
          <w:u w:val="single"/>
        </w:rPr>
        <w:t>监理服务期限：同施工</w:t>
      </w:r>
      <w:r>
        <w:rPr>
          <w:rFonts w:hint="eastAsia" w:ascii="宋体" w:hAnsi="宋体"/>
          <w:color w:val="auto"/>
          <w:sz w:val="24"/>
          <w:u w:val="single"/>
          <w:lang w:val="en-US" w:eastAsia="zh-CN"/>
        </w:rPr>
        <w:t>工期</w:t>
      </w:r>
      <w:r>
        <w:rPr>
          <w:rFonts w:hint="eastAsia" w:ascii="宋体" w:hAnsi="宋体"/>
          <w:color w:val="auto"/>
          <w:sz w:val="24"/>
          <w:u w:val="single"/>
        </w:rPr>
        <w:t>及缺陷责任期</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质    量：合格             </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价款或者报酬：按照中标金额在合同签订时执行</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付款方式：工程量完成至 50%（或监理工期过半）时出具工程量确认书经招标人审核后，支付合同价款总额的 50%；工程竣工通过验收后，出具竣工验收报告后再支付合同价款总额的 40%；剩余10%在工程缺陷责任期满后一次性支付。</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验收、交付标准和方法:</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（1）验收时间：工程符合竣工验收条件后，供应商应向招标人申请验收。招标人自收到申请后，对于符合验收条件的，应自收到申请文件之日起3个工作日内组织竣工验收。</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（2）验收、交付标准：合格工程；应当遵守的或指导施工的国家、行业或地方的技术标准和要求，以及合同约定的技术标准和要求。</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3）验收、交付方法：采购人、供应商及施工方、第三方验收机构成立验收小组，听取采购人、供应商对项目实施的情况汇报；现场查看和听取使用人使用情况汇报；察看工程情况；审阅项目相关资料；验收小组成员发表评价意见、形成验收报告等过程进行详细描述和提出要求；</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（4）验收、交付程序：1）、工程完工后，施工单位向建设单位提交工程竣工报告和验收申请，申请工程竣工验收 ；2）、建设单位收到工程竣工验收申请三个工作日内，对符合竣工验收要求的工程，组织勘察、设计、施工、监理等单位和其他有关方面的专家组成验收组，制定验收方案；3）、建设单位应当在工程竣工验收1个工作日前将验收的时间、地点及验收组名单通知负责监督该工程的工程监督机构；4）、建设单位组织工程竣工验收。5）、验收结果出具后1日内在宝丰县政府采购网进行公告。</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（5）、履约验收其他事项</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 xml:space="preserve">  双方验收完成1日内，将验收结果或验收报告在“宝丰县政府采购网”相关页面予以公示  </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质量保修范围：施工图及工程量清单内招标人发包的全部内容。</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质量保修期：工程竣工验收合格之日起</w:t>
      </w:r>
      <w:r>
        <w:rPr>
          <w:rFonts w:hint="eastAsia" w:ascii="宋体" w:hAnsi="宋体"/>
          <w:color w:val="auto"/>
          <w:sz w:val="24"/>
          <w:u w:val="single"/>
          <w:lang w:val="en-US" w:eastAsia="zh-CN"/>
        </w:rPr>
        <w:t>2</w:t>
      </w:r>
      <w:r>
        <w:rPr>
          <w:rFonts w:hint="eastAsia" w:ascii="宋体" w:hAnsi="宋体"/>
          <w:color w:val="auto"/>
          <w:sz w:val="24"/>
          <w:u w:val="single"/>
        </w:rPr>
        <w:t>年</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1)、质量保修期内，工程本身质量原因造成的缺陷或质量问题，承包人应免费提供监理服务。发包人有权要求承包人适当延长质量保修期，并应在原质量保修期届满前发出延长通知。</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2)、因工程的缺陷、损坏造成的人身伤害和财产损失，将依法追究责任方法律责任，所产生的赔偿费用并由责任方承担。</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违约责任及解决争议办法：</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1、违约责任</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1.1、承包人违约</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在合同履行过程中发生的承包人违约下列情形，属于承包人违约:</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1）承包人违反合同约定进行转包或违法分包的;</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2）承包人违反合同约定的;</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3）因承包人原因导致工程质量不符合合同要求的;</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4）承包人明确表示或者以其行为表明不履行合同主要义务的;</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5）承包人未能按照合同约定履行其他义务的。</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承包人发生除上述承包人违约的情形以外的其他违约情况时，无论合同是否解除，发包人均有权要求承包人承担因其违约行为而增加的费用和(或)延误的工期，可按照专用合同条款中约定承包人违约责任的承担方式和计算方法。</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1.2 发包人违约</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在合同履行过程中发生的发包人违约下列情形，属于发包人违约:</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1）因发包人原因未能按合同约定支付合同价款的;</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2）发包人擅自取消合同中任何工作，但转由他人实施的;</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3）发包人无正当理由没有在约定期限内发出复工指示，导致承包人无法复工的;</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4）发包人明确表示或者以其行为表明不履行合同主要义务的;</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5）发包人未能按照合同约定履行其他义务的。</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发包人发生除“1、发包人无法继续履行或明确表示不履行或实质上已停止履行合同的；2、发包人不履行合同约定其他义务以外的”违约情况时，承包人可向发出通知，要求发包人采取有效措施纠正违约行为。发包人收到承包人通知后28天内仍不纠正违约行为的。发包人应承担因其违约给承包人增加的费用和(或)延误的工期，并支付承包人合理的利润。此外，合同当事人可在专用合同条款中另行约定发包人违约责任的承担方式和计算方法。</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1.3第三人造成的违约：</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在履行合同过程中，一方当事人因第三人的原因造成违约的，应当向对方当事人承担违约责任。一方当事人和第三人之间的纠纷，依照法律规定或者按照约定解决。</w:t>
      </w:r>
    </w:p>
    <w:p>
      <w:pPr>
        <w:spacing w:line="360" w:lineRule="auto"/>
        <w:ind w:firstLine="480" w:firstLineChars="200"/>
        <w:rPr>
          <w:rFonts w:hint="eastAsia" w:ascii="宋体" w:hAnsi="宋体"/>
          <w:color w:val="auto"/>
          <w:sz w:val="24"/>
          <w:u w:val="single"/>
        </w:rPr>
      </w:pPr>
      <w:r>
        <w:rPr>
          <w:rFonts w:hint="eastAsia" w:ascii="宋体" w:hAnsi="宋体"/>
          <w:color w:val="auto"/>
          <w:sz w:val="24"/>
          <w:u w:val="single"/>
        </w:rPr>
        <w:t>2、 解决争议的办法</w:t>
      </w:r>
    </w:p>
    <w:p>
      <w:pPr>
        <w:spacing w:line="360" w:lineRule="auto"/>
        <w:ind w:firstLine="480" w:firstLineChars="200"/>
        <w:rPr>
          <w:rFonts w:ascii="宋体" w:hAnsi="宋体"/>
          <w:color w:val="auto"/>
          <w:sz w:val="24"/>
          <w:u w:val="single"/>
        </w:rPr>
      </w:pPr>
      <w:r>
        <w:rPr>
          <w:rFonts w:hint="eastAsia" w:ascii="宋体" w:hAnsi="宋体"/>
          <w:color w:val="auto"/>
          <w:sz w:val="24"/>
          <w:u w:val="single"/>
        </w:rPr>
        <w:t>在履行合同中发生争议的，可以友好协商解决；协商解决不成的，可在专用合同条款中约定按下列一种方式解决：1）向约定的仲裁委员会申请仲裁；2）向有管辖权的人民法院提起诉讼。</w:t>
      </w:r>
    </w:p>
    <w:p>
      <w:pPr>
        <w:spacing w:line="360" w:lineRule="auto"/>
        <w:ind w:firstLine="480" w:firstLineChars="200"/>
        <w:rPr>
          <w:rFonts w:ascii="宋体" w:hAnsi="宋体"/>
          <w:color w:val="auto"/>
          <w:sz w:val="24"/>
        </w:rPr>
        <w:sectPr>
          <w:pgSz w:w="11910" w:h="16840"/>
          <w:pgMar w:top="1200" w:right="1260" w:bottom="1260" w:left="1540" w:header="891" w:footer="1078" w:gutter="0"/>
          <w:cols w:space="720" w:num="1"/>
        </w:sectPr>
      </w:pPr>
      <w:r>
        <w:rPr>
          <w:rFonts w:ascii="宋体" w:hAnsi="宋体"/>
          <w:color w:val="auto"/>
          <w:sz w:val="24"/>
        </w:rPr>
        <w:t xml:space="preserve">            </w:t>
      </w:r>
    </w:p>
    <w:p>
      <w:pPr>
        <w:pStyle w:val="3"/>
        <w:spacing w:before="120" w:after="120" w:line="400" w:lineRule="exact"/>
        <w:jc w:val="center"/>
        <w:rPr>
          <w:rFonts w:ascii="宋体" w:hAnsi="宋体"/>
          <w:bCs w:val="0"/>
          <w:color w:val="auto"/>
          <w:sz w:val="32"/>
        </w:rPr>
      </w:pPr>
      <w:bookmarkStart w:id="720" w:name="_Toc2315"/>
      <w:bookmarkStart w:id="721" w:name="_Toc489430541"/>
      <w:bookmarkStart w:id="722" w:name="_Toc116314145"/>
      <w:bookmarkStart w:id="723" w:name="_Toc489430901"/>
      <w:r>
        <w:rPr>
          <w:rFonts w:hint="eastAsia" w:ascii="宋体" w:hAnsi="宋体"/>
          <w:bCs w:val="0"/>
          <w:color w:val="auto"/>
          <w:sz w:val="32"/>
        </w:rPr>
        <w:t>第五章技术标准及规范</w:t>
      </w:r>
      <w:bookmarkEnd w:id="708"/>
      <w:bookmarkEnd w:id="720"/>
      <w:bookmarkEnd w:id="721"/>
      <w:bookmarkEnd w:id="722"/>
      <w:bookmarkEnd w:id="723"/>
    </w:p>
    <w:p>
      <w:pPr>
        <w:rPr>
          <w:rFonts w:ascii="宋体" w:hAnsi="宋体"/>
          <w:color w:val="auto"/>
          <w:sz w:val="36"/>
          <w:szCs w:val="36"/>
        </w:rPr>
      </w:pPr>
    </w:p>
    <w:p>
      <w:pPr>
        <w:numPr>
          <w:ilvl w:val="0"/>
          <w:numId w:val="3"/>
        </w:numPr>
        <w:autoSpaceDE w:val="0"/>
        <w:autoSpaceDN w:val="0"/>
        <w:adjustRightInd w:val="0"/>
        <w:spacing w:line="360" w:lineRule="auto"/>
        <w:ind w:firstLine="482" w:firstLineChars="200"/>
        <w:jc w:val="left"/>
        <w:rPr>
          <w:b/>
          <w:bCs/>
          <w:color w:val="auto"/>
          <w:sz w:val="24"/>
          <w:u w:color="000000"/>
        </w:rPr>
      </w:pPr>
      <w:r>
        <w:rPr>
          <w:rFonts w:hint="eastAsia"/>
          <w:b/>
          <w:bCs/>
          <w:color w:val="auto"/>
          <w:sz w:val="24"/>
          <w:u w:color="000000"/>
        </w:rPr>
        <w:t>适用的规范、标准和规程</w:t>
      </w:r>
    </w:p>
    <w:p>
      <w:pPr>
        <w:autoSpaceDE w:val="0"/>
        <w:autoSpaceDN w:val="0"/>
        <w:adjustRightInd w:val="0"/>
        <w:spacing w:line="360" w:lineRule="auto"/>
        <w:ind w:firstLine="480" w:firstLineChars="200"/>
        <w:jc w:val="left"/>
        <w:rPr>
          <w:color w:val="auto"/>
          <w:sz w:val="24"/>
          <w:u w:color="000000"/>
        </w:rPr>
      </w:pPr>
      <w:r>
        <w:rPr>
          <w:color w:val="auto"/>
          <w:sz w:val="24"/>
          <w:u w:color="000000"/>
        </w:rPr>
        <w:t>1.1</w:t>
      </w:r>
      <w:r>
        <w:rPr>
          <w:rFonts w:hint="eastAsia"/>
          <w:color w:val="auto"/>
          <w:sz w:val="24"/>
          <w:u w:color="000000"/>
        </w:rPr>
        <w:t>本工程适用现行国家、行业和地方规范、标准和规程。构成合同文件的任何内容与适用的规范、标准和规程之间出现矛盾，监理人应书面要求发包人予以澄清，除发包人有特别指示外，监理人应按照最严格的标准执行。</w:t>
      </w:r>
    </w:p>
    <w:p>
      <w:pPr>
        <w:autoSpaceDE w:val="0"/>
        <w:autoSpaceDN w:val="0"/>
        <w:adjustRightInd w:val="0"/>
        <w:spacing w:line="360" w:lineRule="auto"/>
        <w:ind w:firstLine="480" w:firstLineChars="200"/>
        <w:jc w:val="left"/>
        <w:rPr>
          <w:b/>
          <w:bCs/>
          <w:color w:val="auto"/>
          <w:sz w:val="24"/>
          <w:u w:color="000000"/>
        </w:rPr>
      </w:pPr>
      <w:r>
        <w:rPr>
          <w:color w:val="auto"/>
          <w:sz w:val="24"/>
          <w:u w:color="000000"/>
        </w:rPr>
        <w:t>1.2</w:t>
      </w:r>
      <w:r>
        <w:rPr>
          <w:rFonts w:hint="eastAsia"/>
          <w:color w:val="auto"/>
          <w:sz w:val="24"/>
          <w:u w:color="000000"/>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autoSpaceDE w:val="0"/>
        <w:autoSpaceDN w:val="0"/>
        <w:adjustRightInd w:val="0"/>
        <w:spacing w:line="360" w:lineRule="auto"/>
        <w:ind w:firstLine="482" w:firstLineChars="200"/>
        <w:jc w:val="left"/>
        <w:rPr>
          <w:b/>
          <w:bCs/>
          <w:color w:val="auto"/>
          <w:sz w:val="24"/>
          <w:u w:color="000000"/>
        </w:rPr>
      </w:pPr>
      <w:r>
        <w:rPr>
          <w:b/>
          <w:bCs/>
          <w:color w:val="auto"/>
          <w:sz w:val="24"/>
          <w:u w:color="000000"/>
        </w:rPr>
        <w:t>2.</w:t>
      </w:r>
      <w:r>
        <w:rPr>
          <w:rFonts w:hint="eastAsia"/>
          <w:b/>
          <w:bCs/>
          <w:color w:val="auto"/>
          <w:sz w:val="24"/>
          <w:u w:color="000000"/>
        </w:rPr>
        <w:t>施工、监理及验收规范</w:t>
      </w:r>
    </w:p>
    <w:p>
      <w:pPr>
        <w:autoSpaceDE w:val="0"/>
        <w:autoSpaceDN w:val="0"/>
        <w:adjustRightInd w:val="0"/>
        <w:spacing w:line="360" w:lineRule="auto"/>
        <w:ind w:firstLine="480" w:firstLineChars="200"/>
        <w:jc w:val="left"/>
        <w:rPr>
          <w:color w:val="auto"/>
          <w:sz w:val="24"/>
          <w:u w:color="000000"/>
        </w:rPr>
      </w:pPr>
      <w:r>
        <w:rPr>
          <w:rFonts w:hint="eastAsia"/>
          <w:color w:val="auto"/>
          <w:sz w:val="24"/>
          <w:u w:color="000000"/>
        </w:rPr>
        <w:t>本工程执行国家现行的与本工程有关的施工、监理及验收规范、标准图集、图纸设计等。</w:t>
      </w:r>
    </w:p>
    <w:p>
      <w:pPr>
        <w:numPr>
          <w:ilvl w:val="0"/>
          <w:numId w:val="4"/>
        </w:numPr>
        <w:autoSpaceDE w:val="0"/>
        <w:autoSpaceDN w:val="0"/>
        <w:adjustRightInd w:val="0"/>
        <w:spacing w:line="360" w:lineRule="auto"/>
        <w:ind w:firstLine="482" w:firstLineChars="200"/>
        <w:jc w:val="left"/>
        <w:rPr>
          <w:b/>
          <w:bCs/>
          <w:color w:val="auto"/>
          <w:sz w:val="24"/>
          <w:u w:color="000000"/>
        </w:rPr>
      </w:pPr>
      <w:r>
        <w:rPr>
          <w:rFonts w:hint="eastAsia"/>
          <w:b/>
          <w:bCs/>
          <w:color w:val="auto"/>
          <w:sz w:val="24"/>
          <w:u w:color="000000"/>
        </w:rPr>
        <w:t>主要质量检验评定标准</w:t>
      </w:r>
    </w:p>
    <w:p>
      <w:pPr>
        <w:autoSpaceDE w:val="0"/>
        <w:autoSpaceDN w:val="0"/>
        <w:adjustRightInd w:val="0"/>
        <w:spacing w:line="360" w:lineRule="auto"/>
        <w:ind w:firstLine="480" w:firstLineChars="200"/>
        <w:jc w:val="left"/>
        <w:rPr>
          <w:color w:val="auto"/>
          <w:sz w:val="24"/>
          <w:u w:color="000000"/>
        </w:rPr>
      </w:pPr>
      <w:r>
        <w:rPr>
          <w:rFonts w:hint="eastAsia"/>
          <w:color w:val="auto"/>
          <w:sz w:val="24"/>
          <w:u w:color="000000"/>
        </w:rPr>
        <w:t>本工程执行国家现行的与本工程有关的质量检验评定标准。</w:t>
      </w: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pStyle w:val="3"/>
        <w:spacing w:before="120" w:after="120" w:line="400" w:lineRule="exact"/>
        <w:jc w:val="center"/>
        <w:rPr>
          <w:rFonts w:hint="eastAsia" w:ascii="宋体" w:hAnsi="宋体"/>
          <w:bCs w:val="0"/>
          <w:color w:val="auto"/>
          <w:sz w:val="32"/>
        </w:rPr>
      </w:pPr>
      <w:bookmarkStart w:id="724" w:name="_Toc489430902"/>
      <w:bookmarkStart w:id="725" w:name="_Toc385317103"/>
      <w:bookmarkStart w:id="726" w:name="_Toc489430542"/>
      <w:bookmarkStart w:id="727" w:name="_Toc116314146"/>
      <w:bookmarkStart w:id="728" w:name="_Toc9622"/>
      <w:r>
        <w:rPr>
          <w:rFonts w:hint="eastAsia" w:ascii="宋体" w:hAnsi="宋体"/>
          <w:bCs w:val="0"/>
          <w:color w:val="auto"/>
          <w:sz w:val="32"/>
        </w:rPr>
        <w:t>第六章监理任务范围及监理工作大纲</w:t>
      </w:r>
      <w:bookmarkEnd w:id="724"/>
      <w:bookmarkEnd w:id="725"/>
      <w:bookmarkEnd w:id="726"/>
      <w:bookmarkEnd w:id="727"/>
      <w:bookmarkEnd w:id="728"/>
      <w:bookmarkStart w:id="729" w:name="_Toc76438889"/>
      <w:bookmarkStart w:id="730" w:name="_Toc489430903"/>
      <w:bookmarkStart w:id="731" w:name="_Toc148782775"/>
      <w:bookmarkStart w:id="732" w:name="_Toc489430543"/>
      <w:bookmarkStart w:id="733" w:name="_Toc475691370"/>
      <w:bookmarkStart w:id="734" w:name="_Toc385317104"/>
      <w:bookmarkStart w:id="735" w:name="_Toc3340"/>
    </w:p>
    <w:p>
      <w:pPr>
        <w:spacing w:line="360" w:lineRule="auto"/>
        <w:rPr>
          <w:rFonts w:ascii="宋体" w:hAnsi="宋体"/>
          <w:b/>
          <w:bCs/>
          <w:color w:val="auto"/>
          <w:sz w:val="24"/>
        </w:rPr>
      </w:pPr>
    </w:p>
    <w:p>
      <w:pPr>
        <w:spacing w:line="360" w:lineRule="auto"/>
        <w:rPr>
          <w:rFonts w:ascii="宋体" w:hAnsi="宋体"/>
          <w:b/>
          <w:bCs/>
          <w:color w:val="auto"/>
          <w:sz w:val="24"/>
        </w:rPr>
      </w:pPr>
      <w:r>
        <w:rPr>
          <w:rFonts w:hint="eastAsia" w:ascii="宋体" w:hAnsi="宋体"/>
          <w:b/>
          <w:bCs/>
          <w:color w:val="auto"/>
          <w:sz w:val="24"/>
        </w:rPr>
        <w:t>监理任务范围</w:t>
      </w:r>
      <w:bookmarkEnd w:id="729"/>
      <w:bookmarkEnd w:id="730"/>
      <w:bookmarkEnd w:id="731"/>
      <w:bookmarkEnd w:id="732"/>
      <w:bookmarkEnd w:id="733"/>
      <w:bookmarkEnd w:id="734"/>
      <w:bookmarkEnd w:id="735"/>
      <w:r>
        <w:rPr>
          <w:rFonts w:hint="eastAsia" w:ascii="宋体" w:hAnsi="宋体"/>
          <w:b/>
          <w:bCs/>
          <w:color w:val="auto"/>
          <w:sz w:val="24"/>
        </w:rPr>
        <w:t>：</w:t>
      </w:r>
    </w:p>
    <w:p>
      <w:pPr>
        <w:spacing w:line="360" w:lineRule="auto"/>
        <w:ind w:firstLine="592" w:firstLineChars="247"/>
        <w:rPr>
          <w:rFonts w:ascii="宋体" w:hAnsi="宋体"/>
          <w:bCs/>
          <w:color w:val="auto"/>
          <w:sz w:val="24"/>
        </w:rPr>
      </w:pPr>
      <w:r>
        <w:rPr>
          <w:rFonts w:hint="eastAsia" w:ascii="宋体" w:hAnsi="宋体"/>
          <w:bCs/>
          <w:color w:val="auto"/>
          <w:sz w:val="24"/>
        </w:rPr>
        <w:t>本工程建设监理的主要内容是控制工程建设的投资、工程质量、安全和建设工期。进行工程建设合同管理和信息管理，协调有关单位间的工作关系等。</w:t>
      </w:r>
    </w:p>
    <w:p>
      <w:pPr>
        <w:spacing w:line="360" w:lineRule="auto"/>
        <w:rPr>
          <w:rFonts w:ascii="宋体" w:hAnsi="宋体"/>
          <w:b/>
          <w:bCs/>
          <w:color w:val="auto"/>
          <w:sz w:val="24"/>
        </w:rPr>
      </w:pPr>
      <w:bookmarkStart w:id="736" w:name="_Toc17880"/>
      <w:bookmarkStart w:id="737" w:name="_Toc489430544"/>
      <w:bookmarkStart w:id="738" w:name="_Toc489430904"/>
      <w:bookmarkStart w:id="739" w:name="_Toc385317105"/>
      <w:bookmarkStart w:id="740" w:name="_Toc148782776"/>
      <w:bookmarkStart w:id="741" w:name="_Toc76438890"/>
      <w:bookmarkStart w:id="742" w:name="_Toc475691371"/>
      <w:r>
        <w:rPr>
          <w:rFonts w:hint="eastAsia" w:ascii="宋体" w:hAnsi="宋体"/>
          <w:b/>
          <w:bCs/>
          <w:color w:val="auto"/>
          <w:sz w:val="24"/>
        </w:rPr>
        <w:t>监理工作大纲</w:t>
      </w:r>
      <w:bookmarkEnd w:id="736"/>
      <w:bookmarkEnd w:id="737"/>
      <w:bookmarkEnd w:id="738"/>
      <w:bookmarkEnd w:id="739"/>
      <w:bookmarkEnd w:id="740"/>
      <w:bookmarkEnd w:id="741"/>
      <w:bookmarkEnd w:id="742"/>
      <w:r>
        <w:rPr>
          <w:rFonts w:hint="eastAsia" w:ascii="宋体" w:hAnsi="宋体"/>
          <w:b/>
          <w:bCs/>
          <w:color w:val="auto"/>
          <w:sz w:val="24"/>
        </w:rPr>
        <w:t>：</w:t>
      </w:r>
    </w:p>
    <w:p>
      <w:pPr>
        <w:spacing w:line="360" w:lineRule="auto"/>
        <w:ind w:firstLine="592" w:firstLineChars="247"/>
        <w:rPr>
          <w:rFonts w:ascii="宋体" w:hAnsi="宋体"/>
          <w:bCs/>
          <w:color w:val="auto"/>
          <w:sz w:val="24"/>
        </w:rPr>
      </w:pPr>
      <w:r>
        <w:rPr>
          <w:rFonts w:hint="eastAsia" w:ascii="宋体" w:hAnsi="宋体"/>
          <w:bCs/>
          <w:color w:val="auto"/>
          <w:sz w:val="24"/>
        </w:rPr>
        <w:t>1、监理现场机构设置</w:t>
      </w:r>
    </w:p>
    <w:p>
      <w:pPr>
        <w:spacing w:line="360" w:lineRule="auto"/>
        <w:ind w:firstLine="592" w:firstLineChars="247"/>
        <w:rPr>
          <w:rFonts w:ascii="宋体" w:hAnsi="宋体"/>
          <w:bCs/>
          <w:color w:val="auto"/>
          <w:sz w:val="24"/>
        </w:rPr>
      </w:pPr>
      <w:r>
        <w:rPr>
          <w:rFonts w:hint="eastAsia" w:ascii="宋体" w:hAnsi="宋体"/>
          <w:bCs/>
          <w:color w:val="auto"/>
          <w:sz w:val="24"/>
        </w:rPr>
        <w:t>监理单位现场机构应合理、可行、符合项目需要。</w:t>
      </w:r>
    </w:p>
    <w:p>
      <w:pPr>
        <w:spacing w:line="360" w:lineRule="auto"/>
        <w:ind w:firstLine="592" w:firstLineChars="247"/>
        <w:rPr>
          <w:rFonts w:ascii="宋体" w:hAnsi="宋体"/>
          <w:bCs/>
          <w:color w:val="auto"/>
          <w:sz w:val="24"/>
        </w:rPr>
      </w:pPr>
      <w:r>
        <w:rPr>
          <w:rFonts w:hint="eastAsia" w:ascii="宋体" w:hAnsi="宋体"/>
          <w:bCs/>
          <w:color w:val="auto"/>
          <w:sz w:val="24"/>
        </w:rPr>
        <w:t>2、工程质量控制：</w:t>
      </w:r>
    </w:p>
    <w:p>
      <w:pPr>
        <w:spacing w:line="360" w:lineRule="auto"/>
        <w:ind w:firstLine="592" w:firstLineChars="247"/>
        <w:rPr>
          <w:rFonts w:ascii="宋体" w:hAnsi="宋体"/>
          <w:bCs/>
          <w:color w:val="auto"/>
          <w:sz w:val="24"/>
        </w:rPr>
      </w:pPr>
      <w:r>
        <w:rPr>
          <w:rFonts w:hint="eastAsia" w:ascii="宋体" w:hAnsi="宋体"/>
          <w:bCs/>
          <w:color w:val="auto"/>
          <w:sz w:val="24"/>
        </w:rPr>
        <w:t>监理人必须对工程质量进行严格控制。要求从原材料进场到成品完成全过程的进程质量控制。对材料、设备、施工工艺、施工技术等方面进行全面检查，杜绝不合格产品出现。</w:t>
      </w:r>
    </w:p>
    <w:p>
      <w:pPr>
        <w:spacing w:line="360" w:lineRule="auto"/>
        <w:ind w:firstLine="592" w:firstLineChars="247"/>
        <w:rPr>
          <w:rFonts w:ascii="宋体" w:hAnsi="宋体"/>
          <w:bCs/>
          <w:color w:val="auto"/>
          <w:sz w:val="24"/>
        </w:rPr>
      </w:pPr>
      <w:r>
        <w:rPr>
          <w:rFonts w:hint="eastAsia" w:ascii="宋体" w:hAnsi="宋体"/>
          <w:bCs/>
          <w:color w:val="auto"/>
          <w:sz w:val="24"/>
        </w:rPr>
        <w:t>3、工程工期控制：</w:t>
      </w:r>
    </w:p>
    <w:p>
      <w:pPr>
        <w:spacing w:line="360" w:lineRule="auto"/>
        <w:ind w:firstLine="592" w:firstLineChars="247"/>
        <w:rPr>
          <w:rFonts w:ascii="宋体" w:hAnsi="宋体"/>
          <w:bCs/>
          <w:color w:val="auto"/>
          <w:sz w:val="24"/>
        </w:rPr>
      </w:pPr>
      <w:r>
        <w:rPr>
          <w:rFonts w:hint="eastAsia" w:ascii="宋体" w:hAnsi="宋体"/>
          <w:bCs/>
          <w:color w:val="auto"/>
          <w:sz w:val="24"/>
        </w:rPr>
        <w:t>严格按合同工期控制工程施工工期，负责审查施工单位制定的网络计划，定期检查网络计划执行情况。根据实际情况督促审查施工单位调整网络计划，使其能够按期完工。</w:t>
      </w:r>
    </w:p>
    <w:p>
      <w:pPr>
        <w:spacing w:line="360" w:lineRule="auto"/>
        <w:ind w:firstLine="592" w:firstLineChars="247"/>
        <w:rPr>
          <w:rFonts w:ascii="宋体" w:hAnsi="宋体"/>
          <w:bCs/>
          <w:color w:val="auto"/>
          <w:sz w:val="24"/>
        </w:rPr>
      </w:pPr>
      <w:r>
        <w:rPr>
          <w:rFonts w:hint="eastAsia" w:ascii="宋体" w:hAnsi="宋体"/>
          <w:bCs/>
          <w:color w:val="auto"/>
          <w:sz w:val="24"/>
        </w:rPr>
        <w:t>4、工程投资控制：</w:t>
      </w:r>
    </w:p>
    <w:p>
      <w:pPr>
        <w:spacing w:line="360" w:lineRule="auto"/>
        <w:ind w:firstLine="592" w:firstLineChars="247"/>
        <w:rPr>
          <w:rFonts w:ascii="宋体" w:hAnsi="宋体"/>
          <w:bCs/>
          <w:color w:val="auto"/>
          <w:sz w:val="24"/>
        </w:rPr>
      </w:pPr>
      <w:r>
        <w:rPr>
          <w:rFonts w:hint="eastAsia" w:ascii="宋体" w:hAnsi="宋体"/>
          <w:bCs/>
          <w:color w:val="auto"/>
          <w:sz w:val="24"/>
        </w:rPr>
        <w:t>要求监理人严格控制各项工程变更，审查工程变更的合理性。一般不得突破工程预算，负责合格项目的验收签证，以此作为业主审查承包商工程量支付其工程款的基本依据。</w:t>
      </w:r>
    </w:p>
    <w:p>
      <w:pPr>
        <w:spacing w:line="360" w:lineRule="auto"/>
        <w:ind w:firstLine="592" w:firstLineChars="247"/>
        <w:rPr>
          <w:rFonts w:ascii="宋体" w:hAnsi="宋体"/>
          <w:bCs/>
          <w:color w:val="auto"/>
          <w:sz w:val="24"/>
        </w:rPr>
      </w:pPr>
      <w:r>
        <w:rPr>
          <w:rFonts w:hint="eastAsia" w:ascii="宋体" w:hAnsi="宋体"/>
          <w:bCs/>
          <w:color w:val="auto"/>
          <w:sz w:val="24"/>
        </w:rPr>
        <w:t>5、工程文明、安全控制：</w:t>
      </w:r>
    </w:p>
    <w:p>
      <w:pPr>
        <w:spacing w:line="360" w:lineRule="auto"/>
        <w:ind w:firstLine="592" w:firstLineChars="247"/>
        <w:rPr>
          <w:rFonts w:ascii="宋体" w:hAnsi="宋体"/>
          <w:bCs/>
          <w:color w:val="auto"/>
          <w:sz w:val="24"/>
        </w:rPr>
      </w:pPr>
      <w:r>
        <w:rPr>
          <w:rFonts w:hint="eastAsia" w:ascii="宋体" w:hAnsi="宋体"/>
          <w:bCs/>
          <w:color w:val="auto"/>
          <w:sz w:val="24"/>
        </w:rPr>
        <w:t>工程安全文明控制措施得力，不留隐患。</w:t>
      </w:r>
    </w:p>
    <w:p>
      <w:pPr>
        <w:spacing w:line="360" w:lineRule="auto"/>
        <w:ind w:firstLine="592" w:firstLineChars="247"/>
        <w:rPr>
          <w:rFonts w:ascii="宋体" w:hAnsi="宋体"/>
          <w:bCs/>
          <w:color w:val="auto"/>
          <w:sz w:val="24"/>
        </w:rPr>
      </w:pPr>
      <w:r>
        <w:rPr>
          <w:rFonts w:hint="eastAsia" w:ascii="宋体" w:hAnsi="宋体"/>
          <w:bCs/>
          <w:color w:val="auto"/>
          <w:sz w:val="24"/>
        </w:rPr>
        <w:t>6、工程合同管理、信息管理：</w:t>
      </w:r>
    </w:p>
    <w:p>
      <w:pPr>
        <w:spacing w:line="360" w:lineRule="auto"/>
        <w:ind w:firstLine="592" w:firstLineChars="247"/>
        <w:rPr>
          <w:rFonts w:ascii="宋体" w:hAnsi="宋体"/>
          <w:bCs/>
          <w:color w:val="auto"/>
          <w:sz w:val="24"/>
        </w:rPr>
      </w:pPr>
      <w:r>
        <w:rPr>
          <w:rFonts w:hint="eastAsia" w:ascii="宋体" w:hAnsi="宋体"/>
          <w:bCs/>
          <w:color w:val="auto"/>
          <w:sz w:val="24"/>
        </w:rPr>
        <w:t>监理单位合同管理、信息管理规范、合理</w:t>
      </w:r>
    </w:p>
    <w:p>
      <w:pPr>
        <w:spacing w:line="360" w:lineRule="auto"/>
        <w:ind w:firstLine="592" w:firstLineChars="247"/>
        <w:rPr>
          <w:rFonts w:ascii="宋体" w:hAnsi="宋体"/>
          <w:bCs/>
          <w:color w:val="auto"/>
          <w:sz w:val="24"/>
        </w:rPr>
      </w:pPr>
      <w:r>
        <w:rPr>
          <w:rFonts w:hint="eastAsia" w:ascii="宋体" w:hAnsi="宋体"/>
          <w:bCs/>
          <w:color w:val="auto"/>
          <w:sz w:val="24"/>
        </w:rPr>
        <w:t>7、工作关系协调：</w:t>
      </w:r>
    </w:p>
    <w:p>
      <w:pPr>
        <w:spacing w:line="360" w:lineRule="auto"/>
        <w:ind w:firstLine="592" w:firstLineChars="247"/>
        <w:rPr>
          <w:rFonts w:ascii="宋体" w:hAnsi="宋体"/>
          <w:bCs/>
          <w:color w:val="auto"/>
          <w:sz w:val="24"/>
        </w:rPr>
      </w:pPr>
      <w:r>
        <w:rPr>
          <w:rFonts w:hint="eastAsia" w:ascii="宋体" w:hAnsi="宋体"/>
          <w:bCs/>
          <w:color w:val="auto"/>
          <w:sz w:val="24"/>
        </w:rPr>
        <w:t>工程现场的施工单位必须接受监理人的监督管理。要求监理人协调好现场各有关单位的关系，处理解决各单位之间因工程施工而出现的矛盾和问题，协助业主办理与工程相关的所有手续。</w:t>
      </w:r>
    </w:p>
    <w:p>
      <w:pPr>
        <w:spacing w:line="360" w:lineRule="auto"/>
        <w:ind w:firstLine="592" w:firstLineChars="247"/>
        <w:rPr>
          <w:rFonts w:ascii="宋体" w:hAnsi="宋体"/>
          <w:bCs/>
          <w:color w:val="auto"/>
          <w:sz w:val="24"/>
        </w:rPr>
      </w:pPr>
      <w:r>
        <w:rPr>
          <w:rFonts w:hint="eastAsia" w:ascii="宋体" w:hAnsi="宋体"/>
          <w:bCs/>
          <w:color w:val="auto"/>
          <w:sz w:val="24"/>
        </w:rPr>
        <w:t>8、监理部设备投入：</w:t>
      </w:r>
    </w:p>
    <w:p>
      <w:pPr>
        <w:spacing w:line="360" w:lineRule="auto"/>
        <w:ind w:firstLine="592" w:firstLineChars="247"/>
        <w:rPr>
          <w:rFonts w:ascii="宋体" w:hAnsi="宋体"/>
          <w:bCs/>
          <w:color w:val="auto"/>
          <w:sz w:val="24"/>
        </w:rPr>
      </w:pPr>
      <w:r>
        <w:rPr>
          <w:rFonts w:hint="eastAsia" w:ascii="宋体" w:hAnsi="宋体"/>
          <w:bCs/>
          <w:color w:val="auto"/>
          <w:sz w:val="24"/>
        </w:rPr>
        <w:t>监理部拟投入设备应符合项目监理需求及监理工作需要。</w:t>
      </w:r>
    </w:p>
    <w:p>
      <w:pPr>
        <w:spacing w:line="360" w:lineRule="auto"/>
        <w:ind w:firstLine="592" w:firstLineChars="247"/>
        <w:rPr>
          <w:rFonts w:ascii="宋体" w:hAnsi="宋体"/>
          <w:bCs/>
          <w:color w:val="auto"/>
          <w:sz w:val="24"/>
        </w:rPr>
      </w:pPr>
      <w:r>
        <w:rPr>
          <w:rFonts w:hint="eastAsia" w:ascii="宋体" w:hAnsi="宋体"/>
          <w:bCs/>
          <w:color w:val="auto"/>
          <w:sz w:val="24"/>
        </w:rPr>
        <w:t>9、人员进驻计划：</w:t>
      </w:r>
    </w:p>
    <w:p>
      <w:pPr>
        <w:spacing w:line="360" w:lineRule="auto"/>
        <w:ind w:firstLine="592" w:firstLineChars="247"/>
        <w:rPr>
          <w:rFonts w:ascii="宋体" w:hAnsi="宋体"/>
          <w:color w:val="auto"/>
          <w:sz w:val="36"/>
          <w:szCs w:val="36"/>
        </w:rPr>
      </w:pPr>
      <w:r>
        <w:rPr>
          <w:rFonts w:hint="eastAsia" w:ascii="宋体" w:hAnsi="宋体"/>
          <w:bCs/>
          <w:color w:val="auto"/>
          <w:sz w:val="24"/>
        </w:rPr>
        <w:t>要求监理单位提出详细的人员进驻计划，非招标人要求，中标单位在监理服务期内应严格按照所投报的人员进驻计划安排人员进驻，人员进驻计划至少应包含各时期、各专业人员数量，进驻时间等，并保证所投报人员不得更换</w:t>
      </w:r>
      <w:bookmarkStart w:id="743" w:name="_Toc489430905"/>
      <w:bookmarkStart w:id="744" w:name="_Toc6817"/>
      <w:bookmarkStart w:id="745" w:name="_Toc489430545"/>
      <w:r>
        <w:rPr>
          <w:rFonts w:hint="eastAsia" w:ascii="宋体" w:hAnsi="宋体"/>
          <w:bCs/>
          <w:color w:val="auto"/>
          <w:sz w:val="24"/>
        </w:rPr>
        <w:t>。</w:t>
      </w:r>
    </w:p>
    <w:p>
      <w:pPr>
        <w:pStyle w:val="3"/>
        <w:pageBreakBefore/>
        <w:spacing w:before="0" w:after="0" w:line="240" w:lineRule="auto"/>
        <w:jc w:val="center"/>
        <w:rPr>
          <w:rFonts w:ascii="宋体" w:hAnsi="宋体"/>
          <w:color w:val="auto"/>
          <w:sz w:val="36"/>
          <w:szCs w:val="36"/>
        </w:rPr>
      </w:pPr>
      <w:bookmarkStart w:id="746" w:name="_Toc116314147"/>
      <w:r>
        <w:rPr>
          <w:rFonts w:hint="eastAsia" w:ascii="宋体" w:hAnsi="宋体"/>
          <w:color w:val="auto"/>
          <w:sz w:val="36"/>
          <w:szCs w:val="36"/>
        </w:rPr>
        <w:t>第七章投标文件格式</w:t>
      </w:r>
      <w:bookmarkEnd w:id="743"/>
      <w:bookmarkEnd w:id="744"/>
      <w:bookmarkEnd w:id="745"/>
      <w:bookmarkEnd w:id="746"/>
    </w:p>
    <w:p>
      <w:pPr>
        <w:spacing w:line="440" w:lineRule="exact"/>
        <w:rPr>
          <w:rFonts w:ascii="宋体" w:hAnsi="宋体"/>
          <w:color w:val="auto"/>
          <w:sz w:val="20"/>
          <w:szCs w:val="20"/>
        </w:rPr>
      </w:pPr>
    </w:p>
    <w:p>
      <w:pPr>
        <w:jc w:val="center"/>
        <w:rPr>
          <w:rFonts w:ascii="宋体" w:hAnsi="宋体"/>
          <w:color w:val="auto"/>
          <w:sz w:val="20"/>
          <w:szCs w:val="20"/>
        </w:rPr>
      </w:pPr>
    </w:p>
    <w:p>
      <w:pPr>
        <w:spacing w:line="360" w:lineRule="auto"/>
        <w:jc w:val="center"/>
        <w:rPr>
          <w:rFonts w:ascii="宋体" w:hAnsi="宋体"/>
          <w:b/>
          <w:color w:val="auto"/>
          <w:sz w:val="32"/>
          <w:szCs w:val="32"/>
        </w:rPr>
      </w:pPr>
      <w:r>
        <w:rPr>
          <w:rFonts w:hint="eastAsia" w:ascii="宋体" w:hAnsi="宋体"/>
          <w:b/>
          <w:color w:val="auto"/>
          <w:sz w:val="32"/>
          <w:szCs w:val="32"/>
          <w:u w:val="single"/>
        </w:rPr>
        <w:t xml:space="preserve">                   </w:t>
      </w:r>
      <w:r>
        <w:rPr>
          <w:rFonts w:hint="eastAsia" w:ascii="宋体" w:hAnsi="宋体"/>
          <w:b/>
          <w:color w:val="auto"/>
          <w:sz w:val="32"/>
          <w:szCs w:val="32"/>
        </w:rPr>
        <w:t>（项目名称、标段）</w:t>
      </w:r>
    </w:p>
    <w:p>
      <w:pPr>
        <w:jc w:val="center"/>
        <w:rPr>
          <w:rFonts w:ascii="宋体" w:hAnsi="宋体"/>
          <w:color w:val="auto"/>
        </w:rPr>
      </w:pPr>
    </w:p>
    <w:p>
      <w:pPr>
        <w:jc w:val="center"/>
        <w:rPr>
          <w:rFonts w:ascii="宋体" w:hAnsi="宋体"/>
          <w:color w:val="auto"/>
        </w:rPr>
      </w:pPr>
    </w:p>
    <w:p>
      <w:pPr>
        <w:jc w:val="center"/>
        <w:rPr>
          <w:rFonts w:ascii="宋体" w:hAnsi="宋体"/>
          <w:color w:val="auto"/>
        </w:rPr>
      </w:pPr>
    </w:p>
    <w:p>
      <w:pPr>
        <w:jc w:val="center"/>
        <w:rPr>
          <w:rFonts w:ascii="宋体" w:hAnsi="宋体"/>
          <w:color w:val="auto"/>
          <w:sz w:val="72"/>
          <w:szCs w:val="72"/>
        </w:rPr>
      </w:pPr>
      <w:r>
        <w:rPr>
          <w:rFonts w:hint="eastAsia" w:ascii="宋体" w:hAnsi="宋体"/>
          <w:color w:val="auto"/>
          <w:sz w:val="72"/>
          <w:szCs w:val="72"/>
        </w:rPr>
        <w:t>投标文件</w:t>
      </w:r>
    </w:p>
    <w:p>
      <w:pPr>
        <w:spacing w:line="360" w:lineRule="auto"/>
        <w:jc w:val="center"/>
        <w:rPr>
          <w:rFonts w:ascii="宋体" w:hAnsi="宋体"/>
          <w:b/>
          <w:bCs/>
          <w:color w:val="auto"/>
          <w:sz w:val="30"/>
          <w:szCs w:val="30"/>
        </w:rPr>
      </w:pPr>
      <w:r>
        <w:rPr>
          <w:rFonts w:hint="eastAsia" w:ascii="宋体" w:hAnsi="宋体"/>
          <w:b/>
          <w:bCs/>
          <w:color w:val="auto"/>
          <w:sz w:val="30"/>
          <w:szCs w:val="30"/>
        </w:rPr>
        <w:t>采购编号：</w:t>
      </w:r>
    </w:p>
    <w:p>
      <w:pPr>
        <w:jc w:val="center"/>
        <w:rPr>
          <w:rFonts w:ascii="宋体" w:hAnsi="宋体"/>
          <w:color w:val="auto"/>
          <w:sz w:val="72"/>
          <w:szCs w:val="72"/>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rPr>
          <w:rFonts w:ascii="宋体" w:hAnsi="宋体"/>
          <w:color w:val="auto"/>
          <w:sz w:val="28"/>
          <w:szCs w:val="28"/>
        </w:rPr>
      </w:pPr>
    </w:p>
    <w:p>
      <w:pPr>
        <w:jc w:val="center"/>
        <w:rPr>
          <w:rFonts w:ascii="宋体" w:hAnsi="宋体"/>
          <w:color w:val="auto"/>
          <w:sz w:val="28"/>
          <w:szCs w:val="28"/>
          <w:u w:val="single"/>
        </w:rPr>
      </w:pPr>
      <w:bookmarkStart w:id="747" w:name="_Toc144974856"/>
      <w:bookmarkStart w:id="748" w:name="_Toc407219655"/>
      <w:bookmarkStart w:id="749" w:name="_Toc152045787"/>
      <w:bookmarkStart w:id="750" w:name="_Toc152042576"/>
      <w:bookmarkStart w:id="751" w:name="_Toc489430906"/>
      <w:bookmarkStart w:id="752" w:name="_Toc30892"/>
      <w:bookmarkStart w:id="753" w:name="_Toc489430546"/>
      <w:bookmarkStart w:id="754" w:name="_Toc475691373"/>
      <w:r>
        <w:rPr>
          <w:rFonts w:hint="eastAsia" w:ascii="宋体" w:hAnsi="宋体"/>
          <w:color w:val="auto"/>
          <w:sz w:val="28"/>
          <w:szCs w:val="28"/>
        </w:rPr>
        <w:t>投标人：</w:t>
      </w:r>
      <w:r>
        <w:rPr>
          <w:rFonts w:hint="eastAsia" w:ascii="宋体" w:hAnsi="宋体" w:cs="宋体"/>
          <w:color w:val="auto"/>
          <w:sz w:val="24"/>
          <w:u w:val="single"/>
        </w:rPr>
        <w:t xml:space="preserve">                </w:t>
      </w:r>
      <w:r>
        <w:rPr>
          <w:rFonts w:hint="eastAsia" w:ascii="宋体" w:hAnsi="宋体"/>
          <w:color w:val="auto"/>
          <w:sz w:val="28"/>
          <w:szCs w:val="28"/>
        </w:rPr>
        <w:t>（电子印章）</w:t>
      </w:r>
    </w:p>
    <w:p>
      <w:pPr>
        <w:jc w:val="center"/>
        <w:rPr>
          <w:rFonts w:ascii="宋体" w:hAnsi="宋体"/>
          <w:color w:val="auto"/>
          <w:sz w:val="28"/>
          <w:szCs w:val="28"/>
        </w:rPr>
      </w:pPr>
      <w:r>
        <w:rPr>
          <w:rFonts w:hint="eastAsia" w:ascii="宋体" w:hAnsi="宋体"/>
          <w:color w:val="auto"/>
          <w:sz w:val="28"/>
          <w:szCs w:val="28"/>
        </w:rPr>
        <w:t>法定代表人或其委托代理人：</w:t>
      </w:r>
      <w:r>
        <w:rPr>
          <w:rFonts w:hint="eastAsia" w:ascii="宋体" w:hAnsi="宋体" w:cs="宋体"/>
          <w:color w:val="auto"/>
          <w:sz w:val="24"/>
          <w:u w:val="single"/>
        </w:rPr>
        <w:t xml:space="preserve">                  </w:t>
      </w:r>
      <w:r>
        <w:rPr>
          <w:rFonts w:hint="eastAsia" w:ascii="宋体" w:hAnsi="宋体"/>
          <w:color w:val="auto"/>
          <w:sz w:val="28"/>
          <w:szCs w:val="28"/>
        </w:rPr>
        <w:t>（电子签章）</w:t>
      </w:r>
    </w:p>
    <w:p>
      <w:pPr>
        <w:jc w:val="center"/>
        <w:rPr>
          <w:rFonts w:ascii="宋体" w:hAnsi="宋体"/>
          <w:color w:val="auto"/>
          <w:sz w:val="28"/>
          <w:szCs w:val="28"/>
        </w:rPr>
      </w:pPr>
      <w:r>
        <w:rPr>
          <w:rFonts w:hint="eastAsia" w:ascii="宋体" w:hAnsi="宋体"/>
          <w:color w:val="auto"/>
          <w:sz w:val="28"/>
          <w:szCs w:val="28"/>
        </w:rPr>
        <w:t>年   月     日</w:t>
      </w:r>
    </w:p>
    <w:bookmarkEnd w:id="747"/>
    <w:bookmarkEnd w:id="748"/>
    <w:bookmarkEnd w:id="749"/>
    <w:bookmarkEnd w:id="750"/>
    <w:bookmarkEnd w:id="751"/>
    <w:bookmarkEnd w:id="752"/>
    <w:bookmarkEnd w:id="753"/>
    <w:bookmarkEnd w:id="754"/>
    <w:p>
      <w:pPr>
        <w:spacing w:line="540" w:lineRule="exact"/>
        <w:jc w:val="left"/>
        <w:rPr>
          <w:rFonts w:ascii="宋体" w:hAnsi="宋体"/>
          <w:color w:val="auto"/>
        </w:rPr>
      </w:pPr>
      <w:r>
        <w:rPr>
          <w:rFonts w:hint="eastAsia" w:ascii="宋体" w:hAnsi="宋体"/>
          <w:color w:val="auto"/>
        </w:rPr>
        <w:br w:type="page"/>
      </w:r>
      <w:bookmarkStart w:id="755" w:name="_Toc152045788"/>
      <w:bookmarkStart w:id="756" w:name="_Toc144974857"/>
      <w:bookmarkStart w:id="757" w:name="_Toc152042577"/>
    </w:p>
    <w:p>
      <w:pPr>
        <w:pStyle w:val="57"/>
        <w:jc w:val="center"/>
        <w:rPr>
          <w:rFonts w:ascii="宋体" w:hAnsi="宋体" w:eastAsia="宋体"/>
          <w:color w:val="auto"/>
          <w:szCs w:val="23"/>
        </w:rPr>
      </w:pPr>
      <w:bookmarkStart w:id="758" w:name="_Toc31624"/>
      <w:bookmarkStart w:id="759" w:name="_Toc489430907"/>
      <w:bookmarkStart w:id="760" w:name="_Toc144974858"/>
      <w:bookmarkStart w:id="761" w:name="_Toc489430547"/>
      <w:bookmarkStart w:id="762" w:name="_Toc116314148"/>
      <w:bookmarkStart w:id="763" w:name="_Toc152045789"/>
      <w:bookmarkStart w:id="764" w:name="_Toc152042578"/>
      <w:r>
        <w:rPr>
          <w:rFonts w:hint="eastAsia" w:ascii="宋体" w:hAnsi="宋体" w:eastAsia="宋体"/>
          <w:b/>
          <w:color w:val="auto"/>
          <w:sz w:val="30"/>
          <w:szCs w:val="30"/>
        </w:rPr>
        <w:t>一、投标函及投标函附录</w:t>
      </w:r>
      <w:bookmarkEnd w:id="758"/>
      <w:bookmarkEnd w:id="759"/>
      <w:bookmarkEnd w:id="760"/>
      <w:bookmarkEnd w:id="761"/>
      <w:bookmarkEnd w:id="762"/>
      <w:bookmarkEnd w:id="763"/>
      <w:bookmarkEnd w:id="764"/>
    </w:p>
    <w:p>
      <w:pPr>
        <w:pStyle w:val="57"/>
        <w:jc w:val="center"/>
        <w:rPr>
          <w:rFonts w:ascii="宋体" w:hAnsi="宋体" w:eastAsia="宋体"/>
          <w:color w:val="auto"/>
          <w:szCs w:val="24"/>
        </w:rPr>
      </w:pPr>
      <w:bookmarkStart w:id="765" w:name="_Toc489430548"/>
      <w:bookmarkStart w:id="766" w:name="_Toc407219657"/>
      <w:bookmarkStart w:id="767" w:name="_Toc116314149"/>
      <w:bookmarkStart w:id="768" w:name="_Toc475691375"/>
      <w:bookmarkStart w:id="769" w:name="_Toc17776"/>
      <w:bookmarkStart w:id="770" w:name="_Toc489430908"/>
      <w:r>
        <w:rPr>
          <w:rFonts w:hint="eastAsia" w:ascii="宋体" w:hAnsi="宋体" w:eastAsia="宋体"/>
          <w:color w:val="auto"/>
          <w:szCs w:val="24"/>
        </w:rPr>
        <w:t>（一）投标函</w:t>
      </w:r>
      <w:bookmarkEnd w:id="765"/>
      <w:bookmarkEnd w:id="766"/>
      <w:bookmarkEnd w:id="767"/>
      <w:bookmarkEnd w:id="768"/>
      <w:bookmarkEnd w:id="769"/>
      <w:bookmarkEnd w:id="770"/>
    </w:p>
    <w:p>
      <w:pPr>
        <w:spacing w:line="440" w:lineRule="exact"/>
        <w:rPr>
          <w:rFonts w:ascii="宋体" w:hAnsi="宋体"/>
          <w:color w:val="auto"/>
          <w:sz w:val="24"/>
        </w:rPr>
      </w:pPr>
      <w:r>
        <w:rPr>
          <w:rFonts w:hint="eastAsia" w:ascii="宋体" w:hAnsi="宋体" w:cs="宋体"/>
          <w:color w:val="auto"/>
          <w:sz w:val="24"/>
          <w:u w:val="single"/>
        </w:rPr>
        <w:t xml:space="preserve">                        </w:t>
      </w:r>
      <w:r>
        <w:rPr>
          <w:rFonts w:hint="eastAsia" w:ascii="宋体" w:hAnsi="宋体"/>
          <w:color w:val="auto"/>
          <w:sz w:val="24"/>
        </w:rPr>
        <w:t>（招标人名称）：</w:t>
      </w:r>
    </w:p>
    <w:p>
      <w:pPr>
        <w:spacing w:line="360" w:lineRule="auto"/>
        <w:ind w:firstLine="480" w:firstLineChars="200"/>
        <w:rPr>
          <w:rFonts w:ascii="宋体" w:hAnsi="宋体"/>
          <w:color w:val="auto"/>
          <w:sz w:val="24"/>
        </w:rPr>
      </w:pPr>
      <w:r>
        <w:rPr>
          <w:rFonts w:hint="eastAsia" w:ascii="宋体" w:hAnsi="宋体"/>
          <w:color w:val="auto"/>
          <w:sz w:val="24"/>
        </w:rPr>
        <w:t>1．我方已仔细研究了</w:t>
      </w:r>
      <w:r>
        <w:rPr>
          <w:rFonts w:hint="eastAsia" w:ascii="宋体" w:hAnsi="宋体" w:cs="宋体"/>
          <w:color w:val="auto"/>
          <w:sz w:val="24"/>
          <w:u w:val="single"/>
        </w:rPr>
        <w:t xml:space="preserve">               </w:t>
      </w:r>
      <w:r>
        <w:rPr>
          <w:rFonts w:hint="eastAsia" w:ascii="宋体" w:hAnsi="宋体" w:cs="宋体"/>
          <w:color w:val="auto"/>
          <w:sz w:val="24"/>
        </w:rPr>
        <w:t>（项目名称、标段）招标文件</w:t>
      </w:r>
      <w:r>
        <w:rPr>
          <w:rFonts w:hint="eastAsia" w:ascii="宋体" w:hAnsi="宋体"/>
          <w:color w:val="auto"/>
          <w:sz w:val="24"/>
        </w:rPr>
        <w:t>的全部内容，</w:t>
      </w:r>
      <w:r>
        <w:rPr>
          <w:rFonts w:ascii="宋体" w:hAnsi="宋体"/>
          <w:color w:val="auto"/>
          <w:sz w:val="24"/>
        </w:rPr>
        <w:t>愿意以人民币（大写</w:t>
      </w:r>
      <w:r>
        <w:rPr>
          <w:rFonts w:ascii="宋体" w:hAnsi="宋体"/>
          <w:color w:val="auto"/>
          <w:sz w:val="24"/>
          <w:u w:val="single"/>
        </w:rPr>
        <w:t xml:space="preserve">）         </w:t>
      </w:r>
      <w:r>
        <w:rPr>
          <w:rFonts w:hint="eastAsia" w:ascii="宋体" w:hAnsi="宋体"/>
          <w:color w:val="auto"/>
          <w:sz w:val="24"/>
        </w:rPr>
        <w:t>（小写）</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投标报价，按合同约定实施和完成监理服务。</w:t>
      </w:r>
    </w:p>
    <w:p>
      <w:pPr>
        <w:spacing w:line="360" w:lineRule="auto"/>
        <w:ind w:firstLine="480" w:firstLineChars="200"/>
        <w:rPr>
          <w:rFonts w:ascii="宋体" w:hAnsi="宋体"/>
          <w:color w:val="auto"/>
          <w:sz w:val="24"/>
        </w:rPr>
      </w:pPr>
      <w:r>
        <w:rPr>
          <w:rFonts w:hint="eastAsia" w:ascii="宋体" w:hAnsi="宋体"/>
          <w:color w:val="auto"/>
          <w:sz w:val="24"/>
        </w:rPr>
        <w:t>2．我方承诺投标有效期：120日历天（投标截止之日起），有效期内不修改、撤销投标文件。</w:t>
      </w:r>
    </w:p>
    <w:p>
      <w:pPr>
        <w:spacing w:line="360" w:lineRule="auto"/>
        <w:ind w:firstLine="480" w:firstLineChars="200"/>
        <w:rPr>
          <w:rFonts w:ascii="宋体" w:hAnsi="宋体"/>
          <w:color w:val="auto"/>
          <w:sz w:val="24"/>
        </w:rPr>
      </w:pPr>
      <w:r>
        <w:rPr>
          <w:rFonts w:hint="eastAsia" w:ascii="宋体" w:hAnsi="宋体"/>
          <w:color w:val="auto"/>
          <w:sz w:val="24"/>
        </w:rPr>
        <w:t>3．随同本投标函提交投标保证金一份，金额为人民币</w:t>
      </w: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元 ）。</w:t>
      </w:r>
    </w:p>
    <w:p>
      <w:pPr>
        <w:spacing w:line="360" w:lineRule="auto"/>
        <w:ind w:firstLine="480" w:firstLineChars="200"/>
        <w:rPr>
          <w:rFonts w:ascii="宋体" w:hAnsi="宋体"/>
          <w:color w:val="auto"/>
          <w:sz w:val="24"/>
        </w:rPr>
      </w:pPr>
      <w:r>
        <w:rPr>
          <w:rFonts w:hint="eastAsia" w:ascii="宋体" w:hAnsi="宋体"/>
          <w:color w:val="auto"/>
          <w:sz w:val="24"/>
        </w:rPr>
        <w:t>4．如我方中标：</w:t>
      </w:r>
    </w:p>
    <w:p>
      <w:pPr>
        <w:spacing w:line="360" w:lineRule="auto"/>
        <w:ind w:firstLine="820" w:firstLineChars="342"/>
        <w:rPr>
          <w:rFonts w:ascii="宋体" w:hAnsi="宋体"/>
          <w:color w:val="auto"/>
          <w:sz w:val="24"/>
        </w:rPr>
      </w:pPr>
      <w:r>
        <w:rPr>
          <w:rFonts w:hint="eastAsia" w:ascii="宋体" w:hAnsi="宋体"/>
          <w:color w:val="auto"/>
          <w:sz w:val="24"/>
        </w:rPr>
        <w:t>（1）我方承诺在收到中标通知书后，在中标通知书规定的期限内与你方签订合同。</w:t>
      </w:r>
    </w:p>
    <w:p>
      <w:pPr>
        <w:spacing w:line="360" w:lineRule="auto"/>
        <w:ind w:firstLine="820" w:firstLineChars="342"/>
        <w:rPr>
          <w:rFonts w:ascii="宋体" w:hAnsi="宋体"/>
          <w:color w:val="auto"/>
          <w:sz w:val="24"/>
        </w:rPr>
      </w:pPr>
      <w:r>
        <w:rPr>
          <w:rFonts w:hint="eastAsia" w:ascii="宋体" w:hAnsi="宋体"/>
          <w:color w:val="auto"/>
          <w:sz w:val="24"/>
        </w:rPr>
        <w:t>（2）随同本投标函递交的投标函附录属于合同文件的组成部分。</w:t>
      </w:r>
    </w:p>
    <w:p>
      <w:pPr>
        <w:spacing w:line="360" w:lineRule="auto"/>
        <w:ind w:firstLine="820" w:firstLineChars="342"/>
        <w:rPr>
          <w:rFonts w:ascii="宋体" w:hAnsi="宋体"/>
          <w:color w:val="auto"/>
          <w:sz w:val="24"/>
        </w:rPr>
      </w:pPr>
      <w:r>
        <w:rPr>
          <w:rFonts w:hint="eastAsia" w:ascii="宋体" w:hAnsi="宋体"/>
          <w:color w:val="auto"/>
          <w:sz w:val="24"/>
        </w:rPr>
        <w:t>（3）我方承诺本工程监理确保在要求的工期内完工，并保证合格工程。</w:t>
      </w:r>
    </w:p>
    <w:p>
      <w:pPr>
        <w:spacing w:line="360" w:lineRule="auto"/>
        <w:ind w:firstLine="480" w:firstLineChars="200"/>
        <w:rPr>
          <w:rFonts w:ascii="宋体" w:hAnsi="宋体"/>
          <w:color w:val="auto"/>
          <w:sz w:val="24"/>
        </w:rPr>
      </w:pPr>
      <w:r>
        <w:rPr>
          <w:rFonts w:hint="eastAsia" w:ascii="宋体" w:hAnsi="宋体"/>
          <w:color w:val="auto"/>
          <w:sz w:val="24"/>
        </w:rPr>
        <w:t>5．我方在此声明，所递交的投标文件及有关资料内容完整、真实和准确。</w:t>
      </w:r>
    </w:p>
    <w:p>
      <w:pPr>
        <w:spacing w:line="360" w:lineRule="auto"/>
        <w:ind w:firstLine="480" w:firstLineChars="200"/>
        <w:rPr>
          <w:rFonts w:ascii="宋体" w:hAnsi="宋体"/>
          <w:color w:val="auto"/>
          <w:sz w:val="24"/>
        </w:rPr>
      </w:pPr>
      <w:r>
        <w:rPr>
          <w:rFonts w:hint="eastAsia" w:ascii="宋体" w:hAnsi="宋体"/>
          <w:color w:val="auto"/>
          <w:sz w:val="24"/>
        </w:rPr>
        <w:t>6.我方完全响应招标文件所有内容。</w:t>
      </w:r>
    </w:p>
    <w:p>
      <w:pPr>
        <w:spacing w:line="360" w:lineRule="auto"/>
        <w:ind w:firstLine="480" w:firstLineChars="200"/>
        <w:rPr>
          <w:rFonts w:ascii="宋体" w:hAnsi="宋体"/>
          <w:color w:val="auto"/>
          <w:sz w:val="24"/>
        </w:rPr>
      </w:pPr>
    </w:p>
    <w:p>
      <w:pPr>
        <w:spacing w:line="440" w:lineRule="exact"/>
        <w:ind w:firstLine="4200" w:firstLineChars="1750"/>
        <w:rPr>
          <w:rFonts w:ascii="宋体" w:hAnsi="宋体"/>
          <w:color w:val="auto"/>
          <w:sz w:val="24"/>
        </w:rPr>
      </w:pPr>
      <w:r>
        <w:rPr>
          <w:rFonts w:hint="eastAsia" w:ascii="宋体" w:hAnsi="宋体"/>
          <w:color w:val="auto"/>
          <w:sz w:val="24"/>
        </w:rPr>
        <w:t>投标人：</w:t>
      </w:r>
      <w:r>
        <w:rPr>
          <w:rFonts w:hint="eastAsia" w:ascii="宋体" w:hAnsi="宋体" w:cs="宋体"/>
          <w:color w:val="auto"/>
          <w:kern w:val="0"/>
          <w:sz w:val="24"/>
          <w:u w:val="single"/>
        </w:rPr>
        <w:t xml:space="preserve">                  </w:t>
      </w:r>
      <w:r>
        <w:rPr>
          <w:rFonts w:hint="eastAsia" w:ascii="宋体" w:hAnsi="宋体"/>
          <w:color w:val="auto"/>
          <w:sz w:val="24"/>
        </w:rPr>
        <w:t>（电子印章）</w:t>
      </w:r>
    </w:p>
    <w:p>
      <w:pPr>
        <w:spacing w:line="440" w:lineRule="exact"/>
        <w:ind w:firstLine="2640" w:firstLineChars="1100"/>
        <w:rPr>
          <w:rFonts w:ascii="宋体" w:hAnsi="宋体"/>
          <w:color w:val="auto"/>
          <w:sz w:val="24"/>
        </w:rPr>
      </w:pPr>
      <w:r>
        <w:rPr>
          <w:rFonts w:hint="eastAsia" w:ascii="宋体" w:hAnsi="宋体"/>
          <w:color w:val="auto"/>
          <w:sz w:val="24"/>
        </w:rPr>
        <w:t>法定代表人或其委托代理人：</w:t>
      </w:r>
      <w:r>
        <w:rPr>
          <w:rFonts w:hint="eastAsia" w:ascii="宋体" w:hAnsi="宋体" w:cs="宋体"/>
          <w:color w:val="auto"/>
          <w:kern w:val="0"/>
          <w:sz w:val="24"/>
          <w:u w:val="single"/>
        </w:rPr>
        <w:t xml:space="preserve">              </w:t>
      </w:r>
      <w:r>
        <w:rPr>
          <w:rFonts w:hint="eastAsia" w:ascii="宋体" w:hAnsi="宋体"/>
          <w:color w:val="auto"/>
          <w:sz w:val="24"/>
        </w:rPr>
        <w:t>（电子签章）</w:t>
      </w:r>
    </w:p>
    <w:p>
      <w:pPr>
        <w:spacing w:line="440" w:lineRule="exact"/>
        <w:jc w:val="center"/>
        <w:rPr>
          <w:rFonts w:ascii="宋体" w:hAnsi="宋体"/>
          <w:color w:val="auto"/>
          <w:kern w:val="0"/>
          <w:sz w:val="24"/>
        </w:rPr>
      </w:pPr>
    </w:p>
    <w:p>
      <w:pPr>
        <w:spacing w:line="440" w:lineRule="exact"/>
        <w:jc w:val="center"/>
        <w:rPr>
          <w:rFonts w:ascii="宋体" w:hAnsi="宋体"/>
          <w:color w:val="auto"/>
          <w:kern w:val="0"/>
          <w:sz w:val="24"/>
        </w:rPr>
      </w:pPr>
    </w:p>
    <w:p>
      <w:pPr>
        <w:spacing w:line="440" w:lineRule="exact"/>
        <w:jc w:val="center"/>
        <w:rPr>
          <w:rFonts w:ascii="宋体" w:hAnsi="宋体"/>
          <w:color w:val="auto"/>
          <w:kern w:val="0"/>
          <w:sz w:val="24"/>
        </w:rPr>
      </w:pPr>
    </w:p>
    <w:p>
      <w:pPr>
        <w:spacing w:line="440" w:lineRule="exact"/>
        <w:ind w:firstLine="5400" w:firstLineChars="225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440" w:lineRule="exact"/>
        <w:jc w:val="center"/>
        <w:rPr>
          <w:rFonts w:ascii="宋体" w:hAnsi="宋体"/>
          <w:color w:val="auto"/>
          <w:kern w:val="0"/>
          <w:szCs w:val="21"/>
        </w:rPr>
      </w:pPr>
    </w:p>
    <w:p>
      <w:pPr>
        <w:spacing w:line="440" w:lineRule="exact"/>
        <w:jc w:val="center"/>
        <w:rPr>
          <w:rFonts w:ascii="宋体" w:hAnsi="宋体"/>
          <w:color w:val="auto"/>
          <w:kern w:val="0"/>
          <w:szCs w:val="21"/>
        </w:rPr>
      </w:pPr>
    </w:p>
    <w:p>
      <w:pPr>
        <w:spacing w:line="440" w:lineRule="exact"/>
        <w:jc w:val="center"/>
        <w:rPr>
          <w:rFonts w:ascii="宋体" w:hAnsi="宋体"/>
          <w:color w:val="auto"/>
          <w:kern w:val="0"/>
          <w:szCs w:val="21"/>
        </w:rPr>
      </w:pPr>
    </w:p>
    <w:p>
      <w:pPr>
        <w:spacing w:line="440" w:lineRule="exact"/>
        <w:jc w:val="center"/>
        <w:rPr>
          <w:rFonts w:ascii="宋体" w:hAnsi="宋体"/>
          <w:color w:val="auto"/>
          <w:kern w:val="0"/>
          <w:szCs w:val="21"/>
        </w:rPr>
      </w:pPr>
    </w:p>
    <w:p>
      <w:pPr>
        <w:spacing w:line="440" w:lineRule="exact"/>
        <w:jc w:val="center"/>
        <w:rPr>
          <w:rFonts w:ascii="宋体" w:hAnsi="宋体"/>
          <w:color w:val="auto"/>
          <w:kern w:val="0"/>
          <w:szCs w:val="21"/>
        </w:rPr>
      </w:pPr>
    </w:p>
    <w:p>
      <w:pPr>
        <w:spacing w:line="440" w:lineRule="exact"/>
        <w:jc w:val="center"/>
        <w:rPr>
          <w:rFonts w:ascii="宋体" w:hAnsi="宋体"/>
          <w:color w:val="auto"/>
          <w:kern w:val="0"/>
          <w:szCs w:val="21"/>
        </w:rPr>
      </w:pPr>
    </w:p>
    <w:bookmarkEnd w:id="755"/>
    <w:bookmarkEnd w:id="756"/>
    <w:bookmarkEnd w:id="757"/>
    <w:p>
      <w:pPr>
        <w:spacing w:line="440" w:lineRule="exact"/>
        <w:rPr>
          <w:rFonts w:ascii="宋体" w:hAnsi="宋体"/>
          <w:color w:val="auto"/>
          <w:kern w:val="0"/>
          <w:szCs w:val="21"/>
        </w:rPr>
      </w:pPr>
    </w:p>
    <w:p>
      <w:pPr>
        <w:spacing w:line="440" w:lineRule="exact"/>
        <w:rPr>
          <w:rFonts w:ascii="宋体" w:hAnsi="宋体"/>
          <w:color w:val="auto"/>
          <w:kern w:val="0"/>
          <w:szCs w:val="21"/>
        </w:rPr>
      </w:pPr>
    </w:p>
    <w:p>
      <w:pPr>
        <w:pStyle w:val="57"/>
        <w:numPr>
          <w:ilvl w:val="0"/>
          <w:numId w:val="5"/>
        </w:numPr>
        <w:jc w:val="center"/>
        <w:rPr>
          <w:rFonts w:ascii="宋体" w:hAnsi="宋体" w:eastAsia="宋体"/>
          <w:color w:val="auto"/>
          <w:szCs w:val="23"/>
        </w:rPr>
      </w:pPr>
      <w:bookmarkStart w:id="771" w:name="_Toc489430549"/>
      <w:bookmarkStart w:id="772" w:name="_Toc239650415"/>
      <w:bookmarkStart w:id="773" w:name="_Toc152045790"/>
      <w:bookmarkStart w:id="774" w:name="_Toc144974859"/>
      <w:bookmarkStart w:id="775" w:name="_Toc152042579"/>
      <w:bookmarkStart w:id="776" w:name="_Toc475691376"/>
      <w:bookmarkStart w:id="777" w:name="_Toc116314150"/>
      <w:bookmarkStart w:id="778" w:name="_Toc489430909"/>
      <w:bookmarkStart w:id="779" w:name="_Toc407219658"/>
      <w:bookmarkStart w:id="780" w:name="_Toc13296"/>
      <w:r>
        <w:rPr>
          <w:rFonts w:hint="eastAsia" w:ascii="宋体" w:hAnsi="宋体" w:eastAsia="宋体"/>
          <w:color w:val="auto"/>
          <w:szCs w:val="23"/>
        </w:rPr>
        <w:t>投标函附录</w:t>
      </w:r>
      <w:bookmarkEnd w:id="771"/>
      <w:bookmarkEnd w:id="772"/>
      <w:bookmarkEnd w:id="773"/>
      <w:bookmarkEnd w:id="774"/>
      <w:bookmarkEnd w:id="775"/>
      <w:bookmarkEnd w:id="776"/>
      <w:bookmarkEnd w:id="777"/>
      <w:bookmarkEnd w:id="778"/>
      <w:bookmarkEnd w:id="779"/>
      <w:bookmarkEnd w:id="780"/>
    </w:p>
    <w:tbl>
      <w:tblPr>
        <w:tblStyle w:val="28"/>
        <w:tblpPr w:leftFromText="180" w:rightFromText="180" w:vertAnchor="text" w:horzAnchor="page" w:tblpX="1417" w:tblpY="706"/>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2145"/>
        <w:gridCol w:w="142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exact"/>
        </w:trPr>
        <w:tc>
          <w:tcPr>
            <w:tcW w:w="3111" w:type="dxa"/>
            <w:vAlign w:val="center"/>
          </w:tcPr>
          <w:p>
            <w:pPr>
              <w:spacing w:line="460" w:lineRule="exact"/>
              <w:jc w:val="center"/>
              <w:rPr>
                <w:rFonts w:ascii="宋体" w:hAnsi="宋体"/>
                <w:color w:val="auto"/>
                <w:sz w:val="24"/>
              </w:rPr>
            </w:pPr>
            <w:r>
              <w:rPr>
                <w:rFonts w:hint="eastAsia" w:ascii="宋体" w:hAnsi="宋体"/>
                <w:color w:val="auto"/>
                <w:sz w:val="24"/>
              </w:rPr>
              <w:t>项目名称、标段</w:t>
            </w:r>
          </w:p>
        </w:tc>
        <w:tc>
          <w:tcPr>
            <w:tcW w:w="5836" w:type="dxa"/>
            <w:gridSpan w:val="3"/>
            <w:vAlign w:val="center"/>
          </w:tcPr>
          <w:p>
            <w:pPr>
              <w:spacing w:line="460" w:lineRule="exact"/>
              <w:jc w:val="center"/>
              <w:rPr>
                <w:rFonts w:ascii="宋体" w:hAnsi="宋体"/>
                <w:color w:val="auto"/>
                <w:sz w:val="24"/>
              </w:rPr>
            </w:pPr>
          </w:p>
          <w:p>
            <w:pPr>
              <w:spacing w:line="460" w:lineRule="exact"/>
              <w:jc w:val="center"/>
              <w:rPr>
                <w:rFonts w:ascii="宋体" w:hAnsi="宋体"/>
                <w:color w:val="auto"/>
                <w:sz w:val="24"/>
              </w:rPr>
            </w:pPr>
          </w:p>
          <w:p>
            <w:pPr>
              <w:spacing w:line="46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exact"/>
        </w:trPr>
        <w:tc>
          <w:tcPr>
            <w:tcW w:w="3111" w:type="dxa"/>
            <w:vAlign w:val="center"/>
          </w:tcPr>
          <w:p>
            <w:pPr>
              <w:spacing w:line="460" w:lineRule="exact"/>
              <w:jc w:val="center"/>
              <w:rPr>
                <w:rFonts w:ascii="宋体" w:hAnsi="宋体"/>
                <w:color w:val="auto"/>
                <w:sz w:val="24"/>
              </w:rPr>
            </w:pPr>
            <w:r>
              <w:rPr>
                <w:rFonts w:hint="eastAsia" w:ascii="宋体" w:hAnsi="宋体"/>
                <w:color w:val="auto"/>
                <w:sz w:val="24"/>
              </w:rPr>
              <w:t>投标人</w:t>
            </w:r>
          </w:p>
        </w:tc>
        <w:tc>
          <w:tcPr>
            <w:tcW w:w="5836" w:type="dxa"/>
            <w:gridSpan w:val="3"/>
            <w:vAlign w:val="center"/>
          </w:tcPr>
          <w:p>
            <w:pPr>
              <w:spacing w:line="46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exact"/>
        </w:trPr>
        <w:tc>
          <w:tcPr>
            <w:tcW w:w="3111" w:type="dxa"/>
            <w:vAlign w:val="center"/>
          </w:tcPr>
          <w:p>
            <w:pPr>
              <w:spacing w:line="460" w:lineRule="exact"/>
              <w:jc w:val="center"/>
              <w:rPr>
                <w:rFonts w:ascii="宋体" w:hAnsi="宋体"/>
                <w:color w:val="auto"/>
                <w:sz w:val="24"/>
              </w:rPr>
            </w:pPr>
            <w:r>
              <w:rPr>
                <w:rFonts w:hint="eastAsia" w:ascii="宋体" w:hAnsi="宋体"/>
                <w:color w:val="auto"/>
                <w:sz w:val="24"/>
                <w:lang w:val="en-US" w:eastAsia="zh-CN"/>
              </w:rPr>
              <w:t>投标</w:t>
            </w:r>
            <w:r>
              <w:rPr>
                <w:rFonts w:hint="eastAsia" w:ascii="宋体" w:hAnsi="宋体"/>
                <w:color w:val="auto"/>
                <w:sz w:val="24"/>
              </w:rPr>
              <w:t>范围</w:t>
            </w:r>
          </w:p>
        </w:tc>
        <w:tc>
          <w:tcPr>
            <w:tcW w:w="5836"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exact"/>
        </w:trPr>
        <w:tc>
          <w:tcPr>
            <w:tcW w:w="3111" w:type="dxa"/>
            <w:vAlign w:val="center"/>
          </w:tcPr>
          <w:p>
            <w:pPr>
              <w:spacing w:line="460" w:lineRule="exact"/>
              <w:jc w:val="center"/>
              <w:rPr>
                <w:rFonts w:ascii="宋体" w:hAnsi="宋体"/>
                <w:color w:val="auto"/>
                <w:sz w:val="24"/>
              </w:rPr>
            </w:pPr>
            <w:r>
              <w:rPr>
                <w:rFonts w:hint="eastAsia" w:ascii="宋体" w:hAnsi="宋体"/>
                <w:color w:val="auto"/>
                <w:sz w:val="24"/>
              </w:rPr>
              <w:t>投标报价</w:t>
            </w:r>
          </w:p>
        </w:tc>
        <w:tc>
          <w:tcPr>
            <w:tcW w:w="5836" w:type="dxa"/>
            <w:gridSpan w:val="3"/>
            <w:vAlign w:val="center"/>
          </w:tcPr>
          <w:p>
            <w:pPr>
              <w:spacing w:line="440" w:lineRule="exact"/>
              <w:jc w:val="left"/>
              <w:rPr>
                <w:rFonts w:ascii="宋体" w:hAnsi="宋体"/>
                <w:color w:val="auto"/>
                <w:szCs w:val="21"/>
              </w:rPr>
            </w:pPr>
            <w:r>
              <w:rPr>
                <w:rFonts w:hint="eastAsia" w:ascii="宋体" w:hAnsi="宋体"/>
                <w:color w:val="auto"/>
                <w:szCs w:val="21"/>
              </w:rPr>
              <w:t>小写：</w:t>
            </w:r>
          </w:p>
          <w:p>
            <w:pPr>
              <w:spacing w:line="460" w:lineRule="exact"/>
              <w:jc w:val="left"/>
              <w:rPr>
                <w:rFonts w:ascii="宋体" w:hAnsi="宋体"/>
                <w:color w:val="auto"/>
                <w:sz w:val="24"/>
                <w:u w:val="single"/>
              </w:rPr>
            </w:pPr>
            <w:r>
              <w:rPr>
                <w:rFonts w:hint="eastAsia" w:ascii="宋体" w:hAnsi="宋体"/>
                <w:color w:val="auto"/>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exact"/>
        </w:trPr>
        <w:tc>
          <w:tcPr>
            <w:tcW w:w="3111" w:type="dxa"/>
            <w:vAlign w:val="center"/>
          </w:tcPr>
          <w:p>
            <w:pPr>
              <w:spacing w:line="460" w:lineRule="exact"/>
              <w:jc w:val="center"/>
              <w:rPr>
                <w:rFonts w:ascii="宋体" w:hAnsi="宋体"/>
                <w:color w:val="auto"/>
                <w:sz w:val="24"/>
              </w:rPr>
            </w:pPr>
            <w:r>
              <w:rPr>
                <w:rFonts w:hint="eastAsia" w:ascii="宋体" w:hAnsi="宋体"/>
                <w:color w:val="auto"/>
                <w:sz w:val="24"/>
              </w:rPr>
              <w:t>质量</w:t>
            </w:r>
          </w:p>
        </w:tc>
        <w:tc>
          <w:tcPr>
            <w:tcW w:w="5836" w:type="dxa"/>
            <w:gridSpan w:val="3"/>
            <w:vAlign w:val="center"/>
          </w:tcPr>
          <w:p>
            <w:pPr>
              <w:spacing w:line="40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3111" w:type="dxa"/>
            <w:vAlign w:val="center"/>
          </w:tcPr>
          <w:p>
            <w:pPr>
              <w:spacing w:line="460" w:lineRule="exact"/>
              <w:jc w:val="center"/>
              <w:rPr>
                <w:rFonts w:ascii="宋体" w:hAnsi="宋体"/>
                <w:color w:val="auto"/>
                <w:sz w:val="24"/>
              </w:rPr>
            </w:pPr>
            <w:r>
              <w:rPr>
                <w:rFonts w:hint="eastAsia"/>
                <w:color w:val="auto"/>
                <w:sz w:val="24"/>
              </w:rPr>
              <w:t>监理服务期限</w:t>
            </w:r>
          </w:p>
        </w:tc>
        <w:tc>
          <w:tcPr>
            <w:tcW w:w="5836" w:type="dxa"/>
            <w:gridSpan w:val="3"/>
            <w:vAlign w:val="center"/>
          </w:tcPr>
          <w:p>
            <w:pPr>
              <w:spacing w:line="400" w:lineRule="exact"/>
              <w:rPr>
                <w:rFonts w:asci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3111" w:type="dxa"/>
            <w:vAlign w:val="center"/>
          </w:tcPr>
          <w:p>
            <w:pPr>
              <w:spacing w:line="460" w:lineRule="exact"/>
              <w:jc w:val="center"/>
              <w:rPr>
                <w:rFonts w:ascii="宋体" w:hAnsi="宋体"/>
                <w:color w:val="auto"/>
                <w:kern w:val="0"/>
                <w:sz w:val="24"/>
              </w:rPr>
            </w:pPr>
            <w:r>
              <w:rPr>
                <w:rFonts w:hint="eastAsia" w:ascii="宋体" w:hAnsi="宋体"/>
                <w:color w:val="auto"/>
                <w:kern w:val="0"/>
                <w:sz w:val="24"/>
              </w:rPr>
              <w:t>项目总监理工程师</w:t>
            </w:r>
          </w:p>
        </w:tc>
        <w:tc>
          <w:tcPr>
            <w:tcW w:w="2145" w:type="dxa"/>
            <w:vAlign w:val="center"/>
          </w:tcPr>
          <w:p>
            <w:pPr>
              <w:spacing w:line="460" w:lineRule="exact"/>
              <w:jc w:val="center"/>
              <w:rPr>
                <w:rFonts w:ascii="宋体" w:hAnsi="宋体"/>
                <w:color w:val="auto"/>
                <w:sz w:val="24"/>
              </w:rPr>
            </w:pPr>
          </w:p>
        </w:tc>
        <w:tc>
          <w:tcPr>
            <w:tcW w:w="1425" w:type="dxa"/>
            <w:vAlign w:val="center"/>
          </w:tcPr>
          <w:p>
            <w:pPr>
              <w:spacing w:line="460" w:lineRule="exact"/>
              <w:jc w:val="center"/>
              <w:rPr>
                <w:rFonts w:ascii="宋体" w:hAnsi="宋体"/>
                <w:color w:val="auto"/>
                <w:sz w:val="24"/>
              </w:rPr>
            </w:pPr>
            <w:r>
              <w:rPr>
                <w:rFonts w:hint="eastAsia" w:ascii="宋体" w:hAnsi="宋体"/>
                <w:color w:val="auto"/>
                <w:sz w:val="24"/>
              </w:rPr>
              <w:t>注册证号</w:t>
            </w:r>
          </w:p>
        </w:tc>
        <w:tc>
          <w:tcPr>
            <w:tcW w:w="2266" w:type="dxa"/>
            <w:vAlign w:val="center"/>
          </w:tcPr>
          <w:p>
            <w:pPr>
              <w:spacing w:line="46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exact"/>
        </w:trPr>
        <w:tc>
          <w:tcPr>
            <w:tcW w:w="3111" w:type="dxa"/>
            <w:vAlign w:val="center"/>
          </w:tcPr>
          <w:p>
            <w:pPr>
              <w:spacing w:line="460" w:lineRule="exact"/>
              <w:jc w:val="center"/>
              <w:rPr>
                <w:color w:val="auto"/>
                <w:sz w:val="24"/>
              </w:rPr>
            </w:pPr>
            <w:r>
              <w:rPr>
                <w:rFonts w:hint="eastAsia"/>
                <w:color w:val="auto"/>
                <w:sz w:val="24"/>
              </w:rPr>
              <w:t>企业规模</w:t>
            </w:r>
          </w:p>
          <w:p>
            <w:pPr>
              <w:spacing w:line="460" w:lineRule="exact"/>
              <w:jc w:val="center"/>
              <w:rPr>
                <w:color w:val="auto"/>
                <w:sz w:val="24"/>
              </w:rPr>
            </w:pPr>
            <w:r>
              <w:rPr>
                <w:rFonts w:hint="eastAsia"/>
                <w:color w:val="auto"/>
                <w:sz w:val="24"/>
              </w:rPr>
              <w:t>（大型、中型、小型、微型）</w:t>
            </w:r>
          </w:p>
        </w:tc>
        <w:tc>
          <w:tcPr>
            <w:tcW w:w="5836" w:type="dxa"/>
            <w:gridSpan w:val="3"/>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exact"/>
        </w:trPr>
        <w:tc>
          <w:tcPr>
            <w:tcW w:w="3111" w:type="dxa"/>
            <w:vAlign w:val="center"/>
          </w:tcPr>
          <w:p>
            <w:pPr>
              <w:spacing w:line="460" w:lineRule="exact"/>
              <w:jc w:val="center"/>
              <w:rPr>
                <w:rFonts w:hint="eastAsia"/>
                <w:color w:val="auto"/>
                <w:sz w:val="24"/>
              </w:rPr>
            </w:pPr>
            <w:r>
              <w:rPr>
                <w:rFonts w:hint="eastAsia"/>
                <w:color w:val="auto"/>
                <w:sz w:val="24"/>
              </w:rPr>
              <w:t>联系人名字、联系电话(必须填写手机号)、邮箱</w:t>
            </w:r>
          </w:p>
        </w:tc>
        <w:tc>
          <w:tcPr>
            <w:tcW w:w="5836" w:type="dxa"/>
            <w:gridSpan w:val="3"/>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exact"/>
        </w:trPr>
        <w:tc>
          <w:tcPr>
            <w:tcW w:w="3111" w:type="dxa"/>
            <w:tcBorders>
              <w:bottom w:val="single" w:color="auto" w:sz="4" w:space="0"/>
            </w:tcBorders>
            <w:vAlign w:val="center"/>
          </w:tcPr>
          <w:p>
            <w:pPr>
              <w:spacing w:line="460" w:lineRule="exact"/>
              <w:jc w:val="center"/>
              <w:rPr>
                <w:rFonts w:ascii="宋体" w:hAnsi="宋体"/>
                <w:color w:val="auto"/>
                <w:kern w:val="0"/>
                <w:sz w:val="24"/>
              </w:rPr>
            </w:pPr>
            <w:r>
              <w:rPr>
                <w:rFonts w:hint="eastAsia" w:ascii="宋体" w:hAnsi="宋体"/>
                <w:color w:val="auto"/>
                <w:kern w:val="0"/>
                <w:sz w:val="24"/>
              </w:rPr>
              <w:t>备注</w:t>
            </w:r>
          </w:p>
        </w:tc>
        <w:tc>
          <w:tcPr>
            <w:tcW w:w="5836" w:type="dxa"/>
            <w:gridSpan w:val="3"/>
            <w:tcBorders>
              <w:bottom w:val="single" w:color="auto" w:sz="4" w:space="0"/>
            </w:tcBorders>
            <w:vAlign w:val="center"/>
          </w:tcPr>
          <w:p>
            <w:pPr>
              <w:spacing w:line="460" w:lineRule="exact"/>
              <w:rPr>
                <w:rFonts w:ascii="宋体" w:hAnsi="宋体"/>
                <w:color w:val="auto"/>
                <w:sz w:val="24"/>
              </w:rPr>
            </w:pPr>
          </w:p>
        </w:tc>
      </w:tr>
    </w:tbl>
    <w:p>
      <w:pPr>
        <w:autoSpaceDE w:val="0"/>
        <w:autoSpaceDN w:val="0"/>
        <w:adjustRightInd w:val="0"/>
        <w:spacing w:line="420" w:lineRule="exact"/>
        <w:rPr>
          <w:rFonts w:ascii="宋体" w:hAnsi="宋体"/>
          <w:color w:val="auto"/>
          <w:kern w:val="0"/>
          <w:sz w:val="24"/>
        </w:rPr>
      </w:pPr>
    </w:p>
    <w:p>
      <w:pPr>
        <w:autoSpaceDE w:val="0"/>
        <w:autoSpaceDN w:val="0"/>
        <w:adjustRightInd w:val="0"/>
        <w:spacing w:line="420" w:lineRule="exact"/>
        <w:rPr>
          <w:rFonts w:ascii="宋体" w:hAnsi="宋体"/>
          <w:color w:val="auto"/>
          <w:kern w:val="0"/>
          <w:sz w:val="24"/>
        </w:rPr>
      </w:pPr>
    </w:p>
    <w:p>
      <w:pPr>
        <w:autoSpaceDE w:val="0"/>
        <w:autoSpaceDN w:val="0"/>
        <w:adjustRightInd w:val="0"/>
        <w:spacing w:line="420" w:lineRule="exact"/>
        <w:rPr>
          <w:rFonts w:ascii="宋体" w:hAnsi="宋体"/>
          <w:color w:val="auto"/>
          <w:kern w:val="0"/>
          <w:sz w:val="24"/>
        </w:rPr>
      </w:pPr>
    </w:p>
    <w:p>
      <w:pPr>
        <w:wordWrap w:val="0"/>
        <w:autoSpaceDE w:val="0"/>
        <w:autoSpaceDN w:val="0"/>
        <w:adjustRightInd w:val="0"/>
        <w:spacing w:line="420" w:lineRule="exact"/>
        <w:jc w:val="center"/>
        <w:rPr>
          <w:rFonts w:ascii="宋体" w:hAnsi="宋体"/>
          <w:color w:val="auto"/>
          <w:kern w:val="0"/>
          <w:sz w:val="24"/>
        </w:rPr>
      </w:pPr>
      <w:r>
        <w:rPr>
          <w:rFonts w:hint="eastAsia" w:ascii="宋体" w:hAnsi="宋体"/>
          <w:color w:val="auto"/>
          <w:kern w:val="0"/>
          <w:sz w:val="24"/>
        </w:rPr>
        <w:t xml:space="preserve">                              投标人：</w:t>
      </w:r>
      <w:r>
        <w:rPr>
          <w:rFonts w:hint="eastAsia" w:ascii="宋体" w:hAnsi="宋体" w:cs="TimesNewRomanPSMT"/>
          <w:color w:val="auto"/>
          <w:kern w:val="0"/>
          <w:sz w:val="24"/>
          <w:u w:val="single"/>
        </w:rPr>
        <w:t xml:space="preserve">                    </w:t>
      </w:r>
      <w:r>
        <w:rPr>
          <w:rFonts w:hint="eastAsia" w:ascii="宋体" w:hAnsi="宋体"/>
          <w:color w:val="auto"/>
          <w:kern w:val="0"/>
          <w:sz w:val="24"/>
        </w:rPr>
        <w:t>（</w:t>
      </w:r>
      <w:r>
        <w:rPr>
          <w:rFonts w:hint="eastAsia" w:ascii="宋体" w:hAnsi="宋体"/>
          <w:color w:val="auto"/>
          <w:sz w:val="24"/>
        </w:rPr>
        <w:t>电子印章</w:t>
      </w:r>
      <w:r>
        <w:rPr>
          <w:rFonts w:hint="eastAsia" w:ascii="宋体" w:hAnsi="宋体"/>
          <w:color w:val="auto"/>
          <w:kern w:val="0"/>
          <w:sz w:val="24"/>
        </w:rPr>
        <w:t>）</w:t>
      </w:r>
    </w:p>
    <w:p>
      <w:pPr>
        <w:autoSpaceDE w:val="0"/>
        <w:autoSpaceDN w:val="0"/>
        <w:adjustRightInd w:val="0"/>
        <w:spacing w:line="420" w:lineRule="exact"/>
        <w:jc w:val="center"/>
        <w:rPr>
          <w:rFonts w:ascii="宋体" w:hAnsi="宋体"/>
          <w:color w:val="auto"/>
          <w:kern w:val="0"/>
          <w:sz w:val="24"/>
        </w:rPr>
      </w:pPr>
      <w:r>
        <w:rPr>
          <w:rFonts w:hint="eastAsia" w:ascii="宋体" w:hAnsi="宋体"/>
          <w:color w:val="auto"/>
          <w:kern w:val="0"/>
          <w:sz w:val="24"/>
        </w:rPr>
        <w:t xml:space="preserve">                    法定代表人或其委托代理人：</w:t>
      </w:r>
      <w:r>
        <w:rPr>
          <w:rFonts w:hint="eastAsia" w:ascii="宋体" w:hAnsi="宋体" w:cs="TimesNewRomanPSMT"/>
          <w:color w:val="auto"/>
          <w:kern w:val="0"/>
          <w:sz w:val="24"/>
          <w:u w:val="single"/>
        </w:rPr>
        <w:t xml:space="preserve">             </w:t>
      </w:r>
      <w:r>
        <w:rPr>
          <w:rFonts w:hint="eastAsia" w:ascii="宋体" w:hAnsi="宋体"/>
          <w:color w:val="auto"/>
          <w:kern w:val="0"/>
          <w:sz w:val="24"/>
        </w:rPr>
        <w:t>（</w:t>
      </w:r>
      <w:r>
        <w:rPr>
          <w:rFonts w:hint="eastAsia" w:ascii="宋体" w:hAnsi="宋体"/>
          <w:color w:val="auto"/>
          <w:sz w:val="24"/>
        </w:rPr>
        <w:t>电子签章</w:t>
      </w:r>
      <w:r>
        <w:rPr>
          <w:rFonts w:hint="eastAsia" w:ascii="宋体" w:hAnsi="宋体"/>
          <w:color w:val="auto"/>
          <w:kern w:val="0"/>
          <w:sz w:val="24"/>
        </w:rPr>
        <w:t>）</w:t>
      </w:r>
    </w:p>
    <w:p>
      <w:pPr>
        <w:spacing w:line="360" w:lineRule="auto"/>
        <w:ind w:left="-142" w:right="480"/>
        <w:jc w:val="right"/>
        <w:rPr>
          <w:color w:val="auto"/>
          <w:sz w:val="24"/>
        </w:rPr>
      </w:pPr>
      <w:r>
        <w:rPr>
          <w:rFonts w:hint="eastAsia" w:ascii="宋体" w:hAnsi="宋体"/>
          <w:color w:val="auto"/>
          <w:kern w:val="0"/>
          <w:sz w:val="24"/>
        </w:rPr>
        <w:t xml:space="preserve">                           </w:t>
      </w:r>
      <w:r>
        <w:rPr>
          <w:rFonts w:hint="eastAsia" w:ascii="宋体" w:hAnsi="宋体" w:cs="TimesNewRomanPSMT"/>
          <w:color w:val="auto"/>
          <w:kern w:val="0"/>
          <w:sz w:val="24"/>
          <w:u w:val="single"/>
        </w:rPr>
        <w:t xml:space="preserve">       </w:t>
      </w:r>
      <w:r>
        <w:rPr>
          <w:rFonts w:hint="eastAsia" w:ascii="宋体" w:hAnsi="宋体" w:cs="仿宋_GB2312"/>
          <w:color w:val="auto"/>
          <w:kern w:val="0"/>
          <w:sz w:val="24"/>
        </w:rPr>
        <w:t>年</w:t>
      </w:r>
      <w:r>
        <w:rPr>
          <w:rFonts w:hint="eastAsia" w:ascii="宋体" w:hAnsi="宋体" w:cs="TimesNewRomanPSMT"/>
          <w:color w:val="auto"/>
          <w:kern w:val="0"/>
          <w:sz w:val="24"/>
          <w:u w:val="single"/>
        </w:rPr>
        <w:t xml:space="preserve">      </w:t>
      </w:r>
      <w:r>
        <w:rPr>
          <w:rFonts w:hint="eastAsia" w:ascii="宋体" w:hAnsi="宋体" w:cs="仿宋_GB2312"/>
          <w:color w:val="auto"/>
          <w:kern w:val="0"/>
          <w:sz w:val="24"/>
        </w:rPr>
        <w:t>月</w:t>
      </w:r>
      <w:r>
        <w:rPr>
          <w:rFonts w:hint="eastAsia" w:ascii="宋体" w:hAnsi="宋体" w:cs="TimesNewRomanPSMT"/>
          <w:color w:val="auto"/>
          <w:kern w:val="0"/>
          <w:sz w:val="24"/>
          <w:u w:val="single"/>
        </w:rPr>
        <w:t xml:space="preserve">      </w:t>
      </w:r>
      <w:r>
        <w:rPr>
          <w:rFonts w:hint="eastAsia" w:ascii="宋体" w:hAnsi="宋体" w:cs="TimesNewRomanPSMT"/>
          <w:color w:val="auto"/>
          <w:kern w:val="0"/>
          <w:sz w:val="24"/>
        </w:rPr>
        <w:t>日</w:t>
      </w:r>
    </w:p>
    <w:p>
      <w:pPr>
        <w:wordWrap w:val="0"/>
        <w:autoSpaceDE w:val="0"/>
        <w:autoSpaceDN w:val="0"/>
        <w:adjustRightInd w:val="0"/>
        <w:spacing w:line="420" w:lineRule="exact"/>
        <w:jc w:val="center"/>
        <w:rPr>
          <w:rFonts w:ascii="宋体" w:hAnsi="宋体"/>
          <w:color w:val="auto"/>
          <w:kern w:val="0"/>
          <w:sz w:val="24"/>
        </w:rPr>
      </w:pPr>
    </w:p>
    <w:p>
      <w:pPr>
        <w:pStyle w:val="57"/>
        <w:jc w:val="center"/>
        <w:rPr>
          <w:rFonts w:ascii="宋体" w:hAnsi="宋体" w:eastAsia="宋体"/>
          <w:b/>
          <w:color w:val="auto"/>
          <w:sz w:val="30"/>
          <w:szCs w:val="30"/>
        </w:rPr>
      </w:pPr>
      <w:bookmarkStart w:id="781" w:name="_Toc152045791"/>
      <w:bookmarkStart w:id="782" w:name="_Toc152042580"/>
      <w:bookmarkStart w:id="783" w:name="_Toc489430550"/>
      <w:bookmarkStart w:id="784" w:name="_Toc489430910"/>
      <w:bookmarkStart w:id="785" w:name="_Toc144974860"/>
      <w:bookmarkStart w:id="786" w:name="_Toc30904"/>
    </w:p>
    <w:p>
      <w:pPr>
        <w:pStyle w:val="57"/>
        <w:jc w:val="center"/>
        <w:rPr>
          <w:rFonts w:ascii="宋体" w:hAnsi="宋体" w:eastAsia="宋体"/>
          <w:b/>
          <w:color w:val="auto"/>
          <w:sz w:val="30"/>
          <w:szCs w:val="30"/>
        </w:rPr>
      </w:pPr>
      <w:bookmarkStart w:id="787" w:name="_Toc116314151"/>
      <w:r>
        <w:rPr>
          <w:rFonts w:hint="eastAsia" w:ascii="宋体" w:hAnsi="宋体" w:eastAsia="宋体"/>
          <w:b/>
          <w:color w:val="auto"/>
          <w:sz w:val="30"/>
          <w:szCs w:val="30"/>
        </w:rPr>
        <w:t>二、法定代表人身份证明</w:t>
      </w:r>
      <w:bookmarkEnd w:id="781"/>
      <w:bookmarkEnd w:id="782"/>
      <w:bookmarkEnd w:id="783"/>
      <w:bookmarkEnd w:id="784"/>
      <w:bookmarkEnd w:id="785"/>
      <w:bookmarkEnd w:id="786"/>
      <w:bookmarkEnd w:id="787"/>
    </w:p>
    <w:p>
      <w:pPr>
        <w:spacing w:line="440" w:lineRule="exact"/>
        <w:rPr>
          <w:rFonts w:ascii="宋体" w:hAnsi="宋体"/>
          <w:color w:val="auto"/>
          <w:sz w:val="20"/>
          <w:szCs w:val="20"/>
        </w:rPr>
      </w:pP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p>
    <w:p>
      <w:pPr>
        <w:spacing w:line="440" w:lineRule="exact"/>
        <w:rPr>
          <w:rFonts w:ascii="宋体" w:hAnsi="宋体"/>
          <w:color w:val="auto"/>
          <w:sz w:val="24"/>
          <w:u w:val="single"/>
        </w:rPr>
      </w:pPr>
      <w:r>
        <w:rPr>
          <w:rFonts w:hint="eastAsia" w:ascii="宋体" w:hAnsi="宋体"/>
          <w:color w:val="auto"/>
          <w:sz w:val="24"/>
        </w:rPr>
        <w:t>单位性质：</w:t>
      </w:r>
      <w:r>
        <w:rPr>
          <w:rFonts w:hint="eastAsia" w:ascii="宋体" w:hAnsi="宋体"/>
          <w:color w:val="auto"/>
          <w:sz w:val="24"/>
          <w:u w:val="single"/>
        </w:rPr>
        <w:t xml:space="preserve">                                                          </w:t>
      </w:r>
    </w:p>
    <w:p>
      <w:pPr>
        <w:spacing w:line="440" w:lineRule="exact"/>
        <w:rPr>
          <w:rFonts w:ascii="宋体" w:hAnsi="宋体"/>
          <w:color w:val="auto"/>
          <w:sz w:val="24"/>
          <w:u w:val="single"/>
        </w:rPr>
      </w:pPr>
      <w:r>
        <w:rPr>
          <w:rFonts w:hint="eastAsia" w:ascii="宋体" w:hAnsi="宋体"/>
          <w:color w:val="auto"/>
          <w:sz w:val="24"/>
        </w:rPr>
        <w:t>地址（营业执照注册地址）：</w:t>
      </w:r>
      <w:r>
        <w:rPr>
          <w:rFonts w:hint="eastAsia" w:ascii="宋体" w:hAnsi="宋体"/>
          <w:color w:val="auto"/>
          <w:sz w:val="24"/>
          <w:u w:val="single"/>
        </w:rPr>
        <w:t xml:space="preserve">                                                        </w:t>
      </w:r>
    </w:p>
    <w:p>
      <w:pPr>
        <w:spacing w:line="440" w:lineRule="exact"/>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440" w:lineRule="exact"/>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440" w:lineRule="exact"/>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440" w:lineRule="exact"/>
        <w:rPr>
          <w:rFonts w:ascii="宋体" w:hAnsi="宋体"/>
          <w:color w:val="auto"/>
          <w:sz w:val="24"/>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440" w:lineRule="exact"/>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（投标人名称）的法定代表人。</w:t>
      </w:r>
    </w:p>
    <w:p>
      <w:pPr>
        <w:spacing w:line="440" w:lineRule="exact"/>
        <w:rPr>
          <w:rFonts w:ascii="宋体" w:hAnsi="宋体"/>
          <w:color w:val="auto"/>
          <w:sz w:val="24"/>
        </w:rPr>
      </w:pPr>
      <w:r>
        <w:rPr>
          <w:rFonts w:hint="eastAsia" w:ascii="宋体" w:hAnsi="宋体"/>
          <w:color w:val="auto"/>
          <w:sz w:val="24"/>
        </w:rPr>
        <w:t>特此证明。</w:t>
      </w:r>
    </w:p>
    <w:p>
      <w:pPr>
        <w:spacing w:line="440" w:lineRule="exact"/>
        <w:rPr>
          <w:rFonts w:ascii="宋体" w:hAnsi="宋体"/>
          <w:color w:val="auto"/>
          <w:sz w:val="24"/>
        </w:rPr>
      </w:pPr>
      <w:r>
        <w:rPr>
          <w:rFonts w:hint="eastAsia" w:ascii="宋体" w:hAnsi="宋体"/>
          <w:color w:val="auto"/>
          <w:sz w:val="24"/>
        </w:rPr>
        <w:t>（附：法定代表人身份证原件扫描件（或图片））</w:t>
      </w: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jc w:val="right"/>
        <w:rPr>
          <w:rFonts w:ascii="宋体" w:hAnsi="宋体"/>
          <w:color w:val="auto"/>
          <w:sz w:val="24"/>
        </w:rPr>
      </w:pPr>
    </w:p>
    <w:p>
      <w:pPr>
        <w:spacing w:line="440" w:lineRule="exact"/>
        <w:jc w:val="right"/>
        <w:rPr>
          <w:rFonts w:ascii="宋体" w:hAnsi="宋体"/>
          <w:color w:val="auto"/>
          <w:sz w:val="24"/>
        </w:rPr>
      </w:pPr>
      <w:r>
        <w:rPr>
          <w:rFonts w:hint="eastAsia" w:ascii="宋体" w:hAnsi="宋体"/>
          <w:color w:val="auto"/>
          <w:sz w:val="24"/>
        </w:rPr>
        <w:t>投标人：</w:t>
      </w:r>
      <w:r>
        <w:rPr>
          <w:rFonts w:hint="eastAsia" w:ascii="宋体" w:hAnsi="宋体"/>
          <w:color w:val="auto"/>
          <w:sz w:val="24"/>
          <w:u w:val="single"/>
        </w:rPr>
        <w:t xml:space="preserve">                    </w:t>
      </w:r>
      <w:r>
        <w:rPr>
          <w:rFonts w:hint="eastAsia" w:ascii="宋体" w:hAnsi="宋体"/>
          <w:color w:val="auto"/>
          <w:sz w:val="24"/>
        </w:rPr>
        <w:t>（电子印章）</w:t>
      </w:r>
    </w:p>
    <w:p>
      <w:pPr>
        <w:spacing w:line="440" w:lineRule="exact"/>
        <w:jc w:val="right"/>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440" w:lineRule="exact"/>
        <w:jc w:val="right"/>
        <w:rPr>
          <w:rFonts w:ascii="宋体" w:hAnsi="宋体"/>
          <w:color w:val="auto"/>
          <w:sz w:val="24"/>
        </w:rPr>
      </w:pPr>
    </w:p>
    <w:p>
      <w:pPr>
        <w:spacing w:line="440" w:lineRule="exact"/>
        <w:jc w:val="right"/>
        <w:rPr>
          <w:rFonts w:ascii="宋体" w:hAnsi="宋体"/>
          <w:color w:val="auto"/>
          <w:sz w:val="24"/>
        </w:rPr>
      </w:pPr>
    </w:p>
    <w:p>
      <w:pPr>
        <w:spacing w:line="440" w:lineRule="exact"/>
        <w:jc w:val="right"/>
        <w:rPr>
          <w:rFonts w:ascii="宋体" w:hAnsi="宋体"/>
          <w:color w:val="auto"/>
          <w:sz w:val="24"/>
        </w:rPr>
      </w:pPr>
      <w:r>
        <w:rPr>
          <w:rFonts w:hint="eastAsia" w:ascii="宋体" w:hAnsi="宋体"/>
          <w:color w:val="auto"/>
          <w:sz w:val="24"/>
        </w:rPr>
        <w:br w:type="page"/>
      </w:r>
    </w:p>
    <w:p>
      <w:pPr>
        <w:pStyle w:val="57"/>
        <w:jc w:val="center"/>
        <w:rPr>
          <w:rFonts w:ascii="宋体" w:hAnsi="宋体" w:eastAsia="宋体"/>
          <w:b/>
          <w:color w:val="auto"/>
          <w:sz w:val="30"/>
          <w:szCs w:val="30"/>
        </w:rPr>
      </w:pPr>
      <w:bookmarkStart w:id="788" w:name="_Toc489430551"/>
      <w:bookmarkStart w:id="789" w:name="_Toc23227"/>
      <w:bookmarkStart w:id="790" w:name="_Toc144974861"/>
      <w:bookmarkStart w:id="791" w:name="_Toc489430911"/>
      <w:bookmarkStart w:id="792" w:name="_Toc152042581"/>
      <w:bookmarkStart w:id="793" w:name="_Toc116314152"/>
      <w:bookmarkStart w:id="794" w:name="_Toc152045792"/>
      <w:r>
        <w:rPr>
          <w:rFonts w:hint="eastAsia" w:ascii="宋体" w:hAnsi="宋体" w:eastAsia="宋体"/>
          <w:b/>
          <w:color w:val="auto"/>
          <w:sz w:val="30"/>
          <w:szCs w:val="30"/>
        </w:rPr>
        <w:t>三、授权委托书</w:t>
      </w:r>
      <w:bookmarkEnd w:id="788"/>
      <w:bookmarkEnd w:id="789"/>
      <w:bookmarkEnd w:id="790"/>
      <w:bookmarkEnd w:id="791"/>
      <w:bookmarkEnd w:id="792"/>
      <w:bookmarkEnd w:id="793"/>
      <w:bookmarkEnd w:id="794"/>
    </w:p>
    <w:p>
      <w:pPr>
        <w:spacing w:line="440" w:lineRule="exact"/>
        <w:rPr>
          <w:rFonts w:ascii="宋体" w:hAnsi="宋体"/>
          <w:color w:val="auto"/>
          <w:szCs w:val="21"/>
        </w:rPr>
      </w:pPr>
    </w:p>
    <w:p>
      <w:pPr>
        <w:topLinePunct/>
        <w:spacing w:line="440" w:lineRule="exact"/>
        <w:ind w:firstLine="480" w:firstLineChars="200"/>
        <w:rPr>
          <w:rFonts w:ascii="宋体" w:hAnsi="宋体"/>
          <w:color w:val="auto"/>
          <w:sz w:val="24"/>
          <w:u w:val="single"/>
        </w:rPr>
      </w:pPr>
      <w:bookmarkStart w:id="795" w:name="_Toc152045793"/>
      <w:bookmarkStart w:id="796" w:name="_Toc508911288"/>
      <w:bookmarkStart w:id="797" w:name="_Toc247514285"/>
      <w:bookmarkStart w:id="798" w:name="_Toc247527833"/>
      <w:bookmarkStart w:id="799" w:name="_Toc152042582"/>
      <w:bookmarkStart w:id="800" w:name="_Toc152042583"/>
      <w:bookmarkStart w:id="801" w:name="_Toc152045794"/>
      <w:r>
        <w:rPr>
          <w:rFonts w:hint="eastAsia" w:ascii="宋体" w:hAnsi="宋体"/>
          <w:color w:val="auto"/>
          <w:sz w:val="24"/>
        </w:rPr>
        <w:t xml:space="preserve">本人 </w:t>
      </w:r>
      <w:r>
        <w:rPr>
          <w:rFonts w:hint="eastAsia" w:ascii="宋体" w:hAnsi="宋体" w:cs="宋体"/>
          <w:color w:val="auto"/>
          <w:sz w:val="24"/>
          <w:u w:val="single"/>
        </w:rPr>
        <w:t xml:space="preserve">         </w:t>
      </w:r>
      <w:r>
        <w:rPr>
          <w:rFonts w:hint="eastAsia" w:ascii="宋体" w:hAnsi="宋体"/>
          <w:color w:val="auto"/>
          <w:sz w:val="24"/>
        </w:rPr>
        <w:t xml:space="preserve">（姓名）系 </w:t>
      </w:r>
      <w:r>
        <w:rPr>
          <w:rFonts w:hint="eastAsia" w:ascii="宋体" w:hAnsi="宋体" w:cs="宋体"/>
          <w:color w:val="auto"/>
          <w:sz w:val="24"/>
          <w:u w:val="single"/>
        </w:rPr>
        <w:t xml:space="preserve">               </w:t>
      </w:r>
      <w:r>
        <w:rPr>
          <w:rFonts w:hint="eastAsia" w:ascii="宋体" w:hAnsi="宋体"/>
          <w:color w:val="auto"/>
          <w:sz w:val="24"/>
        </w:rPr>
        <w:t xml:space="preserve">（投标人名称）的法定代表人，现委托 </w:t>
      </w:r>
      <w:r>
        <w:rPr>
          <w:rFonts w:hint="eastAsia" w:ascii="宋体" w:hAnsi="宋体" w:cs="宋体"/>
          <w:color w:val="auto"/>
          <w:sz w:val="24"/>
          <w:u w:val="single"/>
        </w:rPr>
        <w:t xml:space="preserve">         </w:t>
      </w:r>
      <w:r>
        <w:rPr>
          <w:rFonts w:hint="eastAsia" w:ascii="宋体" w:hAnsi="宋体"/>
          <w:color w:val="auto"/>
          <w:sz w:val="24"/>
        </w:rPr>
        <w:t>（姓名）为我方代理人。代理人根据授权，以我方名义签署、澄清、说明、补正、递交、撤回、修改</w:t>
      </w:r>
      <w:r>
        <w:rPr>
          <w:rFonts w:hint="eastAsia" w:ascii="宋体" w:hAnsi="宋体" w:cs="宋体"/>
          <w:color w:val="auto"/>
          <w:sz w:val="24"/>
          <w:u w:val="single"/>
        </w:rPr>
        <w:t xml:space="preserve">             </w:t>
      </w:r>
      <w:r>
        <w:rPr>
          <w:rFonts w:hint="eastAsia" w:ascii="宋体" w:hAnsi="宋体"/>
          <w:color w:val="auto"/>
          <w:sz w:val="24"/>
        </w:rPr>
        <w:t>（项目名称、标段）投标文件、签订合同和处理有关事宜，其法律责任由我方承担。</w:t>
      </w:r>
    </w:p>
    <w:p>
      <w:pPr>
        <w:spacing w:line="440" w:lineRule="exact"/>
        <w:rPr>
          <w:rFonts w:ascii="宋体" w:hAnsi="宋体"/>
          <w:color w:val="auto"/>
          <w:sz w:val="24"/>
        </w:rPr>
      </w:pPr>
      <w:r>
        <w:rPr>
          <w:rFonts w:hint="eastAsia" w:ascii="宋体" w:hAnsi="宋体"/>
          <w:color w:val="auto"/>
          <w:sz w:val="24"/>
        </w:rPr>
        <w:t>委托期限:</w:t>
      </w:r>
      <w:r>
        <w:rPr>
          <w:rFonts w:hint="eastAsia" w:ascii="宋体" w:hAnsi="宋体" w:cs="宋体"/>
          <w:color w:val="auto"/>
          <w:sz w:val="24"/>
          <w:u w:val="single"/>
        </w:rPr>
        <w:t xml:space="preserve">                           </w:t>
      </w:r>
      <w:r>
        <w:rPr>
          <w:rFonts w:hint="eastAsia" w:ascii="宋体" w:hAnsi="宋体"/>
          <w:color w:val="auto"/>
          <w:sz w:val="24"/>
        </w:rPr>
        <w:t>。</w:t>
      </w:r>
    </w:p>
    <w:p>
      <w:pPr>
        <w:spacing w:line="440" w:lineRule="exact"/>
        <w:ind w:firstLine="480" w:firstLineChars="200"/>
        <w:rPr>
          <w:rFonts w:ascii="宋体" w:hAnsi="宋体"/>
          <w:color w:val="auto"/>
          <w:sz w:val="24"/>
        </w:rPr>
      </w:pPr>
      <w:r>
        <w:rPr>
          <w:rFonts w:hint="eastAsia" w:ascii="宋体" w:hAnsi="宋体"/>
          <w:color w:val="auto"/>
          <w:sz w:val="24"/>
        </w:rPr>
        <w:t>代理人无转委托权。</w:t>
      </w:r>
    </w:p>
    <w:p>
      <w:pPr>
        <w:spacing w:line="440" w:lineRule="exact"/>
        <w:ind w:firstLine="480" w:firstLineChars="200"/>
        <w:rPr>
          <w:rFonts w:ascii="宋体" w:hAnsi="宋体"/>
          <w:b w:val="0"/>
          <w:bCs w:val="0"/>
          <w:color w:val="auto"/>
          <w:sz w:val="24"/>
        </w:rPr>
      </w:pPr>
      <w:r>
        <w:rPr>
          <w:rFonts w:hint="eastAsia" w:ascii="宋体" w:hAnsi="宋体"/>
          <w:b w:val="0"/>
          <w:bCs w:val="0"/>
          <w:color w:val="auto"/>
          <w:sz w:val="24"/>
        </w:rPr>
        <w:t>附：授权委托人身份证原件扫描件（或图片）。</w:t>
      </w:r>
    </w:p>
    <w:p>
      <w:pPr>
        <w:spacing w:line="440" w:lineRule="exact"/>
        <w:rPr>
          <w:rFonts w:ascii="宋体" w:hAnsi="宋体"/>
          <w:color w:val="auto"/>
          <w:sz w:val="24"/>
        </w:rPr>
      </w:pPr>
    </w:p>
    <w:p>
      <w:pPr>
        <w:spacing w:line="440" w:lineRule="exact"/>
        <w:rPr>
          <w:rFonts w:ascii="宋体" w:hAnsi="宋体"/>
          <w:color w:val="auto"/>
          <w:sz w:val="24"/>
        </w:rPr>
      </w:pPr>
    </w:p>
    <w:p>
      <w:pPr>
        <w:spacing w:line="440" w:lineRule="exact"/>
        <w:jc w:val="center"/>
        <w:rPr>
          <w:rFonts w:ascii="宋体" w:hAnsi="宋体"/>
          <w:color w:val="auto"/>
          <w:sz w:val="24"/>
          <w:u w:val="single"/>
        </w:rPr>
      </w:pPr>
      <w:r>
        <w:rPr>
          <w:rFonts w:hint="eastAsia" w:ascii="宋体" w:hAnsi="宋体"/>
          <w:color w:val="auto"/>
          <w:sz w:val="24"/>
        </w:rPr>
        <w:t xml:space="preserve">                              投标人： </w:t>
      </w:r>
      <w:r>
        <w:rPr>
          <w:rFonts w:hint="eastAsia" w:ascii="宋体" w:hAnsi="宋体" w:cs="宋体"/>
          <w:color w:val="auto"/>
          <w:sz w:val="24"/>
          <w:u w:val="single"/>
        </w:rPr>
        <w:t xml:space="preserve">                     </w:t>
      </w:r>
      <w:r>
        <w:rPr>
          <w:rFonts w:hint="eastAsia" w:ascii="宋体" w:hAnsi="宋体"/>
          <w:color w:val="auto"/>
          <w:sz w:val="24"/>
        </w:rPr>
        <w:t xml:space="preserve">（电子印章） </w:t>
      </w:r>
    </w:p>
    <w:p>
      <w:pPr>
        <w:spacing w:line="440" w:lineRule="exact"/>
        <w:jc w:val="right"/>
        <w:rPr>
          <w:rFonts w:ascii="宋体" w:hAnsi="宋体"/>
          <w:color w:val="auto"/>
          <w:sz w:val="24"/>
        </w:rPr>
      </w:pPr>
    </w:p>
    <w:p>
      <w:pPr>
        <w:spacing w:line="440" w:lineRule="exact"/>
        <w:jc w:val="center"/>
        <w:rPr>
          <w:rFonts w:ascii="宋体" w:hAnsi="宋体"/>
          <w:color w:val="auto"/>
          <w:sz w:val="24"/>
          <w:u w:val="single"/>
        </w:rPr>
      </w:pPr>
      <w:r>
        <w:rPr>
          <w:rFonts w:hint="eastAsia" w:ascii="宋体" w:hAnsi="宋体"/>
          <w:color w:val="auto"/>
          <w:sz w:val="24"/>
        </w:rPr>
        <w:t xml:space="preserve">                            法定代表人： </w:t>
      </w:r>
      <w:r>
        <w:rPr>
          <w:rFonts w:hint="eastAsia" w:ascii="宋体" w:hAnsi="宋体" w:cs="宋体"/>
          <w:color w:val="auto"/>
          <w:sz w:val="24"/>
          <w:u w:val="single"/>
        </w:rPr>
        <w:t xml:space="preserve">                  </w:t>
      </w:r>
      <w:r>
        <w:rPr>
          <w:rFonts w:hint="eastAsia" w:ascii="宋体" w:hAnsi="宋体"/>
          <w:color w:val="auto"/>
          <w:sz w:val="24"/>
        </w:rPr>
        <w:t>（电子签章）</w:t>
      </w:r>
    </w:p>
    <w:p>
      <w:pPr>
        <w:spacing w:line="440" w:lineRule="exact"/>
        <w:rPr>
          <w:rFonts w:ascii="宋体" w:hAnsi="宋体"/>
          <w:color w:val="auto"/>
          <w:sz w:val="24"/>
          <w:u w:val="single"/>
        </w:rPr>
      </w:pPr>
    </w:p>
    <w:p>
      <w:pPr>
        <w:spacing w:line="440" w:lineRule="exact"/>
        <w:ind w:right="420" w:firstLine="6840" w:firstLineChars="2850"/>
        <w:rPr>
          <w:rFonts w:ascii="宋体" w:hAnsi="宋体"/>
          <w:color w:val="auto"/>
          <w:sz w:val="24"/>
          <w:u w:val="single"/>
        </w:rPr>
      </w:pPr>
    </w:p>
    <w:p>
      <w:pPr>
        <w:spacing w:line="360" w:lineRule="auto"/>
        <w:ind w:firstLine="6000" w:firstLineChars="25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4"/>
        <w:rPr>
          <w:color w:val="auto"/>
          <w:sz w:val="24"/>
          <w:szCs w:val="24"/>
        </w:rPr>
      </w:pPr>
    </w:p>
    <w:p>
      <w:pPr>
        <w:rPr>
          <w:color w:val="auto"/>
        </w:rPr>
      </w:pPr>
    </w:p>
    <w:p>
      <w:pPr>
        <w:rPr>
          <w:color w:val="auto"/>
        </w:rPr>
      </w:pPr>
    </w:p>
    <w:p>
      <w:pPr>
        <w:rPr>
          <w:color w:val="auto"/>
        </w:rPr>
      </w:pPr>
    </w:p>
    <w:p>
      <w:pPr>
        <w:rPr>
          <w:color w:val="auto"/>
        </w:rPr>
      </w:pPr>
    </w:p>
    <w:p>
      <w:pPr>
        <w:pStyle w:val="4"/>
        <w:rPr>
          <w:color w:val="auto"/>
        </w:rPr>
      </w:pPr>
    </w:p>
    <w:p>
      <w:pPr>
        <w:rPr>
          <w:color w:val="auto"/>
        </w:rPr>
      </w:pPr>
    </w:p>
    <w:p>
      <w:pPr>
        <w:pStyle w:val="51"/>
        <w:rPr>
          <w:color w:val="auto"/>
        </w:rPr>
      </w:pPr>
    </w:p>
    <w:p>
      <w:pPr>
        <w:pStyle w:val="51"/>
        <w:rPr>
          <w:color w:val="auto"/>
        </w:rPr>
      </w:pPr>
    </w:p>
    <w:bookmarkEnd w:id="795"/>
    <w:bookmarkEnd w:id="796"/>
    <w:bookmarkEnd w:id="797"/>
    <w:bookmarkEnd w:id="798"/>
    <w:bookmarkEnd w:id="799"/>
    <w:p>
      <w:pPr>
        <w:pStyle w:val="57"/>
        <w:rPr>
          <w:rFonts w:ascii="宋体" w:hAnsi="宋体" w:eastAsia="宋体"/>
          <w:b/>
          <w:color w:val="auto"/>
          <w:szCs w:val="24"/>
        </w:rPr>
      </w:pPr>
    </w:p>
    <w:p>
      <w:pPr>
        <w:pStyle w:val="57"/>
        <w:jc w:val="center"/>
        <w:rPr>
          <w:rFonts w:ascii="宋体" w:hAnsi="宋体" w:eastAsia="宋体"/>
          <w:b/>
          <w:color w:val="auto"/>
          <w:sz w:val="30"/>
          <w:szCs w:val="30"/>
        </w:rPr>
      </w:pPr>
      <w:bookmarkStart w:id="802" w:name="_Toc116314153"/>
      <w:bookmarkStart w:id="803" w:name="_Toc489430552"/>
      <w:bookmarkStart w:id="804" w:name="_Toc489430912"/>
      <w:bookmarkStart w:id="805" w:name="_Toc16396"/>
      <w:r>
        <w:rPr>
          <w:rFonts w:hint="eastAsia" w:ascii="宋体" w:hAnsi="宋体" w:eastAsia="宋体"/>
          <w:b/>
          <w:color w:val="auto"/>
          <w:sz w:val="30"/>
          <w:szCs w:val="30"/>
        </w:rPr>
        <w:t>四、</w:t>
      </w:r>
      <w:bookmarkEnd w:id="800"/>
      <w:bookmarkEnd w:id="801"/>
      <w:r>
        <w:rPr>
          <w:rFonts w:hint="eastAsia" w:ascii="宋体" w:hAnsi="宋体" w:eastAsia="宋体"/>
          <w:b/>
          <w:color w:val="auto"/>
          <w:sz w:val="30"/>
          <w:szCs w:val="30"/>
        </w:rPr>
        <w:t>投标保证金</w:t>
      </w:r>
      <w:bookmarkEnd w:id="802"/>
      <w:bookmarkEnd w:id="803"/>
      <w:bookmarkEnd w:id="804"/>
      <w:bookmarkEnd w:id="805"/>
    </w:p>
    <w:p>
      <w:pPr>
        <w:spacing w:line="440" w:lineRule="exact"/>
        <w:ind w:firstLine="2310" w:firstLineChars="1100"/>
        <w:rPr>
          <w:rFonts w:ascii="宋体" w:hAnsi="宋体"/>
          <w:color w:val="auto"/>
          <w:szCs w:val="21"/>
        </w:rPr>
      </w:pPr>
    </w:p>
    <w:p>
      <w:pPr>
        <w:spacing w:line="400" w:lineRule="exact"/>
        <w:jc w:val="center"/>
        <w:rPr>
          <w:rFonts w:ascii="宋体" w:hAnsi="宋体"/>
          <w:color w:val="auto"/>
        </w:rPr>
      </w:pPr>
      <w:r>
        <w:rPr>
          <w:rFonts w:hint="eastAsia" w:ascii="宋体" w:hAnsi="宋体"/>
          <w:color w:val="auto"/>
          <w:sz w:val="20"/>
          <w:szCs w:val="20"/>
        </w:rPr>
        <w:t>附凭证</w:t>
      </w:r>
      <w:r>
        <w:rPr>
          <w:rFonts w:hint="eastAsia" w:ascii="宋体" w:hAnsi="宋体"/>
          <w:color w:val="auto"/>
          <w:sz w:val="20"/>
          <w:szCs w:val="20"/>
        </w:rPr>
        <w:br w:type="page"/>
      </w:r>
      <w:bookmarkStart w:id="806" w:name="_Toc144974862"/>
      <w:bookmarkEnd w:id="806"/>
    </w:p>
    <w:p>
      <w:pPr>
        <w:pStyle w:val="57"/>
        <w:jc w:val="center"/>
        <w:rPr>
          <w:rFonts w:ascii="宋体" w:hAnsi="宋体" w:eastAsia="宋体"/>
          <w:b/>
          <w:color w:val="auto"/>
          <w:sz w:val="30"/>
          <w:szCs w:val="30"/>
        </w:rPr>
      </w:pPr>
      <w:bookmarkStart w:id="807" w:name="_Toc152042584"/>
      <w:bookmarkStart w:id="808" w:name="_Toc144974863"/>
      <w:bookmarkStart w:id="809" w:name="_Toc152045795"/>
      <w:bookmarkStart w:id="810" w:name="_Toc22713"/>
      <w:bookmarkStart w:id="811" w:name="_Toc489430553"/>
      <w:bookmarkStart w:id="812" w:name="_Toc475610230"/>
      <w:bookmarkStart w:id="813" w:name="_Toc116314154"/>
      <w:bookmarkStart w:id="814" w:name="_Toc489430913"/>
      <w:bookmarkStart w:id="815" w:name="_Toc475609608"/>
      <w:r>
        <w:rPr>
          <w:rFonts w:hint="eastAsia" w:ascii="宋体" w:hAnsi="宋体" w:eastAsia="宋体"/>
          <w:b/>
          <w:color w:val="auto"/>
          <w:sz w:val="30"/>
          <w:szCs w:val="30"/>
        </w:rPr>
        <w:t>五、</w:t>
      </w:r>
      <w:bookmarkEnd w:id="807"/>
      <w:bookmarkEnd w:id="808"/>
      <w:bookmarkEnd w:id="809"/>
      <w:r>
        <w:rPr>
          <w:rFonts w:hint="eastAsia" w:ascii="宋体" w:hAnsi="宋体" w:eastAsia="宋体"/>
          <w:b/>
          <w:color w:val="auto"/>
          <w:sz w:val="30"/>
          <w:szCs w:val="30"/>
        </w:rPr>
        <w:t>监理大纲</w:t>
      </w:r>
      <w:bookmarkEnd w:id="810"/>
      <w:bookmarkEnd w:id="811"/>
      <w:bookmarkEnd w:id="812"/>
      <w:bookmarkEnd w:id="813"/>
      <w:bookmarkEnd w:id="814"/>
      <w:bookmarkEnd w:id="815"/>
    </w:p>
    <w:p>
      <w:pPr>
        <w:spacing w:line="360" w:lineRule="auto"/>
        <w:rPr>
          <w:rFonts w:ascii="宋体" w:hAnsi="宋体"/>
          <w:color w:val="auto"/>
          <w:sz w:val="24"/>
        </w:rPr>
      </w:pPr>
    </w:p>
    <w:p>
      <w:pPr>
        <w:spacing w:line="360" w:lineRule="auto"/>
        <w:rPr>
          <w:rFonts w:ascii="宋体" w:hAnsi="宋体"/>
          <w:bCs/>
          <w:color w:val="auto"/>
          <w:sz w:val="24"/>
          <w:highlight w:val="red"/>
        </w:rPr>
      </w:pPr>
    </w:p>
    <w:p>
      <w:pPr>
        <w:spacing w:line="360" w:lineRule="auto"/>
        <w:rPr>
          <w:rFonts w:ascii="宋体" w:hAnsi="宋体"/>
          <w:bCs/>
          <w:color w:val="auto"/>
          <w:sz w:val="24"/>
        </w:rPr>
      </w:pPr>
    </w:p>
    <w:p>
      <w:pPr>
        <w:spacing w:line="360" w:lineRule="auto"/>
        <w:rPr>
          <w:rFonts w:ascii="宋体" w:hAnsi="宋体"/>
          <w:bCs/>
          <w:color w:val="auto"/>
          <w:sz w:val="24"/>
        </w:rPr>
      </w:pPr>
    </w:p>
    <w:p>
      <w:pPr>
        <w:spacing w:line="360" w:lineRule="auto"/>
        <w:rPr>
          <w:rFonts w:ascii="宋体" w:hAnsi="宋体"/>
          <w:color w:val="auto"/>
          <w:sz w:val="24"/>
        </w:rPr>
      </w:pPr>
    </w:p>
    <w:p>
      <w:pPr>
        <w:rPr>
          <w:color w:val="auto"/>
        </w:rPr>
        <w:sectPr>
          <w:pgSz w:w="11906" w:h="16838"/>
          <w:pgMar w:top="1440" w:right="1274" w:bottom="1440" w:left="1418" w:header="851" w:footer="992" w:gutter="0"/>
          <w:cols w:space="720" w:num="1"/>
          <w:docGrid w:type="lines" w:linePitch="312" w:charSpace="0"/>
        </w:sectPr>
      </w:pPr>
    </w:p>
    <w:p>
      <w:pPr>
        <w:pStyle w:val="57"/>
        <w:jc w:val="center"/>
        <w:rPr>
          <w:rFonts w:ascii="宋体" w:hAnsi="宋体" w:eastAsia="宋体"/>
          <w:b/>
          <w:color w:val="auto"/>
          <w:sz w:val="30"/>
          <w:szCs w:val="30"/>
        </w:rPr>
      </w:pPr>
      <w:bookmarkStart w:id="816" w:name="_Toc116314155"/>
      <w:bookmarkStart w:id="817" w:name="_Toc489430558"/>
      <w:bookmarkStart w:id="818" w:name="_Toc20456"/>
      <w:bookmarkStart w:id="819" w:name="_Toc489430918"/>
      <w:r>
        <w:rPr>
          <w:rFonts w:hint="eastAsia" w:ascii="宋体" w:hAnsi="宋体" w:eastAsia="宋体"/>
          <w:b/>
          <w:color w:val="auto"/>
          <w:sz w:val="30"/>
          <w:szCs w:val="30"/>
        </w:rPr>
        <w:t>六、资格审查资料</w:t>
      </w:r>
      <w:bookmarkEnd w:id="816"/>
      <w:bookmarkEnd w:id="817"/>
      <w:bookmarkEnd w:id="818"/>
      <w:bookmarkEnd w:id="819"/>
    </w:p>
    <w:p>
      <w:pPr>
        <w:topLinePunct/>
        <w:spacing w:line="440" w:lineRule="exact"/>
        <w:jc w:val="center"/>
        <w:rPr>
          <w:rFonts w:ascii="宋体" w:hAnsi="宋体"/>
          <w:color w:val="auto"/>
          <w:sz w:val="23"/>
          <w:szCs w:val="23"/>
        </w:rPr>
      </w:pPr>
    </w:p>
    <w:p>
      <w:pPr>
        <w:pStyle w:val="57"/>
        <w:jc w:val="center"/>
        <w:rPr>
          <w:rFonts w:ascii="宋体" w:hAnsi="宋体" w:eastAsia="宋体"/>
          <w:b/>
          <w:color w:val="auto"/>
          <w:szCs w:val="23"/>
        </w:rPr>
      </w:pPr>
      <w:bookmarkStart w:id="820" w:name="_Toc489430559"/>
      <w:bookmarkStart w:id="821" w:name="_Toc116314156"/>
      <w:bookmarkStart w:id="822" w:name="_Toc489430919"/>
      <w:bookmarkStart w:id="823" w:name="_Toc11438"/>
      <w:bookmarkStart w:id="824" w:name="_Toc407219668"/>
      <w:r>
        <w:rPr>
          <w:rFonts w:hint="eastAsia" w:ascii="宋体" w:hAnsi="宋体" w:eastAsia="宋体"/>
          <w:b/>
          <w:color w:val="auto"/>
          <w:szCs w:val="23"/>
        </w:rPr>
        <w:t>投标人基本情况表</w:t>
      </w:r>
      <w:bookmarkEnd w:id="820"/>
      <w:bookmarkEnd w:id="821"/>
      <w:bookmarkEnd w:id="822"/>
      <w:bookmarkEnd w:id="823"/>
      <w:bookmarkEnd w:id="824"/>
    </w:p>
    <w:p>
      <w:pPr>
        <w:topLinePunct/>
        <w:spacing w:line="440" w:lineRule="exact"/>
        <w:jc w:val="center"/>
        <w:rPr>
          <w:rFonts w:ascii="宋体" w:hAnsi="宋体"/>
          <w:color w:val="auto"/>
          <w:sz w:val="23"/>
          <w:szCs w:val="23"/>
        </w:rPr>
      </w:pPr>
    </w:p>
    <w:tbl>
      <w:tblPr>
        <w:tblStyle w:val="28"/>
        <w:tblpPr w:leftFromText="180" w:rightFromText="180" w:vertAnchor="text" w:horzAnchor="page" w:tblpX="1703" w:tblpY="477"/>
        <w:tblOverlap w:val="never"/>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653"/>
        <w:gridCol w:w="78"/>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单位性质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技术职称及职业资格</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技术职称及职业资格</w:t>
            </w:r>
          </w:p>
        </w:tc>
        <w:tc>
          <w:tcPr>
            <w:tcW w:w="164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ascii="宋体" w:hAnsi="宋体"/>
                <w:color w:val="auto"/>
                <w:sz w:val="24"/>
              </w:rPr>
            </w:pPr>
            <w:r>
              <w:rPr>
                <w:rFonts w:hint="eastAsia"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项目总监</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8"/>
              <w:rPr>
                <w:rFonts w:ascii="宋体" w:hAnsi="宋体"/>
                <w:color w:val="auto"/>
                <w:sz w:val="24"/>
              </w:rPr>
            </w:pPr>
            <w:r>
              <w:rPr>
                <w:rFonts w:hint="eastAsia" w:ascii="宋体" w:hAnsi="宋体"/>
                <w:color w:val="auto"/>
                <w:sz w:val="24"/>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宋体" w:hAnsi="宋体"/>
                <w:color w:val="auto"/>
                <w:sz w:val="24"/>
              </w:rPr>
            </w:pPr>
            <w:r>
              <w:rPr>
                <w:rFonts w:hint="eastAsia" w:ascii="宋体" w:hAnsi="宋体"/>
                <w:color w:val="auto"/>
                <w:sz w:val="24"/>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 w:val="24"/>
              </w:rPr>
            </w:pPr>
          </w:p>
          <w:p>
            <w:pPr>
              <w:topLinePunct/>
              <w:spacing w:line="44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r>
              <w:rPr>
                <w:rFonts w:hint="eastAsia" w:ascii="宋体" w:hAnsi="宋体"/>
                <w:color w:val="auto"/>
                <w:sz w:val="24"/>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 w:val="24"/>
              </w:rPr>
            </w:pPr>
          </w:p>
        </w:tc>
      </w:tr>
    </w:tbl>
    <w:p>
      <w:pPr>
        <w:adjustRightInd w:val="0"/>
        <w:snapToGrid w:val="0"/>
        <w:jc w:val="center"/>
        <w:rPr>
          <w:rFonts w:ascii="宋体" w:hAnsi="宋体" w:cs="宋体"/>
          <w:bCs/>
          <w:color w:val="auto"/>
          <w:sz w:val="30"/>
          <w:szCs w:val="30"/>
        </w:rPr>
      </w:pPr>
    </w:p>
    <w:p>
      <w:pPr>
        <w:adjustRightInd w:val="0"/>
        <w:snapToGrid w:val="0"/>
        <w:jc w:val="center"/>
        <w:rPr>
          <w:rFonts w:hint="eastAsia" w:ascii="宋体" w:hAnsi="宋体" w:cs="宋体"/>
          <w:bCs/>
          <w:color w:val="auto"/>
          <w:sz w:val="30"/>
          <w:szCs w:val="30"/>
        </w:rPr>
      </w:pPr>
    </w:p>
    <w:p>
      <w:pPr>
        <w:adjustRightInd w:val="0"/>
        <w:snapToGrid w:val="0"/>
        <w:jc w:val="center"/>
        <w:rPr>
          <w:rFonts w:hint="eastAsia" w:ascii="宋体" w:hAnsi="宋体" w:cs="宋体"/>
          <w:bCs/>
          <w:color w:val="auto"/>
          <w:sz w:val="30"/>
          <w:szCs w:val="30"/>
        </w:rPr>
      </w:pPr>
    </w:p>
    <w:p>
      <w:pPr>
        <w:adjustRightInd w:val="0"/>
        <w:snapToGrid w:val="0"/>
        <w:jc w:val="center"/>
        <w:rPr>
          <w:rFonts w:ascii="宋体" w:hAnsi="宋体" w:cs="宋体"/>
          <w:bCs/>
          <w:color w:val="auto"/>
          <w:sz w:val="30"/>
          <w:szCs w:val="30"/>
        </w:rPr>
      </w:pPr>
      <w:r>
        <w:rPr>
          <w:rFonts w:hint="eastAsia" w:ascii="宋体" w:hAnsi="宋体" w:cs="宋体"/>
          <w:bCs/>
          <w:color w:val="auto"/>
          <w:sz w:val="30"/>
          <w:szCs w:val="30"/>
        </w:rPr>
        <w:t>宝丰县政府采购供应商信用承诺函</w:t>
      </w:r>
    </w:p>
    <w:p>
      <w:pPr>
        <w:adjustRightInd w:val="0"/>
        <w:snapToGrid w:val="0"/>
        <w:spacing w:beforeLines="50"/>
        <w:ind w:firstLine="600" w:firstLineChars="200"/>
        <w:rPr>
          <w:rFonts w:ascii="宋体" w:hAnsi="宋体" w:cs="宋体"/>
          <w:color w:val="auto"/>
          <w:sz w:val="30"/>
          <w:szCs w:val="30"/>
        </w:rPr>
      </w:pPr>
    </w:p>
    <w:p>
      <w:pPr>
        <w:adjustRightInd w:val="0"/>
        <w:snapToGrid w:val="0"/>
        <w:spacing w:beforeLines="50"/>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 xml:space="preserve">  （采购人或采购代理机构）  </w:t>
      </w:r>
      <w:r>
        <w:rPr>
          <w:rFonts w:hint="eastAsia" w:ascii="宋体" w:hAnsi="宋体" w:cs="宋体"/>
          <w:color w:val="auto"/>
          <w:szCs w:val="21"/>
        </w:rPr>
        <w:t>：</w:t>
      </w:r>
    </w:p>
    <w:p>
      <w:pPr>
        <w:adjustRightInd w:val="0"/>
        <w:snapToGrid w:val="0"/>
        <w:spacing w:beforeLines="50"/>
        <w:ind w:firstLine="420" w:firstLineChars="200"/>
        <w:rPr>
          <w:rFonts w:ascii="宋体" w:hAnsi="宋体" w:cs="宋体"/>
          <w:color w:val="auto"/>
          <w:szCs w:val="21"/>
          <w:u w:val="single"/>
        </w:rPr>
      </w:pPr>
      <w:r>
        <w:rPr>
          <w:rFonts w:hint="eastAsia" w:ascii="宋体" w:hAnsi="宋体" w:cs="宋体"/>
          <w:color w:val="auto"/>
          <w:szCs w:val="21"/>
        </w:rPr>
        <w:t>单位名称：</w:t>
      </w:r>
      <w:r>
        <w:rPr>
          <w:rFonts w:hint="eastAsia" w:ascii="宋体" w:hAnsi="宋体" w:cs="宋体"/>
          <w:color w:val="auto"/>
          <w:szCs w:val="21"/>
          <w:u w:val="single"/>
        </w:rPr>
        <w:t xml:space="preserve">                                  </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统一社会信用代码：</w:t>
      </w:r>
      <w:r>
        <w:rPr>
          <w:rFonts w:hint="eastAsia" w:ascii="宋体" w:hAnsi="宋体" w:cs="宋体"/>
          <w:color w:val="auto"/>
          <w:szCs w:val="21"/>
          <w:u w:val="single"/>
        </w:rPr>
        <w:t xml:space="preserve">                          </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联系地址和电话：</w:t>
      </w:r>
      <w:r>
        <w:rPr>
          <w:rFonts w:hint="eastAsia" w:ascii="宋体" w:hAnsi="宋体" w:cs="宋体"/>
          <w:color w:val="auto"/>
          <w:szCs w:val="21"/>
          <w:u w:val="single"/>
        </w:rPr>
        <w:t xml:space="preserve">                            </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(一)具有独立承担民事责任的能力；</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(二)具有良好的商业信誉和健全的财务会计制度；</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(三)具有履行合同所必需的设备和专业技术能力；</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(四)有依法缴纳税收和社会保障资金的良好记录；</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(五)参加政府采购活动前三年内，在经营活动中没有重大违法记录；</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(六)法律、行政法规规定的其他条件。</w:t>
      </w:r>
    </w:p>
    <w:p>
      <w:pPr>
        <w:adjustRightInd w:val="0"/>
        <w:snapToGrid w:val="0"/>
        <w:spacing w:beforeLines="50"/>
        <w:ind w:firstLine="420" w:firstLineChars="200"/>
        <w:rPr>
          <w:rFonts w:ascii="宋体" w:hAnsi="宋体" w:cs="宋体"/>
          <w:color w:val="auto"/>
          <w:szCs w:val="21"/>
        </w:rPr>
      </w:pPr>
      <w:r>
        <w:rPr>
          <w:rFonts w:hint="eastAsia" w:ascii="宋体" w:hAnsi="宋体" w:cs="宋体"/>
          <w:color w:val="auto"/>
          <w:szCs w:val="21"/>
        </w:rPr>
        <w:t>我单位保证上述承诺事项的真实性，如有弄虚作假或其他违法违规行为，愿意承担一切法律责任，并承担因此所造成的一切损失。</w:t>
      </w:r>
    </w:p>
    <w:p>
      <w:pPr>
        <w:adjustRightInd w:val="0"/>
        <w:snapToGrid w:val="0"/>
        <w:spacing w:beforeLines="50"/>
        <w:ind w:firstLine="3307" w:firstLineChars="1575"/>
        <w:rPr>
          <w:rFonts w:ascii="宋体" w:hAnsi="宋体" w:cs="宋体"/>
          <w:color w:val="auto"/>
          <w:szCs w:val="21"/>
        </w:rPr>
      </w:pPr>
      <w:r>
        <w:rPr>
          <w:rFonts w:hint="eastAsia" w:ascii="宋体" w:hAnsi="宋体" w:cs="宋体"/>
          <w:color w:val="auto"/>
          <w:szCs w:val="21"/>
        </w:rPr>
        <w:t xml:space="preserve">投标人（企业电子章）： </w:t>
      </w:r>
    </w:p>
    <w:p>
      <w:pPr>
        <w:adjustRightInd w:val="0"/>
        <w:snapToGrid w:val="0"/>
        <w:spacing w:beforeLines="50"/>
        <w:ind w:firstLine="1627" w:firstLineChars="775"/>
        <w:rPr>
          <w:rFonts w:ascii="宋体" w:hAnsi="宋体" w:cs="宋体"/>
          <w:color w:val="auto"/>
          <w:szCs w:val="21"/>
        </w:rPr>
      </w:pPr>
      <w:r>
        <w:rPr>
          <w:rFonts w:hint="eastAsia" w:ascii="宋体" w:hAnsi="宋体" w:cs="宋体"/>
          <w:color w:val="auto"/>
          <w:szCs w:val="21"/>
        </w:rPr>
        <w:t xml:space="preserve">法定代表人或授权代表(签字或电子印章)： </w:t>
      </w:r>
    </w:p>
    <w:p>
      <w:pPr>
        <w:adjustRightInd w:val="0"/>
        <w:snapToGrid w:val="0"/>
        <w:spacing w:beforeLines="50"/>
        <w:ind w:firstLine="1837" w:firstLineChars="875"/>
        <w:rPr>
          <w:rFonts w:ascii="宋体" w:hAnsi="宋体" w:cs="宋体"/>
          <w:color w:val="auto"/>
          <w:szCs w:val="21"/>
        </w:rPr>
      </w:pPr>
      <w:r>
        <w:rPr>
          <w:rFonts w:hint="eastAsia" w:ascii="宋体" w:hAnsi="宋体" w:cs="宋体"/>
          <w:color w:val="auto"/>
          <w:szCs w:val="21"/>
        </w:rPr>
        <w:t xml:space="preserve">日期：       年    月    日 </w:t>
      </w:r>
    </w:p>
    <w:p>
      <w:pPr>
        <w:adjustRightInd w:val="0"/>
        <w:snapToGrid w:val="0"/>
        <w:spacing w:beforeLines="50"/>
        <w:ind w:firstLine="420" w:firstLineChars="200"/>
        <w:rPr>
          <w:rFonts w:ascii="宋体" w:hAnsi="宋体" w:cs="宋体"/>
          <w:bCs/>
          <w:color w:val="auto"/>
          <w:szCs w:val="21"/>
        </w:rPr>
      </w:pPr>
      <w:r>
        <w:rPr>
          <w:rFonts w:hint="eastAsia" w:ascii="宋体" w:hAnsi="宋体" w:cs="宋体"/>
          <w:bCs/>
          <w:color w:val="auto"/>
          <w:szCs w:val="21"/>
        </w:rPr>
        <w:t>注：1.投标人须在投标文件中按此模板提供承诺函，未提供视为未实质性响应招标文件要求，按无效投标处理。</w:t>
      </w:r>
    </w:p>
    <w:p>
      <w:pPr>
        <w:rPr>
          <w:rFonts w:ascii="宋体" w:hAnsi="宋体" w:cs="宋体"/>
          <w:color w:val="auto"/>
          <w:szCs w:val="21"/>
        </w:rPr>
      </w:pPr>
      <w:r>
        <w:rPr>
          <w:rFonts w:hint="eastAsia" w:ascii="宋体" w:hAnsi="宋体" w:cs="宋体"/>
          <w:bCs/>
          <w:color w:val="auto"/>
          <w:szCs w:val="21"/>
        </w:rPr>
        <w:t>2.投标人的法定代表人或者授权代表的签字或盖章应真实、有效，如由授权代表签字或盖章的，应提供“法定代表人授权书”。</w:t>
      </w:r>
    </w:p>
    <w:p>
      <w:pPr>
        <w:pStyle w:val="51"/>
        <w:rPr>
          <w:color w:val="auto"/>
          <w:sz w:val="24"/>
        </w:rPr>
      </w:pPr>
    </w:p>
    <w:p>
      <w:pPr>
        <w:pStyle w:val="57"/>
        <w:pageBreakBefore/>
        <w:ind w:firstLine="3313" w:firstLineChars="1100"/>
        <w:rPr>
          <w:rFonts w:ascii="宋体" w:hAnsi="宋体" w:eastAsia="宋体"/>
          <w:b/>
          <w:color w:val="auto"/>
          <w:sz w:val="30"/>
          <w:szCs w:val="30"/>
        </w:rPr>
      </w:pPr>
      <w:bookmarkStart w:id="825" w:name="_Toc489430564"/>
      <w:bookmarkStart w:id="826" w:name="_Toc116314157"/>
      <w:bookmarkStart w:id="827" w:name="_Toc2992"/>
      <w:bookmarkStart w:id="828" w:name="_Toc489430924"/>
      <w:r>
        <w:rPr>
          <w:rFonts w:hint="eastAsia" w:ascii="宋体" w:hAnsi="宋体" w:eastAsia="宋体"/>
          <w:b/>
          <w:color w:val="auto"/>
          <w:sz w:val="30"/>
          <w:szCs w:val="30"/>
        </w:rPr>
        <w:t>七、其他材料</w:t>
      </w:r>
      <w:bookmarkEnd w:id="825"/>
      <w:bookmarkEnd w:id="826"/>
      <w:bookmarkEnd w:id="827"/>
      <w:bookmarkEnd w:id="828"/>
    </w:p>
    <w:p>
      <w:pPr>
        <w:widowControl/>
        <w:jc w:val="left"/>
        <w:rPr>
          <w:color w:val="auto"/>
        </w:rPr>
      </w:pPr>
    </w:p>
    <w:p>
      <w:pPr>
        <w:adjustRightInd w:val="0"/>
        <w:snapToGrid w:val="0"/>
        <w:spacing w:line="360" w:lineRule="auto"/>
        <w:outlineLvl w:val="1"/>
        <w:rPr>
          <w:rFonts w:ascii="宋体" w:hAnsi="宋体" w:cs="宋体"/>
          <w:b/>
          <w:color w:val="auto"/>
          <w:sz w:val="32"/>
          <w:szCs w:val="32"/>
        </w:rPr>
      </w:pPr>
      <w:bookmarkStart w:id="829" w:name="_Toc8723"/>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p>
    <w:p>
      <w:pPr>
        <w:adjustRightInd w:val="0"/>
        <w:snapToGrid w:val="0"/>
        <w:spacing w:line="360" w:lineRule="auto"/>
        <w:outlineLvl w:val="1"/>
        <w:rPr>
          <w:rFonts w:ascii="宋体" w:hAnsi="宋体" w:cs="宋体"/>
          <w:b/>
          <w:color w:val="auto"/>
          <w:sz w:val="32"/>
          <w:szCs w:val="32"/>
        </w:rPr>
      </w:pPr>
      <w:bookmarkStart w:id="830" w:name="_Toc116314158"/>
      <w:r>
        <w:rPr>
          <w:rFonts w:hint="eastAsia" w:ascii="宋体" w:hAnsi="宋体" w:cs="宋体"/>
          <w:b/>
          <w:color w:val="auto"/>
          <w:sz w:val="32"/>
          <w:szCs w:val="32"/>
        </w:rPr>
        <w:t>附件一：</w:t>
      </w:r>
      <w:bookmarkEnd w:id="829"/>
      <w:bookmarkEnd w:id="830"/>
    </w:p>
    <w:p>
      <w:pPr>
        <w:adjustRightInd w:val="0"/>
        <w:snapToGrid w:val="0"/>
        <w:spacing w:line="360" w:lineRule="auto"/>
        <w:jc w:val="center"/>
        <w:outlineLvl w:val="1"/>
        <w:rPr>
          <w:rFonts w:ascii="宋体" w:hAnsi="宋体" w:cs="宋体"/>
          <w:b/>
          <w:color w:val="auto"/>
          <w:sz w:val="40"/>
          <w:szCs w:val="40"/>
        </w:rPr>
      </w:pPr>
      <w:bookmarkStart w:id="831" w:name="_Toc8090"/>
      <w:bookmarkStart w:id="832" w:name="_Toc116314159"/>
      <w:r>
        <w:rPr>
          <w:rFonts w:hint="eastAsia" w:ascii="宋体" w:hAnsi="宋体" w:cs="宋体"/>
          <w:b/>
          <w:bCs/>
          <w:color w:val="auto"/>
          <w:spacing w:val="6"/>
          <w:kern w:val="0"/>
          <w:sz w:val="32"/>
          <w:szCs w:val="32"/>
        </w:rPr>
        <w:t>享受政府采购政策的证明材料</w:t>
      </w:r>
      <w:bookmarkEnd w:id="831"/>
      <w:bookmarkEnd w:id="832"/>
    </w:p>
    <w:p>
      <w:pPr>
        <w:widowControl/>
        <w:adjustRightInd w:val="0"/>
        <w:snapToGrid w:val="0"/>
        <w:spacing w:beforeLines="50" w:line="360" w:lineRule="auto"/>
        <w:ind w:firstLine="444" w:firstLineChars="200"/>
        <w:jc w:val="left"/>
        <w:rPr>
          <w:rFonts w:ascii="宋体" w:hAnsi="宋体" w:cs="宋体"/>
          <w:color w:val="auto"/>
          <w:spacing w:val="6"/>
          <w:kern w:val="0"/>
          <w:szCs w:val="21"/>
        </w:rPr>
      </w:pPr>
    </w:p>
    <w:p>
      <w:pPr>
        <w:pStyle w:val="2"/>
        <w:ind w:left="0" w:leftChars="0"/>
        <w:jc w:val="center"/>
        <w:rPr>
          <w:color w:val="auto"/>
          <w:szCs w:val="21"/>
          <w:lang w:val="zh-CN"/>
        </w:rPr>
      </w:pPr>
      <w:r>
        <w:rPr>
          <w:rFonts w:hint="eastAsia"/>
          <w:color w:val="auto"/>
          <w:szCs w:val="21"/>
        </w:rPr>
        <w:t>1、</w:t>
      </w:r>
      <w:r>
        <w:rPr>
          <w:rFonts w:hint="eastAsia"/>
          <w:color w:val="auto"/>
          <w:szCs w:val="21"/>
          <w:lang w:val="zh-CN"/>
        </w:rPr>
        <w:t>中小企业声明函（工程）</w:t>
      </w:r>
    </w:p>
    <w:p>
      <w:pPr>
        <w:pStyle w:val="2"/>
        <w:spacing w:line="360" w:lineRule="auto"/>
        <w:ind w:firstLine="461"/>
        <w:rPr>
          <w:color w:val="auto"/>
          <w:szCs w:val="21"/>
          <w:lang w:val="zh-CN"/>
        </w:rPr>
      </w:pPr>
      <w:r>
        <w:rPr>
          <w:rFonts w:hint="eastAsia"/>
          <w:color w:val="auto"/>
          <w:szCs w:val="21"/>
          <w:lang w:val="zh-CN"/>
        </w:rPr>
        <w:t>本公司（联合体）郑重声明，根据《政府采购促进中小企业发展管理办法》（财库[20</w:t>
      </w:r>
      <w:r>
        <w:rPr>
          <w:rFonts w:hint="eastAsia"/>
          <w:color w:val="auto"/>
          <w:szCs w:val="21"/>
        </w:rPr>
        <w:t>20</w:t>
      </w:r>
      <w:r>
        <w:rPr>
          <w:rFonts w:hint="eastAsia"/>
          <w:color w:val="auto"/>
          <w:szCs w:val="21"/>
          <w:lang w:val="zh-CN"/>
        </w:rPr>
        <w:t>]</w:t>
      </w:r>
      <w:r>
        <w:rPr>
          <w:rFonts w:hint="eastAsia"/>
          <w:color w:val="auto"/>
          <w:szCs w:val="21"/>
        </w:rPr>
        <w:t>46</w:t>
      </w:r>
      <w:r>
        <w:rPr>
          <w:rFonts w:hint="eastAsia"/>
          <w:color w:val="auto"/>
          <w:szCs w:val="21"/>
          <w:lang w:val="zh-CN"/>
        </w:rPr>
        <w:t>号）的规定，本公司（联合体）参加</w:t>
      </w:r>
      <w:r>
        <w:rPr>
          <w:rFonts w:hint="eastAsia"/>
          <w:color w:val="auto"/>
          <w:szCs w:val="21"/>
          <w:u w:val="single"/>
          <w:lang w:val="zh-CN"/>
        </w:rPr>
        <w:t>（单位名称）</w:t>
      </w:r>
      <w:r>
        <w:rPr>
          <w:rFonts w:hint="eastAsia"/>
          <w:color w:val="auto"/>
          <w:szCs w:val="21"/>
          <w:lang w:val="zh-CN"/>
        </w:rPr>
        <w:t>的</w:t>
      </w:r>
      <w:r>
        <w:rPr>
          <w:rFonts w:hint="eastAsia"/>
          <w:color w:val="auto"/>
          <w:szCs w:val="21"/>
          <w:u w:val="single"/>
          <w:lang w:val="zh-CN"/>
        </w:rPr>
        <w:t>（项目名称）</w:t>
      </w:r>
      <w:r>
        <w:rPr>
          <w:rFonts w:hint="eastAsia"/>
          <w:color w:val="auto"/>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numPr>
          <w:ilvl w:val="0"/>
          <w:numId w:val="6"/>
        </w:numPr>
        <w:spacing w:line="360" w:lineRule="auto"/>
        <w:ind w:firstLine="461"/>
        <w:rPr>
          <w:color w:val="auto"/>
          <w:szCs w:val="21"/>
        </w:rPr>
      </w:pPr>
      <w:r>
        <w:rPr>
          <w:rFonts w:hint="eastAsia"/>
          <w:color w:val="auto"/>
          <w:szCs w:val="21"/>
          <w:u w:val="single"/>
          <w:lang w:val="zh-CN"/>
        </w:rPr>
        <w:t>（标的名称）</w:t>
      </w:r>
      <w:r>
        <w:rPr>
          <w:rFonts w:hint="eastAsia"/>
          <w:color w:val="auto"/>
          <w:szCs w:val="21"/>
          <w:lang w:val="zh-CN"/>
        </w:rPr>
        <w:t>，属于</w:t>
      </w:r>
      <w:r>
        <w:rPr>
          <w:rFonts w:hint="eastAsia"/>
          <w:color w:val="auto"/>
          <w:szCs w:val="21"/>
          <w:u w:val="single"/>
          <w:lang w:val="en-US" w:eastAsia="zh-CN"/>
        </w:rPr>
        <w:t>其他未列明</w:t>
      </w:r>
      <w:r>
        <w:rPr>
          <w:rFonts w:hint="eastAsia"/>
          <w:color w:val="auto"/>
          <w:szCs w:val="21"/>
          <w:lang w:val="zh-CN"/>
        </w:rPr>
        <w:t>行业；承建（承接）企业为</w:t>
      </w:r>
      <w:r>
        <w:rPr>
          <w:rFonts w:hint="eastAsia"/>
          <w:color w:val="auto"/>
          <w:szCs w:val="21"/>
          <w:u w:val="single"/>
          <w:lang w:val="zh-CN"/>
        </w:rPr>
        <w:t>（企业名称）</w:t>
      </w:r>
      <w:r>
        <w:rPr>
          <w:rFonts w:hint="eastAsia"/>
          <w:color w:val="auto"/>
          <w:szCs w:val="21"/>
          <w:lang w:val="zh-CN"/>
        </w:rPr>
        <w:t>，从业人员</w:t>
      </w:r>
      <w:r>
        <w:rPr>
          <w:rFonts w:hint="eastAsia"/>
          <w:color w:val="auto"/>
          <w:szCs w:val="21"/>
          <w:u w:val="single"/>
        </w:rPr>
        <w:t xml:space="preserve">   </w:t>
      </w:r>
      <w:r>
        <w:rPr>
          <w:rFonts w:hint="eastAsia"/>
          <w:color w:val="auto"/>
          <w:szCs w:val="21"/>
        </w:rPr>
        <w:t>人，营业收入为</w:t>
      </w:r>
      <w:r>
        <w:rPr>
          <w:rFonts w:hint="eastAsia"/>
          <w:color w:val="auto"/>
          <w:szCs w:val="21"/>
          <w:u w:val="single"/>
        </w:rPr>
        <w:t xml:space="preserve">     </w:t>
      </w:r>
      <w:r>
        <w:rPr>
          <w:rFonts w:hint="eastAsia"/>
          <w:color w:val="auto"/>
          <w:szCs w:val="21"/>
        </w:rPr>
        <w:t>万元，资产总额为</w:t>
      </w:r>
      <w:r>
        <w:rPr>
          <w:rFonts w:hint="eastAsia"/>
          <w:color w:val="auto"/>
          <w:szCs w:val="21"/>
          <w:u w:val="single"/>
        </w:rPr>
        <w:t xml:space="preserve">     </w:t>
      </w:r>
      <w:r>
        <w:rPr>
          <w:rFonts w:hint="eastAsia"/>
          <w:color w:val="auto"/>
          <w:szCs w:val="21"/>
        </w:rPr>
        <w:t>万元，属于</w:t>
      </w:r>
      <w:r>
        <w:rPr>
          <w:rFonts w:hint="eastAsia"/>
          <w:color w:val="auto"/>
          <w:szCs w:val="21"/>
          <w:u w:val="single"/>
        </w:rPr>
        <w:t>（中型企业、小型企业、微型企业）</w:t>
      </w:r>
      <w:r>
        <w:rPr>
          <w:rFonts w:hint="eastAsia"/>
          <w:color w:val="auto"/>
          <w:szCs w:val="21"/>
        </w:rPr>
        <w:t>；</w:t>
      </w:r>
    </w:p>
    <w:p>
      <w:pPr>
        <w:pStyle w:val="2"/>
        <w:numPr>
          <w:ilvl w:val="0"/>
          <w:numId w:val="6"/>
        </w:numPr>
        <w:spacing w:line="360" w:lineRule="auto"/>
        <w:ind w:firstLine="461"/>
        <w:rPr>
          <w:color w:val="auto"/>
          <w:szCs w:val="21"/>
        </w:rPr>
      </w:pPr>
      <w:r>
        <w:rPr>
          <w:rFonts w:hint="eastAsia"/>
          <w:color w:val="auto"/>
          <w:szCs w:val="21"/>
          <w:u w:val="single"/>
        </w:rPr>
        <w:t>（标的名称）</w:t>
      </w:r>
      <w:r>
        <w:rPr>
          <w:rFonts w:hint="eastAsia"/>
          <w:color w:val="auto"/>
          <w:szCs w:val="21"/>
        </w:rPr>
        <w:t>，属于</w:t>
      </w:r>
      <w:r>
        <w:rPr>
          <w:rFonts w:hint="eastAsia"/>
          <w:color w:val="auto"/>
          <w:szCs w:val="21"/>
          <w:u w:val="single"/>
          <w:lang w:val="en-US" w:eastAsia="zh-CN"/>
        </w:rPr>
        <w:t>其他未列明</w:t>
      </w:r>
      <w:r>
        <w:rPr>
          <w:rFonts w:hint="eastAsia"/>
          <w:color w:val="auto"/>
          <w:szCs w:val="21"/>
        </w:rPr>
        <w:t>行业；</w:t>
      </w:r>
      <w:r>
        <w:rPr>
          <w:rFonts w:hint="eastAsia"/>
          <w:color w:val="auto"/>
          <w:szCs w:val="21"/>
          <w:lang w:val="zh-CN"/>
        </w:rPr>
        <w:t>承建（承接）企业</w:t>
      </w:r>
      <w:r>
        <w:rPr>
          <w:rFonts w:hint="eastAsia"/>
          <w:color w:val="auto"/>
          <w:szCs w:val="21"/>
        </w:rPr>
        <w:t>为</w:t>
      </w:r>
      <w:r>
        <w:rPr>
          <w:rFonts w:hint="eastAsia"/>
          <w:color w:val="auto"/>
          <w:szCs w:val="21"/>
          <w:u w:val="single"/>
        </w:rPr>
        <w:t>（企业名称）</w:t>
      </w:r>
      <w:r>
        <w:rPr>
          <w:rFonts w:hint="eastAsia"/>
          <w:color w:val="auto"/>
          <w:szCs w:val="21"/>
        </w:rPr>
        <w:t>，从业人员</w:t>
      </w:r>
      <w:r>
        <w:rPr>
          <w:rFonts w:hint="eastAsia"/>
          <w:color w:val="auto"/>
          <w:szCs w:val="21"/>
          <w:u w:val="single"/>
        </w:rPr>
        <w:t xml:space="preserve">   </w:t>
      </w:r>
      <w:r>
        <w:rPr>
          <w:rFonts w:hint="eastAsia"/>
          <w:color w:val="auto"/>
          <w:szCs w:val="21"/>
        </w:rPr>
        <w:t>人，营业收入为</w:t>
      </w:r>
      <w:r>
        <w:rPr>
          <w:rFonts w:hint="eastAsia"/>
          <w:color w:val="auto"/>
          <w:szCs w:val="21"/>
          <w:u w:val="single"/>
        </w:rPr>
        <w:t xml:space="preserve">    </w:t>
      </w:r>
      <w:r>
        <w:rPr>
          <w:rFonts w:hint="eastAsia"/>
          <w:color w:val="auto"/>
          <w:szCs w:val="21"/>
        </w:rPr>
        <w:t>万元，资产总额为</w:t>
      </w:r>
      <w:r>
        <w:rPr>
          <w:rFonts w:hint="eastAsia"/>
          <w:color w:val="auto"/>
          <w:szCs w:val="21"/>
          <w:u w:val="single"/>
        </w:rPr>
        <w:t xml:space="preserve">     </w:t>
      </w:r>
      <w:r>
        <w:rPr>
          <w:rFonts w:hint="eastAsia"/>
          <w:color w:val="auto"/>
          <w:szCs w:val="21"/>
        </w:rPr>
        <w:t>万元，属于</w:t>
      </w:r>
      <w:r>
        <w:rPr>
          <w:rFonts w:hint="eastAsia"/>
          <w:color w:val="auto"/>
          <w:szCs w:val="21"/>
          <w:u w:val="single"/>
        </w:rPr>
        <w:t>（中型企业、小型企业、微型企业）</w:t>
      </w:r>
      <w:r>
        <w:rPr>
          <w:rFonts w:hint="eastAsia"/>
          <w:color w:val="auto"/>
          <w:szCs w:val="21"/>
        </w:rPr>
        <w:t>；</w:t>
      </w:r>
    </w:p>
    <w:p>
      <w:pPr>
        <w:pStyle w:val="2"/>
        <w:spacing w:line="360" w:lineRule="auto"/>
        <w:ind w:firstLine="480"/>
        <w:rPr>
          <w:color w:val="auto"/>
          <w:szCs w:val="21"/>
        </w:rPr>
      </w:pPr>
      <w:r>
        <w:rPr>
          <w:rFonts w:hint="eastAsia"/>
          <w:color w:val="auto"/>
          <w:szCs w:val="21"/>
        </w:rPr>
        <w:t>.......</w:t>
      </w:r>
    </w:p>
    <w:p>
      <w:pPr>
        <w:pStyle w:val="2"/>
        <w:spacing w:line="360" w:lineRule="auto"/>
        <w:ind w:firstLine="480"/>
        <w:rPr>
          <w:color w:val="auto"/>
          <w:szCs w:val="21"/>
        </w:rPr>
      </w:pPr>
      <w:r>
        <w:rPr>
          <w:rFonts w:hint="eastAsia"/>
          <w:color w:val="auto"/>
          <w:szCs w:val="21"/>
        </w:rPr>
        <w:t>以上企业，不属于大企业的分支机构，不存在控股股东为大企业的情形，也不存在与大企业的负责人为同一人的情形。</w:t>
      </w:r>
    </w:p>
    <w:p>
      <w:pPr>
        <w:pStyle w:val="2"/>
        <w:spacing w:line="360" w:lineRule="auto"/>
        <w:ind w:firstLine="480"/>
        <w:rPr>
          <w:color w:val="auto"/>
          <w:szCs w:val="21"/>
        </w:rPr>
      </w:pPr>
      <w:r>
        <w:rPr>
          <w:rFonts w:hint="eastAsia"/>
          <w:color w:val="auto"/>
          <w:szCs w:val="21"/>
        </w:rPr>
        <w:t>本企业对上述声明内容的真实性负责。如有虚假，将依法承担相应责任。</w:t>
      </w:r>
    </w:p>
    <w:p>
      <w:pPr>
        <w:pStyle w:val="2"/>
        <w:spacing w:line="360" w:lineRule="auto"/>
        <w:ind w:firstLine="461"/>
        <w:rPr>
          <w:color w:val="auto"/>
          <w:szCs w:val="21"/>
          <w:lang w:val="zh-CN"/>
        </w:rPr>
      </w:pPr>
      <w:r>
        <w:rPr>
          <w:rFonts w:hint="eastAsia"/>
          <w:color w:val="auto"/>
          <w:szCs w:val="21"/>
          <w:lang w:val="zh-CN"/>
        </w:rPr>
        <w:t>注：从业人员、营业收入、资产总额填报上一年度数据，无上一年度数据的新成立企业可不填报。</w:t>
      </w:r>
    </w:p>
    <w:p>
      <w:pPr>
        <w:spacing w:line="360" w:lineRule="auto"/>
        <w:ind w:firstLine="630" w:firstLineChars="300"/>
        <w:rPr>
          <w:color w:val="auto"/>
          <w:szCs w:val="21"/>
          <w:lang w:val="zh-CN"/>
        </w:rPr>
      </w:pPr>
      <w:r>
        <w:rPr>
          <w:rFonts w:hint="eastAsia"/>
          <w:color w:val="auto"/>
          <w:szCs w:val="21"/>
          <w:lang w:val="zh-CN"/>
        </w:rPr>
        <w:t xml:space="preserve">                      </w:t>
      </w:r>
      <w:r>
        <w:rPr>
          <w:rFonts w:hint="eastAsia"/>
          <w:color w:val="auto"/>
          <w:szCs w:val="21"/>
        </w:rPr>
        <w:t xml:space="preserve"> </w:t>
      </w:r>
      <w:r>
        <w:rPr>
          <w:rFonts w:hint="eastAsia"/>
          <w:color w:val="auto"/>
          <w:szCs w:val="21"/>
          <w:lang w:val="zh-CN"/>
        </w:rPr>
        <w:t>企业名称（盖章）：</w:t>
      </w:r>
      <w:r>
        <w:rPr>
          <w:rFonts w:hint="eastAsia"/>
          <w:color w:val="auto"/>
          <w:szCs w:val="21"/>
          <w:u w:val="single"/>
          <w:lang w:val="zh-CN"/>
        </w:rPr>
        <w:t xml:space="preserve">            </w:t>
      </w:r>
      <w:r>
        <w:rPr>
          <w:rFonts w:hint="eastAsia"/>
          <w:color w:val="auto"/>
          <w:szCs w:val="21"/>
          <w:lang w:val="zh-CN"/>
        </w:rPr>
        <w:t xml:space="preserve">           </w:t>
      </w:r>
    </w:p>
    <w:p>
      <w:pPr>
        <w:spacing w:line="360" w:lineRule="auto"/>
        <w:ind w:firstLine="2520" w:firstLineChars="1200"/>
        <w:rPr>
          <w:color w:val="auto"/>
          <w:szCs w:val="21"/>
        </w:rPr>
      </w:pPr>
      <w:r>
        <w:rPr>
          <w:rFonts w:hint="eastAsia"/>
          <w:color w:val="auto"/>
          <w:szCs w:val="21"/>
          <w:lang w:val="zh-CN"/>
        </w:rPr>
        <w:t xml:space="preserve">     </w:t>
      </w:r>
      <w:r>
        <w:rPr>
          <w:rFonts w:hint="eastAsia"/>
          <w:color w:val="auto"/>
          <w:szCs w:val="21"/>
        </w:rPr>
        <w:t>日期：</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w:t>
      </w:r>
    </w:p>
    <w:p>
      <w:pPr>
        <w:pStyle w:val="74"/>
        <w:rPr>
          <w:color w:val="auto"/>
          <w:sz w:val="21"/>
          <w:szCs w:val="21"/>
        </w:rPr>
      </w:pPr>
    </w:p>
    <w:p>
      <w:pPr>
        <w:pStyle w:val="74"/>
        <w:rPr>
          <w:color w:val="auto"/>
          <w:sz w:val="21"/>
          <w:szCs w:val="21"/>
        </w:rPr>
      </w:pPr>
    </w:p>
    <w:p>
      <w:pPr>
        <w:pStyle w:val="74"/>
        <w:rPr>
          <w:color w:val="auto"/>
          <w:sz w:val="21"/>
          <w:szCs w:val="21"/>
        </w:rPr>
      </w:pPr>
    </w:p>
    <w:p>
      <w:pPr>
        <w:pStyle w:val="74"/>
        <w:rPr>
          <w:color w:val="auto"/>
          <w:sz w:val="21"/>
          <w:szCs w:val="21"/>
        </w:rPr>
      </w:pPr>
    </w:p>
    <w:p>
      <w:pPr>
        <w:pStyle w:val="74"/>
        <w:rPr>
          <w:color w:val="auto"/>
          <w:sz w:val="21"/>
          <w:szCs w:val="21"/>
        </w:rPr>
      </w:pPr>
    </w:p>
    <w:p>
      <w:pPr>
        <w:pStyle w:val="74"/>
        <w:rPr>
          <w:color w:val="auto"/>
          <w:sz w:val="21"/>
          <w:szCs w:val="21"/>
        </w:rPr>
      </w:pPr>
    </w:p>
    <w:p>
      <w:pPr>
        <w:pStyle w:val="74"/>
        <w:rPr>
          <w:color w:val="auto"/>
          <w:sz w:val="21"/>
          <w:szCs w:val="21"/>
        </w:rPr>
      </w:pPr>
    </w:p>
    <w:p>
      <w:pPr>
        <w:pStyle w:val="74"/>
        <w:rPr>
          <w:color w:val="auto"/>
          <w:sz w:val="21"/>
          <w:szCs w:val="21"/>
        </w:rPr>
      </w:pPr>
    </w:p>
    <w:p>
      <w:pPr>
        <w:pStyle w:val="74"/>
        <w:rPr>
          <w:color w:val="auto"/>
          <w:sz w:val="21"/>
          <w:szCs w:val="21"/>
        </w:rPr>
      </w:pPr>
    </w:p>
    <w:p>
      <w:pPr>
        <w:pStyle w:val="74"/>
        <w:rPr>
          <w:color w:val="auto"/>
          <w:sz w:val="21"/>
          <w:szCs w:val="21"/>
        </w:rPr>
      </w:pPr>
    </w:p>
    <w:p>
      <w:pPr>
        <w:adjustRightInd w:val="0"/>
        <w:snapToGrid w:val="0"/>
        <w:jc w:val="center"/>
        <w:rPr>
          <w:color w:val="auto"/>
          <w:szCs w:val="21"/>
          <w:lang w:val="zh-CN"/>
        </w:rPr>
      </w:pPr>
      <w:r>
        <w:rPr>
          <w:rFonts w:hint="eastAsia"/>
          <w:color w:val="auto"/>
          <w:szCs w:val="21"/>
        </w:rPr>
        <w:t>2</w:t>
      </w:r>
      <w:r>
        <w:rPr>
          <w:rFonts w:hint="eastAsia"/>
          <w:color w:val="auto"/>
          <w:szCs w:val="21"/>
          <w:lang w:val="zh-CN"/>
        </w:rPr>
        <w:t>、关于监狱企业（如有）</w:t>
      </w:r>
    </w:p>
    <w:p>
      <w:pPr>
        <w:pStyle w:val="74"/>
        <w:rPr>
          <w:color w:val="auto"/>
          <w:sz w:val="21"/>
          <w:szCs w:val="21"/>
          <w:lang w:val="zh-CN"/>
        </w:rPr>
      </w:pPr>
    </w:p>
    <w:p>
      <w:pPr>
        <w:adjustRightInd w:val="0"/>
        <w:snapToGrid w:val="0"/>
        <w:spacing w:line="360" w:lineRule="auto"/>
        <w:rPr>
          <w:color w:val="auto"/>
          <w:szCs w:val="21"/>
          <w:lang w:val="zh-CN"/>
        </w:rPr>
      </w:pPr>
      <w:bookmarkStart w:id="833" w:name="_Toc10807_WPSOffice_Level2"/>
      <w:r>
        <w:rPr>
          <w:rFonts w:hint="eastAsia"/>
          <w:color w:val="auto"/>
          <w:szCs w:val="21"/>
          <w:lang w:val="zh-CN"/>
        </w:rPr>
        <w:t>1、政府采购政策</w:t>
      </w:r>
      <w:bookmarkEnd w:id="833"/>
    </w:p>
    <w:p>
      <w:pPr>
        <w:adjustRightInd w:val="0"/>
        <w:snapToGrid w:val="0"/>
        <w:spacing w:line="360" w:lineRule="auto"/>
        <w:ind w:firstLine="420" w:firstLineChars="200"/>
        <w:rPr>
          <w:color w:val="auto"/>
          <w:szCs w:val="21"/>
          <w:lang w:val="zh-CN"/>
        </w:rPr>
      </w:pPr>
      <w:r>
        <w:rPr>
          <w:rFonts w:hint="eastAsia"/>
          <w:color w:val="auto"/>
          <w:szCs w:val="21"/>
          <w:lang w:val="zh-CN"/>
        </w:rPr>
        <w:t>财政部、司法部关于政府采购支持监狱企业发展有关问题的通知（财库【2014】68 号）</w:t>
      </w:r>
    </w:p>
    <w:p>
      <w:pPr>
        <w:adjustRightInd w:val="0"/>
        <w:snapToGrid w:val="0"/>
        <w:spacing w:line="360" w:lineRule="auto"/>
        <w:rPr>
          <w:color w:val="auto"/>
          <w:szCs w:val="21"/>
          <w:lang w:val="zh-CN"/>
        </w:rPr>
      </w:pPr>
      <w:bookmarkStart w:id="834" w:name="_Toc25753_WPSOffice_Level2"/>
      <w:r>
        <w:rPr>
          <w:rFonts w:hint="eastAsia"/>
          <w:color w:val="auto"/>
          <w:szCs w:val="21"/>
          <w:lang w:val="zh-CN"/>
        </w:rPr>
        <w:t>2、附证明材料</w:t>
      </w:r>
      <w:bookmarkEnd w:id="834"/>
    </w:p>
    <w:p>
      <w:pPr>
        <w:adjustRightInd w:val="0"/>
        <w:snapToGrid w:val="0"/>
        <w:spacing w:line="360" w:lineRule="auto"/>
        <w:ind w:firstLine="420" w:firstLineChars="200"/>
        <w:rPr>
          <w:color w:val="auto"/>
          <w:szCs w:val="21"/>
          <w:lang w:val="zh-CN"/>
        </w:rPr>
      </w:pPr>
      <w:r>
        <w:rPr>
          <w:rFonts w:hint="eastAsia"/>
          <w:color w:val="auto"/>
          <w:szCs w:val="21"/>
          <w:lang w:val="zh-CN"/>
        </w:rPr>
        <w:t xml:space="preserve">提供由省级以上监狱管理局、戒毒管理局（含新疆生产建设兵团）出具的属于监狱企业的证明文件. </w:t>
      </w:r>
    </w:p>
    <w:p>
      <w:pPr>
        <w:adjustRightInd w:val="0"/>
        <w:snapToGrid w:val="0"/>
        <w:rPr>
          <w:color w:val="auto"/>
          <w:szCs w:val="21"/>
          <w:lang w:val="zh-CN"/>
        </w:rPr>
      </w:pPr>
      <w:r>
        <w:rPr>
          <w:rFonts w:hint="eastAsia"/>
          <w:color w:val="auto"/>
          <w:szCs w:val="21"/>
          <w:lang w:val="zh-CN"/>
        </w:rPr>
        <w:t xml:space="preserve"> </w:t>
      </w:r>
    </w:p>
    <w:p>
      <w:pPr>
        <w:pStyle w:val="74"/>
        <w:rPr>
          <w:color w:val="auto"/>
          <w:sz w:val="21"/>
          <w:szCs w:val="21"/>
          <w:lang w:val="zh-CN"/>
        </w:rPr>
      </w:pPr>
    </w:p>
    <w:p>
      <w:pPr>
        <w:pStyle w:val="74"/>
        <w:rPr>
          <w:color w:val="auto"/>
          <w:sz w:val="21"/>
          <w:szCs w:val="21"/>
          <w:lang w:val="zh-CN"/>
        </w:rPr>
      </w:pPr>
    </w:p>
    <w:p>
      <w:pPr>
        <w:adjustRightInd w:val="0"/>
        <w:snapToGrid w:val="0"/>
        <w:jc w:val="center"/>
        <w:rPr>
          <w:color w:val="auto"/>
          <w:szCs w:val="21"/>
          <w:lang w:val="zh-CN"/>
        </w:rPr>
      </w:pPr>
      <w:bookmarkStart w:id="835" w:name="_Toc28195_WPSOffice_Level1"/>
      <w:r>
        <w:rPr>
          <w:rFonts w:hint="eastAsia"/>
          <w:color w:val="auto"/>
          <w:szCs w:val="21"/>
        </w:rPr>
        <w:t>3</w:t>
      </w:r>
      <w:r>
        <w:rPr>
          <w:rFonts w:hint="eastAsia"/>
          <w:color w:val="auto"/>
          <w:szCs w:val="21"/>
          <w:lang w:val="zh-CN"/>
        </w:rPr>
        <w:t>、关于促进残疾人就业的政府采购政策（如有）</w:t>
      </w:r>
      <w:bookmarkEnd w:id="835"/>
    </w:p>
    <w:p>
      <w:pPr>
        <w:pStyle w:val="74"/>
        <w:rPr>
          <w:color w:val="auto"/>
          <w:sz w:val="21"/>
          <w:szCs w:val="21"/>
          <w:lang w:val="zh-CN"/>
        </w:rPr>
      </w:pPr>
    </w:p>
    <w:p>
      <w:pPr>
        <w:adjustRightInd w:val="0"/>
        <w:snapToGrid w:val="0"/>
        <w:spacing w:line="360" w:lineRule="auto"/>
        <w:rPr>
          <w:color w:val="auto"/>
          <w:szCs w:val="21"/>
          <w:lang w:val="zh-CN"/>
        </w:rPr>
      </w:pPr>
      <w:bookmarkStart w:id="836" w:name="_Toc30502_WPSOffice_Level2"/>
      <w:r>
        <w:rPr>
          <w:rFonts w:hint="eastAsia"/>
          <w:color w:val="auto"/>
          <w:szCs w:val="21"/>
          <w:lang w:val="zh-CN"/>
        </w:rPr>
        <w:t>1、政府采购政策</w:t>
      </w:r>
      <w:bookmarkEnd w:id="836"/>
    </w:p>
    <w:p>
      <w:pPr>
        <w:adjustRightInd w:val="0"/>
        <w:snapToGrid w:val="0"/>
        <w:spacing w:line="360" w:lineRule="auto"/>
        <w:ind w:firstLine="420" w:firstLineChars="200"/>
        <w:rPr>
          <w:color w:val="auto"/>
          <w:szCs w:val="21"/>
          <w:lang w:val="zh-CN"/>
        </w:rPr>
      </w:pPr>
      <w:r>
        <w:rPr>
          <w:rFonts w:hint="eastAsia"/>
          <w:color w:val="auto"/>
          <w:szCs w:val="21"/>
          <w:lang w:val="zh-CN"/>
        </w:rPr>
        <w:t>关于促进残疾人就业政府采购政策的通知（财库〔2017〕141 号）</w:t>
      </w:r>
    </w:p>
    <w:p>
      <w:pPr>
        <w:adjustRightInd w:val="0"/>
        <w:snapToGrid w:val="0"/>
        <w:spacing w:line="360" w:lineRule="auto"/>
        <w:rPr>
          <w:color w:val="auto"/>
          <w:szCs w:val="21"/>
          <w:lang w:val="zh-CN"/>
        </w:rPr>
      </w:pPr>
      <w:bookmarkStart w:id="837" w:name="_Toc15406_WPSOffice_Level2"/>
      <w:r>
        <w:rPr>
          <w:rFonts w:hint="eastAsia"/>
          <w:color w:val="auto"/>
          <w:szCs w:val="21"/>
          <w:lang w:val="zh-CN"/>
        </w:rPr>
        <w:t>2、附残疾人福利性单位声明函</w:t>
      </w:r>
      <w:bookmarkEnd w:id="837"/>
    </w:p>
    <w:p>
      <w:pPr>
        <w:adjustRightInd w:val="0"/>
        <w:snapToGrid w:val="0"/>
        <w:spacing w:line="360" w:lineRule="auto"/>
        <w:ind w:firstLine="420" w:firstLineChars="200"/>
        <w:rPr>
          <w:color w:val="auto"/>
          <w:szCs w:val="21"/>
          <w:lang w:val="zh-CN"/>
        </w:rPr>
      </w:pPr>
      <w:r>
        <w:rPr>
          <w:rFonts w:hint="eastAsia"/>
          <w:color w:val="auto"/>
          <w:szCs w:val="21"/>
          <w:lang w:val="zh-CN"/>
        </w:rPr>
        <w:t>本单位郑重声明，根据《财政部民政部中国残疾人联合会关于促进残疾人就业政府</w:t>
      </w:r>
    </w:p>
    <w:p>
      <w:pPr>
        <w:adjustRightInd w:val="0"/>
        <w:snapToGrid w:val="0"/>
        <w:spacing w:line="360" w:lineRule="auto"/>
        <w:ind w:firstLine="420" w:firstLineChars="200"/>
        <w:rPr>
          <w:color w:val="auto"/>
          <w:szCs w:val="21"/>
          <w:lang w:val="zh-CN"/>
        </w:rPr>
      </w:pPr>
      <w:r>
        <w:rPr>
          <w:rFonts w:hint="eastAsia"/>
          <w:color w:val="auto"/>
          <w:szCs w:val="21"/>
          <w:lang w:val="zh-CN"/>
        </w:rPr>
        <w:t>采购政策的通知》（财库〔2017〕141 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color w:val="auto"/>
          <w:szCs w:val="21"/>
          <w:lang w:val="zh-CN"/>
        </w:rPr>
      </w:pPr>
      <w:r>
        <w:rPr>
          <w:rFonts w:hint="eastAsia"/>
          <w:color w:val="auto"/>
          <w:szCs w:val="21"/>
          <w:lang w:val="zh-CN"/>
        </w:rPr>
        <w:t>本单位对上述声明的真实性负责。如有虚假，将依法承担相应责任。</w:t>
      </w:r>
    </w:p>
    <w:p>
      <w:pPr>
        <w:adjustRightInd w:val="0"/>
        <w:snapToGrid w:val="0"/>
        <w:spacing w:line="360" w:lineRule="auto"/>
        <w:rPr>
          <w:color w:val="auto"/>
          <w:szCs w:val="21"/>
          <w:lang w:val="zh-CN"/>
        </w:rPr>
      </w:pPr>
    </w:p>
    <w:p>
      <w:pPr>
        <w:adjustRightInd w:val="0"/>
        <w:snapToGrid w:val="0"/>
        <w:spacing w:line="360" w:lineRule="auto"/>
        <w:rPr>
          <w:color w:val="auto"/>
          <w:szCs w:val="21"/>
          <w:lang w:val="zh-CN"/>
        </w:rPr>
      </w:pPr>
    </w:p>
    <w:p>
      <w:pPr>
        <w:adjustRightInd w:val="0"/>
        <w:snapToGrid w:val="0"/>
        <w:spacing w:line="360" w:lineRule="auto"/>
        <w:ind w:firstLine="420" w:firstLineChars="200"/>
        <w:rPr>
          <w:color w:val="auto"/>
          <w:szCs w:val="21"/>
          <w:lang w:val="zh-CN"/>
        </w:rPr>
      </w:pPr>
      <w:r>
        <w:rPr>
          <w:rFonts w:hint="eastAsia"/>
          <w:color w:val="auto"/>
          <w:szCs w:val="21"/>
          <w:lang w:val="zh-CN"/>
        </w:rPr>
        <w:t>投标人名称：          （盖单位公章）</w:t>
      </w:r>
    </w:p>
    <w:p>
      <w:pPr>
        <w:adjustRightInd w:val="0"/>
        <w:snapToGrid w:val="0"/>
        <w:spacing w:line="360" w:lineRule="auto"/>
        <w:rPr>
          <w:color w:val="auto"/>
          <w:szCs w:val="21"/>
          <w:lang w:val="zh-CN" w:eastAsia="en-US"/>
        </w:rPr>
      </w:pPr>
    </w:p>
    <w:p>
      <w:pPr>
        <w:spacing w:line="480" w:lineRule="auto"/>
        <w:ind w:firstLine="630" w:firstLineChars="300"/>
        <w:rPr>
          <w:rFonts w:ascii="宋体" w:hAnsi="宋体" w:cs="宋体"/>
          <w:color w:val="auto"/>
          <w:szCs w:val="21"/>
        </w:rPr>
      </w:pPr>
      <w:r>
        <w:rPr>
          <w:rFonts w:hint="eastAsia"/>
          <w:color w:val="auto"/>
          <w:szCs w:val="21"/>
          <w:lang w:val="zh-CN"/>
        </w:rPr>
        <w:t>年    月    日</w:t>
      </w:r>
      <w:r>
        <w:rPr>
          <w:rFonts w:ascii="宋体" w:hAnsi="宋体" w:cs="宋体"/>
          <w:color w:val="auto"/>
          <w:szCs w:val="21"/>
        </w:rPr>
        <w:t xml:space="preserve"> </w:t>
      </w:r>
    </w:p>
    <w:p>
      <w:pPr>
        <w:spacing w:line="360" w:lineRule="auto"/>
        <w:rPr>
          <w:rFonts w:ascii="宋体" w:hAnsi="宋体"/>
          <w:color w:val="auto"/>
          <w:szCs w:val="21"/>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15742"/>
      <w:docPartObj>
        <w:docPartGallery w:val="autotext"/>
      </w:docPartObj>
    </w:sdtPr>
    <w:sdtContent>
      <w:p>
        <w:pPr>
          <w:pStyle w:val="16"/>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15745"/>
      <w:docPartObj>
        <w:docPartGallery w:val="autotext"/>
      </w:docPartObj>
    </w:sdtPr>
    <w:sdtContent>
      <w:p>
        <w:pPr>
          <w:pStyle w:val="16"/>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eastAsia="宋体"/>
        <w:lang w:val="en-US" w:eastAsia="zh-CN"/>
      </w:rPr>
    </w:pP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4210A"/>
    <w:multiLevelType w:val="singleLevel"/>
    <w:tmpl w:val="BA84210A"/>
    <w:lvl w:ilvl="0" w:tentative="0">
      <w:start w:val="2"/>
      <w:numFmt w:val="chineseCounting"/>
      <w:suff w:val="nothing"/>
      <w:lvlText w:val="（%1）"/>
      <w:lvlJc w:val="left"/>
      <w:rPr>
        <w:rFonts w:hint="eastAsia"/>
      </w:rPr>
    </w:lvl>
  </w:abstractNum>
  <w:abstractNum w:abstractNumId="1">
    <w:nsid w:val="DB1C88D8"/>
    <w:multiLevelType w:val="singleLevel"/>
    <w:tmpl w:val="DB1C88D8"/>
    <w:lvl w:ilvl="0" w:tentative="0">
      <w:start w:val="1"/>
      <w:numFmt w:val="decimal"/>
      <w:lvlText w:val="%1."/>
      <w:lvlJc w:val="left"/>
      <w:pPr>
        <w:tabs>
          <w:tab w:val="left" w:pos="312"/>
        </w:tabs>
      </w:pPr>
    </w:lvl>
  </w:abstractNum>
  <w:abstractNum w:abstractNumId="2">
    <w:nsid w:val="00000001"/>
    <w:multiLevelType w:val="singleLevel"/>
    <w:tmpl w:val="00000001"/>
    <w:lvl w:ilvl="0" w:tentative="0">
      <w:start w:val="3"/>
      <w:numFmt w:val="decimal"/>
      <w:suff w:val="nothing"/>
      <w:lvlText w:val="%1."/>
      <w:lvlJc w:val="left"/>
      <w:rPr>
        <w:rFonts w:cs="Times New Roman"/>
      </w:rPr>
    </w:lvl>
  </w:abstractNum>
  <w:abstractNum w:abstractNumId="3">
    <w:nsid w:val="00000003"/>
    <w:multiLevelType w:val="singleLevel"/>
    <w:tmpl w:val="00000003"/>
    <w:lvl w:ilvl="0" w:tentative="0">
      <w:start w:val="1"/>
      <w:numFmt w:val="decimal"/>
      <w:suff w:val="nothing"/>
      <w:lvlText w:val="%1."/>
      <w:lvlJc w:val="left"/>
      <w:rPr>
        <w:rFonts w:cs="Times New Roman"/>
      </w:rPr>
    </w:lvl>
  </w:abstractNum>
  <w:abstractNum w:abstractNumId="4">
    <w:nsid w:val="0D804C65"/>
    <w:multiLevelType w:val="singleLevel"/>
    <w:tmpl w:val="0D804C65"/>
    <w:lvl w:ilvl="0" w:tentative="0">
      <w:start w:val="1"/>
      <w:numFmt w:val="decimal"/>
      <w:suff w:val="nothing"/>
      <w:lvlText w:val="%1、"/>
      <w:lvlJc w:val="left"/>
    </w:lvl>
  </w:abstractNum>
  <w:abstractNum w:abstractNumId="5">
    <w:nsid w:val="7C0F25CC"/>
    <w:multiLevelType w:val="multilevel"/>
    <w:tmpl w:val="7C0F25CC"/>
    <w:lvl w:ilvl="0" w:tentative="0">
      <w:start w:val="1"/>
      <w:numFmt w:val="decimal"/>
      <w:lvlText w:val="%1"/>
      <w:lvlJc w:val="left"/>
      <w:pPr>
        <w:ind w:left="600" w:hanging="600"/>
      </w:pPr>
      <w:rPr>
        <w:rFonts w:hint="default"/>
      </w:rPr>
    </w:lvl>
    <w:lvl w:ilvl="1" w:tentative="0">
      <w:start w:val="3"/>
      <w:numFmt w:val="decimal"/>
      <w:lvlText w:val="%1.%2"/>
      <w:lvlJc w:val="left"/>
      <w:pPr>
        <w:ind w:left="840" w:hanging="600"/>
      </w:pPr>
      <w:rPr>
        <w:rFonts w:hint="default"/>
      </w:rPr>
    </w:lvl>
    <w:lvl w:ilvl="2" w:tentative="0">
      <w:start w:val="2"/>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gzNDFkNDg3ZmMxMDQwMTE1MWM5NzE2NjRhNzViZmEifQ=="/>
  </w:docVars>
  <w:rsids>
    <w:rsidRoot w:val="00101201"/>
    <w:rsid w:val="000052FF"/>
    <w:rsid w:val="0000625C"/>
    <w:rsid w:val="00006C91"/>
    <w:rsid w:val="00010BE7"/>
    <w:rsid w:val="000166A4"/>
    <w:rsid w:val="0002431B"/>
    <w:rsid w:val="000344C0"/>
    <w:rsid w:val="00037EFC"/>
    <w:rsid w:val="0004121B"/>
    <w:rsid w:val="00043142"/>
    <w:rsid w:val="00050BE1"/>
    <w:rsid w:val="00053CA9"/>
    <w:rsid w:val="000675BA"/>
    <w:rsid w:val="00094FE9"/>
    <w:rsid w:val="000A1F8D"/>
    <w:rsid w:val="000A58F9"/>
    <w:rsid w:val="000B09B3"/>
    <w:rsid w:val="000B32B0"/>
    <w:rsid w:val="000C17AB"/>
    <w:rsid w:val="000C340C"/>
    <w:rsid w:val="000C5A00"/>
    <w:rsid w:val="000C602A"/>
    <w:rsid w:val="000C6CA8"/>
    <w:rsid w:val="000D3ECA"/>
    <w:rsid w:val="000E7F9E"/>
    <w:rsid w:val="000F3CA9"/>
    <w:rsid w:val="00101201"/>
    <w:rsid w:val="001014DA"/>
    <w:rsid w:val="00105AAA"/>
    <w:rsid w:val="0010783D"/>
    <w:rsid w:val="001306D6"/>
    <w:rsid w:val="0014288D"/>
    <w:rsid w:val="00157EBA"/>
    <w:rsid w:val="001600D7"/>
    <w:rsid w:val="00163CE1"/>
    <w:rsid w:val="001646C2"/>
    <w:rsid w:val="00166A2A"/>
    <w:rsid w:val="00167EED"/>
    <w:rsid w:val="001709C9"/>
    <w:rsid w:val="001764A0"/>
    <w:rsid w:val="00176601"/>
    <w:rsid w:val="0018669A"/>
    <w:rsid w:val="001A1DA5"/>
    <w:rsid w:val="001E0B97"/>
    <w:rsid w:val="001E52A3"/>
    <w:rsid w:val="001E5A73"/>
    <w:rsid w:val="001F05F9"/>
    <w:rsid w:val="001F351F"/>
    <w:rsid w:val="001F3B11"/>
    <w:rsid w:val="001F5F39"/>
    <w:rsid w:val="00202623"/>
    <w:rsid w:val="00203A8A"/>
    <w:rsid w:val="00205BD6"/>
    <w:rsid w:val="00206FAD"/>
    <w:rsid w:val="002202E3"/>
    <w:rsid w:val="00231BE5"/>
    <w:rsid w:val="0023466F"/>
    <w:rsid w:val="00237F9D"/>
    <w:rsid w:val="00247ED4"/>
    <w:rsid w:val="002511BE"/>
    <w:rsid w:val="0025169F"/>
    <w:rsid w:val="0025267A"/>
    <w:rsid w:val="00257B21"/>
    <w:rsid w:val="002629A3"/>
    <w:rsid w:val="00271FD7"/>
    <w:rsid w:val="002727AF"/>
    <w:rsid w:val="0027652F"/>
    <w:rsid w:val="00280B81"/>
    <w:rsid w:val="00280E5C"/>
    <w:rsid w:val="00284C57"/>
    <w:rsid w:val="002C4129"/>
    <w:rsid w:val="002C60BB"/>
    <w:rsid w:val="002C6695"/>
    <w:rsid w:val="002E7BB7"/>
    <w:rsid w:val="002F2B4F"/>
    <w:rsid w:val="00312157"/>
    <w:rsid w:val="00315101"/>
    <w:rsid w:val="00320D1A"/>
    <w:rsid w:val="0033599E"/>
    <w:rsid w:val="00345BC0"/>
    <w:rsid w:val="00346469"/>
    <w:rsid w:val="00355B39"/>
    <w:rsid w:val="00356217"/>
    <w:rsid w:val="00362B31"/>
    <w:rsid w:val="00364723"/>
    <w:rsid w:val="00367DCE"/>
    <w:rsid w:val="00373F19"/>
    <w:rsid w:val="00385DC1"/>
    <w:rsid w:val="00386BA4"/>
    <w:rsid w:val="00387865"/>
    <w:rsid w:val="003924BE"/>
    <w:rsid w:val="003A7400"/>
    <w:rsid w:val="003B1F0D"/>
    <w:rsid w:val="003C72F9"/>
    <w:rsid w:val="003E00F9"/>
    <w:rsid w:val="003E3536"/>
    <w:rsid w:val="003E514A"/>
    <w:rsid w:val="004046C0"/>
    <w:rsid w:val="00407442"/>
    <w:rsid w:val="004264D8"/>
    <w:rsid w:val="00437B76"/>
    <w:rsid w:val="00443E3B"/>
    <w:rsid w:val="00453A86"/>
    <w:rsid w:val="004563E4"/>
    <w:rsid w:val="0046617C"/>
    <w:rsid w:val="00481867"/>
    <w:rsid w:val="00483C5F"/>
    <w:rsid w:val="00491047"/>
    <w:rsid w:val="004A7875"/>
    <w:rsid w:val="004B34B0"/>
    <w:rsid w:val="004C223C"/>
    <w:rsid w:val="004D35B2"/>
    <w:rsid w:val="004E126C"/>
    <w:rsid w:val="004E5CC5"/>
    <w:rsid w:val="004F5F68"/>
    <w:rsid w:val="00500774"/>
    <w:rsid w:val="005023F5"/>
    <w:rsid w:val="00504650"/>
    <w:rsid w:val="00510241"/>
    <w:rsid w:val="005135ED"/>
    <w:rsid w:val="00534246"/>
    <w:rsid w:val="005409DE"/>
    <w:rsid w:val="005437E2"/>
    <w:rsid w:val="00547007"/>
    <w:rsid w:val="00552396"/>
    <w:rsid w:val="0056043D"/>
    <w:rsid w:val="00560A25"/>
    <w:rsid w:val="0056594C"/>
    <w:rsid w:val="005710DD"/>
    <w:rsid w:val="005812AB"/>
    <w:rsid w:val="00583F57"/>
    <w:rsid w:val="00592105"/>
    <w:rsid w:val="005921F8"/>
    <w:rsid w:val="005966DC"/>
    <w:rsid w:val="00596C32"/>
    <w:rsid w:val="005A4976"/>
    <w:rsid w:val="005C49E5"/>
    <w:rsid w:val="005C6110"/>
    <w:rsid w:val="005F248A"/>
    <w:rsid w:val="00607EF2"/>
    <w:rsid w:val="00613099"/>
    <w:rsid w:val="0061471C"/>
    <w:rsid w:val="0062278C"/>
    <w:rsid w:val="00623357"/>
    <w:rsid w:val="00624A17"/>
    <w:rsid w:val="0062678E"/>
    <w:rsid w:val="00632024"/>
    <w:rsid w:val="0063248A"/>
    <w:rsid w:val="00636FDA"/>
    <w:rsid w:val="006408C3"/>
    <w:rsid w:val="0064618B"/>
    <w:rsid w:val="00646458"/>
    <w:rsid w:val="00663D4E"/>
    <w:rsid w:val="00664474"/>
    <w:rsid w:val="006708D1"/>
    <w:rsid w:val="00673BAA"/>
    <w:rsid w:val="00674A0A"/>
    <w:rsid w:val="00681A8E"/>
    <w:rsid w:val="00686351"/>
    <w:rsid w:val="006922FA"/>
    <w:rsid w:val="006B1341"/>
    <w:rsid w:val="006B1D9A"/>
    <w:rsid w:val="006B360A"/>
    <w:rsid w:val="006D4385"/>
    <w:rsid w:val="006D43B7"/>
    <w:rsid w:val="006F3E89"/>
    <w:rsid w:val="006F56FB"/>
    <w:rsid w:val="00706EF5"/>
    <w:rsid w:val="00722E81"/>
    <w:rsid w:val="0073286C"/>
    <w:rsid w:val="00742AFD"/>
    <w:rsid w:val="0074438B"/>
    <w:rsid w:val="00751B5A"/>
    <w:rsid w:val="00752771"/>
    <w:rsid w:val="00753769"/>
    <w:rsid w:val="00757EF0"/>
    <w:rsid w:val="00761F97"/>
    <w:rsid w:val="00763A62"/>
    <w:rsid w:val="00766CD8"/>
    <w:rsid w:val="00773656"/>
    <w:rsid w:val="00775D33"/>
    <w:rsid w:val="00793DDB"/>
    <w:rsid w:val="007951A3"/>
    <w:rsid w:val="007C50A6"/>
    <w:rsid w:val="007D1982"/>
    <w:rsid w:val="007E7823"/>
    <w:rsid w:val="007F0033"/>
    <w:rsid w:val="007F0872"/>
    <w:rsid w:val="007F3E9A"/>
    <w:rsid w:val="007F446F"/>
    <w:rsid w:val="00805E46"/>
    <w:rsid w:val="008106E6"/>
    <w:rsid w:val="00817E7E"/>
    <w:rsid w:val="008218AA"/>
    <w:rsid w:val="008321AC"/>
    <w:rsid w:val="008345F4"/>
    <w:rsid w:val="00844A72"/>
    <w:rsid w:val="00845319"/>
    <w:rsid w:val="00853ECF"/>
    <w:rsid w:val="00862832"/>
    <w:rsid w:val="00870F18"/>
    <w:rsid w:val="00873AD9"/>
    <w:rsid w:val="008807B5"/>
    <w:rsid w:val="00880F7C"/>
    <w:rsid w:val="008968B7"/>
    <w:rsid w:val="008A397A"/>
    <w:rsid w:val="008A5B64"/>
    <w:rsid w:val="008A696E"/>
    <w:rsid w:val="008B5F86"/>
    <w:rsid w:val="008C6B7B"/>
    <w:rsid w:val="008D059D"/>
    <w:rsid w:val="008E6255"/>
    <w:rsid w:val="008F2D82"/>
    <w:rsid w:val="00907230"/>
    <w:rsid w:val="0091486C"/>
    <w:rsid w:val="009226E1"/>
    <w:rsid w:val="00923034"/>
    <w:rsid w:val="00934465"/>
    <w:rsid w:val="0093529C"/>
    <w:rsid w:val="00940069"/>
    <w:rsid w:val="00946ED7"/>
    <w:rsid w:val="009527C4"/>
    <w:rsid w:val="00956C59"/>
    <w:rsid w:val="00970F45"/>
    <w:rsid w:val="00981FC2"/>
    <w:rsid w:val="0099158A"/>
    <w:rsid w:val="00993279"/>
    <w:rsid w:val="0099353F"/>
    <w:rsid w:val="009955FE"/>
    <w:rsid w:val="009970E1"/>
    <w:rsid w:val="009B2866"/>
    <w:rsid w:val="009B710A"/>
    <w:rsid w:val="009C2B82"/>
    <w:rsid w:val="009D1B90"/>
    <w:rsid w:val="009D1C5B"/>
    <w:rsid w:val="009D5116"/>
    <w:rsid w:val="009E1903"/>
    <w:rsid w:val="009E1E97"/>
    <w:rsid w:val="009E2869"/>
    <w:rsid w:val="009E565E"/>
    <w:rsid w:val="009F0669"/>
    <w:rsid w:val="009F6029"/>
    <w:rsid w:val="00A04170"/>
    <w:rsid w:val="00A0739F"/>
    <w:rsid w:val="00A1451C"/>
    <w:rsid w:val="00A146BE"/>
    <w:rsid w:val="00A164B7"/>
    <w:rsid w:val="00A24C11"/>
    <w:rsid w:val="00A341A6"/>
    <w:rsid w:val="00A5537D"/>
    <w:rsid w:val="00A653A0"/>
    <w:rsid w:val="00A70E0C"/>
    <w:rsid w:val="00A75F55"/>
    <w:rsid w:val="00A9010A"/>
    <w:rsid w:val="00A92688"/>
    <w:rsid w:val="00A9337F"/>
    <w:rsid w:val="00AA175D"/>
    <w:rsid w:val="00AC21CA"/>
    <w:rsid w:val="00AD44D4"/>
    <w:rsid w:val="00AD5A0A"/>
    <w:rsid w:val="00AE3243"/>
    <w:rsid w:val="00AF34DD"/>
    <w:rsid w:val="00B026C3"/>
    <w:rsid w:val="00B03E4B"/>
    <w:rsid w:val="00B12659"/>
    <w:rsid w:val="00B12D2E"/>
    <w:rsid w:val="00B13513"/>
    <w:rsid w:val="00B22676"/>
    <w:rsid w:val="00B27C0D"/>
    <w:rsid w:val="00B34BC3"/>
    <w:rsid w:val="00B41D4F"/>
    <w:rsid w:val="00B4201C"/>
    <w:rsid w:val="00B42EE0"/>
    <w:rsid w:val="00B4642D"/>
    <w:rsid w:val="00B477F7"/>
    <w:rsid w:val="00B6124C"/>
    <w:rsid w:val="00B62924"/>
    <w:rsid w:val="00B65951"/>
    <w:rsid w:val="00B66119"/>
    <w:rsid w:val="00B763D0"/>
    <w:rsid w:val="00B8108F"/>
    <w:rsid w:val="00B85343"/>
    <w:rsid w:val="00B91BFA"/>
    <w:rsid w:val="00BA2230"/>
    <w:rsid w:val="00BD51A2"/>
    <w:rsid w:val="00BE4D6B"/>
    <w:rsid w:val="00BE753D"/>
    <w:rsid w:val="00BF0E28"/>
    <w:rsid w:val="00BF1A67"/>
    <w:rsid w:val="00BF79F2"/>
    <w:rsid w:val="00C024DC"/>
    <w:rsid w:val="00C06AF3"/>
    <w:rsid w:val="00C073AD"/>
    <w:rsid w:val="00C31063"/>
    <w:rsid w:val="00C31E04"/>
    <w:rsid w:val="00C34058"/>
    <w:rsid w:val="00C40B02"/>
    <w:rsid w:val="00C44C56"/>
    <w:rsid w:val="00C55F17"/>
    <w:rsid w:val="00C60025"/>
    <w:rsid w:val="00C60C49"/>
    <w:rsid w:val="00C64BFB"/>
    <w:rsid w:val="00C86F41"/>
    <w:rsid w:val="00C870D3"/>
    <w:rsid w:val="00C97BE7"/>
    <w:rsid w:val="00CA3F1C"/>
    <w:rsid w:val="00CB0825"/>
    <w:rsid w:val="00CB4F8C"/>
    <w:rsid w:val="00CC2015"/>
    <w:rsid w:val="00CC2D59"/>
    <w:rsid w:val="00CD39E4"/>
    <w:rsid w:val="00CD79DB"/>
    <w:rsid w:val="00CE15B9"/>
    <w:rsid w:val="00CF34C1"/>
    <w:rsid w:val="00D2080A"/>
    <w:rsid w:val="00D26287"/>
    <w:rsid w:val="00D27626"/>
    <w:rsid w:val="00D3623A"/>
    <w:rsid w:val="00D45937"/>
    <w:rsid w:val="00D45B4A"/>
    <w:rsid w:val="00D513FE"/>
    <w:rsid w:val="00D53F06"/>
    <w:rsid w:val="00D566E6"/>
    <w:rsid w:val="00D61DA0"/>
    <w:rsid w:val="00D6362E"/>
    <w:rsid w:val="00D64045"/>
    <w:rsid w:val="00D72C6F"/>
    <w:rsid w:val="00D762D9"/>
    <w:rsid w:val="00D76564"/>
    <w:rsid w:val="00D82A2F"/>
    <w:rsid w:val="00D83902"/>
    <w:rsid w:val="00D90C22"/>
    <w:rsid w:val="00D91EB7"/>
    <w:rsid w:val="00DA220B"/>
    <w:rsid w:val="00DA2285"/>
    <w:rsid w:val="00DA33BD"/>
    <w:rsid w:val="00DA456F"/>
    <w:rsid w:val="00DA71EB"/>
    <w:rsid w:val="00DB1D6B"/>
    <w:rsid w:val="00DC29D7"/>
    <w:rsid w:val="00DC3B5E"/>
    <w:rsid w:val="00DD3D29"/>
    <w:rsid w:val="00DF30D8"/>
    <w:rsid w:val="00DF4B8E"/>
    <w:rsid w:val="00DF6077"/>
    <w:rsid w:val="00DF6D56"/>
    <w:rsid w:val="00E16C98"/>
    <w:rsid w:val="00E27EDD"/>
    <w:rsid w:val="00E3072A"/>
    <w:rsid w:val="00E326EA"/>
    <w:rsid w:val="00E405F3"/>
    <w:rsid w:val="00E56385"/>
    <w:rsid w:val="00E615F1"/>
    <w:rsid w:val="00E800A9"/>
    <w:rsid w:val="00E85BE9"/>
    <w:rsid w:val="00E8687D"/>
    <w:rsid w:val="00E95AEC"/>
    <w:rsid w:val="00E96911"/>
    <w:rsid w:val="00EA0922"/>
    <w:rsid w:val="00EA43E8"/>
    <w:rsid w:val="00EA7494"/>
    <w:rsid w:val="00EB3249"/>
    <w:rsid w:val="00EB6478"/>
    <w:rsid w:val="00EB73E9"/>
    <w:rsid w:val="00ED721A"/>
    <w:rsid w:val="00EE1EF9"/>
    <w:rsid w:val="00EF6D6D"/>
    <w:rsid w:val="00F03E53"/>
    <w:rsid w:val="00F1005E"/>
    <w:rsid w:val="00F100F2"/>
    <w:rsid w:val="00F14AF2"/>
    <w:rsid w:val="00F1584B"/>
    <w:rsid w:val="00F15EF0"/>
    <w:rsid w:val="00F24A0A"/>
    <w:rsid w:val="00F27D37"/>
    <w:rsid w:val="00F331C9"/>
    <w:rsid w:val="00F41B62"/>
    <w:rsid w:val="00F54E67"/>
    <w:rsid w:val="00F55953"/>
    <w:rsid w:val="00F55FD2"/>
    <w:rsid w:val="00F653DE"/>
    <w:rsid w:val="00F7010A"/>
    <w:rsid w:val="00F72B0C"/>
    <w:rsid w:val="00F75ABA"/>
    <w:rsid w:val="00F82BFF"/>
    <w:rsid w:val="00F8699D"/>
    <w:rsid w:val="00FA1E16"/>
    <w:rsid w:val="00FA50E3"/>
    <w:rsid w:val="00FB1B5A"/>
    <w:rsid w:val="00FB2D33"/>
    <w:rsid w:val="00FB4F13"/>
    <w:rsid w:val="00FD3FA4"/>
    <w:rsid w:val="00FE11AE"/>
    <w:rsid w:val="00FE1EDD"/>
    <w:rsid w:val="00FF104C"/>
    <w:rsid w:val="021028E4"/>
    <w:rsid w:val="02452C60"/>
    <w:rsid w:val="025A657C"/>
    <w:rsid w:val="02756309"/>
    <w:rsid w:val="04585BCE"/>
    <w:rsid w:val="05E7113C"/>
    <w:rsid w:val="068E2270"/>
    <w:rsid w:val="06B225CD"/>
    <w:rsid w:val="06C5252E"/>
    <w:rsid w:val="0789151E"/>
    <w:rsid w:val="079F40A2"/>
    <w:rsid w:val="081962DD"/>
    <w:rsid w:val="08E422F1"/>
    <w:rsid w:val="091F2749"/>
    <w:rsid w:val="09785B04"/>
    <w:rsid w:val="0CA34B40"/>
    <w:rsid w:val="0FA504C7"/>
    <w:rsid w:val="0FEC3771"/>
    <w:rsid w:val="10EE3247"/>
    <w:rsid w:val="11D942D9"/>
    <w:rsid w:val="141D39BA"/>
    <w:rsid w:val="15CE5491"/>
    <w:rsid w:val="17F256F2"/>
    <w:rsid w:val="1AFB726E"/>
    <w:rsid w:val="1D71661C"/>
    <w:rsid w:val="1E2A603E"/>
    <w:rsid w:val="203E659E"/>
    <w:rsid w:val="21B11883"/>
    <w:rsid w:val="233E23C8"/>
    <w:rsid w:val="23A73284"/>
    <w:rsid w:val="26E97F7C"/>
    <w:rsid w:val="27605924"/>
    <w:rsid w:val="28032C70"/>
    <w:rsid w:val="2B47667D"/>
    <w:rsid w:val="2BA85228"/>
    <w:rsid w:val="2CB74084"/>
    <w:rsid w:val="2F446E74"/>
    <w:rsid w:val="2F921579"/>
    <w:rsid w:val="2FF42B68"/>
    <w:rsid w:val="2FF54DCD"/>
    <w:rsid w:val="30E13CFB"/>
    <w:rsid w:val="32774524"/>
    <w:rsid w:val="32A04D24"/>
    <w:rsid w:val="35B01DE6"/>
    <w:rsid w:val="35F13742"/>
    <w:rsid w:val="367D1B20"/>
    <w:rsid w:val="37DC7545"/>
    <w:rsid w:val="3A4F4C6B"/>
    <w:rsid w:val="3A504FDF"/>
    <w:rsid w:val="3B704EEF"/>
    <w:rsid w:val="3C385ED5"/>
    <w:rsid w:val="3D550F3D"/>
    <w:rsid w:val="3E8F5404"/>
    <w:rsid w:val="3F99354C"/>
    <w:rsid w:val="40181962"/>
    <w:rsid w:val="40211E56"/>
    <w:rsid w:val="40A73CD0"/>
    <w:rsid w:val="41565D18"/>
    <w:rsid w:val="43B370E4"/>
    <w:rsid w:val="44DA6246"/>
    <w:rsid w:val="44ED7F3C"/>
    <w:rsid w:val="45080505"/>
    <w:rsid w:val="456D3E34"/>
    <w:rsid w:val="46656473"/>
    <w:rsid w:val="46B61BE6"/>
    <w:rsid w:val="46F6167F"/>
    <w:rsid w:val="47662B0E"/>
    <w:rsid w:val="48F37122"/>
    <w:rsid w:val="494063F7"/>
    <w:rsid w:val="49813FED"/>
    <w:rsid w:val="4BA138EB"/>
    <w:rsid w:val="4BC3334E"/>
    <w:rsid w:val="4C0D433D"/>
    <w:rsid w:val="4CB73104"/>
    <w:rsid w:val="4CB73F0F"/>
    <w:rsid w:val="4DC26178"/>
    <w:rsid w:val="4DC84FD2"/>
    <w:rsid w:val="4DEF1B92"/>
    <w:rsid w:val="4EC8424A"/>
    <w:rsid w:val="4F45412D"/>
    <w:rsid w:val="4F5C2622"/>
    <w:rsid w:val="53454A83"/>
    <w:rsid w:val="53671C06"/>
    <w:rsid w:val="567D28EA"/>
    <w:rsid w:val="575473F4"/>
    <w:rsid w:val="5B1B27A8"/>
    <w:rsid w:val="5C8B4BE7"/>
    <w:rsid w:val="5D843631"/>
    <w:rsid w:val="5F6A5DC5"/>
    <w:rsid w:val="63E4086B"/>
    <w:rsid w:val="64EA487D"/>
    <w:rsid w:val="6518340C"/>
    <w:rsid w:val="65480958"/>
    <w:rsid w:val="66200896"/>
    <w:rsid w:val="68D569A8"/>
    <w:rsid w:val="6A384293"/>
    <w:rsid w:val="6B730A1F"/>
    <w:rsid w:val="6C2B3E9C"/>
    <w:rsid w:val="6ECF7E9E"/>
    <w:rsid w:val="6F352A93"/>
    <w:rsid w:val="6FFE030B"/>
    <w:rsid w:val="701A273B"/>
    <w:rsid w:val="716D03AD"/>
    <w:rsid w:val="718B4B15"/>
    <w:rsid w:val="71B2120D"/>
    <w:rsid w:val="72F56AC1"/>
    <w:rsid w:val="73362007"/>
    <w:rsid w:val="758A1F2D"/>
    <w:rsid w:val="76995C90"/>
    <w:rsid w:val="77842ECB"/>
    <w:rsid w:val="7812571B"/>
    <w:rsid w:val="787D7839"/>
    <w:rsid w:val="797638B9"/>
    <w:rsid w:val="7B9D3A44"/>
    <w:rsid w:val="7C7F11C2"/>
    <w:rsid w:val="7D430A52"/>
    <w:rsid w:val="7D9A1290"/>
    <w:rsid w:val="7E2B1D63"/>
    <w:rsid w:val="7F363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37"/>
    <w:qFormat/>
    <w:uiPriority w:val="0"/>
    <w:pPr>
      <w:keepNext/>
      <w:keepLines/>
      <w:spacing w:before="280" w:after="290" w:line="376" w:lineRule="auto"/>
      <w:outlineLvl w:val="3"/>
    </w:pPr>
    <w:rPr>
      <w:rFonts w:ascii="Calibri Light" w:hAnsi="Calibri Light"/>
      <w:b/>
      <w:bCs/>
      <w:sz w:val="28"/>
      <w:szCs w:val="28"/>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7">
    <w:name w:val="toc 7"/>
    <w:basedOn w:val="1"/>
    <w:next w:val="1"/>
    <w:qFormat/>
    <w:uiPriority w:val="0"/>
    <w:pPr>
      <w:ind w:left="2520" w:leftChars="1200"/>
    </w:pPr>
    <w:rPr>
      <w:szCs w:val="22"/>
    </w:rPr>
  </w:style>
  <w:style w:type="paragraph" w:styleId="8">
    <w:name w:val="annotation text"/>
    <w:basedOn w:val="1"/>
    <w:link w:val="39"/>
    <w:qFormat/>
    <w:uiPriority w:val="0"/>
    <w:pPr>
      <w:jc w:val="left"/>
    </w:pPr>
  </w:style>
  <w:style w:type="paragraph" w:styleId="9">
    <w:name w:val="Body Text"/>
    <w:basedOn w:val="1"/>
    <w:next w:val="1"/>
    <w:link w:val="72"/>
    <w:qFormat/>
    <w:uiPriority w:val="0"/>
    <w:rPr>
      <w:szCs w:val="20"/>
    </w:rPr>
  </w:style>
  <w:style w:type="paragraph" w:styleId="10">
    <w:name w:val="List 2"/>
    <w:basedOn w:val="1"/>
    <w:unhideWhenUsed/>
    <w:qFormat/>
    <w:uiPriority w:val="99"/>
    <w:pPr>
      <w:ind w:left="100" w:leftChars="200" w:hanging="200" w:hangingChars="200"/>
      <w:contextualSpacing/>
    </w:pPr>
  </w:style>
  <w:style w:type="paragraph" w:styleId="11">
    <w:name w:val="toc 5"/>
    <w:basedOn w:val="1"/>
    <w:next w:val="1"/>
    <w:qFormat/>
    <w:uiPriority w:val="0"/>
    <w:pPr>
      <w:ind w:left="1680" w:leftChars="800"/>
    </w:pPr>
    <w:rPr>
      <w:szCs w:val="22"/>
    </w:rPr>
  </w:style>
  <w:style w:type="paragraph" w:styleId="12">
    <w:name w:val="toc 3"/>
    <w:basedOn w:val="1"/>
    <w:next w:val="1"/>
    <w:qFormat/>
    <w:uiPriority w:val="39"/>
    <w:pPr>
      <w:ind w:left="840" w:leftChars="400"/>
    </w:pPr>
  </w:style>
  <w:style w:type="paragraph" w:styleId="13">
    <w:name w:val="Plain Text"/>
    <w:basedOn w:val="1"/>
    <w:qFormat/>
    <w:uiPriority w:val="0"/>
    <w:rPr>
      <w:rFonts w:ascii="Courier New" w:hAnsi="Courier New"/>
      <w:szCs w:val="20"/>
    </w:rPr>
  </w:style>
  <w:style w:type="paragraph" w:styleId="14">
    <w:name w:val="toc 8"/>
    <w:basedOn w:val="1"/>
    <w:next w:val="1"/>
    <w:qFormat/>
    <w:uiPriority w:val="0"/>
    <w:pPr>
      <w:ind w:left="2940" w:leftChars="1400"/>
    </w:pPr>
    <w:rPr>
      <w:szCs w:val="22"/>
    </w:rPr>
  </w:style>
  <w:style w:type="paragraph" w:styleId="15">
    <w:name w:val="Balloon Text"/>
    <w:basedOn w:val="1"/>
    <w:link w:val="75"/>
    <w:qFormat/>
    <w:uiPriority w:val="0"/>
    <w:rPr>
      <w:sz w:val="18"/>
      <w:szCs w:val="18"/>
    </w:rPr>
  </w:style>
  <w:style w:type="paragraph" w:styleId="16">
    <w:name w:val="footer"/>
    <w:basedOn w:val="1"/>
    <w:link w:val="76"/>
    <w:qFormat/>
    <w:uiPriority w:val="99"/>
    <w:pPr>
      <w:tabs>
        <w:tab w:val="center" w:pos="4153"/>
        <w:tab w:val="right" w:pos="8306"/>
      </w:tabs>
      <w:snapToGrid w:val="0"/>
      <w:jc w:val="left"/>
    </w:pPr>
    <w:rPr>
      <w:sz w:val="18"/>
      <w:szCs w:val="18"/>
    </w:rPr>
  </w:style>
  <w:style w:type="paragraph" w:styleId="17">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440" w:lineRule="exact"/>
      <w:jc w:val="center"/>
    </w:pPr>
  </w:style>
  <w:style w:type="paragraph" w:styleId="19">
    <w:name w:val="toc 4"/>
    <w:basedOn w:val="1"/>
    <w:next w:val="1"/>
    <w:qFormat/>
    <w:uiPriority w:val="0"/>
    <w:pPr>
      <w:ind w:left="1260" w:leftChars="600"/>
    </w:pPr>
    <w:rPr>
      <w:szCs w:val="22"/>
    </w:rPr>
  </w:style>
  <w:style w:type="paragraph" w:styleId="20">
    <w:name w:val="toc 6"/>
    <w:basedOn w:val="1"/>
    <w:next w:val="1"/>
    <w:qFormat/>
    <w:uiPriority w:val="0"/>
    <w:pPr>
      <w:ind w:left="2100" w:leftChars="1000"/>
    </w:pPr>
    <w:rPr>
      <w:szCs w:val="22"/>
    </w:rPr>
  </w:style>
  <w:style w:type="paragraph" w:styleId="21">
    <w:name w:val="Body Text Indent 3"/>
    <w:basedOn w:val="1"/>
    <w:link w:val="71"/>
    <w:qFormat/>
    <w:uiPriority w:val="0"/>
    <w:pPr>
      <w:spacing w:after="120"/>
      <w:ind w:left="420" w:leftChars="200"/>
    </w:pPr>
    <w:rPr>
      <w:rFonts w:ascii="Times New Roman" w:hAnsi="Times New Roman" w:cs="Times New Roman"/>
      <w:sz w:val="16"/>
      <w:szCs w:val="16"/>
    </w:rPr>
  </w:style>
  <w:style w:type="paragraph" w:styleId="22">
    <w:name w:val="toc 2"/>
    <w:basedOn w:val="1"/>
    <w:next w:val="1"/>
    <w:qFormat/>
    <w:uiPriority w:val="39"/>
    <w:pPr>
      <w:ind w:left="420" w:leftChars="200"/>
    </w:pPr>
  </w:style>
  <w:style w:type="paragraph" w:styleId="23">
    <w:name w:val="toc 9"/>
    <w:basedOn w:val="1"/>
    <w:next w:val="1"/>
    <w:qFormat/>
    <w:uiPriority w:val="0"/>
    <w:pPr>
      <w:ind w:left="3360" w:leftChars="1600"/>
    </w:pPr>
    <w:rPr>
      <w:szCs w:val="22"/>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Normal (Web)"/>
    <w:basedOn w:val="1"/>
    <w:unhideWhenUsed/>
    <w:qFormat/>
    <w:uiPriority w:val="0"/>
    <w:pPr>
      <w:widowControl/>
      <w:spacing w:before="100" w:beforeAutospacing="1" w:after="100" w:afterAutospacing="1"/>
      <w:jc w:val="left"/>
    </w:pPr>
    <w:rPr>
      <w:rFonts w:ascii="宋体" w:hAnsi="宋体" w:eastAsia="楷体_GB2312" w:cs="宋体"/>
      <w:kern w:val="0"/>
      <w:sz w:val="24"/>
    </w:rPr>
  </w:style>
  <w:style w:type="paragraph" w:styleId="26">
    <w:name w:val="Title"/>
    <w:basedOn w:val="1"/>
    <w:next w:val="1"/>
    <w:link w:val="50"/>
    <w:qFormat/>
    <w:uiPriority w:val="0"/>
    <w:pPr>
      <w:spacing w:before="240" w:after="60"/>
      <w:jc w:val="center"/>
      <w:outlineLvl w:val="0"/>
    </w:pPr>
    <w:rPr>
      <w:rFonts w:ascii="Calibri Light" w:hAnsi="Calibri Light"/>
      <w:b/>
      <w:bCs/>
      <w:sz w:val="32"/>
      <w:szCs w:val="32"/>
    </w:rPr>
  </w:style>
  <w:style w:type="paragraph" w:styleId="27">
    <w:name w:val="Body Text First Indent"/>
    <w:basedOn w:val="9"/>
    <w:link w:val="73"/>
    <w:qFormat/>
    <w:uiPriority w:val="0"/>
    <w:pPr>
      <w:spacing w:after="120"/>
      <w:ind w:firstLine="420" w:firstLineChars="100"/>
    </w:pPr>
    <w:rPr>
      <w:szCs w:val="24"/>
    </w:rPr>
  </w:style>
  <w:style w:type="character" w:styleId="30">
    <w:name w:val="Strong"/>
    <w:basedOn w:val="29"/>
    <w:qFormat/>
    <w:uiPriority w:val="0"/>
    <w:rPr>
      <w:b/>
      <w:bCs/>
    </w:rPr>
  </w:style>
  <w:style w:type="character" w:styleId="31">
    <w:name w:val="FollowedHyperlink"/>
    <w:basedOn w:val="29"/>
    <w:qFormat/>
    <w:uiPriority w:val="0"/>
    <w:rPr>
      <w:color w:val="333333"/>
      <w:u w:val="none"/>
      <w:shd w:val="clear" w:fill="D9534F"/>
    </w:rPr>
  </w:style>
  <w:style w:type="character" w:styleId="32">
    <w:name w:val="HTML Definition"/>
    <w:basedOn w:val="29"/>
    <w:qFormat/>
    <w:uiPriority w:val="0"/>
    <w:rPr>
      <w:i/>
      <w:iCs/>
    </w:rPr>
  </w:style>
  <w:style w:type="character" w:styleId="33">
    <w:name w:val="Hyperlink"/>
    <w:basedOn w:val="29"/>
    <w:qFormat/>
    <w:uiPriority w:val="99"/>
    <w:rPr>
      <w:color w:val="333333"/>
      <w:u w:val="none"/>
    </w:rPr>
  </w:style>
  <w:style w:type="character" w:styleId="34">
    <w:name w:val="HTML Code"/>
    <w:basedOn w:val="29"/>
    <w:qFormat/>
    <w:uiPriority w:val="0"/>
    <w:rPr>
      <w:rFonts w:hint="default" w:ascii="Consolas" w:hAnsi="Consolas" w:eastAsia="Consolas" w:cs="Consolas"/>
      <w:color w:val="C7254E"/>
      <w:sz w:val="21"/>
      <w:szCs w:val="21"/>
      <w:shd w:val="clear" w:fill="F9F2F4"/>
    </w:rPr>
  </w:style>
  <w:style w:type="character" w:styleId="35">
    <w:name w:val="HTML Keyboard"/>
    <w:basedOn w:val="29"/>
    <w:qFormat/>
    <w:uiPriority w:val="0"/>
    <w:rPr>
      <w:rFonts w:hint="default" w:ascii="Consolas" w:hAnsi="Consolas" w:eastAsia="Consolas" w:cs="Consolas"/>
      <w:color w:val="FFFFFF"/>
      <w:sz w:val="21"/>
      <w:szCs w:val="21"/>
      <w:shd w:val="clear" w:fill="333333"/>
    </w:rPr>
  </w:style>
  <w:style w:type="character" w:styleId="36">
    <w:name w:val="HTML Sample"/>
    <w:basedOn w:val="29"/>
    <w:qFormat/>
    <w:uiPriority w:val="0"/>
    <w:rPr>
      <w:rFonts w:ascii="Consolas" w:hAnsi="Consolas" w:eastAsia="Consolas" w:cs="Consolas"/>
      <w:sz w:val="21"/>
      <w:szCs w:val="21"/>
    </w:rPr>
  </w:style>
  <w:style w:type="character" w:customStyle="1" w:styleId="37">
    <w:name w:val="标题 4 Char"/>
    <w:basedOn w:val="29"/>
    <w:link w:val="6"/>
    <w:semiHidden/>
    <w:qFormat/>
    <w:uiPriority w:val="0"/>
    <w:rPr>
      <w:rFonts w:ascii="Calibri Light" w:hAnsi="Calibri Light" w:eastAsia="宋体" w:cs="黑体"/>
      <w:b/>
      <w:bCs/>
      <w:kern w:val="2"/>
      <w:sz w:val="28"/>
      <w:szCs w:val="28"/>
    </w:rPr>
  </w:style>
  <w:style w:type="character" w:customStyle="1" w:styleId="38">
    <w:name w:val="批注主题 Char"/>
    <w:basedOn w:val="39"/>
    <w:link w:val="40"/>
    <w:semiHidden/>
    <w:qFormat/>
    <w:uiPriority w:val="0"/>
    <w:rPr>
      <w:b/>
      <w:bCs/>
    </w:rPr>
  </w:style>
  <w:style w:type="character" w:customStyle="1" w:styleId="39">
    <w:name w:val="批注文字 Char"/>
    <w:basedOn w:val="29"/>
    <w:link w:val="8"/>
    <w:semiHidden/>
    <w:qFormat/>
    <w:uiPriority w:val="0"/>
    <w:rPr>
      <w:kern w:val="2"/>
      <w:sz w:val="21"/>
      <w:szCs w:val="24"/>
    </w:rPr>
  </w:style>
  <w:style w:type="paragraph" w:customStyle="1" w:styleId="40">
    <w:name w:val="批注主题1"/>
    <w:basedOn w:val="8"/>
    <w:next w:val="8"/>
    <w:link w:val="38"/>
    <w:qFormat/>
    <w:uiPriority w:val="0"/>
    <w:rPr>
      <w:b/>
      <w:bCs/>
    </w:rPr>
  </w:style>
  <w:style w:type="character" w:customStyle="1" w:styleId="41">
    <w:name w:val="文档结构图 Char"/>
    <w:basedOn w:val="29"/>
    <w:link w:val="42"/>
    <w:semiHidden/>
    <w:qFormat/>
    <w:uiPriority w:val="0"/>
    <w:rPr>
      <w:rFonts w:ascii="宋体" w:eastAsia="宋体"/>
      <w:kern w:val="2"/>
      <w:sz w:val="18"/>
      <w:szCs w:val="18"/>
    </w:rPr>
  </w:style>
  <w:style w:type="paragraph" w:customStyle="1" w:styleId="42">
    <w:name w:val="文档结构图1"/>
    <w:basedOn w:val="1"/>
    <w:link w:val="41"/>
    <w:qFormat/>
    <w:uiPriority w:val="0"/>
    <w:rPr>
      <w:rFonts w:ascii="宋体"/>
      <w:sz w:val="18"/>
      <w:szCs w:val="18"/>
    </w:rPr>
  </w:style>
  <w:style w:type="character" w:customStyle="1" w:styleId="43">
    <w:name w:val="纯文本 Char"/>
    <w:link w:val="44"/>
    <w:semiHidden/>
    <w:qFormat/>
    <w:uiPriority w:val="0"/>
    <w:rPr>
      <w:rFonts w:ascii="宋体" w:hAnsi="Courier New" w:cs="Courier New"/>
      <w:kern w:val="2"/>
      <w:sz w:val="21"/>
      <w:szCs w:val="21"/>
    </w:rPr>
  </w:style>
  <w:style w:type="paragraph" w:customStyle="1" w:styleId="44">
    <w:name w:val="纯文本1"/>
    <w:basedOn w:val="1"/>
    <w:link w:val="43"/>
    <w:qFormat/>
    <w:uiPriority w:val="0"/>
    <w:rPr>
      <w:rFonts w:ascii="宋体" w:hAnsi="Courier New" w:cs="Times New Roman"/>
      <w:szCs w:val="21"/>
    </w:rPr>
  </w:style>
  <w:style w:type="character" w:customStyle="1" w:styleId="45">
    <w:name w:val="日期 Char"/>
    <w:semiHidden/>
    <w:qFormat/>
    <w:uiPriority w:val="0"/>
    <w:rPr>
      <w:kern w:val="2"/>
      <w:sz w:val="21"/>
      <w:szCs w:val="24"/>
    </w:rPr>
  </w:style>
  <w:style w:type="paragraph" w:customStyle="1" w:styleId="46">
    <w:name w:val="日期1"/>
    <w:basedOn w:val="1"/>
    <w:next w:val="1"/>
    <w:link w:val="65"/>
    <w:qFormat/>
    <w:uiPriority w:val="0"/>
    <w:pPr>
      <w:ind w:left="100" w:leftChars="2500"/>
    </w:pPr>
  </w:style>
  <w:style w:type="paragraph" w:customStyle="1" w:styleId="47">
    <w:name w:val="批注框文本1"/>
    <w:basedOn w:val="1"/>
    <w:link w:val="48"/>
    <w:qFormat/>
    <w:uiPriority w:val="0"/>
    <w:rPr>
      <w:sz w:val="18"/>
      <w:szCs w:val="18"/>
    </w:rPr>
  </w:style>
  <w:style w:type="character" w:customStyle="1" w:styleId="48">
    <w:name w:val="批注框文本 Char"/>
    <w:basedOn w:val="29"/>
    <w:link w:val="47"/>
    <w:semiHidden/>
    <w:qFormat/>
    <w:uiPriority w:val="0"/>
    <w:rPr>
      <w:kern w:val="2"/>
      <w:sz w:val="18"/>
      <w:szCs w:val="18"/>
    </w:rPr>
  </w:style>
  <w:style w:type="character" w:customStyle="1" w:styleId="49">
    <w:name w:val="页眉 Char"/>
    <w:basedOn w:val="29"/>
    <w:link w:val="17"/>
    <w:semiHidden/>
    <w:qFormat/>
    <w:uiPriority w:val="0"/>
    <w:rPr>
      <w:rFonts w:ascii="Calibri" w:hAnsi="Calibri" w:eastAsia="宋体" w:cs="黑体"/>
      <w:kern w:val="2"/>
      <w:sz w:val="18"/>
      <w:szCs w:val="18"/>
    </w:rPr>
  </w:style>
  <w:style w:type="character" w:customStyle="1" w:styleId="50">
    <w:name w:val="标题 Char"/>
    <w:basedOn w:val="29"/>
    <w:link w:val="26"/>
    <w:semiHidden/>
    <w:qFormat/>
    <w:uiPriority w:val="0"/>
    <w:rPr>
      <w:rFonts w:ascii="Calibri Light" w:hAnsi="Calibri Light" w:cs="黑体"/>
      <w:b/>
      <w:bCs/>
      <w:kern w:val="2"/>
      <w:sz w:val="32"/>
      <w:szCs w:val="32"/>
    </w:rPr>
  </w:style>
  <w:style w:type="paragraph" w:customStyle="1" w:styleId="51">
    <w:name w:val="正文文本缩进 21"/>
    <w:basedOn w:val="1"/>
    <w:qFormat/>
    <w:uiPriority w:val="0"/>
    <w:pPr>
      <w:spacing w:after="120" w:line="480" w:lineRule="auto"/>
      <w:ind w:left="420" w:leftChars="200"/>
    </w:pPr>
  </w:style>
  <w:style w:type="paragraph" w:customStyle="1" w:styleId="52">
    <w:name w:val="正文文本 31"/>
    <w:basedOn w:val="1"/>
    <w:qFormat/>
    <w:uiPriority w:val="0"/>
    <w:rPr>
      <w:rFonts w:ascii="宋体"/>
      <w:sz w:val="24"/>
      <w:szCs w:val="20"/>
    </w:rPr>
  </w:style>
  <w:style w:type="paragraph" w:customStyle="1" w:styleId="53">
    <w:name w:val="列表 21"/>
    <w:basedOn w:val="1"/>
    <w:qFormat/>
    <w:uiPriority w:val="0"/>
    <w:pPr>
      <w:ind w:left="100" w:leftChars="200" w:hanging="200" w:hangingChars="200"/>
    </w:pPr>
  </w:style>
  <w:style w:type="paragraph" w:customStyle="1" w:styleId="54">
    <w:name w:val="正文首行缩进1"/>
    <w:basedOn w:val="9"/>
    <w:qFormat/>
    <w:uiPriority w:val="0"/>
    <w:pPr>
      <w:spacing w:line="312" w:lineRule="auto"/>
      <w:ind w:firstLine="420"/>
    </w:pPr>
  </w:style>
  <w:style w:type="paragraph" w:customStyle="1" w:styleId="5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5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58">
    <w:name w:val="p0"/>
    <w:basedOn w:val="1"/>
    <w:qFormat/>
    <w:uiPriority w:val="0"/>
    <w:pPr>
      <w:widowControl/>
    </w:pPr>
    <w:rPr>
      <w:kern w:val="0"/>
      <w:szCs w:val="21"/>
    </w:rPr>
  </w:style>
  <w:style w:type="paragraph" w:customStyle="1" w:styleId="59">
    <w:name w:val="列出段落1"/>
    <w:basedOn w:val="1"/>
    <w:qFormat/>
    <w:uiPriority w:val="0"/>
    <w:pPr>
      <w:ind w:firstLine="420" w:firstLineChars="200"/>
    </w:pPr>
  </w:style>
  <w:style w:type="paragraph" w:customStyle="1" w:styleId="60">
    <w:name w:val="样式1"/>
    <w:basedOn w:val="17"/>
    <w:link w:val="66"/>
    <w:qFormat/>
    <w:uiPriority w:val="0"/>
    <w:pPr>
      <w:pBdr>
        <w:bottom w:val="none" w:color="auto" w:sz="0" w:space="0"/>
      </w:pBdr>
    </w:pPr>
  </w:style>
  <w:style w:type="paragraph" w:customStyle="1" w:styleId="61">
    <w:name w:val="TOC 标题1"/>
    <w:basedOn w:val="3"/>
    <w:next w:val="1"/>
    <w:qFormat/>
    <w:uiPriority w:val="0"/>
    <w:pPr>
      <w:widowControl/>
      <w:spacing w:before="480" w:after="0" w:line="276" w:lineRule="auto"/>
      <w:jc w:val="left"/>
      <w:outlineLvl w:val="9"/>
    </w:pPr>
    <w:rPr>
      <w:rFonts w:ascii="Calibri Light" w:hAnsi="Calibri Light"/>
      <w:color w:val="2D73B3"/>
      <w:kern w:val="0"/>
      <w:sz w:val="28"/>
      <w:szCs w:val="28"/>
    </w:rPr>
  </w:style>
  <w:style w:type="paragraph" w:customStyle="1" w:styleId="62">
    <w:name w:val="样式2"/>
    <w:basedOn w:val="17"/>
    <w:link w:val="67"/>
    <w:qFormat/>
    <w:uiPriority w:val="0"/>
    <w:pPr>
      <w:pBdr>
        <w:bottom w:val="none" w:color="auto" w:sz="0" w:space="0"/>
      </w:pBdr>
    </w:pPr>
  </w:style>
  <w:style w:type="character" w:customStyle="1" w:styleId="63">
    <w:name w:val="页码1"/>
    <w:basedOn w:val="29"/>
    <w:qFormat/>
    <w:uiPriority w:val="0"/>
  </w:style>
  <w:style w:type="character" w:customStyle="1" w:styleId="64">
    <w:name w:val="批注引用1"/>
    <w:basedOn w:val="29"/>
    <w:qFormat/>
    <w:uiPriority w:val="0"/>
    <w:rPr>
      <w:sz w:val="21"/>
      <w:szCs w:val="21"/>
    </w:rPr>
  </w:style>
  <w:style w:type="character" w:customStyle="1" w:styleId="65">
    <w:name w:val="日期 Char1"/>
    <w:basedOn w:val="29"/>
    <w:link w:val="46"/>
    <w:semiHidden/>
    <w:qFormat/>
    <w:uiPriority w:val="0"/>
    <w:rPr>
      <w:kern w:val="2"/>
      <w:sz w:val="21"/>
      <w:szCs w:val="24"/>
    </w:rPr>
  </w:style>
  <w:style w:type="character" w:customStyle="1" w:styleId="66">
    <w:name w:val="样式1 Char Char"/>
    <w:basedOn w:val="49"/>
    <w:link w:val="60"/>
    <w:semiHidden/>
    <w:qFormat/>
    <w:uiPriority w:val="0"/>
  </w:style>
  <w:style w:type="character" w:customStyle="1" w:styleId="67">
    <w:name w:val="样式2 Char Char"/>
    <w:basedOn w:val="49"/>
    <w:link w:val="62"/>
    <w:semiHidden/>
    <w:qFormat/>
    <w:uiPriority w:val="0"/>
  </w:style>
  <w:style w:type="paragraph" w:customStyle="1" w:styleId="68">
    <w:name w:val="Table Paragraph"/>
    <w:basedOn w:val="1"/>
    <w:qFormat/>
    <w:uiPriority w:val="0"/>
    <w:rPr>
      <w:rFonts w:ascii="宋体" w:hAnsi="宋体" w:cs="宋体"/>
      <w:lang w:val="zh-CN" w:bidi="zh-CN"/>
    </w:rPr>
  </w:style>
  <w:style w:type="paragraph" w:styleId="69">
    <w:name w:val="List Paragraph"/>
    <w:basedOn w:val="1"/>
    <w:unhideWhenUsed/>
    <w:qFormat/>
    <w:uiPriority w:val="99"/>
    <w:pPr>
      <w:ind w:firstLine="420" w:firstLineChars="200"/>
    </w:pPr>
  </w:style>
  <w:style w:type="character" w:customStyle="1" w:styleId="70">
    <w:name w:val="正文文本缩进 3 Char"/>
    <w:qFormat/>
    <w:uiPriority w:val="0"/>
    <w:rPr>
      <w:rFonts w:ascii="Times New Roman" w:hAnsi="Times New Roman"/>
      <w:kern w:val="2"/>
      <w:sz w:val="16"/>
      <w:szCs w:val="16"/>
    </w:rPr>
  </w:style>
  <w:style w:type="character" w:customStyle="1" w:styleId="71">
    <w:name w:val="正文文本缩进 3 Char1"/>
    <w:basedOn w:val="29"/>
    <w:link w:val="21"/>
    <w:qFormat/>
    <w:uiPriority w:val="0"/>
    <w:rPr>
      <w:rFonts w:cs="黑体"/>
      <w:kern w:val="2"/>
      <w:sz w:val="16"/>
      <w:szCs w:val="16"/>
    </w:rPr>
  </w:style>
  <w:style w:type="character" w:customStyle="1" w:styleId="72">
    <w:name w:val="正文文本 Char"/>
    <w:basedOn w:val="29"/>
    <w:link w:val="9"/>
    <w:qFormat/>
    <w:uiPriority w:val="0"/>
    <w:rPr>
      <w:rFonts w:cs="黑体"/>
      <w:kern w:val="2"/>
      <w:sz w:val="21"/>
    </w:rPr>
  </w:style>
  <w:style w:type="character" w:customStyle="1" w:styleId="73">
    <w:name w:val="正文首行缩进 Char"/>
    <w:basedOn w:val="72"/>
    <w:link w:val="27"/>
    <w:qFormat/>
    <w:uiPriority w:val="0"/>
  </w:style>
  <w:style w:type="paragraph" w:customStyle="1" w:styleId="74">
    <w:name w:val="无间隔1"/>
    <w:basedOn w:val="1"/>
    <w:qFormat/>
    <w:uiPriority w:val="0"/>
    <w:pPr>
      <w:spacing w:line="400" w:lineRule="exact"/>
    </w:pPr>
    <w:rPr>
      <w:rFonts w:ascii="Times New Roman" w:hAnsi="Times New Roman"/>
      <w:sz w:val="24"/>
    </w:rPr>
  </w:style>
  <w:style w:type="character" w:customStyle="1" w:styleId="75">
    <w:name w:val="批注框文本 Char1"/>
    <w:basedOn w:val="29"/>
    <w:link w:val="15"/>
    <w:qFormat/>
    <w:uiPriority w:val="0"/>
    <w:rPr>
      <w:rFonts w:ascii="Calibri" w:hAnsi="Calibri" w:eastAsia="宋体" w:cs="黑体"/>
      <w:kern w:val="2"/>
      <w:sz w:val="18"/>
      <w:szCs w:val="18"/>
    </w:rPr>
  </w:style>
  <w:style w:type="character" w:customStyle="1" w:styleId="76">
    <w:name w:val="页脚 Char"/>
    <w:basedOn w:val="29"/>
    <w:link w:val="16"/>
    <w:qFormat/>
    <w:uiPriority w:val="99"/>
    <w:rPr>
      <w:rFonts w:ascii="Calibri" w:hAnsi="Calibri" w:eastAsia="宋体" w:cs="黑体"/>
      <w:kern w:val="2"/>
      <w:sz w:val="18"/>
      <w:szCs w:val="18"/>
    </w:rPr>
  </w:style>
  <w:style w:type="paragraph" w:customStyle="1" w:styleId="77">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78">
    <w:name w:val="color-blue"/>
    <w:basedOn w:val="29"/>
    <w:uiPriority w:val="0"/>
    <w:rPr>
      <w:color w:val="3F88CA"/>
      <w:sz w:val="18"/>
      <w:szCs w:val="18"/>
      <w:bdr w:val="single" w:color="3F88CA" w:sz="6" w:space="0"/>
    </w:rPr>
  </w:style>
  <w:style w:type="character" w:customStyle="1" w:styleId="79">
    <w:name w:val="xiadan"/>
    <w:basedOn w:val="29"/>
    <w:uiPriority w:val="0"/>
    <w:rPr>
      <w:shd w:val="clear" w:fill="E4393C"/>
    </w:rPr>
  </w:style>
  <w:style w:type="character" w:customStyle="1" w:styleId="80">
    <w:name w:val="first-child"/>
    <w:basedOn w:val="29"/>
    <w:uiPriority w:val="0"/>
    <w:rPr>
      <w:color w:val="1F3149"/>
      <w:sz w:val="24"/>
      <w:szCs w:val="24"/>
    </w:rPr>
  </w:style>
  <w:style w:type="character" w:customStyle="1" w:styleId="81">
    <w:name w:val="first-child1"/>
    <w:basedOn w:val="29"/>
    <w:uiPriority w:val="0"/>
    <w:rPr>
      <w:color w:val="1F3149"/>
      <w:sz w:val="24"/>
      <w:szCs w:val="24"/>
    </w:rPr>
  </w:style>
  <w:style w:type="character" w:customStyle="1" w:styleId="82">
    <w:name w:val="first-child2"/>
    <w:basedOn w:val="29"/>
    <w:uiPriority w:val="0"/>
  </w:style>
  <w:style w:type="character" w:customStyle="1" w:styleId="83">
    <w:name w:val="first-child3"/>
    <w:basedOn w:val="29"/>
    <w:uiPriority w:val="0"/>
  </w:style>
  <w:style w:type="character" w:customStyle="1" w:styleId="84">
    <w:name w:val="fr"/>
    <w:basedOn w:val="29"/>
    <w:uiPriority w:val="0"/>
  </w:style>
  <w:style w:type="character" w:customStyle="1" w:styleId="85">
    <w:name w:val="icon_gys"/>
    <w:basedOn w:val="29"/>
    <w:uiPriority w:val="0"/>
    <w:rPr>
      <w:sz w:val="21"/>
      <w:szCs w:val="21"/>
    </w:rPr>
  </w:style>
  <w:style w:type="character" w:customStyle="1" w:styleId="86">
    <w:name w:val="icon_ds"/>
    <w:basedOn w:val="29"/>
    <w:uiPriority w:val="0"/>
  </w:style>
  <w:style w:type="character" w:customStyle="1" w:styleId="87">
    <w:name w:val="icon_ds1"/>
    <w:basedOn w:val="29"/>
    <w:uiPriority w:val="0"/>
    <w:rPr>
      <w:sz w:val="21"/>
      <w:szCs w:val="21"/>
    </w:rPr>
  </w:style>
  <w:style w:type="character" w:customStyle="1" w:styleId="88">
    <w:name w:val="color-yellow"/>
    <w:basedOn w:val="29"/>
    <w:uiPriority w:val="0"/>
    <w:rPr>
      <w:color w:val="FAAD14"/>
      <w:sz w:val="18"/>
      <w:szCs w:val="18"/>
      <w:bdr w:val="single" w:color="FAAD14" w:sz="6" w:space="0"/>
    </w:rPr>
  </w:style>
  <w:style w:type="character" w:customStyle="1" w:styleId="89">
    <w:name w:val="color-yellow1"/>
    <w:basedOn w:val="29"/>
    <w:uiPriority w:val="0"/>
    <w:rPr>
      <w:color w:val="FAAD14"/>
      <w:sz w:val="18"/>
      <w:szCs w:val="18"/>
      <w:bdr w:val="single" w:color="FAAD14" w:sz="6" w:space="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FA5C0E-ADBF-4845-A609-697FEB5A11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23018</Words>
  <Characters>24772</Characters>
  <Lines>195</Lines>
  <Paragraphs>54</Paragraphs>
  <TotalTime>1</TotalTime>
  <ScaleCrop>false</ScaleCrop>
  <LinksUpToDate>false</LinksUpToDate>
  <CharactersWithSpaces>27418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2018-06-25T11:40:00Z</dcterms:created>
  <dc:creator>Administrator</dc:creator>
  <cp:lastModifiedBy>　陈鹏飞</cp:lastModifiedBy>
  <cp:lastPrinted>2024-02-19T09:38:00Z</cp:lastPrinted>
  <dcterms:modified xsi:type="dcterms:W3CDTF">2024-02-29T07:14:52Z</dcterms:modified>
  <dc:title>HP</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4D422FAD39CF4B4887CF68ADEFA5F25D</vt:lpwstr>
  </property>
</Properties>
</file>